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95394" w:rsidRDefault="00812FE1" w:rsidP="00BA1D67">
      <w:pPr>
        <w:spacing w:line="240" w:lineRule="auto"/>
        <w:jc w:val="center"/>
        <w:rPr>
          <w:rFonts w:ascii="Arial" w:hAnsi="Arial" w:cs="Arial"/>
          <w:b/>
          <w:sz w:val="28"/>
          <w:szCs w:val="28"/>
        </w:rPr>
      </w:pPr>
      <w:r w:rsidRPr="00812FE1">
        <w:rPr>
          <w:rFonts w:ascii="Arial" w:hAnsi="Arial" w:cs="Arial"/>
          <w:b/>
          <w:sz w:val="28"/>
          <w:szCs w:val="28"/>
        </w:rPr>
        <w:t>John Lewis Partnership</w:t>
      </w:r>
      <w:r w:rsidR="00C95394">
        <w:rPr>
          <w:rFonts w:ascii="Arial" w:hAnsi="Arial" w:cs="Arial"/>
          <w:b/>
          <w:sz w:val="28"/>
          <w:szCs w:val="28"/>
        </w:rPr>
        <w:t xml:space="preserve"> Financial Analysis</w:t>
      </w:r>
    </w:p>
    <w:p w:rsidR="00C95394" w:rsidRDefault="00C95394" w:rsidP="00BA1D67">
      <w:pPr>
        <w:spacing w:line="240" w:lineRule="auto"/>
        <w:jc w:val="center"/>
        <w:rPr>
          <w:rFonts w:ascii="Arial" w:hAnsi="Arial" w:cs="Arial"/>
          <w:b/>
          <w:sz w:val="24"/>
          <w:szCs w:val="24"/>
        </w:rPr>
      </w:pPr>
      <w:proofErr w:type="spellStart"/>
      <w:r w:rsidRPr="00BA1D67">
        <w:rPr>
          <w:rFonts w:ascii="Arial" w:hAnsi="Arial" w:cs="Arial"/>
          <w:b/>
          <w:sz w:val="24"/>
          <w:szCs w:val="24"/>
        </w:rPr>
        <w:t>Nathalia</w:t>
      </w:r>
      <w:proofErr w:type="spellEnd"/>
      <w:r w:rsidRPr="00BA1D67">
        <w:rPr>
          <w:rFonts w:ascii="Arial" w:hAnsi="Arial" w:cs="Arial"/>
          <w:b/>
          <w:sz w:val="24"/>
          <w:szCs w:val="24"/>
        </w:rPr>
        <w:t xml:space="preserve"> </w:t>
      </w:r>
      <w:proofErr w:type="spellStart"/>
      <w:r w:rsidRPr="00BA1D67">
        <w:rPr>
          <w:rFonts w:ascii="Arial" w:hAnsi="Arial" w:cs="Arial"/>
          <w:b/>
          <w:sz w:val="24"/>
          <w:szCs w:val="24"/>
        </w:rPr>
        <w:t>Riveros</w:t>
      </w:r>
      <w:proofErr w:type="spellEnd"/>
      <w:r w:rsidRPr="00BA1D67">
        <w:rPr>
          <w:rFonts w:ascii="Arial" w:hAnsi="Arial" w:cs="Arial"/>
          <w:b/>
          <w:sz w:val="24"/>
          <w:szCs w:val="24"/>
        </w:rPr>
        <w:t xml:space="preserve"> </w:t>
      </w:r>
      <w:proofErr w:type="spellStart"/>
      <w:r w:rsidRPr="00BA1D67">
        <w:rPr>
          <w:rFonts w:ascii="Arial" w:hAnsi="Arial" w:cs="Arial"/>
          <w:b/>
          <w:sz w:val="24"/>
          <w:szCs w:val="24"/>
        </w:rPr>
        <w:t>Chala</w:t>
      </w:r>
      <w:proofErr w:type="spellEnd"/>
      <w:r w:rsidRPr="00BA1D67">
        <w:rPr>
          <w:rFonts w:ascii="Arial" w:hAnsi="Arial" w:cs="Arial"/>
          <w:b/>
          <w:sz w:val="24"/>
          <w:szCs w:val="24"/>
        </w:rPr>
        <w:t xml:space="preserve"> (1812608)</w:t>
      </w:r>
    </w:p>
    <w:p w:rsidR="00A15264" w:rsidRPr="00BA1D67" w:rsidRDefault="00A15264" w:rsidP="00BA1D67">
      <w:pPr>
        <w:spacing w:line="240" w:lineRule="auto"/>
        <w:jc w:val="center"/>
        <w:rPr>
          <w:rFonts w:ascii="Arial" w:hAnsi="Arial" w:cs="Arial"/>
          <w:b/>
          <w:sz w:val="24"/>
          <w:szCs w:val="24"/>
        </w:rPr>
      </w:pPr>
      <w:r w:rsidRPr="00A15264">
        <w:rPr>
          <w:rFonts w:ascii="Arial" w:hAnsi="Arial" w:cs="Arial"/>
          <w:b/>
          <w:sz w:val="24"/>
          <w:szCs w:val="24"/>
        </w:rPr>
        <w:t>Financial Management</w:t>
      </w:r>
      <w:r w:rsidR="001D3D89">
        <w:rPr>
          <w:rFonts w:ascii="Arial" w:hAnsi="Arial" w:cs="Arial"/>
          <w:b/>
          <w:sz w:val="24"/>
          <w:szCs w:val="24"/>
        </w:rPr>
        <w:t xml:space="preserve"> </w:t>
      </w:r>
      <w:r w:rsidR="001D3D89" w:rsidRPr="00A15264">
        <w:rPr>
          <w:rFonts w:ascii="Arial" w:hAnsi="Arial" w:cs="Arial"/>
          <w:b/>
          <w:sz w:val="24"/>
          <w:szCs w:val="24"/>
        </w:rPr>
        <w:t>LCMB7002</w:t>
      </w:r>
    </w:p>
    <w:p w:rsidR="00BA1D67" w:rsidRDefault="00C95394" w:rsidP="00BA1D67">
      <w:pPr>
        <w:spacing w:line="240" w:lineRule="auto"/>
        <w:jc w:val="center"/>
        <w:rPr>
          <w:rFonts w:ascii="Arial" w:hAnsi="Arial" w:cs="Arial"/>
          <w:sz w:val="20"/>
          <w:szCs w:val="20"/>
        </w:rPr>
      </w:pPr>
      <w:r w:rsidRPr="00BA1D67">
        <w:rPr>
          <w:rFonts w:ascii="Arial" w:hAnsi="Arial" w:cs="Arial"/>
          <w:sz w:val="20"/>
          <w:szCs w:val="20"/>
        </w:rPr>
        <w:t xml:space="preserve">University of Wales, Trinity </w:t>
      </w:r>
      <w:r w:rsidR="00BA1D67" w:rsidRPr="00BA1D67">
        <w:rPr>
          <w:rFonts w:ascii="Arial" w:hAnsi="Arial" w:cs="Arial"/>
          <w:sz w:val="20"/>
          <w:szCs w:val="20"/>
        </w:rPr>
        <w:t>Saint David</w:t>
      </w:r>
    </w:p>
    <w:p w:rsidR="00BA1D67" w:rsidRDefault="00BA1D67" w:rsidP="00BA1D67">
      <w:pPr>
        <w:spacing w:line="240" w:lineRule="auto"/>
        <w:jc w:val="center"/>
        <w:rPr>
          <w:rFonts w:ascii="Arial" w:hAnsi="Arial" w:cs="Arial"/>
          <w:color w:val="212121"/>
          <w:sz w:val="20"/>
          <w:szCs w:val="20"/>
          <w:bdr w:val="none" w:sz="0" w:space="0" w:color="auto" w:frame="1"/>
        </w:rPr>
      </w:pPr>
      <w:r w:rsidRPr="00BA1D67">
        <w:rPr>
          <w:rFonts w:ascii="Arial" w:hAnsi="Arial" w:cs="Arial"/>
          <w:color w:val="212121"/>
          <w:sz w:val="20"/>
          <w:szCs w:val="20"/>
          <w:bdr w:val="none" w:sz="0" w:space="0" w:color="auto" w:frame="1"/>
        </w:rPr>
        <w:t>Winchester House</w:t>
      </w:r>
      <w:r w:rsidRPr="00BA1D67">
        <w:rPr>
          <w:rFonts w:ascii="Arial" w:hAnsi="Arial" w:cs="Arial"/>
          <w:color w:val="212121"/>
          <w:sz w:val="20"/>
          <w:szCs w:val="20"/>
        </w:rPr>
        <w:t xml:space="preserve">; </w:t>
      </w:r>
      <w:r w:rsidRPr="00BA1D67">
        <w:rPr>
          <w:rFonts w:ascii="Arial" w:hAnsi="Arial" w:cs="Arial"/>
          <w:color w:val="212121"/>
          <w:sz w:val="20"/>
          <w:szCs w:val="20"/>
          <w:bdr w:val="none" w:sz="0" w:space="0" w:color="auto" w:frame="1"/>
        </w:rPr>
        <w:t>11 Cranmer Road</w:t>
      </w:r>
      <w:r w:rsidRPr="00BA1D67">
        <w:rPr>
          <w:rFonts w:ascii="Arial" w:hAnsi="Arial" w:cs="Arial"/>
          <w:color w:val="212121"/>
          <w:sz w:val="20"/>
          <w:szCs w:val="20"/>
        </w:rPr>
        <w:t xml:space="preserve"> </w:t>
      </w:r>
      <w:r>
        <w:rPr>
          <w:rFonts w:ascii="Arial" w:hAnsi="Arial" w:cs="Arial"/>
          <w:color w:val="212121"/>
          <w:sz w:val="20"/>
          <w:szCs w:val="20"/>
          <w:bdr w:val="none" w:sz="0" w:space="0" w:color="auto" w:frame="1"/>
        </w:rPr>
        <w:t>London SW9 </w:t>
      </w:r>
      <w:r w:rsidRPr="00BA1D67">
        <w:rPr>
          <w:rFonts w:ascii="Arial" w:hAnsi="Arial" w:cs="Arial"/>
          <w:color w:val="212121"/>
          <w:sz w:val="20"/>
          <w:szCs w:val="20"/>
          <w:bdr w:val="none" w:sz="0" w:space="0" w:color="auto" w:frame="1"/>
        </w:rPr>
        <w:t>6EJ</w:t>
      </w:r>
    </w:p>
    <w:p w:rsidR="00BA1D67" w:rsidRPr="00BA1D67" w:rsidRDefault="00BA1D67" w:rsidP="00BA1D67">
      <w:pPr>
        <w:spacing w:line="240" w:lineRule="auto"/>
        <w:jc w:val="center"/>
        <w:rPr>
          <w:rFonts w:ascii="Arial" w:hAnsi="Arial" w:cs="Arial"/>
          <w:sz w:val="20"/>
          <w:szCs w:val="20"/>
        </w:rPr>
      </w:pPr>
    </w:p>
    <w:p w:rsidR="00BA1D67" w:rsidRPr="00BA1D67" w:rsidRDefault="00BA1D67" w:rsidP="00BA1D67">
      <w:pPr>
        <w:spacing w:line="240" w:lineRule="auto"/>
        <w:jc w:val="center"/>
        <w:rPr>
          <w:rFonts w:ascii="Arial" w:hAnsi="Arial" w:cs="Arial"/>
          <w:sz w:val="20"/>
          <w:szCs w:val="20"/>
        </w:rPr>
      </w:pPr>
    </w:p>
    <w:p w:rsidR="00C95394" w:rsidRPr="00BA1D67" w:rsidRDefault="00C95394" w:rsidP="00D501AA">
      <w:pPr>
        <w:jc w:val="center"/>
        <w:rPr>
          <w:rFonts w:ascii="Arial" w:hAnsi="Arial" w:cs="Arial"/>
          <w:sz w:val="20"/>
          <w:szCs w:val="20"/>
        </w:rPr>
      </w:pPr>
    </w:p>
    <w:p w:rsidR="00BA1D67" w:rsidRDefault="00BA1D67" w:rsidP="00D501AA">
      <w:pPr>
        <w:jc w:val="center"/>
        <w:rPr>
          <w:rFonts w:ascii="Arial" w:hAnsi="Arial" w:cs="Arial"/>
          <w:b/>
          <w:sz w:val="28"/>
          <w:szCs w:val="28"/>
        </w:rPr>
      </w:pPr>
      <w:r w:rsidRPr="00812FE1">
        <w:rPr>
          <w:rFonts w:ascii="Arial" w:hAnsi="Arial" w:cs="Arial"/>
          <w:b/>
          <w:sz w:val="28"/>
          <w:szCs w:val="28"/>
        </w:rPr>
        <w:t>John Lewis Partnership</w:t>
      </w:r>
      <w:r>
        <w:rPr>
          <w:rFonts w:ascii="Arial" w:hAnsi="Arial" w:cs="Arial"/>
          <w:b/>
          <w:sz w:val="28"/>
          <w:szCs w:val="28"/>
        </w:rPr>
        <w:t xml:space="preserve"> </w:t>
      </w:r>
    </w:p>
    <w:p w:rsidR="00D501AA" w:rsidRPr="009370EF" w:rsidRDefault="008226B1" w:rsidP="00D501AA">
      <w:pPr>
        <w:jc w:val="center"/>
        <w:rPr>
          <w:rFonts w:ascii="Arial" w:hAnsi="Arial" w:cs="Arial"/>
          <w:sz w:val="24"/>
          <w:szCs w:val="24"/>
        </w:rPr>
      </w:pPr>
      <w:r>
        <w:rPr>
          <w:rFonts w:ascii="Arial" w:hAnsi="Arial" w:cs="Arial"/>
          <w:b/>
          <w:sz w:val="24"/>
          <w:szCs w:val="24"/>
        </w:rPr>
        <w:t xml:space="preserve">Introduction </w:t>
      </w:r>
    </w:p>
    <w:p w:rsidR="00D501AA" w:rsidRDefault="00D501AA" w:rsidP="00D501AA">
      <w:pPr>
        <w:jc w:val="both"/>
        <w:rPr>
          <w:rFonts w:ascii="Arial" w:hAnsi="Arial" w:cs="Arial"/>
          <w:b/>
          <w:sz w:val="24"/>
          <w:szCs w:val="24"/>
        </w:rPr>
      </w:pPr>
    </w:p>
    <w:p w:rsidR="00C8226B" w:rsidRPr="009370EF" w:rsidRDefault="00C8226B" w:rsidP="00D501AA">
      <w:pPr>
        <w:jc w:val="both"/>
        <w:rPr>
          <w:rFonts w:ascii="Arial" w:hAnsi="Arial" w:cs="Arial"/>
          <w:b/>
          <w:sz w:val="24"/>
          <w:szCs w:val="24"/>
        </w:rPr>
      </w:pPr>
      <w:r>
        <w:rPr>
          <w:rFonts w:ascii="Arial" w:hAnsi="Arial" w:cs="Arial"/>
          <w:b/>
          <w:sz w:val="24"/>
          <w:szCs w:val="24"/>
        </w:rPr>
        <w:t>Part A</w:t>
      </w:r>
    </w:p>
    <w:p w:rsidR="00D501AA" w:rsidRPr="009370EF" w:rsidRDefault="00D501AA" w:rsidP="00D501AA">
      <w:pPr>
        <w:jc w:val="both"/>
        <w:rPr>
          <w:rFonts w:ascii="Arial" w:hAnsi="Arial" w:cs="Arial"/>
          <w:sz w:val="24"/>
          <w:szCs w:val="24"/>
        </w:rPr>
      </w:pPr>
      <w:r w:rsidRPr="009370EF">
        <w:rPr>
          <w:rFonts w:ascii="Arial" w:hAnsi="Arial" w:cs="Arial"/>
          <w:b/>
          <w:sz w:val="24"/>
          <w:szCs w:val="24"/>
        </w:rPr>
        <w:t xml:space="preserve">Parent </w:t>
      </w:r>
      <w:r w:rsidR="008A7A34" w:rsidRPr="009370EF">
        <w:rPr>
          <w:rFonts w:ascii="Arial" w:hAnsi="Arial" w:cs="Arial"/>
          <w:b/>
          <w:sz w:val="24"/>
          <w:szCs w:val="24"/>
        </w:rPr>
        <w:t>Company:</w:t>
      </w:r>
      <w:r w:rsidR="008A7A34" w:rsidRPr="009370EF">
        <w:rPr>
          <w:rFonts w:ascii="Arial" w:hAnsi="Arial" w:cs="Arial"/>
          <w:sz w:val="24"/>
          <w:szCs w:val="24"/>
        </w:rPr>
        <w:t xml:space="preserve"> </w:t>
      </w:r>
      <w:r w:rsidRPr="009370EF">
        <w:rPr>
          <w:rFonts w:ascii="Arial" w:hAnsi="Arial" w:cs="Arial"/>
          <w:sz w:val="24"/>
          <w:szCs w:val="24"/>
        </w:rPr>
        <w:t>John Lewis Partnership</w:t>
      </w:r>
    </w:p>
    <w:p w:rsidR="008A7A34" w:rsidRDefault="00D501AA" w:rsidP="00980772">
      <w:pPr>
        <w:jc w:val="both"/>
        <w:rPr>
          <w:rFonts w:ascii="Arial" w:hAnsi="Arial" w:cs="Arial"/>
          <w:sz w:val="24"/>
          <w:szCs w:val="24"/>
        </w:rPr>
      </w:pPr>
      <w:r w:rsidRPr="009370EF">
        <w:rPr>
          <w:rFonts w:ascii="Arial" w:hAnsi="Arial" w:cs="Arial"/>
          <w:b/>
          <w:sz w:val="24"/>
          <w:szCs w:val="24"/>
        </w:rPr>
        <w:t>Category</w:t>
      </w:r>
      <w:r w:rsidR="008A7A34" w:rsidRPr="009370EF">
        <w:rPr>
          <w:rFonts w:ascii="Arial" w:hAnsi="Arial" w:cs="Arial"/>
          <w:b/>
          <w:sz w:val="24"/>
          <w:szCs w:val="24"/>
        </w:rPr>
        <w:t>:</w:t>
      </w:r>
      <w:r w:rsidR="008A7A34" w:rsidRPr="009370EF">
        <w:rPr>
          <w:rFonts w:ascii="Arial" w:hAnsi="Arial" w:cs="Arial"/>
          <w:sz w:val="24"/>
          <w:szCs w:val="24"/>
        </w:rPr>
        <w:t xml:space="preserve"> </w:t>
      </w:r>
      <w:r w:rsidR="00B00E99">
        <w:rPr>
          <w:rFonts w:ascii="Arial" w:hAnsi="Arial" w:cs="Arial"/>
          <w:sz w:val="24"/>
          <w:szCs w:val="24"/>
        </w:rPr>
        <w:t xml:space="preserve"> Department Store</w:t>
      </w:r>
    </w:p>
    <w:p w:rsidR="00B00E99" w:rsidRPr="00A15264" w:rsidRDefault="00B00E99" w:rsidP="00A15264">
      <w:pPr>
        <w:spacing w:line="360" w:lineRule="auto"/>
        <w:jc w:val="both"/>
        <w:rPr>
          <w:rFonts w:ascii="Arial" w:hAnsi="Arial" w:cs="Arial"/>
        </w:rPr>
      </w:pPr>
      <w:r w:rsidRPr="00A15264">
        <w:rPr>
          <w:rFonts w:ascii="Arial" w:hAnsi="Arial" w:cs="Arial"/>
        </w:rPr>
        <w:t xml:space="preserve">John Lewis &amp; Partners is a chain of high-end department stores operating throughout the United Kingdom. Concessions are also located in the Republic of Ireland and Australia. The chain is owned by the John Lewis Partnership, which was created by </w:t>
      </w:r>
      <w:proofErr w:type="spellStart"/>
      <w:r w:rsidRPr="00A15264">
        <w:rPr>
          <w:rFonts w:ascii="Arial" w:hAnsi="Arial" w:cs="Arial"/>
        </w:rPr>
        <w:t>Spedan</w:t>
      </w:r>
      <w:proofErr w:type="spellEnd"/>
      <w:r w:rsidRPr="00A15264">
        <w:rPr>
          <w:rFonts w:ascii="Arial" w:hAnsi="Arial" w:cs="Arial"/>
        </w:rPr>
        <w:t xml:space="preserve"> Lewis, son of the founder, John Lewis, in 1929. The chain has promised since 1925 that it is "never knowingly undersold" it will always at least match a lower price offered by a national high s</w:t>
      </w:r>
      <w:r w:rsidR="00871512" w:rsidRPr="00A15264">
        <w:rPr>
          <w:rFonts w:ascii="Arial" w:hAnsi="Arial" w:cs="Arial"/>
        </w:rPr>
        <w:t>treet competitor.</w:t>
      </w:r>
    </w:p>
    <w:p w:rsidR="00B00E99" w:rsidRPr="00A15264" w:rsidRDefault="00B00E99" w:rsidP="00A15264">
      <w:pPr>
        <w:spacing w:line="360" w:lineRule="auto"/>
        <w:jc w:val="both"/>
        <w:rPr>
          <w:rFonts w:ascii="Arial" w:hAnsi="Arial" w:cs="Arial"/>
        </w:rPr>
      </w:pPr>
      <w:r w:rsidRPr="00A15264">
        <w:rPr>
          <w:rFonts w:ascii="Arial" w:hAnsi="Arial" w:cs="Arial"/>
        </w:rPr>
        <w:t>The first John Lewis store was opened in 1864 in Oxford Street, London, and there are now 51 stores throughout England, Scotland and Wales. The first John Lewis concession in the Republic of Ireland opened in Dublin in October 2016. The first Australian John Lewis concession opened in New South Wales, Australia in November 2016. On 1 January 2008, the Oxford Street store was awarded a Royal Warrant from Queen Elizabeth II as "suppliers of haberdashery and household goods" John Lewis &amp; Partners Reading is also the holder of a Royal Warrant from the Queen in 2007 as suppliers of household and fancy goods.</w:t>
      </w:r>
    </w:p>
    <w:p w:rsidR="00F64878" w:rsidRPr="00A15264" w:rsidRDefault="00F64878" w:rsidP="00A15264">
      <w:pPr>
        <w:spacing w:line="360" w:lineRule="auto"/>
        <w:jc w:val="both"/>
        <w:rPr>
          <w:rFonts w:ascii="Arial" w:hAnsi="Arial" w:cs="Arial"/>
        </w:rPr>
      </w:pPr>
      <w:r w:rsidRPr="00A15264">
        <w:rPr>
          <w:rFonts w:ascii="Arial" w:hAnsi="Arial" w:cs="Arial"/>
        </w:rPr>
        <w:t xml:space="preserve">It was announced that John Lewis would be the anchor tenant of a new development scheme in Leeds. The </w:t>
      </w:r>
      <w:r w:rsidR="004B5D74" w:rsidRPr="00A15264">
        <w:rPr>
          <w:rFonts w:ascii="Arial" w:hAnsi="Arial" w:cs="Arial"/>
        </w:rPr>
        <w:t>East gate</w:t>
      </w:r>
      <w:r w:rsidRPr="00A15264">
        <w:rPr>
          <w:rFonts w:ascii="Arial" w:hAnsi="Arial" w:cs="Arial"/>
        </w:rPr>
        <w:t xml:space="preserve"> Quarters scheme was approved in July 2011, since renamed Victoria Gate the site guides shoppers from central Leeds to John Lewis via a luxury arcade continuing (over Vicar Lane) from the existing Victoria Quarter. John Lewis had been looking for a site in Leeds for a while, even considering the </w:t>
      </w:r>
      <w:proofErr w:type="gramStart"/>
      <w:r w:rsidR="00BA1D67" w:rsidRPr="00A15264">
        <w:rPr>
          <w:rFonts w:ascii="Arial" w:hAnsi="Arial" w:cs="Arial"/>
        </w:rPr>
        <w:t>Headingly</w:t>
      </w:r>
      <w:proofErr w:type="gramEnd"/>
      <w:r w:rsidRPr="00A15264">
        <w:rPr>
          <w:rFonts w:ascii="Arial" w:hAnsi="Arial" w:cs="Arial"/>
        </w:rPr>
        <w:t xml:space="preserve"> cricket </w:t>
      </w:r>
      <w:r w:rsidRPr="00A15264">
        <w:rPr>
          <w:rFonts w:ascii="Arial" w:hAnsi="Arial" w:cs="Arial"/>
        </w:rPr>
        <w:lastRenderedPageBreak/>
        <w:t>ground, and are happy they are at long last filling a major regional gap. The facade of the Leeds department store references the diagonal lines of the John Lewis motif.</w:t>
      </w:r>
    </w:p>
    <w:p w:rsidR="007068B0" w:rsidRPr="00A15264" w:rsidRDefault="007068B0" w:rsidP="00A15264">
      <w:pPr>
        <w:spacing w:line="360" w:lineRule="auto"/>
        <w:jc w:val="both"/>
        <w:rPr>
          <w:rFonts w:ascii="Arial" w:hAnsi="Arial" w:cs="Arial"/>
        </w:rPr>
      </w:pPr>
      <w:r w:rsidRPr="00A15264">
        <w:rPr>
          <w:rFonts w:ascii="Arial" w:hAnsi="Arial" w:cs="Arial"/>
        </w:rPr>
        <w:t>2014 John Lewis announced their intention to anchor a £1bn extension of the Westfield London shopping centre in Shepherd's Bush, west London. The store number 50 opened in March 2018.</w:t>
      </w:r>
    </w:p>
    <w:p w:rsidR="007068B0" w:rsidRPr="00A15264" w:rsidRDefault="007068B0" w:rsidP="00A15264">
      <w:pPr>
        <w:pStyle w:val="HTMLPreformatted"/>
        <w:shd w:val="clear" w:color="auto" w:fill="FFFFFF"/>
        <w:spacing w:line="360" w:lineRule="auto"/>
        <w:jc w:val="both"/>
        <w:rPr>
          <w:rFonts w:ascii="Arial" w:hAnsi="Arial" w:cs="Arial"/>
          <w:sz w:val="22"/>
          <w:szCs w:val="22"/>
        </w:rPr>
      </w:pPr>
      <w:r w:rsidRPr="00A15264">
        <w:rPr>
          <w:rFonts w:ascii="Arial" w:hAnsi="Arial" w:cs="Arial"/>
          <w:sz w:val="22"/>
          <w:szCs w:val="22"/>
        </w:rPr>
        <w:t xml:space="preserve">A new store in Cheltenham opened in 2018, in the former </w:t>
      </w:r>
      <w:proofErr w:type="spellStart"/>
      <w:r w:rsidRPr="00A15264">
        <w:rPr>
          <w:rFonts w:ascii="Arial" w:hAnsi="Arial" w:cs="Arial"/>
          <w:sz w:val="22"/>
          <w:szCs w:val="22"/>
        </w:rPr>
        <w:t>Beechwood</w:t>
      </w:r>
      <w:proofErr w:type="spellEnd"/>
      <w:r w:rsidRPr="00A15264">
        <w:rPr>
          <w:rFonts w:ascii="Arial" w:hAnsi="Arial" w:cs="Arial"/>
          <w:sz w:val="22"/>
          <w:szCs w:val="22"/>
        </w:rPr>
        <w:t xml:space="preserve"> Shopping Centre, John Lewis has been reported to be looking at location possibilities for a department store in Guildford, Surrey. It is also thought that the retailer is finally in talks to open a store in central Manchester as part of the Ramada development.</w:t>
      </w:r>
    </w:p>
    <w:p w:rsidR="007068B0" w:rsidRPr="00A15264" w:rsidRDefault="007068B0" w:rsidP="00A15264">
      <w:pPr>
        <w:pStyle w:val="HTMLPreformatted"/>
        <w:shd w:val="clear" w:color="auto" w:fill="FFFFFF"/>
        <w:spacing w:line="360" w:lineRule="auto"/>
        <w:jc w:val="both"/>
        <w:rPr>
          <w:rFonts w:ascii="Arial" w:hAnsi="Arial" w:cs="Arial"/>
          <w:sz w:val="22"/>
          <w:szCs w:val="22"/>
        </w:rPr>
      </w:pPr>
    </w:p>
    <w:p w:rsidR="00B00E99" w:rsidRDefault="00B00E99" w:rsidP="00A15264">
      <w:pPr>
        <w:spacing w:line="360" w:lineRule="auto"/>
        <w:jc w:val="both"/>
        <w:rPr>
          <w:rFonts w:ascii="Arial" w:hAnsi="Arial" w:cs="Arial"/>
        </w:rPr>
      </w:pPr>
      <w:r w:rsidRPr="00A15264">
        <w:rPr>
          <w:rFonts w:ascii="Arial" w:hAnsi="Arial" w:cs="Arial"/>
        </w:rPr>
        <w:t>The John Lewis &amp; Partners Christmas advert was first launched in 2007 and it has since become something of an annual tradition in British culture, and one of the signals that the countdown to Christmas has begun in the UK.</w:t>
      </w:r>
    </w:p>
    <w:p w:rsidR="00F27748" w:rsidRPr="00F27748" w:rsidRDefault="00F27748" w:rsidP="00F27748">
      <w:pPr>
        <w:spacing w:line="360" w:lineRule="auto"/>
        <w:jc w:val="both"/>
        <w:rPr>
          <w:rFonts w:ascii="Arial" w:hAnsi="Arial" w:cs="Arial"/>
        </w:rPr>
      </w:pPr>
      <w:r w:rsidRPr="00F27748">
        <w:rPr>
          <w:rFonts w:ascii="Arial" w:hAnsi="Arial" w:cs="Arial"/>
        </w:rPr>
        <w:t>Not many companies have a written Constitution that sets out their principles, governance system and rules. The John Lewis Par</w:t>
      </w:r>
      <w:r>
        <w:rPr>
          <w:rFonts w:ascii="Arial" w:hAnsi="Arial" w:cs="Arial"/>
        </w:rPr>
        <w:t>tnership does, for two reasons.</w:t>
      </w:r>
    </w:p>
    <w:p w:rsidR="00F27748" w:rsidRPr="00F27748" w:rsidRDefault="00F27748" w:rsidP="00F27748">
      <w:pPr>
        <w:spacing w:line="360" w:lineRule="auto"/>
        <w:jc w:val="both"/>
        <w:rPr>
          <w:rFonts w:ascii="Arial" w:hAnsi="Arial" w:cs="Arial"/>
        </w:rPr>
      </w:pPr>
      <w:r w:rsidRPr="00F27748">
        <w:rPr>
          <w:rFonts w:ascii="Arial" w:hAnsi="Arial" w:cs="Arial"/>
        </w:rPr>
        <w:t>The first is historical. Our Founder signed away his personal ownership rights in a growing retail company to allow future generations of Partners to take forward his 'experiment in industrial democracy'. Not unreasonably, he wanted to leave some clear guidelines for his successors, so that the values which had motivated him would not be e</w:t>
      </w:r>
      <w:r>
        <w:rPr>
          <w:rFonts w:ascii="Arial" w:hAnsi="Arial" w:cs="Arial"/>
        </w:rPr>
        <w:t>roded with the passage of time.</w:t>
      </w:r>
    </w:p>
    <w:p w:rsidR="00F27748" w:rsidRPr="00A15264" w:rsidRDefault="00F27748" w:rsidP="00F27748">
      <w:pPr>
        <w:spacing w:line="360" w:lineRule="auto"/>
        <w:jc w:val="both"/>
        <w:rPr>
          <w:rFonts w:ascii="Arial" w:hAnsi="Arial" w:cs="Arial"/>
        </w:rPr>
      </w:pPr>
      <w:r w:rsidRPr="00F27748">
        <w:rPr>
          <w:rFonts w:ascii="Arial" w:hAnsi="Arial" w:cs="Arial"/>
        </w:rPr>
        <w:t xml:space="preserve">The second reason looks forward. </w:t>
      </w:r>
      <w:proofErr w:type="spellStart"/>
      <w:r w:rsidRPr="00F27748">
        <w:rPr>
          <w:rFonts w:ascii="Arial" w:hAnsi="Arial" w:cs="Arial"/>
        </w:rPr>
        <w:t>Spedan</w:t>
      </w:r>
      <w:proofErr w:type="spellEnd"/>
      <w:r w:rsidRPr="00F27748">
        <w:rPr>
          <w:rFonts w:ascii="Arial" w:hAnsi="Arial" w:cs="Arial"/>
        </w:rPr>
        <w:t xml:space="preserve"> Lewis was committed to establishing a 'better form of business', and the challenge for Partners of today is to prove that a business which is not driven by the demands of outside shareholders and which sets high standards of behaviour can continue to thrive in the future.</w:t>
      </w:r>
    </w:p>
    <w:p w:rsidR="00D501AA" w:rsidRPr="00A15264" w:rsidRDefault="00D501AA" w:rsidP="00A1526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color w:val="212121"/>
          <w:u w:val="single"/>
          <w:lang w:eastAsia="en-GB"/>
        </w:rPr>
      </w:pPr>
      <w:r w:rsidRPr="00A15264">
        <w:rPr>
          <w:rFonts w:ascii="Arial" w:eastAsia="Times New Roman" w:hAnsi="Arial" w:cs="Arial"/>
          <w:b/>
          <w:color w:val="212121"/>
          <w:u w:val="single"/>
          <w:lang w:val="en" w:eastAsia="en-GB"/>
        </w:rPr>
        <w:t>Main competitors</w:t>
      </w:r>
    </w:p>
    <w:p w:rsidR="00D501AA" w:rsidRPr="00A15264" w:rsidRDefault="00D501AA" w:rsidP="00A15264">
      <w:pPr>
        <w:spacing w:line="360" w:lineRule="auto"/>
        <w:jc w:val="both"/>
        <w:rPr>
          <w:rFonts w:ascii="Arial" w:hAnsi="Arial" w:cs="Arial"/>
        </w:rPr>
      </w:pPr>
    </w:p>
    <w:p w:rsidR="00B00E99" w:rsidRPr="00A15264" w:rsidRDefault="00B00E99" w:rsidP="00A15264">
      <w:pPr>
        <w:pStyle w:val="ListParagraph"/>
        <w:numPr>
          <w:ilvl w:val="0"/>
          <w:numId w:val="3"/>
        </w:numPr>
        <w:spacing w:line="360" w:lineRule="auto"/>
        <w:jc w:val="both"/>
        <w:rPr>
          <w:rFonts w:ascii="Arial" w:hAnsi="Arial" w:cs="Arial"/>
        </w:rPr>
      </w:pPr>
      <w:r w:rsidRPr="00A15264">
        <w:rPr>
          <w:rFonts w:ascii="Arial" w:hAnsi="Arial" w:cs="Arial"/>
        </w:rPr>
        <w:t>Marks and spencer group plc.</w:t>
      </w:r>
    </w:p>
    <w:p w:rsidR="00B00E99" w:rsidRPr="00A15264" w:rsidRDefault="00B00E99" w:rsidP="00A15264">
      <w:pPr>
        <w:pStyle w:val="ListParagraph"/>
        <w:numPr>
          <w:ilvl w:val="0"/>
          <w:numId w:val="3"/>
        </w:numPr>
        <w:spacing w:line="360" w:lineRule="auto"/>
        <w:jc w:val="both"/>
        <w:rPr>
          <w:rFonts w:ascii="Arial" w:hAnsi="Arial" w:cs="Arial"/>
        </w:rPr>
      </w:pPr>
      <w:r w:rsidRPr="00A15264">
        <w:rPr>
          <w:rFonts w:ascii="Arial" w:hAnsi="Arial" w:cs="Arial"/>
        </w:rPr>
        <w:t>Asda group limited.</w:t>
      </w:r>
    </w:p>
    <w:p w:rsidR="00937B43" w:rsidRDefault="00B00E99" w:rsidP="00937B43">
      <w:pPr>
        <w:pStyle w:val="ListParagraph"/>
        <w:numPr>
          <w:ilvl w:val="0"/>
          <w:numId w:val="3"/>
        </w:numPr>
        <w:spacing w:line="360" w:lineRule="auto"/>
        <w:jc w:val="both"/>
        <w:rPr>
          <w:rFonts w:ascii="Arial" w:hAnsi="Arial" w:cs="Arial"/>
        </w:rPr>
      </w:pPr>
      <w:r w:rsidRPr="00A15264">
        <w:rPr>
          <w:rFonts w:ascii="Arial" w:hAnsi="Arial" w:cs="Arial"/>
        </w:rPr>
        <w:t>Tesco plc.</w:t>
      </w:r>
    </w:p>
    <w:p w:rsidR="00937B43" w:rsidRDefault="00937B43" w:rsidP="00937B43">
      <w:pPr>
        <w:spacing w:line="360" w:lineRule="auto"/>
        <w:jc w:val="both"/>
        <w:rPr>
          <w:rFonts w:ascii="Arial" w:hAnsi="Arial" w:cs="Arial"/>
          <w:b/>
          <w:u w:val="single"/>
        </w:rPr>
      </w:pPr>
      <w:r w:rsidRPr="00937B43">
        <w:rPr>
          <w:rFonts w:ascii="Arial" w:hAnsi="Arial" w:cs="Arial"/>
          <w:b/>
          <w:u w:val="single"/>
        </w:rPr>
        <w:t>Future Development</w:t>
      </w:r>
    </w:p>
    <w:p w:rsidR="00937B43" w:rsidRPr="00937B43" w:rsidRDefault="00937B43" w:rsidP="00937B43">
      <w:pPr>
        <w:pStyle w:val="NormalWeb"/>
        <w:shd w:val="clear" w:color="auto" w:fill="FFFFFF"/>
        <w:spacing w:before="120" w:beforeAutospacing="0" w:after="120" w:afterAutospacing="0" w:line="360" w:lineRule="auto"/>
        <w:jc w:val="both"/>
        <w:rPr>
          <w:rFonts w:ascii="Arial" w:hAnsi="Arial" w:cs="Arial"/>
          <w:sz w:val="22"/>
          <w:szCs w:val="22"/>
        </w:rPr>
      </w:pPr>
      <w:r w:rsidRPr="00937B43">
        <w:rPr>
          <w:rFonts w:ascii="Arial" w:hAnsi="Arial" w:cs="Arial"/>
          <w:sz w:val="22"/>
          <w:szCs w:val="22"/>
        </w:rPr>
        <w:t xml:space="preserve">In July 2011, John Lewis announced that it would be opening 10 new stores under a new smaller format in city centre locations over the next five years. The new smaller format </w:t>
      </w:r>
      <w:r w:rsidRPr="00937B43">
        <w:rPr>
          <w:rFonts w:ascii="Arial" w:hAnsi="Arial" w:cs="Arial"/>
          <w:sz w:val="22"/>
          <w:szCs w:val="22"/>
        </w:rPr>
        <w:lastRenderedPageBreak/>
        <w:t>department stores will hold John Lewis's core lines of Home, Electrical and Fashions, all tailored to the local area. However, the full line will still be available through online terminals within the store, as well as the "click and collect" service already available within other branches. With the first branch opening in Exeter on 12 October 2012, Andrea O'Donnell, commercial director, said the move would help John Lewis double its turnover from £3bn ($4.89bn) to £6bn over the next 10 years</w:t>
      </w:r>
    </w:p>
    <w:p w:rsidR="00937B43" w:rsidRDefault="00937B43" w:rsidP="00937B43">
      <w:pPr>
        <w:pStyle w:val="NormalWeb"/>
        <w:shd w:val="clear" w:color="auto" w:fill="FFFFFF"/>
        <w:spacing w:before="120" w:beforeAutospacing="0" w:after="120" w:afterAutospacing="0" w:line="360" w:lineRule="auto"/>
        <w:jc w:val="both"/>
        <w:rPr>
          <w:rFonts w:ascii="Arial" w:hAnsi="Arial" w:cs="Arial"/>
          <w:sz w:val="22"/>
          <w:szCs w:val="22"/>
        </w:rPr>
      </w:pPr>
      <w:r w:rsidRPr="00937B43">
        <w:rPr>
          <w:rFonts w:ascii="Arial" w:hAnsi="Arial" w:cs="Arial"/>
          <w:sz w:val="22"/>
          <w:szCs w:val="22"/>
        </w:rPr>
        <w:t>John Lewis retain long-held plans to open a department store in </w:t>
      </w:r>
      <w:hyperlink r:id="rId9" w:tooltip="Manchester city centre" w:history="1">
        <w:r w:rsidRPr="00937B43">
          <w:rPr>
            <w:rStyle w:val="Hyperlink"/>
            <w:rFonts w:ascii="Arial" w:hAnsi="Arial" w:cs="Arial"/>
            <w:color w:val="auto"/>
            <w:sz w:val="22"/>
            <w:szCs w:val="22"/>
            <w:u w:val="none"/>
          </w:rPr>
          <w:t>Manchester city centre</w:t>
        </w:r>
      </w:hyperlink>
      <w:r w:rsidRPr="00937B43">
        <w:rPr>
          <w:rFonts w:ascii="Arial" w:hAnsi="Arial" w:cs="Arial"/>
          <w:sz w:val="22"/>
          <w:szCs w:val="22"/>
        </w:rPr>
        <w:t> ever since the regeneration of the city centre following the </w:t>
      </w:r>
      <w:hyperlink r:id="rId10" w:tooltip="1996 Manchester bombing" w:history="1">
        <w:r w:rsidRPr="00937B43">
          <w:rPr>
            <w:rStyle w:val="Hyperlink"/>
            <w:rFonts w:ascii="Arial" w:hAnsi="Arial" w:cs="Arial"/>
            <w:color w:val="auto"/>
            <w:sz w:val="22"/>
            <w:szCs w:val="22"/>
            <w:u w:val="none"/>
          </w:rPr>
          <w:t>1996 Manchester bombing</w:t>
        </w:r>
      </w:hyperlink>
      <w:r w:rsidRPr="00937B43">
        <w:rPr>
          <w:rFonts w:ascii="Arial" w:hAnsi="Arial" w:cs="Arial"/>
          <w:sz w:val="22"/>
          <w:szCs w:val="22"/>
        </w:rPr>
        <w:t>, but had not found a suitable site as of 2012.</w:t>
      </w:r>
      <w:r>
        <w:rPr>
          <w:rFonts w:ascii="Arial" w:hAnsi="Arial" w:cs="Arial"/>
          <w:sz w:val="22"/>
          <w:szCs w:val="22"/>
        </w:rPr>
        <w:t xml:space="preserve"> </w:t>
      </w:r>
      <w:hyperlink r:id="rId11" w:anchor="cite_note-45" w:history="1"/>
      <w:r w:rsidRPr="00937B43">
        <w:rPr>
          <w:rFonts w:ascii="Arial" w:hAnsi="Arial" w:cs="Arial"/>
          <w:sz w:val="22"/>
          <w:szCs w:val="22"/>
        </w:rPr>
        <w:t>They have countered the lack of city centre store by opening two large stores in Greater Manchester: </w:t>
      </w:r>
      <w:hyperlink r:id="rId12" w:tooltip="Cheadle, Greater Manchester" w:history="1">
        <w:r w:rsidRPr="00937B43">
          <w:rPr>
            <w:rStyle w:val="Hyperlink"/>
            <w:rFonts w:ascii="Arial" w:hAnsi="Arial" w:cs="Arial"/>
            <w:color w:val="auto"/>
            <w:sz w:val="22"/>
            <w:szCs w:val="22"/>
            <w:u w:val="none"/>
          </w:rPr>
          <w:t>Cheadle</w:t>
        </w:r>
      </w:hyperlink>
      <w:r w:rsidRPr="00937B43">
        <w:rPr>
          <w:rFonts w:ascii="Arial" w:hAnsi="Arial" w:cs="Arial"/>
          <w:sz w:val="22"/>
          <w:szCs w:val="22"/>
        </w:rPr>
        <w:t> in 2000 and the </w:t>
      </w:r>
      <w:hyperlink r:id="rId13" w:tooltip="Trafford Centre" w:history="1">
        <w:r w:rsidRPr="00937B43">
          <w:rPr>
            <w:rStyle w:val="Hyperlink"/>
            <w:rFonts w:ascii="Arial" w:hAnsi="Arial" w:cs="Arial"/>
            <w:color w:val="auto"/>
            <w:sz w:val="22"/>
            <w:szCs w:val="22"/>
            <w:u w:val="none"/>
          </w:rPr>
          <w:t>Trafford Centre</w:t>
        </w:r>
      </w:hyperlink>
      <w:r w:rsidRPr="00937B43">
        <w:rPr>
          <w:rFonts w:ascii="Arial" w:hAnsi="Arial" w:cs="Arial"/>
          <w:sz w:val="22"/>
          <w:szCs w:val="22"/>
        </w:rPr>
        <w:t> in 2005. In September 2015 John Lewis purchased the building 129-133 North Street, </w:t>
      </w:r>
      <w:hyperlink r:id="rId14" w:tooltip="Brighton" w:history="1">
        <w:r w:rsidRPr="00937B43">
          <w:rPr>
            <w:rStyle w:val="Hyperlink"/>
            <w:rFonts w:ascii="Arial" w:hAnsi="Arial" w:cs="Arial"/>
            <w:color w:val="auto"/>
            <w:sz w:val="22"/>
            <w:szCs w:val="22"/>
            <w:u w:val="none"/>
          </w:rPr>
          <w:t>Brighton</w:t>
        </w:r>
      </w:hyperlink>
      <w:r w:rsidRPr="00937B43">
        <w:rPr>
          <w:rFonts w:ascii="Arial" w:hAnsi="Arial" w:cs="Arial"/>
          <w:sz w:val="22"/>
          <w:szCs w:val="22"/>
        </w:rPr>
        <w:t> occupied by </w:t>
      </w:r>
      <w:hyperlink r:id="rId15" w:tooltip="Boots UK" w:history="1">
        <w:r w:rsidRPr="00937B43">
          <w:rPr>
            <w:rStyle w:val="Hyperlink"/>
            <w:rFonts w:ascii="Arial" w:hAnsi="Arial" w:cs="Arial"/>
            <w:color w:val="auto"/>
            <w:sz w:val="22"/>
            <w:szCs w:val="22"/>
            <w:u w:val="none"/>
          </w:rPr>
          <w:t>Boots</w:t>
        </w:r>
      </w:hyperlink>
      <w:r w:rsidRPr="00937B43">
        <w:rPr>
          <w:rFonts w:ascii="Arial" w:hAnsi="Arial" w:cs="Arial"/>
          <w:sz w:val="22"/>
          <w:szCs w:val="22"/>
        </w:rPr>
        <w:t> and other shops.</w:t>
      </w:r>
    </w:p>
    <w:p w:rsidR="00B04914" w:rsidRDefault="00B04914" w:rsidP="00937B43">
      <w:pPr>
        <w:pStyle w:val="NormalWeb"/>
        <w:shd w:val="clear" w:color="auto" w:fill="FFFFFF"/>
        <w:spacing w:before="120" w:beforeAutospacing="0" w:after="120" w:afterAutospacing="0" w:line="360" w:lineRule="auto"/>
        <w:jc w:val="both"/>
        <w:rPr>
          <w:rFonts w:ascii="Arial" w:hAnsi="Arial" w:cs="Arial"/>
          <w:sz w:val="22"/>
          <w:szCs w:val="22"/>
        </w:rPr>
      </w:pPr>
    </w:p>
    <w:p w:rsidR="00B04914" w:rsidRPr="00B04914" w:rsidRDefault="00B04914" w:rsidP="00B04914">
      <w:pPr>
        <w:pStyle w:val="HTMLPreformatted"/>
        <w:shd w:val="clear" w:color="auto" w:fill="FFFFFF"/>
        <w:jc w:val="center"/>
        <w:rPr>
          <w:rFonts w:ascii="Arial" w:hAnsi="Arial" w:cs="Arial"/>
          <w:b/>
          <w:color w:val="212121"/>
          <w:sz w:val="24"/>
          <w:szCs w:val="24"/>
          <w:lang w:val="en"/>
        </w:rPr>
      </w:pPr>
      <w:r w:rsidRPr="00B04914">
        <w:rPr>
          <w:rFonts w:ascii="Arial" w:hAnsi="Arial" w:cs="Arial"/>
          <w:b/>
          <w:sz w:val="24"/>
          <w:szCs w:val="24"/>
        </w:rPr>
        <w:t>John Lewis Partnership</w:t>
      </w:r>
      <w:r w:rsidRPr="00B04914">
        <w:rPr>
          <w:rFonts w:ascii="Arial" w:hAnsi="Arial" w:cs="Arial"/>
          <w:b/>
          <w:color w:val="212121"/>
          <w:sz w:val="24"/>
          <w:szCs w:val="24"/>
          <w:lang w:val="en"/>
        </w:rPr>
        <w:t xml:space="preserve"> Improvement</w:t>
      </w:r>
    </w:p>
    <w:p w:rsidR="00B04914" w:rsidRDefault="00B04914" w:rsidP="00B04914">
      <w:pPr>
        <w:pStyle w:val="HTMLPreformatted"/>
        <w:shd w:val="clear" w:color="auto" w:fill="FFFFFF"/>
        <w:rPr>
          <w:rFonts w:ascii="Arial" w:hAnsi="Arial" w:cs="Arial"/>
          <w:b/>
          <w:color w:val="212121"/>
          <w:sz w:val="24"/>
          <w:szCs w:val="24"/>
          <w:lang w:val="en"/>
        </w:rPr>
      </w:pPr>
    </w:p>
    <w:p w:rsidR="00B04914" w:rsidRDefault="00B04914" w:rsidP="00B04914">
      <w:pPr>
        <w:pStyle w:val="HTMLPreformatted"/>
        <w:shd w:val="clear" w:color="auto" w:fill="FFFFFF"/>
        <w:rPr>
          <w:rFonts w:ascii="Arial" w:hAnsi="Arial" w:cs="Arial"/>
          <w:b/>
          <w:color w:val="212121"/>
          <w:sz w:val="24"/>
          <w:szCs w:val="24"/>
          <w:lang w:val="en"/>
        </w:rPr>
      </w:pPr>
    </w:p>
    <w:p w:rsidR="00B04914" w:rsidRDefault="00B04914" w:rsidP="00B04914">
      <w:pPr>
        <w:pStyle w:val="HTMLPreformatted"/>
        <w:shd w:val="clear" w:color="auto" w:fill="FFFFFF"/>
        <w:rPr>
          <w:rFonts w:ascii="Arial" w:hAnsi="Arial" w:cs="Arial"/>
          <w:b/>
          <w:color w:val="212121"/>
          <w:sz w:val="24"/>
          <w:szCs w:val="24"/>
          <w:lang w:val="en"/>
        </w:rPr>
      </w:pPr>
      <w:r w:rsidRPr="00DD2B02">
        <w:rPr>
          <w:rFonts w:ascii="Arial" w:hAnsi="Arial" w:cs="Arial"/>
          <w:b/>
          <w:color w:val="212121"/>
          <w:sz w:val="24"/>
          <w:szCs w:val="24"/>
          <w:lang w:val="en"/>
        </w:rPr>
        <w:t>Strategic targeting policy</w:t>
      </w:r>
    </w:p>
    <w:p w:rsidR="00B04914" w:rsidRPr="00DD2B02" w:rsidRDefault="00B04914" w:rsidP="00B04914">
      <w:pPr>
        <w:pStyle w:val="HTMLPreformatted"/>
        <w:shd w:val="clear" w:color="auto" w:fill="FFFFFF"/>
        <w:rPr>
          <w:rFonts w:ascii="Arial" w:hAnsi="Arial" w:cs="Arial"/>
          <w:b/>
          <w:color w:val="212121"/>
          <w:sz w:val="24"/>
          <w:szCs w:val="24"/>
        </w:rPr>
      </w:pPr>
    </w:p>
    <w:p w:rsidR="00B04914" w:rsidRPr="00A15264" w:rsidRDefault="00B04914" w:rsidP="00B04914">
      <w:pPr>
        <w:pStyle w:val="HTMLPreformatted"/>
        <w:shd w:val="clear" w:color="auto" w:fill="FFFFFF"/>
        <w:spacing w:line="360" w:lineRule="auto"/>
        <w:jc w:val="both"/>
        <w:rPr>
          <w:rFonts w:ascii="Arial" w:hAnsi="Arial" w:cs="Arial"/>
          <w:color w:val="212121"/>
          <w:sz w:val="22"/>
          <w:szCs w:val="22"/>
          <w:lang w:val="en"/>
        </w:rPr>
      </w:pPr>
      <w:r w:rsidRPr="00A15264">
        <w:rPr>
          <w:rFonts w:ascii="Arial" w:hAnsi="Arial" w:cs="Arial"/>
          <w:color w:val="212121"/>
          <w:sz w:val="22"/>
          <w:szCs w:val="22"/>
          <w:lang w:val="en"/>
        </w:rPr>
        <w:t>The company must have defined the mission, values ​​and long-term vision; it must be known and shared by all its Collaborators in a way that allows it to establish the strategic objectives to align all the activities of the Company in such a way that all the processes have correlation.</w:t>
      </w:r>
    </w:p>
    <w:p w:rsidR="00B04914" w:rsidRPr="00DD2B02" w:rsidRDefault="00B04914" w:rsidP="00B04914">
      <w:pPr>
        <w:pStyle w:val="HTMLPreformatted"/>
        <w:shd w:val="clear" w:color="auto" w:fill="FFFFFF"/>
        <w:rPr>
          <w:rFonts w:ascii="Arial" w:hAnsi="Arial" w:cs="Arial"/>
          <w:color w:val="212121"/>
          <w:sz w:val="24"/>
          <w:szCs w:val="24"/>
          <w:lang w:val="en"/>
        </w:rPr>
      </w:pPr>
    </w:p>
    <w:p w:rsidR="00B04914" w:rsidRDefault="00B04914" w:rsidP="00B04914">
      <w:pPr>
        <w:pStyle w:val="HTMLPreformatted"/>
        <w:shd w:val="clear" w:color="auto" w:fill="FFFFFF"/>
        <w:rPr>
          <w:rFonts w:ascii="Arial" w:hAnsi="Arial" w:cs="Arial"/>
          <w:b/>
          <w:color w:val="212121"/>
          <w:sz w:val="24"/>
          <w:szCs w:val="24"/>
          <w:lang w:val="en"/>
        </w:rPr>
      </w:pPr>
    </w:p>
    <w:p w:rsidR="00B04914" w:rsidRPr="00DD2B02" w:rsidRDefault="00B04914" w:rsidP="00B04914">
      <w:pPr>
        <w:pStyle w:val="HTMLPreformatted"/>
        <w:shd w:val="clear" w:color="auto" w:fill="FFFFFF"/>
        <w:rPr>
          <w:rFonts w:ascii="Arial" w:hAnsi="Arial" w:cs="Arial"/>
          <w:b/>
          <w:color w:val="212121"/>
          <w:sz w:val="24"/>
          <w:szCs w:val="24"/>
          <w:lang w:val="en"/>
        </w:rPr>
      </w:pPr>
      <w:r w:rsidRPr="00DD2B02">
        <w:rPr>
          <w:rFonts w:ascii="Arial" w:hAnsi="Arial" w:cs="Arial"/>
          <w:b/>
          <w:color w:val="212121"/>
          <w:sz w:val="24"/>
          <w:szCs w:val="24"/>
          <w:lang w:val="en"/>
        </w:rPr>
        <w:t>Economic and financial policy</w:t>
      </w:r>
    </w:p>
    <w:p w:rsidR="00B04914" w:rsidRPr="00DD2B02" w:rsidRDefault="00B04914" w:rsidP="00B04914">
      <w:pPr>
        <w:pStyle w:val="HTMLPreformatted"/>
        <w:shd w:val="clear" w:color="auto" w:fill="FFFFFF"/>
        <w:ind w:left="720"/>
        <w:rPr>
          <w:rFonts w:ascii="Arial" w:hAnsi="Arial" w:cs="Arial"/>
          <w:color w:val="212121"/>
          <w:sz w:val="24"/>
          <w:szCs w:val="24"/>
          <w:lang w:val="en"/>
        </w:rPr>
      </w:pPr>
    </w:p>
    <w:p w:rsidR="00B04914" w:rsidRPr="00A15264" w:rsidRDefault="00B04914" w:rsidP="00B04914">
      <w:pPr>
        <w:pStyle w:val="HTMLPreformatted"/>
        <w:shd w:val="clear" w:color="auto" w:fill="FFFFFF"/>
        <w:spacing w:line="360" w:lineRule="auto"/>
        <w:jc w:val="both"/>
        <w:rPr>
          <w:rFonts w:ascii="Arial" w:hAnsi="Arial" w:cs="Arial"/>
          <w:color w:val="212121"/>
          <w:sz w:val="22"/>
          <w:szCs w:val="22"/>
          <w:lang w:val="en"/>
        </w:rPr>
      </w:pPr>
      <w:r w:rsidRPr="00A15264">
        <w:rPr>
          <w:rFonts w:ascii="Arial" w:hAnsi="Arial" w:cs="Arial"/>
          <w:color w:val="212121"/>
          <w:sz w:val="22"/>
          <w:szCs w:val="22"/>
          <w:lang w:val="en"/>
        </w:rPr>
        <w:t>The company must be profitable by efficiently managing all its resources, ensuring a stable dividend flow for its shareholders and fulfilling all its obligations in a timely manner.</w:t>
      </w:r>
    </w:p>
    <w:p w:rsidR="00B04914" w:rsidRDefault="00B04914" w:rsidP="00B04914">
      <w:pPr>
        <w:pStyle w:val="HTMLPreformatted"/>
        <w:shd w:val="clear" w:color="auto" w:fill="FFFFFF"/>
        <w:ind w:left="720"/>
        <w:rPr>
          <w:rFonts w:ascii="Arial" w:hAnsi="Arial" w:cs="Arial"/>
          <w:color w:val="212121"/>
          <w:sz w:val="24"/>
          <w:szCs w:val="24"/>
          <w:lang w:val="en"/>
        </w:rPr>
      </w:pPr>
    </w:p>
    <w:p w:rsidR="00B04914" w:rsidRDefault="00B04914" w:rsidP="00B04914">
      <w:pPr>
        <w:pStyle w:val="HTMLPreformatted"/>
        <w:shd w:val="clear" w:color="auto" w:fill="FFFFFF"/>
        <w:rPr>
          <w:rFonts w:ascii="Arial" w:hAnsi="Arial" w:cs="Arial"/>
          <w:b/>
          <w:color w:val="212121"/>
          <w:sz w:val="24"/>
          <w:szCs w:val="24"/>
          <w:lang w:val="en"/>
        </w:rPr>
      </w:pPr>
      <w:r w:rsidRPr="00DD2B02">
        <w:rPr>
          <w:rFonts w:ascii="Arial" w:hAnsi="Arial" w:cs="Arial"/>
          <w:b/>
          <w:color w:val="212121"/>
          <w:sz w:val="24"/>
          <w:szCs w:val="24"/>
          <w:lang w:val="en"/>
        </w:rPr>
        <w:t>Environmental policy</w:t>
      </w:r>
    </w:p>
    <w:p w:rsidR="00B04914" w:rsidRDefault="00B04914" w:rsidP="00B04914">
      <w:pPr>
        <w:pStyle w:val="HTMLPreformatted"/>
        <w:shd w:val="clear" w:color="auto" w:fill="FFFFFF"/>
        <w:rPr>
          <w:rFonts w:ascii="Arial" w:hAnsi="Arial" w:cs="Arial"/>
          <w:color w:val="212121"/>
          <w:sz w:val="24"/>
          <w:szCs w:val="24"/>
          <w:lang w:val="en"/>
        </w:rPr>
      </w:pPr>
      <w:r>
        <w:rPr>
          <w:rFonts w:ascii="Arial" w:hAnsi="Arial" w:cs="Arial"/>
          <w:b/>
          <w:color w:val="212121"/>
          <w:sz w:val="24"/>
          <w:szCs w:val="24"/>
          <w:lang w:val="en"/>
        </w:rPr>
        <w:t xml:space="preserve">          </w:t>
      </w:r>
      <w:r w:rsidRPr="005355FB">
        <w:rPr>
          <w:rFonts w:ascii="Arial" w:hAnsi="Arial" w:cs="Arial"/>
          <w:color w:val="212121"/>
          <w:sz w:val="24"/>
          <w:szCs w:val="24"/>
          <w:lang w:val="en"/>
        </w:rPr>
        <w:t xml:space="preserve"> </w:t>
      </w:r>
    </w:p>
    <w:p w:rsidR="00B04914" w:rsidRPr="00A15264" w:rsidRDefault="00B04914" w:rsidP="00B04914">
      <w:pPr>
        <w:pStyle w:val="HTMLPreformatted"/>
        <w:shd w:val="clear" w:color="auto" w:fill="FFFFFF"/>
        <w:spacing w:line="360" w:lineRule="auto"/>
        <w:jc w:val="both"/>
        <w:rPr>
          <w:rFonts w:ascii="Arial" w:hAnsi="Arial" w:cs="Arial"/>
          <w:color w:val="212121"/>
          <w:sz w:val="22"/>
          <w:szCs w:val="22"/>
          <w:lang w:val="en"/>
        </w:rPr>
      </w:pPr>
      <w:r w:rsidRPr="00A15264">
        <w:rPr>
          <w:rFonts w:ascii="Arial" w:hAnsi="Arial" w:cs="Arial"/>
          <w:color w:val="212121"/>
          <w:sz w:val="22"/>
          <w:szCs w:val="22"/>
          <w:lang w:val="en"/>
        </w:rPr>
        <w:t>John Lewis must commit to respect the environment through the continuous improvement of processes, the implementation of practices aimed at the rational use of resources, the prevention of pollution and compliance with current environmental legislation.</w:t>
      </w:r>
    </w:p>
    <w:p w:rsidR="00B04914" w:rsidRDefault="00B04914" w:rsidP="00B04914">
      <w:pPr>
        <w:pStyle w:val="HTMLPreformatted"/>
        <w:shd w:val="clear" w:color="auto" w:fill="FFFFFF"/>
        <w:rPr>
          <w:rFonts w:ascii="Arial" w:hAnsi="Arial" w:cs="Arial"/>
          <w:color w:val="212121"/>
          <w:sz w:val="24"/>
          <w:szCs w:val="24"/>
          <w:lang w:val="en"/>
        </w:rPr>
      </w:pPr>
    </w:p>
    <w:p w:rsidR="00B04914" w:rsidRDefault="00B04914" w:rsidP="00B04914">
      <w:pPr>
        <w:pStyle w:val="HTMLPreformatted"/>
        <w:shd w:val="clear" w:color="auto" w:fill="FFFFFF"/>
        <w:rPr>
          <w:rFonts w:ascii="Arial" w:hAnsi="Arial" w:cs="Arial"/>
          <w:b/>
          <w:color w:val="212121"/>
          <w:sz w:val="24"/>
          <w:szCs w:val="24"/>
          <w:lang w:val="en"/>
        </w:rPr>
      </w:pPr>
    </w:p>
    <w:p w:rsidR="00B04914" w:rsidRPr="005355FB" w:rsidRDefault="00B04914" w:rsidP="00B04914">
      <w:pPr>
        <w:pStyle w:val="HTMLPreformatted"/>
        <w:shd w:val="clear" w:color="auto" w:fill="FFFFFF"/>
        <w:rPr>
          <w:rFonts w:ascii="Arial" w:hAnsi="Arial" w:cs="Arial"/>
          <w:b/>
          <w:color w:val="212121"/>
          <w:sz w:val="24"/>
          <w:szCs w:val="24"/>
        </w:rPr>
      </w:pPr>
      <w:r w:rsidRPr="005355FB">
        <w:rPr>
          <w:rFonts w:ascii="Arial" w:hAnsi="Arial" w:cs="Arial"/>
          <w:b/>
          <w:color w:val="212121"/>
          <w:sz w:val="24"/>
          <w:szCs w:val="24"/>
          <w:lang w:val="en"/>
        </w:rPr>
        <w:t>Human talent policies</w:t>
      </w:r>
    </w:p>
    <w:p w:rsidR="00B04914" w:rsidRDefault="00B04914" w:rsidP="00B04914">
      <w:pPr>
        <w:pStyle w:val="HTMLPreformatted"/>
        <w:shd w:val="clear" w:color="auto" w:fill="FFFFFF"/>
        <w:rPr>
          <w:rFonts w:ascii="Arial" w:hAnsi="Arial" w:cs="Arial"/>
          <w:b/>
          <w:color w:val="212121"/>
          <w:sz w:val="24"/>
          <w:szCs w:val="24"/>
          <w:lang w:val="en"/>
        </w:rPr>
      </w:pPr>
    </w:p>
    <w:p w:rsidR="00F27748" w:rsidRPr="00B04914" w:rsidRDefault="00B04914" w:rsidP="00B04914">
      <w:pPr>
        <w:pStyle w:val="HTMLPreformatted"/>
        <w:shd w:val="clear" w:color="auto" w:fill="FFFFFF"/>
        <w:spacing w:line="360" w:lineRule="auto"/>
        <w:jc w:val="both"/>
        <w:rPr>
          <w:rFonts w:ascii="Arial" w:hAnsi="Arial" w:cs="Arial"/>
          <w:color w:val="212121"/>
          <w:sz w:val="22"/>
          <w:szCs w:val="22"/>
          <w:lang w:val="en"/>
        </w:rPr>
      </w:pPr>
      <w:r w:rsidRPr="00A15264">
        <w:rPr>
          <w:rFonts w:ascii="Arial" w:hAnsi="Arial" w:cs="Arial"/>
          <w:color w:val="212121"/>
          <w:sz w:val="22"/>
          <w:szCs w:val="22"/>
          <w:lang w:val="en"/>
        </w:rPr>
        <w:t xml:space="preserve">John Lewis must manage human resources under processes and decisions aimed at attracting the best qualified talent, promoting good treatment for employees, maintaining </w:t>
      </w:r>
      <w:r w:rsidRPr="00A15264">
        <w:rPr>
          <w:rFonts w:ascii="Arial" w:hAnsi="Arial" w:cs="Arial"/>
          <w:color w:val="212121"/>
          <w:sz w:val="22"/>
          <w:szCs w:val="22"/>
          <w:lang w:val="en"/>
        </w:rPr>
        <w:lastRenderedPageBreak/>
        <w:t>equitable and competitive remuneration, providing spaces for growth in conjunction with managers, promoting each person is responsible for their development and above all, recognizing human capital as the most valuable intangible asset in the company</w:t>
      </w:r>
    </w:p>
    <w:p w:rsidR="00B04914" w:rsidRDefault="00B04914" w:rsidP="00CC46F9">
      <w:pPr>
        <w:rPr>
          <w:rFonts w:ascii="Arial" w:hAnsi="Arial" w:cs="Arial"/>
          <w:b/>
          <w:u w:val="single"/>
        </w:rPr>
      </w:pPr>
    </w:p>
    <w:p w:rsidR="00C95394" w:rsidRDefault="00C8226B" w:rsidP="00CC46F9">
      <w:pPr>
        <w:rPr>
          <w:rFonts w:ascii="Arial" w:hAnsi="Arial" w:cs="Arial"/>
          <w:b/>
          <w:sz w:val="24"/>
          <w:szCs w:val="24"/>
        </w:rPr>
      </w:pPr>
      <w:r>
        <w:rPr>
          <w:rFonts w:ascii="Arial" w:hAnsi="Arial" w:cs="Arial"/>
          <w:b/>
          <w:sz w:val="24"/>
          <w:szCs w:val="24"/>
        </w:rPr>
        <w:t>Part B</w:t>
      </w:r>
    </w:p>
    <w:p w:rsidR="00C95394" w:rsidRPr="00C95394" w:rsidRDefault="00C95394" w:rsidP="00C95394">
      <w:pPr>
        <w:jc w:val="center"/>
        <w:rPr>
          <w:rFonts w:ascii="Arial" w:hAnsi="Arial" w:cs="Arial"/>
          <w:b/>
          <w:sz w:val="24"/>
          <w:szCs w:val="24"/>
        </w:rPr>
      </w:pPr>
      <w:r w:rsidRPr="00C95394">
        <w:rPr>
          <w:rFonts w:ascii="Arial" w:hAnsi="Arial" w:cs="Arial"/>
          <w:b/>
          <w:sz w:val="24"/>
          <w:szCs w:val="24"/>
        </w:rPr>
        <w:t xml:space="preserve">FINANCIAL ANALISYS </w:t>
      </w:r>
      <w:r w:rsidR="00BA1D67" w:rsidRPr="00C95394">
        <w:rPr>
          <w:rFonts w:ascii="Arial" w:hAnsi="Arial" w:cs="Arial"/>
          <w:b/>
          <w:sz w:val="24"/>
          <w:szCs w:val="24"/>
        </w:rPr>
        <w:t>JOHN LEWIS PARTNERSHIP</w:t>
      </w:r>
    </w:p>
    <w:p w:rsidR="00EF5E27" w:rsidRDefault="00EF5E27" w:rsidP="00A15264">
      <w:pPr>
        <w:pStyle w:val="HTMLPreformatted"/>
        <w:shd w:val="clear" w:color="auto" w:fill="FFFFFF"/>
        <w:spacing w:line="360" w:lineRule="auto"/>
        <w:jc w:val="both"/>
        <w:rPr>
          <w:rFonts w:ascii="Arial" w:hAnsi="Arial" w:cs="Arial"/>
          <w:color w:val="212121"/>
          <w:sz w:val="22"/>
          <w:szCs w:val="22"/>
          <w:lang w:val="en"/>
        </w:rPr>
      </w:pPr>
      <w:r w:rsidRPr="00EF5E27">
        <w:rPr>
          <w:rFonts w:ascii="Arial" w:hAnsi="Arial" w:cs="Arial"/>
          <w:color w:val="212121"/>
          <w:sz w:val="22"/>
          <w:szCs w:val="22"/>
          <w:lang w:val="en"/>
        </w:rPr>
        <w:t>As well as gaining information about, and insights into, a business’s trading and position by reading the published ﬁnancial statements, it is also useful to calculate ratios relating particular ﬁgures to one another. It can even be useful to relate certain accounting ﬁgures to non-accounting measures, such as the number of employees. One reason for calculating ratios is to attempt to summarise quite complex accounting information into a relatively small number of key indicators. An associated reason for calculating ratios is to make ﬁgures more easily comparable. For example, if Business A made a proﬁt last year of £1 million and Business B made a proﬁt of £2 million, what does this tell us? Clearly it tells us that B made the larger proﬁt, but does it tell us that B was better managed or more efﬁcient? The answer is that it does not give us any impression of relative efﬁciency. B may be much larger than A. If we were to relate each one’s proﬁt to its size, a more valid comparison of efﬁciency could be made. The amount that the shareholders have invested (share capital plus reserves, which equals total assets less total liabilities) is a commonly used indicator of size, so we could use that. Comparison between businesses is not the only one that we may wish to make. We may want to compare a business’s current performance with its past performance to try to identify trends. We may wish to assess the business’s performance against what its managers had planned.</w:t>
      </w:r>
      <w:r>
        <w:rPr>
          <w:rFonts w:ascii="Arial" w:hAnsi="Arial" w:cs="Arial"/>
          <w:color w:val="212121"/>
          <w:sz w:val="22"/>
          <w:szCs w:val="22"/>
          <w:lang w:val="en"/>
        </w:rPr>
        <w:t xml:space="preserve"> </w:t>
      </w:r>
      <w:sdt>
        <w:sdtPr>
          <w:rPr>
            <w:rFonts w:ascii="Arial" w:hAnsi="Arial" w:cs="Arial"/>
            <w:color w:val="212121"/>
            <w:sz w:val="22"/>
            <w:szCs w:val="22"/>
            <w:lang w:val="en"/>
          </w:rPr>
          <w:id w:val="-2133932518"/>
          <w:citation/>
        </w:sdtPr>
        <w:sdtEndPr/>
        <w:sdtContent>
          <w:r>
            <w:rPr>
              <w:rFonts w:ascii="Arial" w:hAnsi="Arial" w:cs="Arial"/>
              <w:color w:val="212121"/>
              <w:sz w:val="22"/>
              <w:szCs w:val="22"/>
              <w:lang w:val="en"/>
            </w:rPr>
            <w:fldChar w:fldCharType="begin"/>
          </w:r>
          <w:r>
            <w:rPr>
              <w:rFonts w:ascii="Arial" w:hAnsi="Arial" w:cs="Arial"/>
              <w:color w:val="212121"/>
              <w:sz w:val="22"/>
              <w:szCs w:val="22"/>
            </w:rPr>
            <w:instrText xml:space="preserve"> CITATION Edd09 \l 2057 </w:instrText>
          </w:r>
          <w:r>
            <w:rPr>
              <w:rFonts w:ascii="Arial" w:hAnsi="Arial" w:cs="Arial"/>
              <w:color w:val="212121"/>
              <w:sz w:val="22"/>
              <w:szCs w:val="22"/>
              <w:lang w:val="en"/>
            </w:rPr>
            <w:fldChar w:fldCharType="separate"/>
          </w:r>
          <w:r w:rsidRPr="00EF5E27">
            <w:rPr>
              <w:rFonts w:ascii="Arial" w:hAnsi="Arial" w:cs="Arial"/>
              <w:noProof/>
              <w:color w:val="212121"/>
              <w:sz w:val="22"/>
              <w:szCs w:val="22"/>
            </w:rPr>
            <w:t>(Mclanie, 2009)</w:t>
          </w:r>
          <w:r>
            <w:rPr>
              <w:rFonts w:ascii="Arial" w:hAnsi="Arial" w:cs="Arial"/>
              <w:color w:val="212121"/>
              <w:sz w:val="22"/>
              <w:szCs w:val="22"/>
              <w:lang w:val="en"/>
            </w:rPr>
            <w:fldChar w:fldCharType="end"/>
          </w:r>
        </w:sdtContent>
      </w:sdt>
    </w:p>
    <w:p w:rsidR="0055710A" w:rsidRPr="00A15264" w:rsidRDefault="0055710A" w:rsidP="00A15264">
      <w:pPr>
        <w:pStyle w:val="HTMLPreformatted"/>
        <w:shd w:val="clear" w:color="auto" w:fill="FFFFFF"/>
        <w:spacing w:line="360" w:lineRule="auto"/>
        <w:jc w:val="both"/>
        <w:rPr>
          <w:rFonts w:ascii="Arial" w:hAnsi="Arial" w:cs="Arial"/>
          <w:color w:val="212121"/>
          <w:sz w:val="22"/>
          <w:szCs w:val="22"/>
        </w:rPr>
      </w:pPr>
      <w:r w:rsidRPr="00A15264">
        <w:rPr>
          <w:rFonts w:ascii="Arial" w:hAnsi="Arial" w:cs="Arial"/>
          <w:color w:val="212121"/>
          <w:sz w:val="22"/>
          <w:szCs w:val="22"/>
          <w:lang w:val="en"/>
        </w:rPr>
        <w:t>According to the corporate philosophy of John Lewis Partnership, its strategy is based on differential devaluation proposals that satisfy the wishes of users, the pace of the market with the best brands and the cultivation of the best relations with</w:t>
      </w:r>
      <w:r w:rsidR="005953E4" w:rsidRPr="00A15264">
        <w:rPr>
          <w:rFonts w:ascii="Arial" w:hAnsi="Arial" w:cs="Arial"/>
          <w:color w:val="212121"/>
          <w:sz w:val="22"/>
          <w:szCs w:val="22"/>
          <w:lang w:val="en"/>
        </w:rPr>
        <w:t xml:space="preserve"> key stakeholders such as:</w:t>
      </w:r>
      <w:r w:rsidRPr="00A15264">
        <w:rPr>
          <w:rFonts w:ascii="Arial" w:hAnsi="Arial" w:cs="Arial"/>
          <w:color w:val="212121"/>
          <w:sz w:val="22"/>
          <w:szCs w:val="22"/>
          <w:lang w:val="en"/>
        </w:rPr>
        <w:t xml:space="preserve"> its customers, suppliers, employees, shareholders and investors, similarly, the strategy is consolidated, with the aim of providing more services to its customers.</w:t>
      </w:r>
    </w:p>
    <w:p w:rsidR="0055710A" w:rsidRPr="00A15264" w:rsidRDefault="0055710A" w:rsidP="00A15264">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r w:rsidRPr="00A15264">
        <w:rPr>
          <w:rFonts w:ascii="Arial" w:eastAsia="Times New Roman" w:hAnsi="Arial" w:cs="Arial"/>
          <w:color w:val="212121"/>
          <w:lang w:val="en" w:eastAsia="en-GB"/>
        </w:rPr>
        <w:t>The company seeks to offer a combination of competitive prices, quality products, a variety of products and outstanding service, opting for this information through customer loyalty, this is done in order to develop new marketing strategies that are aimed at saving and brand differentiation</w:t>
      </w:r>
      <w:r w:rsidR="007E5723" w:rsidRPr="00A15264">
        <w:rPr>
          <w:rFonts w:ascii="Arial" w:eastAsia="Times New Roman" w:hAnsi="Arial" w:cs="Arial"/>
          <w:color w:val="212121"/>
          <w:lang w:val="en" w:eastAsia="en-GB"/>
        </w:rPr>
        <w:t>.</w:t>
      </w:r>
    </w:p>
    <w:p w:rsidR="00A15264" w:rsidRDefault="00A15264" w:rsidP="009D051E">
      <w:pPr>
        <w:jc w:val="both"/>
        <w:rPr>
          <w:rFonts w:ascii="Arial" w:eastAsia="Times New Roman" w:hAnsi="Arial" w:cs="Arial"/>
          <w:color w:val="212121"/>
          <w:lang w:eastAsia="en-GB"/>
        </w:rPr>
      </w:pPr>
    </w:p>
    <w:p w:rsidR="00B04914" w:rsidRDefault="00B04914" w:rsidP="009D051E">
      <w:pPr>
        <w:jc w:val="both"/>
        <w:rPr>
          <w:rFonts w:ascii="Arial" w:hAnsi="Arial" w:cs="Arial"/>
          <w:b/>
          <w:sz w:val="24"/>
          <w:szCs w:val="24"/>
          <w:u w:val="single"/>
        </w:rPr>
      </w:pPr>
    </w:p>
    <w:p w:rsidR="00B04914" w:rsidRDefault="00B04914" w:rsidP="009D051E">
      <w:pPr>
        <w:jc w:val="both"/>
        <w:rPr>
          <w:rFonts w:ascii="Arial" w:hAnsi="Arial" w:cs="Arial"/>
          <w:b/>
          <w:sz w:val="24"/>
          <w:szCs w:val="24"/>
          <w:u w:val="single"/>
        </w:rPr>
      </w:pPr>
    </w:p>
    <w:p w:rsidR="009D051E" w:rsidRPr="0095358B" w:rsidRDefault="005953E4" w:rsidP="009D051E">
      <w:pPr>
        <w:jc w:val="both"/>
        <w:rPr>
          <w:rFonts w:ascii="Arial" w:hAnsi="Arial" w:cs="Arial"/>
          <w:b/>
          <w:sz w:val="24"/>
          <w:szCs w:val="24"/>
          <w:u w:val="single"/>
        </w:rPr>
      </w:pPr>
      <w:r w:rsidRPr="0095358B">
        <w:rPr>
          <w:rFonts w:ascii="Arial" w:hAnsi="Arial" w:cs="Arial"/>
          <w:b/>
          <w:sz w:val="24"/>
          <w:szCs w:val="24"/>
          <w:u w:val="single"/>
        </w:rPr>
        <w:lastRenderedPageBreak/>
        <w:t>Financial Performance</w:t>
      </w:r>
    </w:p>
    <w:p w:rsidR="006736CD" w:rsidRDefault="006736CD" w:rsidP="009D051E">
      <w:pPr>
        <w:jc w:val="both"/>
        <w:rPr>
          <w:rFonts w:ascii="Arial" w:hAnsi="Arial" w:cs="Arial"/>
          <w:sz w:val="24"/>
          <w:szCs w:val="24"/>
        </w:rPr>
      </w:pPr>
      <w:r w:rsidRPr="0095358B">
        <w:rPr>
          <w:rFonts w:ascii="Arial" w:hAnsi="Arial" w:cs="Arial"/>
          <w:b/>
          <w:sz w:val="24"/>
          <w:szCs w:val="24"/>
        </w:rPr>
        <w:t>Profitability</w:t>
      </w:r>
      <w:r w:rsidRPr="00A03240">
        <w:rPr>
          <w:rFonts w:ascii="Arial" w:hAnsi="Arial" w:cs="Arial"/>
          <w:sz w:val="24"/>
          <w:szCs w:val="24"/>
        </w:rPr>
        <w:t>,</w:t>
      </w:r>
    </w:p>
    <w:p w:rsidR="00EF5E27" w:rsidRDefault="00EF5E27" w:rsidP="00EF5E27">
      <w:pPr>
        <w:spacing w:line="360" w:lineRule="auto"/>
        <w:jc w:val="both"/>
        <w:rPr>
          <w:rFonts w:ascii="Arial" w:hAnsi="Arial" w:cs="Arial"/>
          <w:sz w:val="24"/>
          <w:szCs w:val="24"/>
        </w:rPr>
      </w:pPr>
      <w:r w:rsidRPr="00EF5E27">
        <w:rPr>
          <w:rFonts w:ascii="Arial" w:hAnsi="Arial" w:cs="Arial"/>
          <w:sz w:val="24"/>
          <w:szCs w:val="24"/>
        </w:rPr>
        <w:t>Proﬁtability ratios are concerned with the effectiveness of the business in generating proﬁt. A very popular means of assessing a business is to assess the amount of wealth generated for the amount of wealth invested.</w:t>
      </w:r>
      <w:sdt>
        <w:sdtPr>
          <w:rPr>
            <w:rFonts w:ascii="Arial" w:hAnsi="Arial" w:cs="Arial"/>
            <w:sz w:val="24"/>
            <w:szCs w:val="24"/>
          </w:rPr>
          <w:id w:val="-252520050"/>
          <w:citation/>
        </w:sdtPr>
        <w:sdtEndPr/>
        <w:sdtContent>
          <w:r>
            <w:rPr>
              <w:rFonts w:ascii="Arial" w:hAnsi="Arial" w:cs="Arial"/>
              <w:sz w:val="24"/>
              <w:szCs w:val="24"/>
            </w:rPr>
            <w:fldChar w:fldCharType="begin"/>
          </w:r>
          <w:r>
            <w:rPr>
              <w:rFonts w:ascii="Arial" w:hAnsi="Arial" w:cs="Arial"/>
              <w:sz w:val="24"/>
              <w:szCs w:val="24"/>
            </w:rPr>
            <w:instrText xml:space="preserve"> CITATION Edd091 \l 2057 </w:instrText>
          </w:r>
          <w:r>
            <w:rPr>
              <w:rFonts w:ascii="Arial" w:hAnsi="Arial" w:cs="Arial"/>
              <w:sz w:val="24"/>
              <w:szCs w:val="24"/>
            </w:rPr>
            <w:fldChar w:fldCharType="separate"/>
          </w:r>
          <w:r>
            <w:rPr>
              <w:rFonts w:ascii="Arial" w:hAnsi="Arial" w:cs="Arial"/>
              <w:noProof/>
              <w:sz w:val="24"/>
              <w:szCs w:val="24"/>
            </w:rPr>
            <w:t xml:space="preserve"> </w:t>
          </w:r>
          <w:r w:rsidRPr="00EF5E27">
            <w:rPr>
              <w:rFonts w:ascii="Arial" w:hAnsi="Arial" w:cs="Arial"/>
              <w:noProof/>
              <w:sz w:val="24"/>
              <w:szCs w:val="24"/>
            </w:rPr>
            <w:t>(McLaney, 2009)</w:t>
          </w:r>
          <w:r>
            <w:rPr>
              <w:rFonts w:ascii="Arial" w:hAnsi="Arial" w:cs="Arial"/>
              <w:sz w:val="24"/>
              <w:szCs w:val="24"/>
            </w:rPr>
            <w:fldChar w:fldCharType="end"/>
          </w:r>
        </w:sdtContent>
      </w:sdt>
    </w:p>
    <w:tbl>
      <w:tblPr>
        <w:tblW w:w="8870" w:type="dxa"/>
        <w:tblInd w:w="93" w:type="dxa"/>
        <w:tblLook w:val="04A0" w:firstRow="1" w:lastRow="0" w:firstColumn="1" w:lastColumn="0" w:noHBand="0" w:noVBand="1"/>
      </w:tblPr>
      <w:tblGrid>
        <w:gridCol w:w="1794"/>
        <w:gridCol w:w="2706"/>
        <w:gridCol w:w="874"/>
        <w:gridCol w:w="874"/>
        <w:gridCol w:w="874"/>
        <w:gridCol w:w="874"/>
        <w:gridCol w:w="874"/>
      </w:tblGrid>
      <w:tr w:rsidR="00FC7BD2" w:rsidRPr="00FC7BD2" w:rsidTr="00FC7BD2">
        <w:trPr>
          <w:trHeight w:val="562"/>
        </w:trPr>
        <w:tc>
          <w:tcPr>
            <w:tcW w:w="1794" w:type="dxa"/>
            <w:tcBorders>
              <w:top w:val="single" w:sz="4" w:space="0" w:color="auto"/>
              <w:left w:val="single" w:sz="4" w:space="0" w:color="auto"/>
              <w:bottom w:val="single" w:sz="4" w:space="0" w:color="auto"/>
              <w:right w:val="single" w:sz="4" w:space="0" w:color="auto"/>
            </w:tcBorders>
            <w:shd w:val="clear" w:color="000000" w:fill="DAEEF3"/>
            <w:vAlign w:val="center"/>
            <w:hideMark/>
          </w:tcPr>
          <w:p w:rsidR="00FC7BD2" w:rsidRPr="00FC7BD2" w:rsidRDefault="00FC7BD2" w:rsidP="00FC7BD2">
            <w:pPr>
              <w:spacing w:after="0" w:line="240" w:lineRule="auto"/>
              <w:jc w:val="center"/>
              <w:rPr>
                <w:rFonts w:ascii="Arial" w:eastAsia="Times New Roman" w:hAnsi="Arial" w:cs="Arial"/>
                <w:b/>
                <w:bCs/>
                <w:i/>
                <w:iCs/>
                <w:color w:val="000000"/>
                <w:sz w:val="24"/>
                <w:szCs w:val="24"/>
                <w:lang w:eastAsia="en-GB"/>
              </w:rPr>
            </w:pPr>
            <w:r w:rsidRPr="00FC7BD2">
              <w:rPr>
                <w:rFonts w:ascii="Arial" w:eastAsia="Times New Roman" w:hAnsi="Arial" w:cs="Arial"/>
                <w:b/>
                <w:bCs/>
                <w:i/>
                <w:iCs/>
                <w:color w:val="000000"/>
                <w:sz w:val="24"/>
                <w:szCs w:val="24"/>
                <w:lang w:eastAsia="en-GB"/>
              </w:rPr>
              <w:t>Performance Analysis</w:t>
            </w:r>
          </w:p>
        </w:tc>
        <w:tc>
          <w:tcPr>
            <w:tcW w:w="2706" w:type="dxa"/>
            <w:tcBorders>
              <w:top w:val="single" w:sz="4" w:space="0" w:color="auto"/>
              <w:left w:val="nil"/>
              <w:bottom w:val="single" w:sz="4" w:space="0" w:color="auto"/>
              <w:right w:val="single" w:sz="4" w:space="0" w:color="auto"/>
            </w:tcBorders>
            <w:shd w:val="clear" w:color="000000" w:fill="DAEEF3"/>
            <w:vAlign w:val="center"/>
            <w:hideMark/>
          </w:tcPr>
          <w:p w:rsidR="00FC7BD2" w:rsidRPr="00FC7BD2" w:rsidRDefault="00FC7BD2" w:rsidP="00FC7BD2">
            <w:pPr>
              <w:spacing w:after="0" w:line="240" w:lineRule="auto"/>
              <w:jc w:val="center"/>
              <w:rPr>
                <w:rFonts w:ascii="Arial" w:eastAsia="Times New Roman" w:hAnsi="Arial" w:cs="Arial"/>
                <w:b/>
                <w:bCs/>
                <w:i/>
                <w:iCs/>
                <w:color w:val="000000"/>
                <w:sz w:val="24"/>
                <w:szCs w:val="24"/>
                <w:lang w:eastAsia="en-GB"/>
              </w:rPr>
            </w:pPr>
            <w:r w:rsidRPr="00FC7BD2">
              <w:rPr>
                <w:rFonts w:ascii="Arial" w:eastAsia="Times New Roman" w:hAnsi="Arial" w:cs="Arial"/>
                <w:b/>
                <w:bCs/>
                <w:i/>
                <w:iCs/>
                <w:color w:val="000000"/>
                <w:sz w:val="24"/>
                <w:szCs w:val="24"/>
                <w:lang w:eastAsia="en-GB"/>
              </w:rPr>
              <w:t>John Lewis &amp; Partners</w:t>
            </w:r>
          </w:p>
        </w:tc>
        <w:tc>
          <w:tcPr>
            <w:tcW w:w="874" w:type="dxa"/>
            <w:tcBorders>
              <w:top w:val="single" w:sz="4" w:space="0" w:color="auto"/>
              <w:left w:val="nil"/>
              <w:bottom w:val="single" w:sz="4" w:space="0" w:color="auto"/>
              <w:right w:val="single" w:sz="4" w:space="0" w:color="auto"/>
            </w:tcBorders>
            <w:shd w:val="clear" w:color="000000" w:fill="DAEEF3"/>
            <w:vAlign w:val="center"/>
            <w:hideMark/>
          </w:tcPr>
          <w:p w:rsidR="00FC7BD2" w:rsidRPr="00FC7BD2" w:rsidRDefault="00FC7BD2" w:rsidP="00FC7BD2">
            <w:pPr>
              <w:spacing w:after="0" w:line="240" w:lineRule="auto"/>
              <w:jc w:val="center"/>
              <w:rPr>
                <w:rFonts w:ascii="Calibri" w:eastAsia="Times New Roman" w:hAnsi="Calibri" w:cs="Calibri"/>
                <w:b/>
                <w:bCs/>
                <w:i/>
                <w:iCs/>
                <w:color w:val="000000"/>
                <w:lang w:eastAsia="en-GB"/>
              </w:rPr>
            </w:pPr>
            <w:r w:rsidRPr="00FC7BD2">
              <w:rPr>
                <w:rFonts w:ascii="Calibri" w:eastAsia="Times New Roman" w:hAnsi="Calibri" w:cs="Calibri"/>
                <w:b/>
                <w:bCs/>
                <w:i/>
                <w:iCs/>
                <w:color w:val="000000"/>
                <w:lang w:eastAsia="en-GB"/>
              </w:rPr>
              <w:t>2014</w:t>
            </w:r>
          </w:p>
        </w:tc>
        <w:tc>
          <w:tcPr>
            <w:tcW w:w="874" w:type="dxa"/>
            <w:tcBorders>
              <w:top w:val="single" w:sz="4" w:space="0" w:color="auto"/>
              <w:left w:val="nil"/>
              <w:bottom w:val="single" w:sz="4" w:space="0" w:color="auto"/>
              <w:right w:val="single" w:sz="4" w:space="0" w:color="auto"/>
            </w:tcBorders>
            <w:shd w:val="clear" w:color="000000" w:fill="DAEEF3"/>
            <w:vAlign w:val="center"/>
            <w:hideMark/>
          </w:tcPr>
          <w:p w:rsidR="00FC7BD2" w:rsidRPr="00FC7BD2" w:rsidRDefault="00FC7BD2" w:rsidP="00FC7BD2">
            <w:pPr>
              <w:spacing w:after="0" w:line="240" w:lineRule="auto"/>
              <w:jc w:val="center"/>
              <w:rPr>
                <w:rFonts w:ascii="Calibri" w:eastAsia="Times New Roman" w:hAnsi="Calibri" w:cs="Calibri"/>
                <w:b/>
                <w:bCs/>
                <w:i/>
                <w:iCs/>
                <w:color w:val="000000"/>
                <w:lang w:eastAsia="en-GB"/>
              </w:rPr>
            </w:pPr>
            <w:r w:rsidRPr="00FC7BD2">
              <w:rPr>
                <w:rFonts w:ascii="Calibri" w:eastAsia="Times New Roman" w:hAnsi="Calibri" w:cs="Calibri"/>
                <w:b/>
                <w:bCs/>
                <w:i/>
                <w:iCs/>
                <w:color w:val="000000"/>
                <w:lang w:eastAsia="en-GB"/>
              </w:rPr>
              <w:t>2015</w:t>
            </w:r>
          </w:p>
        </w:tc>
        <w:tc>
          <w:tcPr>
            <w:tcW w:w="874" w:type="dxa"/>
            <w:tcBorders>
              <w:top w:val="single" w:sz="4" w:space="0" w:color="auto"/>
              <w:left w:val="nil"/>
              <w:bottom w:val="single" w:sz="4" w:space="0" w:color="auto"/>
              <w:right w:val="single" w:sz="4" w:space="0" w:color="auto"/>
            </w:tcBorders>
            <w:shd w:val="clear" w:color="000000" w:fill="DAEEF3"/>
            <w:vAlign w:val="center"/>
            <w:hideMark/>
          </w:tcPr>
          <w:p w:rsidR="00FC7BD2" w:rsidRPr="00FC7BD2" w:rsidRDefault="00FC7BD2" w:rsidP="00FC7BD2">
            <w:pPr>
              <w:spacing w:after="0" w:line="240" w:lineRule="auto"/>
              <w:jc w:val="center"/>
              <w:rPr>
                <w:rFonts w:ascii="Calibri" w:eastAsia="Times New Roman" w:hAnsi="Calibri" w:cs="Calibri"/>
                <w:b/>
                <w:bCs/>
                <w:i/>
                <w:iCs/>
                <w:color w:val="000000"/>
                <w:lang w:eastAsia="en-GB"/>
              </w:rPr>
            </w:pPr>
            <w:r w:rsidRPr="00FC7BD2">
              <w:rPr>
                <w:rFonts w:ascii="Calibri" w:eastAsia="Times New Roman" w:hAnsi="Calibri" w:cs="Calibri"/>
                <w:b/>
                <w:bCs/>
                <w:i/>
                <w:iCs/>
                <w:color w:val="000000"/>
                <w:lang w:eastAsia="en-GB"/>
              </w:rPr>
              <w:t>2016</w:t>
            </w:r>
          </w:p>
        </w:tc>
        <w:tc>
          <w:tcPr>
            <w:tcW w:w="874" w:type="dxa"/>
            <w:tcBorders>
              <w:top w:val="single" w:sz="4" w:space="0" w:color="auto"/>
              <w:left w:val="nil"/>
              <w:bottom w:val="single" w:sz="4" w:space="0" w:color="auto"/>
              <w:right w:val="single" w:sz="4" w:space="0" w:color="auto"/>
            </w:tcBorders>
            <w:shd w:val="clear" w:color="000000" w:fill="DAEEF3"/>
            <w:vAlign w:val="center"/>
            <w:hideMark/>
          </w:tcPr>
          <w:p w:rsidR="00FC7BD2" w:rsidRPr="00FC7BD2" w:rsidRDefault="00FC7BD2" w:rsidP="00FC7BD2">
            <w:pPr>
              <w:spacing w:after="0" w:line="240" w:lineRule="auto"/>
              <w:jc w:val="center"/>
              <w:rPr>
                <w:rFonts w:ascii="Calibri" w:eastAsia="Times New Roman" w:hAnsi="Calibri" w:cs="Calibri"/>
                <w:b/>
                <w:bCs/>
                <w:i/>
                <w:iCs/>
                <w:color w:val="000000"/>
                <w:lang w:eastAsia="en-GB"/>
              </w:rPr>
            </w:pPr>
            <w:r w:rsidRPr="00FC7BD2">
              <w:rPr>
                <w:rFonts w:ascii="Calibri" w:eastAsia="Times New Roman" w:hAnsi="Calibri" w:cs="Calibri"/>
                <w:b/>
                <w:bCs/>
                <w:i/>
                <w:iCs/>
                <w:color w:val="000000"/>
                <w:lang w:eastAsia="en-GB"/>
              </w:rPr>
              <w:t>2017</w:t>
            </w:r>
          </w:p>
        </w:tc>
        <w:tc>
          <w:tcPr>
            <w:tcW w:w="874" w:type="dxa"/>
            <w:tcBorders>
              <w:top w:val="single" w:sz="4" w:space="0" w:color="auto"/>
              <w:left w:val="nil"/>
              <w:bottom w:val="single" w:sz="4" w:space="0" w:color="auto"/>
              <w:right w:val="single" w:sz="4" w:space="0" w:color="auto"/>
            </w:tcBorders>
            <w:shd w:val="clear" w:color="000000" w:fill="DAEEF3"/>
            <w:vAlign w:val="center"/>
            <w:hideMark/>
          </w:tcPr>
          <w:p w:rsidR="00FC7BD2" w:rsidRPr="00FC7BD2" w:rsidRDefault="00FC7BD2" w:rsidP="00FC7BD2">
            <w:pPr>
              <w:spacing w:after="0" w:line="240" w:lineRule="auto"/>
              <w:jc w:val="center"/>
              <w:rPr>
                <w:rFonts w:ascii="Calibri" w:eastAsia="Times New Roman" w:hAnsi="Calibri" w:cs="Calibri"/>
                <w:b/>
                <w:bCs/>
                <w:i/>
                <w:iCs/>
                <w:color w:val="000000"/>
                <w:lang w:eastAsia="en-GB"/>
              </w:rPr>
            </w:pPr>
            <w:r w:rsidRPr="00FC7BD2">
              <w:rPr>
                <w:rFonts w:ascii="Calibri" w:eastAsia="Times New Roman" w:hAnsi="Calibri" w:cs="Calibri"/>
                <w:b/>
                <w:bCs/>
                <w:i/>
                <w:iCs/>
                <w:color w:val="000000"/>
                <w:lang w:eastAsia="en-GB"/>
              </w:rPr>
              <w:t>2018</w:t>
            </w:r>
          </w:p>
        </w:tc>
      </w:tr>
      <w:tr w:rsidR="00FC7BD2" w:rsidRPr="00FC7BD2" w:rsidTr="00FC7BD2">
        <w:trPr>
          <w:trHeight w:val="203"/>
        </w:trPr>
        <w:tc>
          <w:tcPr>
            <w:tcW w:w="1794" w:type="dxa"/>
            <w:vMerge w:val="restart"/>
            <w:tcBorders>
              <w:top w:val="nil"/>
              <w:left w:val="single" w:sz="4" w:space="0" w:color="auto"/>
              <w:bottom w:val="nil"/>
              <w:right w:val="single" w:sz="4" w:space="0" w:color="auto"/>
            </w:tcBorders>
            <w:shd w:val="clear" w:color="000000" w:fill="DAEEF3"/>
            <w:vAlign w:val="center"/>
            <w:hideMark/>
          </w:tcPr>
          <w:p w:rsidR="00FC7BD2" w:rsidRDefault="00FC7BD2" w:rsidP="00FC7BD2">
            <w:pPr>
              <w:spacing w:after="0" w:line="240" w:lineRule="auto"/>
              <w:jc w:val="center"/>
              <w:rPr>
                <w:rFonts w:ascii="Calibri" w:eastAsia="Times New Roman" w:hAnsi="Calibri" w:cs="Calibri"/>
                <w:b/>
                <w:bCs/>
                <w:color w:val="000000"/>
                <w:lang w:eastAsia="en-GB"/>
              </w:rPr>
            </w:pPr>
          </w:p>
          <w:p w:rsidR="00FC7BD2" w:rsidRPr="00FC7BD2" w:rsidRDefault="00FC7BD2" w:rsidP="00FC7BD2">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noProof/>
                <w:color w:val="000000"/>
                <w:lang w:eastAsia="en-GB"/>
              </w:rPr>
              <mc:AlternateContent>
                <mc:Choice Requires="wps">
                  <w:drawing>
                    <wp:anchor distT="0" distB="0" distL="114300" distR="114300" simplePos="0" relativeHeight="251659264" behindDoc="0" locked="0" layoutInCell="1" allowOverlap="1">
                      <wp:simplePos x="0" y="0"/>
                      <wp:positionH relativeFrom="column">
                        <wp:posOffset>-70982</wp:posOffset>
                      </wp:positionH>
                      <wp:positionV relativeFrom="paragraph">
                        <wp:posOffset>703193</wp:posOffset>
                      </wp:positionV>
                      <wp:extent cx="1141012" cy="7952"/>
                      <wp:effectExtent l="0" t="0" r="21590" b="30480"/>
                      <wp:wrapNone/>
                      <wp:docPr id="5" name="Straight Connector 5"/>
                      <wp:cNvGraphicFramePr/>
                      <a:graphic xmlns:a="http://schemas.openxmlformats.org/drawingml/2006/main">
                        <a:graphicData uri="http://schemas.microsoft.com/office/word/2010/wordprocessingShape">
                          <wps:wsp>
                            <wps:cNvCnPr/>
                            <wps:spPr>
                              <a:xfrm flipV="1">
                                <a:off x="0" y="0"/>
                                <a:ext cx="1141012" cy="7952"/>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5" o:spid="_x0000_s1026" style="position:absolute;flip:y;z-index:251659264;visibility:visible;mso-wrap-style:square;mso-wrap-distance-left:9pt;mso-wrap-distance-top:0;mso-wrap-distance-right:9pt;mso-wrap-distance-bottom:0;mso-position-horizontal:absolute;mso-position-horizontal-relative:text;mso-position-vertical:absolute;mso-position-vertical-relative:text" from="-5.6pt,55.35pt" to="84.25pt,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" strokecolor="black [3040]"/>
                  </w:pict>
                </mc:Fallback>
              </mc:AlternateContent>
            </w:r>
            <w:r w:rsidRPr="00FC7BD2">
              <w:rPr>
                <w:rFonts w:ascii="Calibri" w:eastAsia="Times New Roman" w:hAnsi="Calibri" w:cs="Calibri"/>
                <w:b/>
                <w:bCs/>
                <w:color w:val="000000"/>
                <w:lang w:eastAsia="en-GB"/>
              </w:rPr>
              <w:t>Profitability</w:t>
            </w:r>
          </w:p>
        </w:tc>
        <w:tc>
          <w:tcPr>
            <w:tcW w:w="2706"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ROCE</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11.3%</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10.8%</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12.2%</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14.6%</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5.7%</w:t>
            </w:r>
          </w:p>
        </w:tc>
      </w:tr>
      <w:tr w:rsidR="00FC7BD2" w:rsidRPr="00FC7BD2" w:rsidTr="00FC7BD2">
        <w:trPr>
          <w:trHeight w:val="203"/>
        </w:trPr>
        <w:tc>
          <w:tcPr>
            <w:tcW w:w="1794" w:type="dxa"/>
            <w:vMerge/>
            <w:tcBorders>
              <w:top w:val="nil"/>
              <w:left w:val="single" w:sz="4" w:space="0" w:color="auto"/>
              <w:bottom w:val="nil"/>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706"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Fixed Assets</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2.26 </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2.33 </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2.33 </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2.44 </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2.57 </w:t>
            </w:r>
          </w:p>
        </w:tc>
      </w:tr>
      <w:tr w:rsidR="00FC7BD2" w:rsidRPr="00FC7BD2" w:rsidTr="00FC7BD2">
        <w:trPr>
          <w:trHeight w:val="203"/>
        </w:trPr>
        <w:tc>
          <w:tcPr>
            <w:tcW w:w="1794" w:type="dxa"/>
            <w:vMerge/>
            <w:tcBorders>
              <w:top w:val="nil"/>
              <w:left w:val="single" w:sz="4" w:space="0" w:color="auto"/>
              <w:bottom w:val="nil"/>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706"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Gross Margin</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33%</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34%</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34%</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34%</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33%</w:t>
            </w:r>
          </w:p>
        </w:tc>
      </w:tr>
      <w:tr w:rsidR="00FC7BD2" w:rsidRPr="00FC7BD2" w:rsidTr="00FC7BD2">
        <w:trPr>
          <w:trHeight w:val="203"/>
        </w:trPr>
        <w:tc>
          <w:tcPr>
            <w:tcW w:w="1794" w:type="dxa"/>
            <w:vMerge/>
            <w:tcBorders>
              <w:top w:val="nil"/>
              <w:left w:val="single" w:sz="4" w:space="0" w:color="auto"/>
              <w:bottom w:val="nil"/>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706"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Operating Margin</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4.7%</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4.6%</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5.5%</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6.5%</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2.4%</w:t>
            </w:r>
          </w:p>
        </w:tc>
      </w:tr>
      <w:tr w:rsidR="00FC7BD2" w:rsidRPr="00FC7BD2" w:rsidTr="00FC7BD2">
        <w:trPr>
          <w:trHeight w:val="203"/>
        </w:trPr>
        <w:tc>
          <w:tcPr>
            <w:tcW w:w="1794" w:type="dxa"/>
            <w:vMerge/>
            <w:tcBorders>
              <w:top w:val="nil"/>
              <w:left w:val="single" w:sz="4" w:space="0" w:color="auto"/>
              <w:bottom w:val="nil"/>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706"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Earnings Per Share (GBP)</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0.17</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0.24</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0.37</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0.59</w:t>
            </w:r>
          </w:p>
        </w:tc>
        <w:tc>
          <w:tcPr>
            <w:tcW w:w="874"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0.12</w:t>
            </w:r>
          </w:p>
        </w:tc>
      </w:tr>
    </w:tbl>
    <w:p w:rsidR="00FC7BD2" w:rsidRDefault="00FC7BD2" w:rsidP="009D051E">
      <w:pPr>
        <w:jc w:val="both"/>
        <w:rPr>
          <w:rFonts w:ascii="Arial" w:hAnsi="Arial" w:cs="Arial"/>
          <w:sz w:val="24"/>
          <w:szCs w:val="24"/>
        </w:rPr>
      </w:pPr>
    </w:p>
    <w:p w:rsidR="00CC46F9" w:rsidRPr="00A15264" w:rsidRDefault="005953E4" w:rsidP="00A15264">
      <w:pPr>
        <w:spacing w:line="360" w:lineRule="auto"/>
        <w:jc w:val="both"/>
        <w:rPr>
          <w:rFonts w:ascii="Arial" w:hAnsi="Arial" w:cs="Arial"/>
        </w:rPr>
      </w:pPr>
      <w:r w:rsidRPr="00A15264">
        <w:rPr>
          <w:rFonts w:ascii="Arial" w:hAnsi="Arial" w:cs="Arial"/>
        </w:rPr>
        <w:t xml:space="preserve">In terms of JLP performance for the period of 2014-2018 it is obvious from the calculations </w:t>
      </w:r>
      <w:r w:rsidR="00370FEB" w:rsidRPr="00A15264">
        <w:rPr>
          <w:rFonts w:ascii="Arial" w:hAnsi="Arial" w:cs="Arial"/>
        </w:rPr>
        <w:t xml:space="preserve">that the company is experiencing financial difficulties especially in the years 2017-2018. ROCE has declined significantly </w:t>
      </w:r>
      <w:r w:rsidR="00A03240" w:rsidRPr="00A15264">
        <w:rPr>
          <w:rFonts w:ascii="Arial" w:hAnsi="Arial" w:cs="Arial"/>
        </w:rPr>
        <w:t xml:space="preserve">during the last 5 years </w:t>
      </w:r>
      <w:r w:rsidR="00370FEB" w:rsidRPr="00A15264">
        <w:rPr>
          <w:rFonts w:ascii="Arial" w:hAnsi="Arial" w:cs="Arial"/>
        </w:rPr>
        <w:t xml:space="preserve">from </w:t>
      </w:r>
      <w:r w:rsidR="00A03240" w:rsidRPr="00A15264">
        <w:rPr>
          <w:rFonts w:ascii="Arial" w:hAnsi="Arial" w:cs="Arial"/>
        </w:rPr>
        <w:t>11.3</w:t>
      </w:r>
      <w:r w:rsidR="00370FEB" w:rsidRPr="00A15264">
        <w:rPr>
          <w:rFonts w:ascii="Arial" w:hAnsi="Arial" w:cs="Arial"/>
        </w:rPr>
        <w:t xml:space="preserve">% in 2014 to </w:t>
      </w:r>
      <w:r w:rsidR="00A03240" w:rsidRPr="00A15264">
        <w:rPr>
          <w:rFonts w:ascii="Arial" w:hAnsi="Arial" w:cs="Arial"/>
        </w:rPr>
        <w:t>5.7</w:t>
      </w:r>
      <w:r w:rsidR="00370FEB" w:rsidRPr="00A15264">
        <w:rPr>
          <w:rFonts w:ascii="Arial" w:hAnsi="Arial" w:cs="Arial"/>
        </w:rPr>
        <w:t xml:space="preserve">% which makes an average </w:t>
      </w:r>
      <w:r w:rsidR="00A03240" w:rsidRPr="00A15264">
        <w:rPr>
          <w:rFonts w:ascii="Arial" w:hAnsi="Arial" w:cs="Arial"/>
        </w:rPr>
        <w:t>12.5%</w:t>
      </w:r>
      <w:r w:rsidR="00370FEB" w:rsidRPr="00A15264">
        <w:rPr>
          <w:rFonts w:ascii="Arial" w:hAnsi="Arial" w:cs="Arial"/>
        </w:rPr>
        <w:t xml:space="preserve"> decline during the above stated period. The reason behind this could be increase in prices of costs or not efficient control of operating expenses. Although, the Gross Margin ratios appears to be fairly stable at 33-34% which means, the downfall in ROCE is due to operational issues rather than cost increase of </w:t>
      </w:r>
      <w:r w:rsidR="00A03240" w:rsidRPr="00A15264">
        <w:rPr>
          <w:rFonts w:ascii="Arial" w:hAnsi="Arial" w:cs="Arial"/>
        </w:rPr>
        <w:t>purchases</w:t>
      </w:r>
      <w:r w:rsidR="00F21048" w:rsidRPr="00A15264">
        <w:rPr>
          <w:rFonts w:ascii="Arial" w:hAnsi="Arial" w:cs="Arial"/>
        </w:rPr>
        <w:t>.</w:t>
      </w:r>
      <w:r w:rsidR="00A03240" w:rsidRPr="00A15264">
        <w:rPr>
          <w:rFonts w:ascii="Arial" w:hAnsi="Arial" w:cs="Arial"/>
        </w:rPr>
        <w:t xml:space="preserve"> Operating Margin further confirms this as </w:t>
      </w:r>
      <w:proofErr w:type="gramStart"/>
      <w:r w:rsidR="00A03240" w:rsidRPr="00A15264">
        <w:rPr>
          <w:rFonts w:ascii="Arial" w:hAnsi="Arial" w:cs="Arial"/>
        </w:rPr>
        <w:t>its</w:t>
      </w:r>
      <w:proofErr w:type="gramEnd"/>
      <w:r w:rsidR="00A03240" w:rsidRPr="00A15264">
        <w:rPr>
          <w:rFonts w:ascii="Arial" w:hAnsi="Arial" w:cs="Arial"/>
        </w:rPr>
        <w:t xml:space="preserve"> deteriorated by 10.2% on average. </w:t>
      </w:r>
    </w:p>
    <w:p w:rsidR="00A03240" w:rsidRPr="00A15264" w:rsidRDefault="00A03240" w:rsidP="00A15264">
      <w:pPr>
        <w:spacing w:line="360" w:lineRule="auto"/>
        <w:jc w:val="both"/>
        <w:rPr>
          <w:rFonts w:ascii="Arial" w:hAnsi="Arial" w:cs="Arial"/>
        </w:rPr>
      </w:pPr>
      <w:r w:rsidRPr="00A15264">
        <w:rPr>
          <w:rFonts w:ascii="Arial" w:hAnsi="Arial" w:cs="Arial"/>
        </w:rPr>
        <w:t xml:space="preserve">Looking of performance year on year it is clear that there has been massive decrease in 2018 in comparison to 2017. This is the year where the company have experience substantial decrease in overall trading which crystallised in the poor performance in 2018. </w:t>
      </w:r>
    </w:p>
    <w:p w:rsidR="00370FEB" w:rsidRDefault="00370FEB" w:rsidP="00A15264">
      <w:pPr>
        <w:spacing w:line="360" w:lineRule="auto"/>
        <w:jc w:val="both"/>
        <w:rPr>
          <w:rFonts w:ascii="Arial" w:hAnsi="Arial" w:cs="Arial"/>
        </w:rPr>
      </w:pPr>
      <w:r w:rsidRPr="00A15264">
        <w:rPr>
          <w:rFonts w:ascii="Arial" w:hAnsi="Arial" w:cs="Arial"/>
        </w:rPr>
        <w:t>Earnings per share has also declined from 1</w:t>
      </w:r>
      <w:r w:rsidR="00A03240" w:rsidRPr="00A15264">
        <w:rPr>
          <w:rFonts w:ascii="Arial" w:hAnsi="Arial" w:cs="Arial"/>
        </w:rPr>
        <w:t>7</w:t>
      </w:r>
      <w:r w:rsidRPr="00A15264">
        <w:rPr>
          <w:rFonts w:ascii="Arial" w:hAnsi="Arial" w:cs="Arial"/>
        </w:rPr>
        <w:t xml:space="preserve">p </w:t>
      </w:r>
      <w:r w:rsidR="00A03240" w:rsidRPr="00A15264">
        <w:rPr>
          <w:rFonts w:ascii="Arial" w:hAnsi="Arial" w:cs="Arial"/>
        </w:rPr>
        <w:t>to 12</w:t>
      </w:r>
      <w:r w:rsidRPr="00A15264">
        <w:rPr>
          <w:rFonts w:ascii="Arial" w:hAnsi="Arial" w:cs="Arial"/>
        </w:rPr>
        <w:t>p which is a main factor showing trading difficulties and falling of the valuation of the co</w:t>
      </w:r>
      <w:r w:rsidR="00F21048" w:rsidRPr="00A15264">
        <w:rPr>
          <w:rFonts w:ascii="Arial" w:hAnsi="Arial" w:cs="Arial"/>
        </w:rPr>
        <w:t>mpany by its customers – possible factors could be customer dissatisfaction, decrease in loyalty, better performing competitors etc.</w:t>
      </w:r>
    </w:p>
    <w:p w:rsidR="00DB5348" w:rsidRPr="00DB5348" w:rsidRDefault="00DB5348" w:rsidP="00DB534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b/>
          <w:color w:val="212121"/>
          <w:lang w:val="en" w:eastAsia="en-GB"/>
        </w:rPr>
      </w:pPr>
      <w:r w:rsidRPr="00DB5348">
        <w:rPr>
          <w:rFonts w:ascii="Arial" w:eastAsia="Times New Roman" w:hAnsi="Arial" w:cs="Arial"/>
          <w:b/>
          <w:color w:val="212121"/>
          <w:lang w:val="en" w:eastAsia="en-GB"/>
        </w:rPr>
        <w:t>Conclusion</w:t>
      </w:r>
    </w:p>
    <w:p w:rsidR="00DB5348" w:rsidRPr="00DB5348" w:rsidRDefault="00DB5348" w:rsidP="00DB5348">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eastAsia="en-GB"/>
        </w:rPr>
      </w:pPr>
      <w:r w:rsidRPr="00DB5348">
        <w:rPr>
          <w:rFonts w:ascii="Arial" w:eastAsia="Times New Roman" w:hAnsi="Arial" w:cs="Arial"/>
          <w:color w:val="212121"/>
          <w:lang w:val="en" w:eastAsia="en-GB"/>
        </w:rPr>
        <w:t>It is clear that the company has not performed well during the years between 2014 and 2018, if the JLP Company does not improve its profitability, it will face future problems and, therefore, it will take the company to a possible bankruptcy. As a recommendation, the company must correct the possible factors that may be the cause of the decrease in profitability, such as customer dissatisfaction, decreased loyalty and the most important competitors have generated a better performance.</w:t>
      </w:r>
    </w:p>
    <w:p w:rsidR="007E5649" w:rsidRPr="007E5649" w:rsidRDefault="007E5649" w:rsidP="00A15264">
      <w:pPr>
        <w:spacing w:line="360" w:lineRule="auto"/>
        <w:jc w:val="both"/>
        <w:rPr>
          <w:rFonts w:ascii="Arial" w:hAnsi="Arial" w:cs="Arial"/>
          <w:b/>
        </w:rPr>
      </w:pPr>
    </w:p>
    <w:p w:rsidR="006736CD" w:rsidRDefault="00F21048" w:rsidP="009D051E">
      <w:pPr>
        <w:jc w:val="both"/>
        <w:rPr>
          <w:rFonts w:ascii="Arial" w:hAnsi="Arial" w:cs="Arial"/>
          <w:sz w:val="24"/>
          <w:szCs w:val="24"/>
        </w:rPr>
      </w:pPr>
      <w:r w:rsidRPr="0095358B">
        <w:rPr>
          <w:rFonts w:ascii="Arial" w:hAnsi="Arial" w:cs="Arial"/>
          <w:b/>
          <w:sz w:val="24"/>
          <w:szCs w:val="24"/>
        </w:rPr>
        <w:lastRenderedPageBreak/>
        <w:t>Liquidity</w:t>
      </w:r>
      <w:r w:rsidRPr="00A03240">
        <w:rPr>
          <w:rFonts w:ascii="Arial" w:hAnsi="Arial" w:cs="Arial"/>
          <w:sz w:val="24"/>
          <w:szCs w:val="24"/>
        </w:rPr>
        <w:t>,</w:t>
      </w:r>
    </w:p>
    <w:p w:rsidR="008D6ECD" w:rsidRDefault="008D6ECD" w:rsidP="008D6ECD">
      <w:pPr>
        <w:pStyle w:val="HTMLPreformatted"/>
        <w:shd w:val="clear" w:color="auto" w:fill="FFFFFF"/>
        <w:spacing w:line="360" w:lineRule="auto"/>
        <w:jc w:val="both"/>
        <w:rPr>
          <w:rFonts w:ascii="Arial" w:hAnsi="Arial" w:cs="Arial"/>
          <w:color w:val="212121"/>
          <w:sz w:val="22"/>
          <w:szCs w:val="22"/>
          <w:lang w:val="en"/>
        </w:rPr>
      </w:pPr>
      <w:r w:rsidRPr="008D6ECD">
        <w:rPr>
          <w:rFonts w:ascii="Arial" w:hAnsi="Arial" w:cs="Arial"/>
          <w:sz w:val="22"/>
          <w:szCs w:val="22"/>
        </w:rPr>
        <w:t xml:space="preserve">Liquidity ratios are used to try to assess how well the business manages its working capital. </w:t>
      </w:r>
      <w:r w:rsidRPr="008D6ECD">
        <w:rPr>
          <w:rFonts w:ascii="Arial" w:hAnsi="Arial" w:cs="Arial"/>
          <w:color w:val="212121"/>
          <w:sz w:val="22"/>
          <w:szCs w:val="22"/>
          <w:lang w:val="en"/>
        </w:rPr>
        <w:t>The operation of the company depends on the liquidity that the company has to fulfill its financial obligations, with its suppliers, its employees, with the capacity it has to renew its technology, to expand its industrial capacity, to acquire raw material</w:t>
      </w:r>
      <w:r>
        <w:rPr>
          <w:rFonts w:ascii="Arial" w:hAnsi="Arial" w:cs="Arial"/>
          <w:color w:val="212121"/>
          <w:sz w:val="22"/>
          <w:szCs w:val="22"/>
          <w:lang w:val="en"/>
        </w:rPr>
        <w:t xml:space="preserve">s, </w:t>
      </w:r>
      <w:proofErr w:type="spellStart"/>
      <w:r>
        <w:rPr>
          <w:rFonts w:ascii="Arial" w:hAnsi="Arial" w:cs="Arial"/>
          <w:color w:val="212121"/>
          <w:sz w:val="22"/>
          <w:szCs w:val="22"/>
          <w:lang w:val="en"/>
        </w:rPr>
        <w:t>etc</w:t>
      </w:r>
      <w:proofErr w:type="spellEnd"/>
      <w:r>
        <w:rPr>
          <w:rFonts w:ascii="Arial" w:hAnsi="Arial" w:cs="Arial"/>
          <w:color w:val="212121"/>
          <w:sz w:val="22"/>
          <w:szCs w:val="22"/>
          <w:lang w:val="en"/>
        </w:rPr>
        <w:t>…</w:t>
      </w:r>
      <w:sdt>
        <w:sdtPr>
          <w:rPr>
            <w:rFonts w:ascii="Arial" w:hAnsi="Arial" w:cs="Arial"/>
            <w:color w:val="212121"/>
            <w:sz w:val="22"/>
            <w:szCs w:val="22"/>
            <w:lang w:val="en"/>
          </w:rPr>
          <w:id w:val="972257762"/>
          <w:citation/>
        </w:sdtPr>
        <w:sdtEndPr/>
        <w:sdtContent>
          <w:r w:rsidR="000C7F36">
            <w:rPr>
              <w:rFonts w:ascii="Arial" w:hAnsi="Arial" w:cs="Arial"/>
              <w:color w:val="212121"/>
              <w:sz w:val="22"/>
              <w:szCs w:val="22"/>
              <w:lang w:val="en"/>
            </w:rPr>
            <w:fldChar w:fldCharType="begin"/>
          </w:r>
          <w:r w:rsidR="000C7F36">
            <w:rPr>
              <w:rFonts w:ascii="Arial" w:hAnsi="Arial" w:cs="Arial"/>
              <w:color w:val="212121"/>
              <w:sz w:val="22"/>
              <w:szCs w:val="22"/>
            </w:rPr>
            <w:instrText xml:space="preserve"> CITATION Edd092 \l 2057 </w:instrText>
          </w:r>
          <w:r w:rsidR="000C7F36">
            <w:rPr>
              <w:rFonts w:ascii="Arial" w:hAnsi="Arial" w:cs="Arial"/>
              <w:color w:val="212121"/>
              <w:sz w:val="22"/>
              <w:szCs w:val="22"/>
              <w:lang w:val="en"/>
            </w:rPr>
            <w:fldChar w:fldCharType="separate"/>
          </w:r>
          <w:r w:rsidR="000C7F36">
            <w:rPr>
              <w:rFonts w:ascii="Arial" w:hAnsi="Arial" w:cs="Arial"/>
              <w:noProof/>
              <w:color w:val="212121"/>
              <w:sz w:val="22"/>
              <w:szCs w:val="22"/>
            </w:rPr>
            <w:t xml:space="preserve"> </w:t>
          </w:r>
          <w:r w:rsidR="000C7F36" w:rsidRPr="000C7F36">
            <w:rPr>
              <w:rFonts w:ascii="Arial" w:hAnsi="Arial" w:cs="Arial"/>
              <w:noProof/>
              <w:color w:val="212121"/>
              <w:sz w:val="22"/>
              <w:szCs w:val="22"/>
            </w:rPr>
            <w:t>(McLaney, Business Finance, 2009)</w:t>
          </w:r>
          <w:r w:rsidR="000C7F36">
            <w:rPr>
              <w:rFonts w:ascii="Arial" w:hAnsi="Arial" w:cs="Arial"/>
              <w:color w:val="212121"/>
              <w:sz w:val="22"/>
              <w:szCs w:val="22"/>
              <w:lang w:val="en"/>
            </w:rPr>
            <w:fldChar w:fldCharType="end"/>
          </w:r>
        </w:sdtContent>
      </w:sdt>
    </w:p>
    <w:p w:rsidR="008D6ECD" w:rsidRPr="008D6ECD" w:rsidRDefault="008D6ECD" w:rsidP="008D6ECD">
      <w:pPr>
        <w:pStyle w:val="HTMLPreformatted"/>
        <w:shd w:val="clear" w:color="auto" w:fill="FFFFFF"/>
        <w:spacing w:line="360" w:lineRule="auto"/>
        <w:jc w:val="both"/>
        <w:rPr>
          <w:rFonts w:ascii="Arial" w:hAnsi="Arial" w:cs="Arial"/>
          <w:color w:val="212121"/>
          <w:sz w:val="22"/>
          <w:szCs w:val="22"/>
        </w:rPr>
      </w:pPr>
    </w:p>
    <w:tbl>
      <w:tblPr>
        <w:tblW w:w="9074" w:type="dxa"/>
        <w:tblInd w:w="93" w:type="dxa"/>
        <w:tblLook w:val="04A0" w:firstRow="1" w:lastRow="0" w:firstColumn="1" w:lastColumn="0" w:noHBand="0" w:noVBand="1"/>
      </w:tblPr>
      <w:tblGrid>
        <w:gridCol w:w="1762"/>
        <w:gridCol w:w="2797"/>
        <w:gridCol w:w="903"/>
        <w:gridCol w:w="903"/>
        <w:gridCol w:w="903"/>
        <w:gridCol w:w="903"/>
        <w:gridCol w:w="903"/>
      </w:tblGrid>
      <w:tr w:rsidR="00FC7BD2" w:rsidRPr="00FC7BD2" w:rsidTr="00FC7BD2">
        <w:trPr>
          <w:trHeight w:val="195"/>
        </w:trPr>
        <w:tc>
          <w:tcPr>
            <w:tcW w:w="1762" w:type="dxa"/>
            <w:vMerge w:val="restart"/>
            <w:tcBorders>
              <w:top w:val="single" w:sz="4" w:space="0" w:color="auto"/>
              <w:left w:val="single" w:sz="4" w:space="0" w:color="auto"/>
              <w:bottom w:val="single" w:sz="4" w:space="0" w:color="000000"/>
              <w:right w:val="single" w:sz="4" w:space="0" w:color="auto"/>
            </w:tcBorders>
            <w:shd w:val="clear" w:color="000000" w:fill="DAEEF3"/>
            <w:noWrap/>
            <w:vAlign w:val="center"/>
            <w:hideMark/>
          </w:tcPr>
          <w:p w:rsidR="00FC7BD2" w:rsidRPr="00FC7BD2" w:rsidRDefault="00FC7BD2" w:rsidP="00FC7BD2">
            <w:pPr>
              <w:spacing w:after="0" w:line="240" w:lineRule="auto"/>
              <w:jc w:val="center"/>
              <w:rPr>
                <w:rFonts w:ascii="Calibri" w:eastAsia="Times New Roman" w:hAnsi="Calibri" w:cs="Calibri"/>
                <w:b/>
                <w:bCs/>
                <w:color w:val="000000"/>
                <w:lang w:eastAsia="en-GB"/>
              </w:rPr>
            </w:pPr>
            <w:r w:rsidRPr="00FC7BD2">
              <w:rPr>
                <w:rFonts w:ascii="Calibri" w:eastAsia="Times New Roman" w:hAnsi="Calibri" w:cs="Calibri"/>
                <w:b/>
                <w:bCs/>
                <w:color w:val="000000"/>
                <w:lang w:eastAsia="en-GB"/>
              </w:rPr>
              <w:t>Liquidity</w:t>
            </w:r>
          </w:p>
        </w:tc>
        <w:tc>
          <w:tcPr>
            <w:tcW w:w="2797"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Current Ratio</w:t>
            </w:r>
          </w:p>
        </w:tc>
        <w:tc>
          <w:tcPr>
            <w:tcW w:w="903"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0.63 </w:t>
            </w:r>
          </w:p>
        </w:tc>
        <w:tc>
          <w:tcPr>
            <w:tcW w:w="903"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0.69 </w:t>
            </w:r>
          </w:p>
        </w:tc>
        <w:tc>
          <w:tcPr>
            <w:tcW w:w="903"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0.83 </w:t>
            </w:r>
          </w:p>
        </w:tc>
        <w:tc>
          <w:tcPr>
            <w:tcW w:w="903"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0.89 </w:t>
            </w:r>
          </w:p>
        </w:tc>
        <w:tc>
          <w:tcPr>
            <w:tcW w:w="903"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0.91 </w:t>
            </w:r>
          </w:p>
        </w:tc>
      </w:tr>
      <w:tr w:rsidR="00FC7BD2" w:rsidRPr="00FC7BD2" w:rsidTr="00FC7BD2">
        <w:trPr>
          <w:trHeight w:val="195"/>
        </w:trPr>
        <w:tc>
          <w:tcPr>
            <w:tcW w:w="1762" w:type="dxa"/>
            <w:vMerge/>
            <w:tcBorders>
              <w:top w:val="single" w:sz="4" w:space="0" w:color="auto"/>
              <w:left w:val="single" w:sz="4" w:space="0" w:color="auto"/>
              <w:bottom w:val="single" w:sz="4" w:space="0" w:color="000000"/>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797"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Quick Ratio</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0.32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0.35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0.49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0.55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0.55 </w:t>
            </w:r>
          </w:p>
        </w:tc>
      </w:tr>
      <w:tr w:rsidR="00FC7BD2" w:rsidRPr="00FC7BD2" w:rsidTr="00FC7BD2">
        <w:trPr>
          <w:trHeight w:val="195"/>
        </w:trPr>
        <w:tc>
          <w:tcPr>
            <w:tcW w:w="1762" w:type="dxa"/>
            <w:vMerge/>
            <w:tcBorders>
              <w:top w:val="single" w:sz="4" w:space="0" w:color="auto"/>
              <w:left w:val="single" w:sz="4" w:space="0" w:color="auto"/>
              <w:bottom w:val="single" w:sz="4" w:space="0" w:color="000000"/>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797"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Receivables period (Days)</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9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8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8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9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9 </w:t>
            </w:r>
          </w:p>
        </w:tc>
      </w:tr>
      <w:tr w:rsidR="00FC7BD2" w:rsidRPr="00FC7BD2" w:rsidTr="00FC7BD2">
        <w:trPr>
          <w:trHeight w:val="195"/>
        </w:trPr>
        <w:tc>
          <w:tcPr>
            <w:tcW w:w="1762" w:type="dxa"/>
            <w:vMerge/>
            <w:tcBorders>
              <w:top w:val="single" w:sz="4" w:space="0" w:color="auto"/>
              <w:left w:val="single" w:sz="4" w:space="0" w:color="auto"/>
              <w:bottom w:val="single" w:sz="4" w:space="0" w:color="000000"/>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797"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Payable period (Days)</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97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89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92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90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87 </w:t>
            </w:r>
          </w:p>
        </w:tc>
      </w:tr>
      <w:tr w:rsidR="00FC7BD2" w:rsidRPr="00FC7BD2" w:rsidTr="00FC7BD2">
        <w:trPr>
          <w:trHeight w:val="195"/>
        </w:trPr>
        <w:tc>
          <w:tcPr>
            <w:tcW w:w="1762" w:type="dxa"/>
            <w:vMerge/>
            <w:tcBorders>
              <w:top w:val="single" w:sz="4" w:space="0" w:color="auto"/>
              <w:left w:val="single" w:sz="4" w:space="0" w:color="auto"/>
              <w:bottom w:val="single" w:sz="4" w:space="0" w:color="000000"/>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797"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Asset Turnover</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1.63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1.66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1.57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1.59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1.63 </w:t>
            </w:r>
          </w:p>
        </w:tc>
      </w:tr>
      <w:tr w:rsidR="00FC7BD2" w:rsidRPr="00FC7BD2" w:rsidTr="00FC7BD2">
        <w:trPr>
          <w:trHeight w:val="195"/>
        </w:trPr>
        <w:tc>
          <w:tcPr>
            <w:tcW w:w="1762" w:type="dxa"/>
            <w:vMerge/>
            <w:tcBorders>
              <w:top w:val="single" w:sz="4" w:space="0" w:color="auto"/>
              <w:left w:val="single" w:sz="4" w:space="0" w:color="auto"/>
              <w:bottom w:val="single" w:sz="4" w:space="0" w:color="000000"/>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797"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Cash Ratio</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0.20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0.20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0.36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0.37 </w:t>
            </w:r>
          </w:p>
        </w:tc>
        <w:tc>
          <w:tcPr>
            <w:tcW w:w="903"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     0.35 </w:t>
            </w:r>
          </w:p>
        </w:tc>
      </w:tr>
    </w:tbl>
    <w:p w:rsidR="00FC7BD2" w:rsidRPr="00A03240" w:rsidRDefault="00FC7BD2" w:rsidP="009D051E">
      <w:pPr>
        <w:jc w:val="both"/>
        <w:rPr>
          <w:rFonts w:ascii="Arial" w:hAnsi="Arial" w:cs="Arial"/>
          <w:sz w:val="24"/>
          <w:szCs w:val="24"/>
        </w:rPr>
      </w:pPr>
    </w:p>
    <w:p w:rsidR="00F21048" w:rsidRPr="00A15264" w:rsidRDefault="00A03240" w:rsidP="00A15264">
      <w:pPr>
        <w:spacing w:line="360" w:lineRule="auto"/>
        <w:jc w:val="both"/>
        <w:rPr>
          <w:rFonts w:ascii="Arial" w:hAnsi="Arial" w:cs="Arial"/>
        </w:rPr>
      </w:pPr>
      <w:r w:rsidRPr="00A15264">
        <w:rPr>
          <w:rFonts w:ascii="Arial" w:hAnsi="Arial" w:cs="Arial"/>
        </w:rPr>
        <w:t>Overall it looks like JLP has strengthened its performance in that area, as all of the analysed ratios have showed improvement.</w:t>
      </w:r>
    </w:p>
    <w:p w:rsidR="006736CD" w:rsidRPr="00A15264" w:rsidRDefault="00A03240" w:rsidP="00A15264">
      <w:pPr>
        <w:spacing w:line="360" w:lineRule="auto"/>
        <w:jc w:val="both"/>
        <w:rPr>
          <w:rFonts w:ascii="Arial" w:hAnsi="Arial" w:cs="Arial"/>
        </w:rPr>
      </w:pPr>
      <w:r w:rsidRPr="00A15264">
        <w:rPr>
          <w:rFonts w:ascii="Arial" w:hAnsi="Arial" w:cs="Arial"/>
        </w:rPr>
        <w:t>Although looking closer into the Payables period KPI (Key Performance Indicator)</w:t>
      </w:r>
      <w:r w:rsidR="00FF4A6C" w:rsidRPr="00A15264">
        <w:rPr>
          <w:rFonts w:ascii="Arial" w:hAnsi="Arial" w:cs="Arial"/>
        </w:rPr>
        <w:t xml:space="preserve"> </w:t>
      </w:r>
      <w:r w:rsidRPr="00A15264">
        <w:rPr>
          <w:rFonts w:ascii="Arial" w:hAnsi="Arial" w:cs="Arial"/>
        </w:rPr>
        <w:t>we can see that it takes the company to pay its suppliers 97 days in 2014. However, the company has mana</w:t>
      </w:r>
      <w:r w:rsidR="00E94378" w:rsidRPr="00A15264">
        <w:rPr>
          <w:rFonts w:ascii="Arial" w:hAnsi="Arial" w:cs="Arial"/>
        </w:rPr>
        <w:t xml:space="preserve">ged to decrease that period to 87, but still it takes a very long time (almost 3 months). </w:t>
      </w:r>
      <w:r w:rsidR="006736CD" w:rsidRPr="00A15264">
        <w:rPr>
          <w:rFonts w:ascii="Arial" w:hAnsi="Arial" w:cs="Arial"/>
        </w:rPr>
        <w:t>The size of the JLP here plays a major role, as big player it can stretch over small suppliers and hold on to payments to them.</w:t>
      </w:r>
      <w:r w:rsidR="00FF4A6C" w:rsidRPr="00A15264">
        <w:rPr>
          <w:rFonts w:ascii="Arial" w:hAnsi="Arial" w:cs="Arial"/>
        </w:rPr>
        <w:t xml:space="preserve"> </w:t>
      </w:r>
      <w:r w:rsidR="006736CD" w:rsidRPr="00A15264">
        <w:rPr>
          <w:rFonts w:ascii="Arial" w:hAnsi="Arial" w:cs="Arial"/>
        </w:rPr>
        <w:t xml:space="preserve">This could improve JLP Cash flow management </w:t>
      </w:r>
      <w:r w:rsidR="00E94378" w:rsidRPr="00A15264">
        <w:rPr>
          <w:rFonts w:ascii="Arial" w:hAnsi="Arial" w:cs="Arial"/>
        </w:rPr>
        <w:t xml:space="preserve">in short term </w:t>
      </w:r>
      <w:r w:rsidR="006736CD" w:rsidRPr="00A15264">
        <w:rPr>
          <w:rFonts w:ascii="Arial" w:hAnsi="Arial" w:cs="Arial"/>
        </w:rPr>
        <w:t>but could have a devastating effect on the smaller firms as they are heavily reliant on constant timely payments. JLP should consider further stakeholder analysis and better supplier management as if smaller suppliers start expressing their concern trough media this could have negative impact on company`s reputation.</w:t>
      </w:r>
    </w:p>
    <w:p w:rsidR="00E94378" w:rsidRDefault="00E94378" w:rsidP="00A15264">
      <w:pPr>
        <w:spacing w:line="360" w:lineRule="auto"/>
        <w:jc w:val="both"/>
        <w:rPr>
          <w:rFonts w:ascii="Arial" w:hAnsi="Arial" w:cs="Arial"/>
        </w:rPr>
      </w:pPr>
      <w:r w:rsidRPr="00A15264">
        <w:rPr>
          <w:rFonts w:ascii="Arial" w:hAnsi="Arial" w:cs="Arial"/>
        </w:rPr>
        <w:t>On the positive side t</w:t>
      </w:r>
      <w:r w:rsidR="003F769B" w:rsidRPr="00A15264">
        <w:rPr>
          <w:rFonts w:ascii="Arial" w:hAnsi="Arial" w:cs="Arial"/>
        </w:rPr>
        <w:t xml:space="preserve">he company has been </w:t>
      </w:r>
      <w:r w:rsidR="00FF4A6C" w:rsidRPr="00A15264">
        <w:rPr>
          <w:rFonts w:ascii="Arial" w:hAnsi="Arial" w:cs="Arial"/>
        </w:rPr>
        <w:t xml:space="preserve">able to maintain </w:t>
      </w:r>
      <w:r w:rsidRPr="00A15264">
        <w:rPr>
          <w:rFonts w:ascii="Arial" w:hAnsi="Arial" w:cs="Arial"/>
        </w:rPr>
        <w:t xml:space="preserve">fairly </w:t>
      </w:r>
      <w:r w:rsidR="00FF4A6C" w:rsidRPr="00A15264">
        <w:rPr>
          <w:rFonts w:ascii="Arial" w:hAnsi="Arial" w:cs="Arial"/>
        </w:rPr>
        <w:t>stable Receivables period</w:t>
      </w:r>
      <w:r w:rsidRPr="00A15264">
        <w:rPr>
          <w:rFonts w:ascii="Arial" w:hAnsi="Arial" w:cs="Arial"/>
        </w:rPr>
        <w:t>.</w:t>
      </w:r>
      <w:r w:rsidRPr="00A15264">
        <w:t xml:space="preserve"> </w:t>
      </w:r>
      <w:r w:rsidRPr="00A15264">
        <w:rPr>
          <w:rFonts w:ascii="Arial" w:hAnsi="Arial" w:cs="Arial"/>
        </w:rPr>
        <w:t>However, it is worth mentioning here that further analysis of customer &amp; business partners satisfaction as it may appear that JLP could give extra pressure to its clients to pay early or offers discounts in early payments, thus destruction the relationship with them or minimising its returns potential in the long term. It also improved the Current and Quick Ratios and its cash position as it is seen that it has managed to improve cash availability after covering all of its current liabilities (From 0.2 in 2014 to 0.35 in 2018).</w:t>
      </w:r>
    </w:p>
    <w:p w:rsidR="00A15264" w:rsidRDefault="00D85122" w:rsidP="00A15264">
      <w:pPr>
        <w:spacing w:line="360" w:lineRule="auto"/>
        <w:jc w:val="both"/>
        <w:rPr>
          <w:rFonts w:ascii="Arial" w:hAnsi="Arial" w:cs="Arial"/>
          <w:b/>
        </w:rPr>
      </w:pPr>
      <w:r w:rsidRPr="00D85122">
        <w:rPr>
          <w:rFonts w:ascii="Arial" w:hAnsi="Arial" w:cs="Arial"/>
          <w:b/>
        </w:rPr>
        <w:t>Conclusion</w:t>
      </w:r>
    </w:p>
    <w:p w:rsidR="00D85122" w:rsidRPr="00DB5348" w:rsidRDefault="00D85122" w:rsidP="00A15264">
      <w:pPr>
        <w:spacing w:line="360" w:lineRule="auto"/>
        <w:jc w:val="both"/>
        <w:rPr>
          <w:rFonts w:ascii="Arial" w:hAnsi="Arial" w:cs="Arial"/>
        </w:rPr>
      </w:pPr>
      <w:r w:rsidRPr="00D85122">
        <w:rPr>
          <w:rFonts w:ascii="Arial" w:hAnsi="Arial" w:cs="Arial"/>
        </w:rPr>
        <w:t>Overall it looks like JLP has strengthened its performance in that area, as all of the analysed</w:t>
      </w:r>
      <w:r>
        <w:rPr>
          <w:rFonts w:ascii="Arial" w:hAnsi="Arial" w:cs="Arial"/>
        </w:rPr>
        <w:t xml:space="preserve"> ratios have showed improvement, </w:t>
      </w:r>
      <w:r w:rsidRPr="00D85122">
        <w:rPr>
          <w:rFonts w:ascii="Arial" w:hAnsi="Arial" w:cs="Arial"/>
        </w:rPr>
        <w:t xml:space="preserve">JLP here plays a major role, as big player it can stretch </w:t>
      </w:r>
      <w:r w:rsidRPr="00D85122">
        <w:rPr>
          <w:rFonts w:ascii="Arial" w:hAnsi="Arial" w:cs="Arial"/>
        </w:rPr>
        <w:lastRenderedPageBreak/>
        <w:t>over small suppliers and hold on to payments to them. This could improve JLP Cash flow management in short term but could have a devastating effect on the smaller firms as they are heavily reliant on constant timely payments</w:t>
      </w:r>
      <w:r>
        <w:rPr>
          <w:rFonts w:ascii="Arial" w:hAnsi="Arial" w:cs="Arial"/>
        </w:rPr>
        <w:t>.</w:t>
      </w:r>
    </w:p>
    <w:p w:rsidR="00D85122" w:rsidRDefault="00D85122" w:rsidP="00D85122">
      <w:pPr>
        <w:pStyle w:val="HTMLPreformatted"/>
        <w:shd w:val="clear" w:color="auto" w:fill="FFFFFF"/>
        <w:spacing w:line="360" w:lineRule="auto"/>
        <w:rPr>
          <w:rFonts w:ascii="Arial" w:hAnsi="Arial" w:cs="Arial"/>
          <w:color w:val="212121"/>
          <w:sz w:val="22"/>
          <w:szCs w:val="22"/>
          <w:lang w:val="en"/>
        </w:rPr>
      </w:pPr>
      <w:r w:rsidRPr="00D85122">
        <w:rPr>
          <w:rFonts w:ascii="Arial" w:hAnsi="Arial" w:cs="Arial"/>
          <w:color w:val="212121"/>
          <w:sz w:val="22"/>
          <w:szCs w:val="22"/>
          <w:lang w:val="en"/>
        </w:rPr>
        <w:t>Apparently the JLP Company has been pressuring its clients to pay in advance, which could be causing a break in the relationship or minimizing the potential for performance, which would be serious</w:t>
      </w:r>
      <w:r>
        <w:rPr>
          <w:rFonts w:ascii="Arial" w:hAnsi="Arial" w:cs="Arial"/>
          <w:color w:val="212121"/>
          <w:sz w:val="22"/>
          <w:szCs w:val="22"/>
          <w:lang w:val="en"/>
        </w:rPr>
        <w:t>ly affecting the growth of the C</w:t>
      </w:r>
      <w:r w:rsidRPr="00D85122">
        <w:rPr>
          <w:rFonts w:ascii="Arial" w:hAnsi="Arial" w:cs="Arial"/>
          <w:color w:val="212121"/>
          <w:sz w:val="22"/>
          <w:szCs w:val="22"/>
          <w:lang w:val="en"/>
        </w:rPr>
        <w:t>ompany</w:t>
      </w:r>
      <w:r>
        <w:rPr>
          <w:rFonts w:ascii="Arial" w:hAnsi="Arial" w:cs="Arial"/>
          <w:color w:val="212121"/>
          <w:sz w:val="22"/>
          <w:szCs w:val="22"/>
          <w:lang w:val="en"/>
        </w:rPr>
        <w:t>.</w:t>
      </w:r>
    </w:p>
    <w:p w:rsidR="00D85122" w:rsidRPr="00D85122" w:rsidRDefault="00D85122" w:rsidP="00D85122">
      <w:pPr>
        <w:pStyle w:val="HTMLPreformatted"/>
        <w:shd w:val="clear" w:color="auto" w:fill="FFFFFF"/>
        <w:spacing w:line="360" w:lineRule="auto"/>
        <w:rPr>
          <w:rFonts w:ascii="Arial" w:hAnsi="Arial" w:cs="Arial"/>
          <w:color w:val="212121"/>
          <w:sz w:val="22"/>
          <w:szCs w:val="22"/>
        </w:rPr>
      </w:pPr>
    </w:p>
    <w:p w:rsidR="006736CD" w:rsidRDefault="006736CD" w:rsidP="009D051E">
      <w:pPr>
        <w:jc w:val="both"/>
        <w:rPr>
          <w:rFonts w:ascii="Arial" w:hAnsi="Arial" w:cs="Arial"/>
          <w:sz w:val="24"/>
          <w:szCs w:val="24"/>
        </w:rPr>
      </w:pPr>
      <w:r w:rsidRPr="0095358B">
        <w:rPr>
          <w:rFonts w:ascii="Arial" w:hAnsi="Arial" w:cs="Arial"/>
          <w:b/>
          <w:sz w:val="24"/>
          <w:szCs w:val="24"/>
        </w:rPr>
        <w:t>Gearing</w:t>
      </w:r>
      <w:r w:rsidRPr="00A03240">
        <w:rPr>
          <w:rFonts w:ascii="Arial" w:hAnsi="Arial" w:cs="Arial"/>
          <w:sz w:val="24"/>
          <w:szCs w:val="24"/>
        </w:rPr>
        <w:t>,</w:t>
      </w:r>
    </w:p>
    <w:p w:rsidR="000C7F36" w:rsidRPr="000C7F36" w:rsidRDefault="000C7F36" w:rsidP="009F5972">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rPr>
          <w:rFonts w:ascii="Arial" w:eastAsia="Times New Roman" w:hAnsi="Arial" w:cs="Arial"/>
          <w:color w:val="212121"/>
          <w:lang w:eastAsia="en-GB"/>
        </w:rPr>
      </w:pPr>
      <w:r w:rsidRPr="000C7F36">
        <w:rPr>
          <w:rFonts w:ascii="Arial" w:eastAsia="Times New Roman" w:hAnsi="Arial" w:cs="Arial"/>
          <w:color w:val="212121"/>
          <w:lang w:val="en" w:eastAsia="en-GB"/>
        </w:rPr>
        <w:t>Index of the balance through which the incidence of the loan capital on the assets of a company is measured. It is formulated from the relationship between the various componen</w:t>
      </w:r>
      <w:r w:rsidR="009F5972">
        <w:rPr>
          <w:rFonts w:ascii="Arial" w:eastAsia="Times New Roman" w:hAnsi="Arial" w:cs="Arial"/>
          <w:color w:val="212121"/>
          <w:lang w:val="en" w:eastAsia="en-GB"/>
        </w:rPr>
        <w:t xml:space="preserve">ts of corporate debt and equity </w:t>
      </w:r>
      <w:sdt>
        <w:sdtPr>
          <w:rPr>
            <w:rFonts w:ascii="Arial" w:eastAsia="Times New Roman" w:hAnsi="Arial" w:cs="Arial"/>
            <w:color w:val="212121"/>
            <w:lang w:val="en" w:eastAsia="en-GB"/>
          </w:rPr>
          <w:id w:val="651484915"/>
          <w:citation/>
        </w:sdtPr>
        <w:sdtEndPr/>
        <w:sdtContent>
          <w:r w:rsidR="009F5972">
            <w:rPr>
              <w:rFonts w:ascii="Arial" w:eastAsia="Times New Roman" w:hAnsi="Arial" w:cs="Arial"/>
              <w:color w:val="212121"/>
              <w:lang w:val="en" w:eastAsia="en-GB"/>
            </w:rPr>
            <w:fldChar w:fldCharType="begin"/>
          </w:r>
          <w:r w:rsidR="009F5972">
            <w:rPr>
              <w:rFonts w:ascii="Arial" w:eastAsia="Times New Roman" w:hAnsi="Arial" w:cs="Arial"/>
              <w:color w:val="212121"/>
              <w:lang w:eastAsia="en-GB"/>
            </w:rPr>
            <w:instrText xml:space="preserve"> CITATION Ros08 \l 2057 </w:instrText>
          </w:r>
          <w:r w:rsidR="009F5972">
            <w:rPr>
              <w:rFonts w:ascii="Arial" w:eastAsia="Times New Roman" w:hAnsi="Arial" w:cs="Arial"/>
              <w:color w:val="212121"/>
              <w:lang w:val="en" w:eastAsia="en-GB"/>
            </w:rPr>
            <w:fldChar w:fldCharType="separate"/>
          </w:r>
          <w:r w:rsidR="009F5972" w:rsidRPr="009F5972">
            <w:rPr>
              <w:rFonts w:ascii="Arial" w:eastAsia="Times New Roman" w:hAnsi="Arial" w:cs="Arial"/>
              <w:noProof/>
              <w:color w:val="212121"/>
              <w:lang w:eastAsia="en-GB"/>
            </w:rPr>
            <w:t>(Jaffe, 2008)</w:t>
          </w:r>
          <w:r w:rsidR="009F5972">
            <w:rPr>
              <w:rFonts w:ascii="Arial" w:eastAsia="Times New Roman" w:hAnsi="Arial" w:cs="Arial"/>
              <w:color w:val="212121"/>
              <w:lang w:val="en" w:eastAsia="en-GB"/>
            </w:rPr>
            <w:fldChar w:fldCharType="end"/>
          </w:r>
        </w:sdtContent>
      </w:sdt>
    </w:p>
    <w:p w:rsidR="000C7F36" w:rsidRDefault="000C7F36" w:rsidP="009D051E">
      <w:pPr>
        <w:jc w:val="both"/>
        <w:rPr>
          <w:rFonts w:ascii="Arial" w:hAnsi="Arial" w:cs="Arial"/>
          <w:sz w:val="24"/>
          <w:szCs w:val="24"/>
        </w:rPr>
      </w:pPr>
    </w:p>
    <w:tbl>
      <w:tblPr>
        <w:tblW w:w="8240" w:type="dxa"/>
        <w:tblInd w:w="93" w:type="dxa"/>
        <w:tblLook w:val="04A0" w:firstRow="1" w:lastRow="0" w:firstColumn="1" w:lastColumn="0" w:noHBand="0" w:noVBand="1"/>
      </w:tblPr>
      <w:tblGrid>
        <w:gridCol w:w="1600"/>
        <w:gridCol w:w="2540"/>
        <w:gridCol w:w="820"/>
        <w:gridCol w:w="820"/>
        <w:gridCol w:w="820"/>
        <w:gridCol w:w="820"/>
        <w:gridCol w:w="820"/>
      </w:tblGrid>
      <w:tr w:rsidR="00FC7BD2" w:rsidRPr="00FC7BD2" w:rsidTr="00FC7BD2">
        <w:trPr>
          <w:trHeight w:val="257"/>
        </w:trPr>
        <w:tc>
          <w:tcPr>
            <w:tcW w:w="1600" w:type="dxa"/>
            <w:vMerge w:val="restart"/>
            <w:tcBorders>
              <w:top w:val="nil"/>
              <w:left w:val="single" w:sz="4" w:space="0" w:color="auto"/>
              <w:bottom w:val="single" w:sz="4" w:space="0" w:color="000000"/>
              <w:right w:val="single" w:sz="4" w:space="0" w:color="auto"/>
            </w:tcBorders>
            <w:shd w:val="clear" w:color="000000" w:fill="DAEEF3"/>
            <w:noWrap/>
            <w:vAlign w:val="center"/>
            <w:hideMark/>
          </w:tcPr>
          <w:p w:rsidR="00FC7BD2" w:rsidRPr="00FC7BD2" w:rsidRDefault="000C7F36" w:rsidP="00FC7BD2">
            <w:pPr>
              <w:spacing w:after="0" w:line="240" w:lineRule="auto"/>
              <w:jc w:val="center"/>
              <w:rPr>
                <w:rFonts w:ascii="Calibri" w:eastAsia="Times New Roman" w:hAnsi="Calibri" w:cs="Calibri"/>
                <w:b/>
                <w:bCs/>
                <w:color w:val="000000"/>
                <w:lang w:eastAsia="en-GB"/>
              </w:rPr>
            </w:pPr>
            <w:r>
              <w:rPr>
                <w:rFonts w:ascii="Arial" w:hAnsi="Arial" w:cs="Arial"/>
                <w:b/>
                <w:noProof/>
                <w:sz w:val="24"/>
                <w:szCs w:val="24"/>
                <w:lang w:eastAsia="en-GB"/>
              </w:rPr>
              <mc:AlternateContent>
                <mc:Choice Requires="wps">
                  <w:drawing>
                    <wp:anchor distT="0" distB="0" distL="114300" distR="114300" simplePos="0" relativeHeight="251660288" behindDoc="0" locked="0" layoutInCell="1" allowOverlap="1" wp14:anchorId="6E67776A" wp14:editId="125D1433">
                      <wp:simplePos x="0" y="0"/>
                      <wp:positionH relativeFrom="column">
                        <wp:posOffset>-74930</wp:posOffset>
                      </wp:positionH>
                      <wp:positionV relativeFrom="paragraph">
                        <wp:posOffset>-260350</wp:posOffset>
                      </wp:positionV>
                      <wp:extent cx="1029335" cy="3810"/>
                      <wp:effectExtent l="0" t="0" r="18415" b="34290"/>
                      <wp:wrapNone/>
                      <wp:docPr id="6" name="Straight Connector 6"/>
                      <wp:cNvGraphicFramePr/>
                      <a:graphic xmlns:a="http://schemas.openxmlformats.org/drawingml/2006/main">
                        <a:graphicData uri="http://schemas.microsoft.com/office/word/2010/wordprocessingShape">
                          <wps:wsp>
                            <wps:cNvCnPr/>
                            <wps:spPr>
                              <a:xfrm flipV="1">
                                <a:off x="0" y="0"/>
                                <a:ext cx="1029335" cy="38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6"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pt,-20.5pt" to="75.15pt,-2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" strokecolor="black [3040]"/>
                  </w:pict>
                </mc:Fallback>
              </mc:AlternateContent>
            </w:r>
            <w:r w:rsidR="00FC7BD2" w:rsidRPr="00FC7BD2">
              <w:rPr>
                <w:rFonts w:ascii="Calibri" w:eastAsia="Times New Roman" w:hAnsi="Calibri" w:cs="Calibri"/>
                <w:b/>
                <w:bCs/>
                <w:color w:val="000000"/>
                <w:lang w:eastAsia="en-GB"/>
              </w:rPr>
              <w:t>Gearing</w:t>
            </w:r>
          </w:p>
        </w:tc>
        <w:tc>
          <w:tcPr>
            <w:tcW w:w="2540"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Financial Gearing(D/E Ratio)</w:t>
            </w:r>
          </w:p>
        </w:tc>
        <w:tc>
          <w:tcPr>
            <w:tcW w:w="820"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52%</w:t>
            </w:r>
          </w:p>
        </w:tc>
        <w:tc>
          <w:tcPr>
            <w:tcW w:w="820"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63%</w:t>
            </w:r>
          </w:p>
        </w:tc>
        <w:tc>
          <w:tcPr>
            <w:tcW w:w="820"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53%</w:t>
            </w:r>
          </w:p>
        </w:tc>
        <w:tc>
          <w:tcPr>
            <w:tcW w:w="820"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54%</w:t>
            </w:r>
          </w:p>
        </w:tc>
        <w:tc>
          <w:tcPr>
            <w:tcW w:w="820" w:type="dxa"/>
            <w:tcBorders>
              <w:top w:val="single" w:sz="4" w:space="0" w:color="auto"/>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47%</w:t>
            </w:r>
          </w:p>
        </w:tc>
      </w:tr>
      <w:tr w:rsidR="00FC7BD2" w:rsidRPr="00FC7BD2" w:rsidTr="00FC7BD2">
        <w:trPr>
          <w:trHeight w:val="257"/>
        </w:trPr>
        <w:tc>
          <w:tcPr>
            <w:tcW w:w="1600" w:type="dxa"/>
            <w:vMerge/>
            <w:tcBorders>
              <w:top w:val="nil"/>
              <w:left w:val="single" w:sz="4" w:space="0" w:color="auto"/>
              <w:bottom w:val="single" w:sz="4" w:space="0" w:color="000000"/>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54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xml:space="preserve">Operating Gering </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 </w:t>
            </w:r>
          </w:p>
        </w:tc>
      </w:tr>
      <w:tr w:rsidR="00FC7BD2" w:rsidRPr="00FC7BD2" w:rsidTr="00FC7BD2">
        <w:trPr>
          <w:trHeight w:val="257"/>
        </w:trPr>
        <w:tc>
          <w:tcPr>
            <w:tcW w:w="1600" w:type="dxa"/>
            <w:vMerge/>
            <w:tcBorders>
              <w:top w:val="nil"/>
              <w:left w:val="single" w:sz="4" w:space="0" w:color="auto"/>
              <w:bottom w:val="single" w:sz="4" w:space="0" w:color="000000"/>
              <w:right w:val="single" w:sz="4" w:space="0" w:color="auto"/>
            </w:tcBorders>
            <w:vAlign w:val="center"/>
            <w:hideMark/>
          </w:tcPr>
          <w:p w:rsidR="00FC7BD2" w:rsidRPr="00FC7BD2" w:rsidRDefault="00FC7BD2" w:rsidP="00FC7BD2">
            <w:pPr>
              <w:spacing w:after="0" w:line="240" w:lineRule="auto"/>
              <w:rPr>
                <w:rFonts w:ascii="Calibri" w:eastAsia="Times New Roman" w:hAnsi="Calibri" w:cs="Calibri"/>
                <w:b/>
                <w:bCs/>
                <w:color w:val="000000"/>
                <w:lang w:eastAsia="en-GB"/>
              </w:rPr>
            </w:pPr>
          </w:p>
        </w:tc>
        <w:tc>
          <w:tcPr>
            <w:tcW w:w="254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rPr>
                <w:rFonts w:ascii="Calibri" w:eastAsia="Times New Roman" w:hAnsi="Calibri" w:cs="Calibri"/>
                <w:color w:val="000000"/>
                <w:lang w:eastAsia="en-GB"/>
              </w:rPr>
            </w:pPr>
            <w:r w:rsidRPr="00FC7BD2">
              <w:rPr>
                <w:rFonts w:ascii="Calibri" w:eastAsia="Times New Roman" w:hAnsi="Calibri" w:cs="Calibri"/>
                <w:color w:val="000000"/>
                <w:lang w:eastAsia="en-GB"/>
              </w:rPr>
              <w:t>Interest cover</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4.41</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4.43</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5.27</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5.92</w:t>
            </w:r>
          </w:p>
        </w:tc>
        <w:tc>
          <w:tcPr>
            <w:tcW w:w="820" w:type="dxa"/>
            <w:tcBorders>
              <w:top w:val="nil"/>
              <w:left w:val="nil"/>
              <w:bottom w:val="single" w:sz="4" w:space="0" w:color="auto"/>
              <w:right w:val="single" w:sz="4" w:space="0" w:color="auto"/>
            </w:tcBorders>
            <w:shd w:val="clear" w:color="auto" w:fill="auto"/>
            <w:noWrap/>
            <w:vAlign w:val="bottom"/>
            <w:hideMark/>
          </w:tcPr>
          <w:p w:rsidR="00FC7BD2" w:rsidRPr="00FC7BD2" w:rsidRDefault="00FC7BD2" w:rsidP="00FC7BD2">
            <w:pPr>
              <w:spacing w:after="0" w:line="240" w:lineRule="auto"/>
              <w:jc w:val="right"/>
              <w:rPr>
                <w:rFonts w:ascii="Calibri" w:eastAsia="Times New Roman" w:hAnsi="Calibri" w:cs="Calibri"/>
                <w:color w:val="000000"/>
                <w:lang w:eastAsia="en-GB"/>
              </w:rPr>
            </w:pPr>
            <w:r w:rsidRPr="00FC7BD2">
              <w:rPr>
                <w:rFonts w:ascii="Calibri" w:eastAsia="Times New Roman" w:hAnsi="Calibri" w:cs="Calibri"/>
                <w:color w:val="000000"/>
                <w:lang w:eastAsia="en-GB"/>
              </w:rPr>
              <w:t>2.91</w:t>
            </w:r>
          </w:p>
        </w:tc>
      </w:tr>
    </w:tbl>
    <w:p w:rsidR="00FC7BD2" w:rsidRDefault="00FC7BD2" w:rsidP="00A15264">
      <w:pPr>
        <w:spacing w:line="360" w:lineRule="auto"/>
        <w:jc w:val="both"/>
        <w:rPr>
          <w:rFonts w:ascii="Arial" w:hAnsi="Arial" w:cs="Arial"/>
        </w:rPr>
      </w:pPr>
    </w:p>
    <w:p w:rsidR="00DB5348" w:rsidRPr="00DB5348" w:rsidRDefault="00DB5348" w:rsidP="00A15264">
      <w:pPr>
        <w:spacing w:line="360" w:lineRule="auto"/>
        <w:jc w:val="both"/>
        <w:rPr>
          <w:rFonts w:ascii="Arial" w:hAnsi="Arial" w:cs="Arial"/>
          <w:b/>
        </w:rPr>
      </w:pPr>
      <w:r w:rsidRPr="00DB5348">
        <w:rPr>
          <w:rFonts w:ascii="Arial" w:hAnsi="Arial" w:cs="Arial"/>
          <w:b/>
        </w:rPr>
        <w:t>Conclusion</w:t>
      </w:r>
    </w:p>
    <w:p w:rsidR="00985D93" w:rsidRPr="00A15264" w:rsidRDefault="006736CD" w:rsidP="00A15264">
      <w:pPr>
        <w:spacing w:line="360" w:lineRule="auto"/>
        <w:jc w:val="both"/>
        <w:rPr>
          <w:rFonts w:ascii="Arial" w:hAnsi="Arial" w:cs="Arial"/>
        </w:rPr>
      </w:pPr>
      <w:r w:rsidRPr="00A15264">
        <w:rPr>
          <w:rFonts w:ascii="Arial" w:hAnsi="Arial" w:cs="Arial"/>
        </w:rPr>
        <w:t>The amount of gearing appears to be fairly stable, with a small im</w:t>
      </w:r>
      <w:r w:rsidR="00E94378" w:rsidRPr="00A15264">
        <w:rPr>
          <w:rFonts w:ascii="Arial" w:hAnsi="Arial" w:cs="Arial"/>
        </w:rPr>
        <w:t>provement in the f</w:t>
      </w:r>
      <w:r w:rsidR="00843FF2" w:rsidRPr="00A15264">
        <w:rPr>
          <w:rFonts w:ascii="Arial" w:hAnsi="Arial" w:cs="Arial"/>
        </w:rPr>
        <w:t xml:space="preserve">inancial gearing from </w:t>
      </w:r>
      <w:r w:rsidR="00E94378" w:rsidRPr="00A15264">
        <w:rPr>
          <w:rFonts w:ascii="Arial" w:hAnsi="Arial" w:cs="Arial"/>
        </w:rPr>
        <w:t>52</w:t>
      </w:r>
      <w:r w:rsidR="00843FF2" w:rsidRPr="00A15264">
        <w:rPr>
          <w:rFonts w:ascii="Arial" w:hAnsi="Arial" w:cs="Arial"/>
        </w:rPr>
        <w:t xml:space="preserve">% in 2014 to </w:t>
      </w:r>
      <w:r w:rsidR="00E94378" w:rsidRPr="00A15264">
        <w:rPr>
          <w:rFonts w:ascii="Arial" w:hAnsi="Arial" w:cs="Arial"/>
        </w:rPr>
        <w:t>47</w:t>
      </w:r>
      <w:r w:rsidR="00843FF2" w:rsidRPr="00A15264">
        <w:rPr>
          <w:rFonts w:ascii="Arial" w:hAnsi="Arial" w:cs="Arial"/>
        </w:rPr>
        <w:t>% in 2018</w:t>
      </w:r>
      <w:r w:rsidR="00E94378" w:rsidRPr="00A15264">
        <w:rPr>
          <w:rFonts w:ascii="Arial" w:hAnsi="Arial" w:cs="Arial"/>
        </w:rPr>
        <w:t xml:space="preserve"> showing a reduction in Long term debt</w:t>
      </w:r>
      <w:r w:rsidR="00843FF2" w:rsidRPr="00A15264">
        <w:rPr>
          <w:rFonts w:ascii="Arial" w:hAnsi="Arial" w:cs="Arial"/>
        </w:rPr>
        <w:t>.</w:t>
      </w:r>
      <w:r w:rsidR="00E94378" w:rsidRPr="00A15264">
        <w:rPr>
          <w:rFonts w:ascii="Arial" w:hAnsi="Arial" w:cs="Arial"/>
        </w:rPr>
        <w:t xml:space="preserve"> </w:t>
      </w:r>
      <w:r w:rsidR="00843FF2" w:rsidRPr="00A15264">
        <w:rPr>
          <w:rFonts w:ascii="Arial" w:hAnsi="Arial" w:cs="Arial"/>
        </w:rPr>
        <w:t>The Interest cover has declined</w:t>
      </w:r>
      <w:r w:rsidR="00E94378" w:rsidRPr="00A15264">
        <w:rPr>
          <w:rFonts w:ascii="Arial" w:hAnsi="Arial" w:cs="Arial"/>
        </w:rPr>
        <w:t xml:space="preserve"> from 4.4 in 2014 to 2.9 in 2018, which is suggesting that JLP has managed to secure debt restructuring </w:t>
      </w:r>
      <w:r w:rsidR="00985D93" w:rsidRPr="00A15264">
        <w:rPr>
          <w:rFonts w:ascii="Arial" w:hAnsi="Arial" w:cs="Arial"/>
        </w:rPr>
        <w:t>or it is experiencing higher interest rates imposed from its lenders.</w:t>
      </w:r>
    </w:p>
    <w:p w:rsidR="00A664E5" w:rsidRPr="00A15264" w:rsidRDefault="00A664E5" w:rsidP="00A15264">
      <w:pPr>
        <w:spacing w:line="360" w:lineRule="auto"/>
        <w:jc w:val="both"/>
        <w:rPr>
          <w:rFonts w:ascii="Arial" w:hAnsi="Arial" w:cs="Arial"/>
        </w:rPr>
      </w:pPr>
      <w:r w:rsidRPr="00A15264">
        <w:rPr>
          <w:rFonts w:ascii="Arial" w:hAnsi="Arial" w:cs="Arial"/>
          <w:b/>
        </w:rPr>
        <w:t>Summary</w:t>
      </w:r>
      <w:r w:rsidRPr="00A15264">
        <w:rPr>
          <w:rFonts w:ascii="Arial" w:hAnsi="Arial" w:cs="Arial"/>
        </w:rPr>
        <w:t>,</w:t>
      </w:r>
    </w:p>
    <w:p w:rsidR="00A664E5" w:rsidRPr="00A15264" w:rsidRDefault="00A664E5" w:rsidP="00A15264">
      <w:pPr>
        <w:spacing w:line="360" w:lineRule="auto"/>
        <w:jc w:val="both"/>
        <w:rPr>
          <w:rFonts w:ascii="Arial" w:hAnsi="Arial" w:cs="Arial"/>
        </w:rPr>
      </w:pPr>
      <w:r w:rsidRPr="00A15264">
        <w:rPr>
          <w:rFonts w:ascii="Arial" w:hAnsi="Arial" w:cs="Arial"/>
        </w:rPr>
        <w:t>JLP has been trading well until 2017 and from this point it seems that some major event has taken place and contribution to the overall slump in trading for the company as main ratios such as ROCE, Operating profits and earnings per share has decreased significantly, adding the delays in payments to suppliers which takes approximately 3 months to clear its payables and also deterioration of the Interest Cover, i</w:t>
      </w:r>
      <w:r w:rsidR="0095358B" w:rsidRPr="00A15264">
        <w:rPr>
          <w:rFonts w:ascii="Arial" w:hAnsi="Arial" w:cs="Arial"/>
        </w:rPr>
        <w:t>t is worth doing a detailed analysis of the possible factors that have made the trading collapse.</w:t>
      </w:r>
    </w:p>
    <w:p w:rsidR="0095358B" w:rsidRPr="009D1C14" w:rsidRDefault="0095358B" w:rsidP="00A15264">
      <w:pPr>
        <w:spacing w:line="360" w:lineRule="auto"/>
        <w:jc w:val="both"/>
        <w:rPr>
          <w:rFonts w:ascii="Arial" w:hAnsi="Arial" w:cs="Arial"/>
        </w:rPr>
      </w:pPr>
      <w:r w:rsidRPr="009D1C14">
        <w:rPr>
          <w:rFonts w:ascii="Arial" w:hAnsi="Arial" w:cs="Arial"/>
        </w:rPr>
        <w:t>Looking purely into financial indicators of the company will not show the full picture of the performance, so it is good to mention that this needs to be coupled with some non-financial performance indicators as to customer loyalty, satisfaction, innovativeness etc.</w:t>
      </w:r>
    </w:p>
    <w:p w:rsidR="00DD2B02" w:rsidRPr="00A15264" w:rsidRDefault="0095358B" w:rsidP="00A15264">
      <w:pPr>
        <w:spacing w:line="360" w:lineRule="auto"/>
        <w:jc w:val="both"/>
        <w:rPr>
          <w:rFonts w:ascii="Arial" w:hAnsi="Arial" w:cs="Arial"/>
        </w:rPr>
      </w:pPr>
      <w:r w:rsidRPr="009D1C14">
        <w:rPr>
          <w:rFonts w:ascii="Arial" w:hAnsi="Arial" w:cs="Arial"/>
        </w:rPr>
        <w:lastRenderedPageBreak/>
        <w:t xml:space="preserve">Also there needs to be valid comparisons such as industry norms or main </w:t>
      </w:r>
      <w:proofErr w:type="gramStart"/>
      <w:r w:rsidRPr="009D1C14">
        <w:rPr>
          <w:rFonts w:ascii="Arial" w:hAnsi="Arial" w:cs="Arial"/>
        </w:rPr>
        <w:t>competitors</w:t>
      </w:r>
      <w:proofErr w:type="gramEnd"/>
      <w:r w:rsidRPr="009D1C14">
        <w:rPr>
          <w:rFonts w:ascii="Arial" w:hAnsi="Arial" w:cs="Arial"/>
        </w:rPr>
        <w:t xml:space="preserve"> performance so a comparison to be drafted and therefore this will indicate whether JLP is performing well or poor.</w:t>
      </w:r>
    </w:p>
    <w:p w:rsidR="00B55645" w:rsidRDefault="00B55645" w:rsidP="00B55645">
      <w:pPr>
        <w:jc w:val="center"/>
        <w:rPr>
          <w:rFonts w:ascii="Arial" w:hAnsi="Arial" w:cs="Arial"/>
          <w:b/>
          <w:sz w:val="24"/>
          <w:szCs w:val="24"/>
        </w:rPr>
      </w:pPr>
      <w:r w:rsidRPr="00B55645">
        <w:rPr>
          <w:rFonts w:ascii="Arial" w:hAnsi="Arial" w:cs="Arial"/>
          <w:b/>
          <w:sz w:val="24"/>
          <w:szCs w:val="24"/>
        </w:rPr>
        <w:t>Critical evaluation of the ratios calculated</w:t>
      </w:r>
    </w:p>
    <w:p w:rsidR="00E00920" w:rsidRDefault="00E00920" w:rsidP="00B55645">
      <w:pPr>
        <w:spacing w:after="0" w:line="240" w:lineRule="auto"/>
        <w:jc w:val="both"/>
        <w:rPr>
          <w:rFonts w:ascii="Arial" w:hAnsi="Arial" w:cs="Arial"/>
          <w:b/>
          <w:sz w:val="24"/>
          <w:szCs w:val="24"/>
        </w:rPr>
      </w:pPr>
    </w:p>
    <w:p w:rsidR="00B55645" w:rsidRDefault="00B55645" w:rsidP="00B55645">
      <w:pPr>
        <w:spacing w:after="0" w:line="240" w:lineRule="auto"/>
        <w:jc w:val="both"/>
        <w:rPr>
          <w:rFonts w:ascii="Calibri" w:eastAsia="Times New Roman" w:hAnsi="Calibri" w:cs="Calibri"/>
          <w:b/>
          <w:bCs/>
          <w:color w:val="000000"/>
          <w:sz w:val="24"/>
          <w:szCs w:val="24"/>
          <w:lang w:eastAsia="en-GB"/>
        </w:rPr>
      </w:pPr>
      <w:r>
        <w:rPr>
          <w:rFonts w:ascii="Calibri" w:eastAsia="Times New Roman" w:hAnsi="Calibri" w:cs="Calibri"/>
          <w:b/>
          <w:bCs/>
          <w:color w:val="000000"/>
          <w:sz w:val="24"/>
          <w:szCs w:val="24"/>
          <w:lang w:eastAsia="en-GB"/>
        </w:rPr>
        <w:t xml:space="preserve">  </w:t>
      </w:r>
      <w:r w:rsidRPr="00B55645">
        <w:rPr>
          <w:rFonts w:ascii="Calibri" w:eastAsia="Times New Roman" w:hAnsi="Calibri" w:cs="Calibri"/>
          <w:b/>
          <w:bCs/>
          <w:color w:val="000000"/>
          <w:sz w:val="24"/>
          <w:szCs w:val="24"/>
          <w:lang w:eastAsia="en-GB"/>
        </w:rPr>
        <w:t>Advantages</w:t>
      </w:r>
    </w:p>
    <w:p w:rsidR="00B55645" w:rsidRPr="00B55645" w:rsidRDefault="00B55645" w:rsidP="00B55645">
      <w:pPr>
        <w:spacing w:after="0" w:line="240" w:lineRule="auto"/>
        <w:jc w:val="both"/>
        <w:rPr>
          <w:rFonts w:ascii="Calibri" w:eastAsia="Times New Roman" w:hAnsi="Calibri" w:cs="Calibri"/>
          <w:b/>
          <w:bCs/>
          <w:color w:val="000000"/>
          <w:sz w:val="24"/>
          <w:szCs w:val="24"/>
          <w:lang w:eastAsia="en-GB"/>
        </w:rPr>
      </w:pPr>
    </w:p>
    <w:p w:rsidR="00B55645" w:rsidRPr="00A15264" w:rsidRDefault="00B55645" w:rsidP="00A15264">
      <w:pPr>
        <w:pStyle w:val="ListParagraph"/>
        <w:numPr>
          <w:ilvl w:val="0"/>
          <w:numId w:val="9"/>
        </w:numPr>
        <w:spacing w:line="360" w:lineRule="auto"/>
        <w:jc w:val="both"/>
        <w:rPr>
          <w:rFonts w:ascii="Arial" w:hAnsi="Arial" w:cs="Arial"/>
        </w:rPr>
      </w:pPr>
      <w:r w:rsidRPr="00A15264">
        <w:rPr>
          <w:rFonts w:ascii="Arial" w:hAnsi="Arial" w:cs="Arial"/>
        </w:rPr>
        <w:t>They a</w:t>
      </w:r>
      <w:r w:rsidR="00382C6D" w:rsidRPr="00A15264">
        <w:rPr>
          <w:rFonts w:ascii="Arial" w:hAnsi="Arial" w:cs="Arial"/>
        </w:rPr>
        <w:t>re the most understandable and preferred</w:t>
      </w:r>
      <w:r w:rsidRPr="00A15264">
        <w:rPr>
          <w:rFonts w:ascii="Arial" w:hAnsi="Arial" w:cs="Arial"/>
        </w:rPr>
        <w:t xml:space="preserve"> methods of performance in the light of shareholders.</w:t>
      </w:r>
    </w:p>
    <w:p w:rsidR="00382C6D" w:rsidRPr="00A15264" w:rsidRDefault="00B55645" w:rsidP="00A15264">
      <w:pPr>
        <w:pStyle w:val="ListParagraph"/>
        <w:numPr>
          <w:ilvl w:val="0"/>
          <w:numId w:val="9"/>
        </w:numPr>
        <w:spacing w:line="360" w:lineRule="auto"/>
        <w:jc w:val="both"/>
        <w:rPr>
          <w:rFonts w:ascii="Arial" w:hAnsi="Arial" w:cs="Arial"/>
        </w:rPr>
      </w:pPr>
      <w:r w:rsidRPr="00A15264">
        <w:rPr>
          <w:rFonts w:ascii="Arial" w:hAnsi="Arial" w:cs="Arial"/>
        </w:rPr>
        <w:t>Availability of comparison between rivals from different sizes.</w:t>
      </w:r>
    </w:p>
    <w:p w:rsidR="00382C6D" w:rsidRPr="00A15264" w:rsidRDefault="00382C6D" w:rsidP="00A15264">
      <w:pPr>
        <w:pStyle w:val="ListParagraph"/>
        <w:numPr>
          <w:ilvl w:val="0"/>
          <w:numId w:val="9"/>
        </w:numPr>
        <w:spacing w:line="360" w:lineRule="auto"/>
        <w:jc w:val="both"/>
        <w:rPr>
          <w:rFonts w:ascii="Arial" w:hAnsi="Arial" w:cs="Arial"/>
        </w:rPr>
      </w:pPr>
      <w:r w:rsidRPr="00A15264">
        <w:rPr>
          <w:rFonts w:ascii="Arial" w:hAnsi="Arial" w:cs="Arial"/>
          <w:color w:val="212121"/>
          <w:lang w:val="en"/>
        </w:rPr>
        <w:t>Simplifies and publishes the results of the company's financial statements.</w:t>
      </w:r>
    </w:p>
    <w:p w:rsidR="00382C6D" w:rsidRPr="00A15264" w:rsidRDefault="00382C6D" w:rsidP="00A15264">
      <w:pPr>
        <w:pStyle w:val="ListParagraph"/>
        <w:numPr>
          <w:ilvl w:val="0"/>
          <w:numId w:val="9"/>
        </w:numPr>
        <w:spacing w:line="360" w:lineRule="auto"/>
        <w:jc w:val="both"/>
        <w:rPr>
          <w:rFonts w:ascii="Arial" w:hAnsi="Arial" w:cs="Arial"/>
        </w:rPr>
      </w:pPr>
      <w:r w:rsidRPr="00A15264">
        <w:rPr>
          <w:rFonts w:ascii="Arial" w:hAnsi="Arial" w:cs="Arial"/>
          <w:color w:val="212121"/>
          <w:lang w:val="en"/>
        </w:rPr>
        <w:t>Help in the analysis of trends that involves the comparison of different companies during a given period.</w:t>
      </w:r>
    </w:p>
    <w:p w:rsidR="0001442F" w:rsidRPr="00A15264" w:rsidRDefault="00382C6D" w:rsidP="00E00920">
      <w:pPr>
        <w:pStyle w:val="ListParagraph"/>
        <w:numPr>
          <w:ilvl w:val="0"/>
          <w:numId w:val="9"/>
        </w:numPr>
        <w:spacing w:line="360" w:lineRule="auto"/>
        <w:jc w:val="both"/>
        <w:rPr>
          <w:rFonts w:ascii="Arial" w:hAnsi="Arial" w:cs="Arial"/>
        </w:rPr>
      </w:pPr>
      <w:r w:rsidRPr="00A15264">
        <w:rPr>
          <w:rFonts w:ascii="Arial" w:hAnsi="Arial" w:cs="Arial"/>
          <w:color w:val="212121"/>
          <w:shd w:val="clear" w:color="auto" w:fill="FFFFFF"/>
        </w:rPr>
        <w:t>Highlight important information in a simple quick way, you can judge a company just by looking at a few numbers instead of reading all the financial statements.</w:t>
      </w:r>
    </w:p>
    <w:p w:rsidR="00CC46F9" w:rsidRDefault="00E00920" w:rsidP="00E00920">
      <w:pPr>
        <w:rPr>
          <w:rFonts w:ascii="Arial" w:hAnsi="Arial" w:cs="Arial"/>
          <w:b/>
          <w:sz w:val="24"/>
          <w:szCs w:val="24"/>
        </w:rPr>
      </w:pPr>
      <w:r w:rsidRPr="00FC0553">
        <w:rPr>
          <w:rFonts w:ascii="Arial" w:hAnsi="Arial" w:cs="Arial"/>
          <w:b/>
          <w:sz w:val="24"/>
          <w:szCs w:val="24"/>
        </w:rPr>
        <w:t>R</w:t>
      </w:r>
      <w:r>
        <w:rPr>
          <w:rFonts w:ascii="Arial" w:hAnsi="Arial" w:cs="Arial"/>
          <w:b/>
          <w:sz w:val="24"/>
          <w:szCs w:val="24"/>
        </w:rPr>
        <w:t>ecommendation</w:t>
      </w:r>
    </w:p>
    <w:p w:rsidR="006F5914" w:rsidRPr="00A15264" w:rsidRDefault="006F5914" w:rsidP="00A15264">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eastAsia="en-GB"/>
        </w:rPr>
      </w:pPr>
      <w:r w:rsidRPr="00A15264">
        <w:rPr>
          <w:rFonts w:ascii="Arial" w:eastAsia="Times New Roman" w:hAnsi="Arial" w:cs="Arial"/>
          <w:color w:val="212121"/>
          <w:lang w:val="en" w:eastAsia="en-GB"/>
        </w:rPr>
        <w:t>Know the competition to have a point of reference in the market.</w:t>
      </w:r>
    </w:p>
    <w:p w:rsidR="006F5914" w:rsidRPr="00A15264" w:rsidRDefault="006F5914" w:rsidP="00A15264">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r w:rsidRPr="00A15264">
        <w:rPr>
          <w:rFonts w:ascii="Arial" w:eastAsia="Times New Roman" w:hAnsi="Arial" w:cs="Arial"/>
          <w:color w:val="212121"/>
          <w:lang w:val="en" w:eastAsia="en-GB"/>
        </w:rPr>
        <w:t>Develop objectives in accordance with the strategic plan of the company so that it is in balance with the objectives and strategies proposed for the proper functioning.</w:t>
      </w:r>
    </w:p>
    <w:p w:rsidR="006F5914" w:rsidRPr="00A15264" w:rsidRDefault="006F5914" w:rsidP="00A15264">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r w:rsidRPr="00A15264">
        <w:rPr>
          <w:rFonts w:ascii="Arial" w:eastAsia="Times New Roman" w:hAnsi="Arial" w:cs="Arial"/>
          <w:color w:val="212121"/>
          <w:lang w:val="en" w:eastAsia="en-GB"/>
        </w:rPr>
        <w:t xml:space="preserve">Determine the strategies of the marketing area according to the marketing plan of </w:t>
      </w:r>
      <w:r w:rsidR="00B55645" w:rsidRPr="00A15264">
        <w:rPr>
          <w:rFonts w:ascii="Arial" w:eastAsia="Times New Roman" w:hAnsi="Arial" w:cs="Arial"/>
          <w:color w:val="212121"/>
          <w:lang w:val="en" w:eastAsia="en-GB"/>
        </w:rPr>
        <w:t>John</w:t>
      </w:r>
      <w:r w:rsidRPr="00A15264">
        <w:rPr>
          <w:rFonts w:ascii="Arial" w:eastAsia="Times New Roman" w:hAnsi="Arial" w:cs="Arial"/>
          <w:color w:val="212121"/>
          <w:lang w:val="en" w:eastAsia="en-GB"/>
        </w:rPr>
        <w:t xml:space="preserve"> Lewis.</w:t>
      </w:r>
    </w:p>
    <w:p w:rsidR="006F5914" w:rsidRPr="00A15264" w:rsidRDefault="006F5914" w:rsidP="00A15264">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eastAsia="en-GB"/>
        </w:rPr>
      </w:pPr>
      <w:r w:rsidRPr="00A15264">
        <w:rPr>
          <w:rFonts w:ascii="Arial" w:eastAsia="Times New Roman" w:hAnsi="Arial" w:cs="Arial"/>
          <w:color w:val="212121"/>
          <w:lang w:val="en" w:eastAsia="en-GB"/>
        </w:rPr>
        <w:t>Make constant innovations in the market making possible the customer loyalty with both the brand and the product.</w:t>
      </w:r>
    </w:p>
    <w:p w:rsidR="006F5914" w:rsidRPr="00A15264" w:rsidRDefault="006F5914" w:rsidP="00A15264">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eastAsia="en-GB"/>
        </w:rPr>
      </w:pPr>
      <w:r w:rsidRPr="00A15264">
        <w:rPr>
          <w:rFonts w:ascii="Arial" w:eastAsia="Times New Roman" w:hAnsi="Arial" w:cs="Arial"/>
          <w:color w:val="212121"/>
          <w:lang w:val="en" w:eastAsia="en-GB"/>
        </w:rPr>
        <w:t>To provide employees with better labor guarantees by motivating them and training them with quality parameters and good consumer service</w:t>
      </w:r>
    </w:p>
    <w:p w:rsidR="006F5914" w:rsidRPr="00A15264" w:rsidRDefault="00B55645" w:rsidP="00A15264">
      <w:pPr>
        <w:pStyle w:val="ListParagraph"/>
        <w:numPr>
          <w:ilvl w:val="0"/>
          <w:numId w:val="6"/>
        </w:num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eastAsia="en-GB"/>
        </w:rPr>
      </w:pPr>
      <w:r w:rsidRPr="00A15264">
        <w:rPr>
          <w:rFonts w:ascii="Arial" w:hAnsi="Arial" w:cs="Arial"/>
          <w:color w:val="212121"/>
          <w:shd w:val="clear" w:color="auto" w:fill="FFFFFF"/>
        </w:rPr>
        <w:t>Strengthen the financial area of ​​the company because based on this is to make decisions and take risks to make the company better and more competitive day in the market.</w:t>
      </w:r>
    </w:p>
    <w:p w:rsidR="00DD2B02" w:rsidRDefault="00DD2B02" w:rsidP="00DD2B02">
      <w:pPr>
        <w:pStyle w:val="ListParagraph"/>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Arial" w:hAnsi="Arial" w:cs="Arial"/>
          <w:color w:val="212121"/>
          <w:sz w:val="24"/>
          <w:szCs w:val="24"/>
          <w:shd w:val="clear" w:color="auto" w:fill="FFFFFF"/>
        </w:rPr>
      </w:pPr>
    </w:p>
    <w:p w:rsidR="00DB5348" w:rsidRDefault="00DB5348" w:rsidP="008D6ECD">
      <w:pPr>
        <w:pStyle w:val="HTMLPreformatted"/>
        <w:shd w:val="clear" w:color="auto" w:fill="FFFFFF"/>
        <w:spacing w:line="360" w:lineRule="auto"/>
        <w:jc w:val="both"/>
        <w:rPr>
          <w:rFonts w:ascii="Arial" w:hAnsi="Arial" w:cs="Arial"/>
          <w:b/>
          <w:sz w:val="24"/>
          <w:szCs w:val="24"/>
        </w:rPr>
      </w:pPr>
    </w:p>
    <w:p w:rsidR="00B04914" w:rsidRDefault="00B04914" w:rsidP="008D6ECD">
      <w:pPr>
        <w:pStyle w:val="HTMLPreformatted"/>
        <w:shd w:val="clear" w:color="auto" w:fill="FFFFFF"/>
        <w:spacing w:line="360" w:lineRule="auto"/>
        <w:jc w:val="both"/>
        <w:rPr>
          <w:rFonts w:ascii="Arial" w:hAnsi="Arial" w:cs="Arial"/>
          <w:b/>
          <w:sz w:val="24"/>
          <w:szCs w:val="24"/>
        </w:rPr>
      </w:pPr>
    </w:p>
    <w:p w:rsidR="00B04914" w:rsidRDefault="00B04914" w:rsidP="008D6ECD">
      <w:pPr>
        <w:pStyle w:val="HTMLPreformatted"/>
        <w:shd w:val="clear" w:color="auto" w:fill="FFFFFF"/>
        <w:spacing w:line="360" w:lineRule="auto"/>
        <w:jc w:val="both"/>
        <w:rPr>
          <w:rFonts w:ascii="Arial" w:hAnsi="Arial" w:cs="Arial"/>
          <w:b/>
          <w:sz w:val="24"/>
          <w:szCs w:val="24"/>
        </w:rPr>
      </w:pPr>
    </w:p>
    <w:p w:rsidR="00B04914" w:rsidRDefault="00B04914" w:rsidP="008D6ECD">
      <w:pPr>
        <w:pStyle w:val="HTMLPreformatted"/>
        <w:shd w:val="clear" w:color="auto" w:fill="FFFFFF"/>
        <w:spacing w:line="360" w:lineRule="auto"/>
        <w:jc w:val="both"/>
        <w:rPr>
          <w:rFonts w:ascii="Arial" w:hAnsi="Arial" w:cs="Arial"/>
          <w:b/>
          <w:sz w:val="24"/>
          <w:szCs w:val="24"/>
        </w:rPr>
      </w:pPr>
    </w:p>
    <w:p w:rsidR="00B04914" w:rsidRDefault="00B04914" w:rsidP="008D6ECD">
      <w:pPr>
        <w:pStyle w:val="HTMLPreformatted"/>
        <w:shd w:val="clear" w:color="auto" w:fill="FFFFFF"/>
        <w:spacing w:line="360" w:lineRule="auto"/>
        <w:jc w:val="both"/>
        <w:rPr>
          <w:rFonts w:ascii="Arial" w:hAnsi="Arial" w:cs="Arial"/>
          <w:b/>
          <w:sz w:val="24"/>
          <w:szCs w:val="24"/>
        </w:rPr>
      </w:pPr>
    </w:p>
    <w:p w:rsidR="00B04914" w:rsidRDefault="00B04914" w:rsidP="008D6ECD">
      <w:pPr>
        <w:pStyle w:val="HTMLPreformatted"/>
        <w:shd w:val="clear" w:color="auto" w:fill="FFFFFF"/>
        <w:spacing w:line="360" w:lineRule="auto"/>
        <w:jc w:val="both"/>
        <w:rPr>
          <w:rFonts w:ascii="Arial" w:hAnsi="Arial" w:cs="Arial"/>
          <w:b/>
          <w:sz w:val="24"/>
          <w:szCs w:val="24"/>
        </w:rPr>
      </w:pPr>
    </w:p>
    <w:p w:rsidR="00A31CEE" w:rsidRDefault="00A31CEE" w:rsidP="008D6ECD">
      <w:pPr>
        <w:pStyle w:val="HTMLPreformatted"/>
        <w:shd w:val="clear" w:color="auto" w:fill="FFFFFF"/>
        <w:spacing w:line="360" w:lineRule="auto"/>
        <w:jc w:val="both"/>
        <w:rPr>
          <w:rFonts w:ascii="Arial" w:hAnsi="Arial" w:cs="Arial"/>
          <w:b/>
          <w:sz w:val="24"/>
          <w:szCs w:val="24"/>
        </w:rPr>
      </w:pPr>
      <w:r w:rsidRPr="00220861">
        <w:rPr>
          <w:rFonts w:ascii="Arial" w:hAnsi="Arial" w:cs="Arial"/>
          <w:b/>
          <w:sz w:val="24"/>
          <w:szCs w:val="24"/>
        </w:rPr>
        <w:lastRenderedPageBreak/>
        <w:t xml:space="preserve">PART </w:t>
      </w:r>
      <w:r w:rsidR="008E5ADA">
        <w:rPr>
          <w:rFonts w:ascii="Arial" w:hAnsi="Arial" w:cs="Arial"/>
          <w:b/>
          <w:sz w:val="24"/>
          <w:szCs w:val="24"/>
        </w:rPr>
        <w:t>(</w:t>
      </w:r>
      <w:r w:rsidRPr="00220861">
        <w:rPr>
          <w:rFonts w:ascii="Arial" w:hAnsi="Arial" w:cs="Arial"/>
          <w:b/>
          <w:sz w:val="24"/>
          <w:szCs w:val="24"/>
        </w:rPr>
        <w:t>C</w:t>
      </w:r>
      <w:r w:rsidR="008E5ADA">
        <w:rPr>
          <w:rFonts w:ascii="Arial" w:hAnsi="Arial" w:cs="Arial"/>
          <w:b/>
          <w:sz w:val="24"/>
          <w:szCs w:val="24"/>
        </w:rPr>
        <w:t>)</w:t>
      </w:r>
      <w:r w:rsidRPr="00220861">
        <w:rPr>
          <w:rFonts w:ascii="Arial" w:hAnsi="Arial" w:cs="Arial"/>
          <w:b/>
          <w:sz w:val="24"/>
          <w:szCs w:val="24"/>
        </w:rPr>
        <w:t>.</w:t>
      </w:r>
    </w:p>
    <w:p w:rsidR="008E5ADA" w:rsidRPr="008E5ADA" w:rsidRDefault="008E5ADA" w:rsidP="008E5ADA">
      <w:pPr>
        <w:pStyle w:val="HTMLPreformatted"/>
        <w:shd w:val="clear" w:color="auto" w:fill="FFFFFF"/>
        <w:spacing w:line="360" w:lineRule="auto"/>
        <w:jc w:val="both"/>
        <w:rPr>
          <w:rFonts w:ascii="Arial" w:hAnsi="Arial" w:cs="Arial"/>
          <w:color w:val="212121"/>
          <w:sz w:val="22"/>
          <w:szCs w:val="22"/>
        </w:rPr>
      </w:pPr>
      <w:r w:rsidRPr="008E5ADA">
        <w:rPr>
          <w:rFonts w:ascii="Arial" w:hAnsi="Arial" w:cs="Arial"/>
          <w:color w:val="212121"/>
          <w:sz w:val="22"/>
          <w:szCs w:val="22"/>
        </w:rPr>
        <w:t xml:space="preserve">Carry out investment appraisal techniques to evaluate the following two projects: </w:t>
      </w:r>
    </w:p>
    <w:p w:rsidR="008E5ADA" w:rsidRPr="008E5ADA" w:rsidRDefault="008E5ADA" w:rsidP="008E5ADA">
      <w:pPr>
        <w:pStyle w:val="HTMLPreformatted"/>
        <w:shd w:val="clear" w:color="auto" w:fill="FFFFFF"/>
        <w:spacing w:line="360" w:lineRule="auto"/>
        <w:jc w:val="both"/>
        <w:rPr>
          <w:rFonts w:ascii="Arial" w:hAnsi="Arial" w:cs="Arial"/>
          <w:color w:val="212121"/>
          <w:sz w:val="22"/>
          <w:szCs w:val="22"/>
        </w:rPr>
      </w:pPr>
      <w:r w:rsidRPr="008E5ADA">
        <w:rPr>
          <w:rFonts w:ascii="Arial" w:hAnsi="Arial" w:cs="Arial"/>
          <w:color w:val="212121"/>
          <w:sz w:val="22"/>
          <w:szCs w:val="22"/>
        </w:rPr>
        <w:t xml:space="preserve"> </w:t>
      </w:r>
    </w:p>
    <w:p w:rsidR="008E5ADA" w:rsidRDefault="008E5ADA" w:rsidP="008E5ADA">
      <w:pPr>
        <w:pStyle w:val="HTMLPreformatted"/>
        <w:shd w:val="clear" w:color="auto" w:fill="FFFFFF"/>
        <w:spacing w:line="360" w:lineRule="auto"/>
        <w:jc w:val="both"/>
        <w:rPr>
          <w:rFonts w:ascii="Arial" w:hAnsi="Arial" w:cs="Arial"/>
          <w:color w:val="212121"/>
          <w:sz w:val="22"/>
          <w:szCs w:val="22"/>
        </w:rPr>
      </w:pPr>
      <w:r w:rsidRPr="008E5ADA">
        <w:rPr>
          <w:rFonts w:ascii="Arial" w:hAnsi="Arial" w:cs="Arial"/>
          <w:color w:val="212121"/>
          <w:sz w:val="22"/>
          <w:szCs w:val="22"/>
        </w:rPr>
        <w:t>Assume that the company you chose in part a) has been researching the prospects for a range of new investment opportunities. The cash flow details of two promising projects (which are mutually exclusive) are given below</w:t>
      </w:r>
      <w:r>
        <w:rPr>
          <w:rFonts w:ascii="Arial" w:hAnsi="Arial" w:cs="Arial"/>
          <w:color w:val="212121"/>
          <w:sz w:val="22"/>
          <w:szCs w:val="22"/>
        </w:rPr>
        <w:t xml:space="preserve">. </w:t>
      </w:r>
    </w:p>
    <w:p w:rsidR="008E5ADA" w:rsidRPr="008D6ECD" w:rsidRDefault="008E5ADA" w:rsidP="008E5ADA">
      <w:pPr>
        <w:pStyle w:val="HTMLPreformatted"/>
        <w:shd w:val="clear" w:color="auto" w:fill="FFFFFF"/>
        <w:spacing w:line="360" w:lineRule="auto"/>
        <w:jc w:val="both"/>
        <w:rPr>
          <w:rFonts w:ascii="Arial" w:hAnsi="Arial" w:cs="Arial"/>
          <w:color w:val="212121"/>
          <w:sz w:val="22"/>
          <w:szCs w:val="22"/>
        </w:rPr>
      </w:pPr>
    </w:p>
    <w:p w:rsidR="004778FA" w:rsidRPr="00A15264" w:rsidRDefault="004778FA" w:rsidP="00A15264">
      <w:pPr>
        <w:pStyle w:val="ListParagraph"/>
        <w:numPr>
          <w:ilvl w:val="0"/>
          <w:numId w:val="13"/>
        </w:numPr>
        <w:spacing w:line="360" w:lineRule="auto"/>
        <w:jc w:val="both"/>
        <w:rPr>
          <w:rFonts w:ascii="Arial" w:hAnsi="Arial" w:cs="Arial"/>
          <w:b/>
        </w:rPr>
      </w:pPr>
      <w:r w:rsidRPr="00A15264">
        <w:rPr>
          <w:rFonts w:ascii="Arial" w:hAnsi="Arial" w:cs="Arial"/>
          <w:b/>
        </w:rPr>
        <w:t>Calculation of Viability of Project A and B through different methods shown below:</w:t>
      </w:r>
    </w:p>
    <w:tbl>
      <w:tblPr>
        <w:tblpPr w:leftFromText="180" w:rightFromText="180" w:vertAnchor="text" w:tblpY="4"/>
        <w:tblW w:w="3060" w:type="dxa"/>
        <w:tblLook w:val="04A0" w:firstRow="1" w:lastRow="0" w:firstColumn="1" w:lastColumn="0" w:noHBand="0" w:noVBand="1"/>
      </w:tblPr>
      <w:tblGrid>
        <w:gridCol w:w="1020"/>
        <w:gridCol w:w="1020"/>
        <w:gridCol w:w="1020"/>
      </w:tblGrid>
      <w:tr w:rsidR="00A31CEE" w:rsidRPr="00A31CEE" w:rsidTr="00A31CEE">
        <w:trPr>
          <w:trHeight w:val="285"/>
        </w:trPr>
        <w:tc>
          <w:tcPr>
            <w:tcW w:w="1020" w:type="dxa"/>
            <w:tcBorders>
              <w:top w:val="single" w:sz="4" w:space="0" w:color="auto"/>
              <w:left w:val="single" w:sz="4" w:space="0" w:color="auto"/>
              <w:bottom w:val="single" w:sz="4" w:space="0" w:color="auto"/>
              <w:right w:val="single" w:sz="4" w:space="0" w:color="auto"/>
            </w:tcBorders>
            <w:shd w:val="clear" w:color="000000" w:fill="C4D79B"/>
            <w:noWrap/>
            <w:vAlign w:val="bottom"/>
            <w:hideMark/>
          </w:tcPr>
          <w:p w:rsidR="00A31CEE" w:rsidRPr="00A31CEE" w:rsidRDefault="00A31CEE" w:rsidP="00A31CEE">
            <w:pPr>
              <w:spacing w:after="0" w:line="240" w:lineRule="auto"/>
              <w:rPr>
                <w:rFonts w:ascii="Calibri" w:eastAsia="Times New Roman" w:hAnsi="Calibri" w:cs="Calibri"/>
                <w:b/>
                <w:bCs/>
                <w:color w:val="000000"/>
                <w:lang w:eastAsia="en-GB"/>
              </w:rPr>
            </w:pPr>
            <w:r w:rsidRPr="00A31CEE">
              <w:rPr>
                <w:rFonts w:ascii="Calibri" w:eastAsia="Times New Roman" w:hAnsi="Calibri" w:cs="Calibri"/>
                <w:b/>
                <w:bCs/>
                <w:color w:val="000000"/>
                <w:lang w:eastAsia="en-GB"/>
              </w:rPr>
              <w:t>YEAR</w:t>
            </w:r>
          </w:p>
        </w:tc>
        <w:tc>
          <w:tcPr>
            <w:tcW w:w="1020" w:type="dxa"/>
            <w:tcBorders>
              <w:top w:val="single" w:sz="4" w:space="0" w:color="auto"/>
              <w:left w:val="nil"/>
              <w:bottom w:val="single" w:sz="4" w:space="0" w:color="auto"/>
              <w:right w:val="single" w:sz="4" w:space="0" w:color="auto"/>
            </w:tcBorders>
            <w:shd w:val="clear" w:color="000000" w:fill="C4D79B"/>
            <w:noWrap/>
            <w:vAlign w:val="bottom"/>
            <w:hideMark/>
          </w:tcPr>
          <w:p w:rsidR="00A31CEE" w:rsidRPr="00A31CEE" w:rsidRDefault="00A31CEE" w:rsidP="00A31CEE">
            <w:pPr>
              <w:spacing w:after="0" w:line="240" w:lineRule="auto"/>
              <w:rPr>
                <w:rFonts w:ascii="Calibri" w:eastAsia="Times New Roman" w:hAnsi="Calibri" w:cs="Calibri"/>
                <w:b/>
                <w:bCs/>
                <w:color w:val="000000"/>
                <w:lang w:eastAsia="en-GB"/>
              </w:rPr>
            </w:pPr>
            <w:r w:rsidRPr="00A31CEE">
              <w:rPr>
                <w:rFonts w:ascii="Calibri" w:eastAsia="Times New Roman" w:hAnsi="Calibri" w:cs="Calibri"/>
                <w:b/>
                <w:bCs/>
                <w:color w:val="000000"/>
                <w:lang w:eastAsia="en-GB"/>
              </w:rPr>
              <w:t xml:space="preserve">PROJECT A </w:t>
            </w:r>
          </w:p>
        </w:tc>
        <w:tc>
          <w:tcPr>
            <w:tcW w:w="1020" w:type="dxa"/>
            <w:tcBorders>
              <w:top w:val="single" w:sz="4" w:space="0" w:color="auto"/>
              <w:left w:val="nil"/>
              <w:bottom w:val="single" w:sz="4" w:space="0" w:color="auto"/>
              <w:right w:val="single" w:sz="4" w:space="0" w:color="auto"/>
            </w:tcBorders>
            <w:shd w:val="clear" w:color="000000" w:fill="C4D79B"/>
            <w:noWrap/>
            <w:vAlign w:val="bottom"/>
            <w:hideMark/>
          </w:tcPr>
          <w:p w:rsidR="00A31CEE" w:rsidRPr="00A31CEE" w:rsidRDefault="00A31CEE" w:rsidP="00A31CEE">
            <w:pPr>
              <w:spacing w:after="0" w:line="240" w:lineRule="auto"/>
              <w:rPr>
                <w:rFonts w:ascii="Calibri" w:eastAsia="Times New Roman" w:hAnsi="Calibri" w:cs="Calibri"/>
                <w:b/>
                <w:bCs/>
                <w:color w:val="000000"/>
                <w:lang w:eastAsia="en-GB"/>
              </w:rPr>
            </w:pPr>
            <w:r w:rsidRPr="00A31CEE">
              <w:rPr>
                <w:rFonts w:ascii="Calibri" w:eastAsia="Times New Roman" w:hAnsi="Calibri" w:cs="Calibri"/>
                <w:b/>
                <w:bCs/>
                <w:color w:val="000000"/>
                <w:lang w:eastAsia="en-GB"/>
              </w:rPr>
              <w:t>PROJECT B</w:t>
            </w:r>
          </w:p>
        </w:tc>
      </w:tr>
      <w:tr w:rsidR="00A31CEE" w:rsidRPr="00A31CEE" w:rsidTr="00A31CEE">
        <w:trPr>
          <w:trHeight w:val="285"/>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0</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-85</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-90</w:t>
            </w:r>
          </w:p>
        </w:tc>
      </w:tr>
      <w:tr w:rsidR="00A31CEE" w:rsidRPr="00A31CEE" w:rsidTr="00A31CEE">
        <w:trPr>
          <w:trHeight w:val="285"/>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1</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10</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25</w:t>
            </w:r>
          </w:p>
        </w:tc>
      </w:tr>
      <w:tr w:rsidR="00A31CEE" w:rsidRPr="00A31CEE" w:rsidTr="00A31CEE">
        <w:trPr>
          <w:trHeight w:val="285"/>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2</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20</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1D3D89" w:rsidP="00A15264">
            <w:pPr>
              <w:spacing w:after="0" w:line="240" w:lineRule="auto"/>
              <w:jc w:val="center"/>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00A31CEE" w:rsidRPr="00A31CEE">
              <w:rPr>
                <w:rFonts w:ascii="Calibri" w:eastAsia="Times New Roman" w:hAnsi="Calibri" w:cs="Calibri"/>
                <w:color w:val="000000"/>
                <w:lang w:eastAsia="en-GB"/>
              </w:rPr>
              <w:t>30</w:t>
            </w:r>
          </w:p>
        </w:tc>
      </w:tr>
      <w:tr w:rsidR="00A31CEE" w:rsidRPr="00A31CEE" w:rsidTr="00A31CEE">
        <w:trPr>
          <w:trHeight w:val="285"/>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3</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40</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35</w:t>
            </w:r>
          </w:p>
        </w:tc>
      </w:tr>
      <w:tr w:rsidR="00A31CEE" w:rsidRPr="00A31CEE" w:rsidTr="00A31CEE">
        <w:trPr>
          <w:trHeight w:val="285"/>
        </w:trPr>
        <w:tc>
          <w:tcPr>
            <w:tcW w:w="1020" w:type="dxa"/>
            <w:tcBorders>
              <w:top w:val="nil"/>
              <w:left w:val="single" w:sz="4" w:space="0" w:color="auto"/>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4</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55</w:t>
            </w:r>
          </w:p>
        </w:tc>
        <w:tc>
          <w:tcPr>
            <w:tcW w:w="1020" w:type="dxa"/>
            <w:tcBorders>
              <w:top w:val="nil"/>
              <w:left w:val="nil"/>
              <w:bottom w:val="single" w:sz="4" w:space="0" w:color="auto"/>
              <w:right w:val="single" w:sz="4" w:space="0" w:color="auto"/>
            </w:tcBorders>
            <w:shd w:val="clear" w:color="auto" w:fill="auto"/>
            <w:noWrap/>
            <w:vAlign w:val="bottom"/>
            <w:hideMark/>
          </w:tcPr>
          <w:p w:rsidR="00A31CEE" w:rsidRPr="00A31CEE" w:rsidRDefault="00A31CEE" w:rsidP="00A31CEE">
            <w:pPr>
              <w:spacing w:after="0" w:line="240" w:lineRule="auto"/>
              <w:jc w:val="right"/>
              <w:rPr>
                <w:rFonts w:ascii="Calibri" w:eastAsia="Times New Roman" w:hAnsi="Calibri" w:cs="Calibri"/>
                <w:color w:val="000000"/>
                <w:lang w:eastAsia="en-GB"/>
              </w:rPr>
            </w:pPr>
            <w:r w:rsidRPr="00A31CEE">
              <w:rPr>
                <w:rFonts w:ascii="Calibri" w:eastAsia="Times New Roman" w:hAnsi="Calibri" w:cs="Calibri"/>
                <w:color w:val="000000"/>
                <w:lang w:eastAsia="en-GB"/>
              </w:rPr>
              <w:t>40</w:t>
            </w:r>
          </w:p>
        </w:tc>
      </w:tr>
    </w:tbl>
    <w:p w:rsidR="00A31CEE" w:rsidRDefault="00A31CEE" w:rsidP="009D051E">
      <w:pPr>
        <w:jc w:val="both"/>
        <w:rPr>
          <w:rFonts w:ascii="Arial" w:hAnsi="Arial" w:cs="Arial"/>
          <w:sz w:val="24"/>
          <w:szCs w:val="24"/>
        </w:rPr>
      </w:pPr>
    </w:p>
    <w:p w:rsidR="00A31CEE" w:rsidRDefault="00A31CEE" w:rsidP="009D051E">
      <w:pPr>
        <w:jc w:val="both"/>
        <w:rPr>
          <w:rFonts w:ascii="Arial" w:hAnsi="Arial" w:cs="Arial"/>
          <w:sz w:val="24"/>
          <w:szCs w:val="24"/>
        </w:rPr>
      </w:pPr>
    </w:p>
    <w:p w:rsidR="00A31CEE" w:rsidRDefault="00A31CEE" w:rsidP="00A31CEE">
      <w:pPr>
        <w:jc w:val="both"/>
        <w:rPr>
          <w:rFonts w:ascii="Arial" w:hAnsi="Arial" w:cs="Arial"/>
          <w:sz w:val="24"/>
          <w:szCs w:val="24"/>
        </w:rPr>
      </w:pPr>
    </w:p>
    <w:p w:rsidR="00A31CEE" w:rsidRPr="00B27D30" w:rsidRDefault="00A31CEE" w:rsidP="00A31CEE">
      <w:pPr>
        <w:jc w:val="both"/>
        <w:rPr>
          <w:rFonts w:ascii="Arial" w:hAnsi="Arial" w:cs="Arial"/>
          <w:b/>
          <w:sz w:val="24"/>
          <w:szCs w:val="24"/>
        </w:rPr>
      </w:pPr>
    </w:p>
    <w:p w:rsidR="00A31CEE" w:rsidRDefault="00A31CEE" w:rsidP="00A31CEE">
      <w:pPr>
        <w:jc w:val="both"/>
        <w:rPr>
          <w:rFonts w:ascii="Arial" w:hAnsi="Arial" w:cs="Arial"/>
          <w:sz w:val="24"/>
          <w:szCs w:val="24"/>
        </w:rPr>
      </w:pPr>
    </w:p>
    <w:p w:rsidR="00D21B7B" w:rsidRDefault="00D21B7B" w:rsidP="00D21B7B">
      <w:pPr>
        <w:pStyle w:val="ListParagraph"/>
        <w:numPr>
          <w:ilvl w:val="0"/>
          <w:numId w:val="12"/>
        </w:numPr>
        <w:jc w:val="both"/>
        <w:rPr>
          <w:rFonts w:ascii="Arial" w:hAnsi="Arial" w:cs="Arial"/>
          <w:b/>
          <w:sz w:val="24"/>
          <w:szCs w:val="24"/>
        </w:rPr>
      </w:pPr>
      <w:r w:rsidRPr="00D21B7B">
        <w:rPr>
          <w:rFonts w:ascii="Arial" w:hAnsi="Arial" w:cs="Arial"/>
          <w:b/>
          <w:sz w:val="24"/>
          <w:szCs w:val="24"/>
        </w:rPr>
        <w:t>NET PRESENT VALUE</w:t>
      </w:r>
      <w:r w:rsidR="00EC7BD2">
        <w:rPr>
          <w:rFonts w:ascii="Arial" w:hAnsi="Arial" w:cs="Arial"/>
          <w:b/>
          <w:sz w:val="24"/>
          <w:szCs w:val="24"/>
        </w:rPr>
        <w:t xml:space="preserve"> (NPV)</w:t>
      </w:r>
    </w:p>
    <w:p w:rsidR="00DB5348" w:rsidRPr="00BD7416" w:rsidRDefault="00DB5348" w:rsidP="00BD741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eastAsia="en-GB"/>
        </w:rPr>
      </w:pPr>
      <w:r w:rsidRPr="00BD7416">
        <w:rPr>
          <w:rFonts w:ascii="Arial" w:eastAsia="Times New Roman" w:hAnsi="Arial" w:cs="Arial"/>
          <w:color w:val="212121"/>
          <w:lang w:val="en" w:eastAsia="en-GB"/>
        </w:rPr>
        <w:t xml:space="preserve">The Net Present Value (NPV) is the best known method when evaluating long-term investment projects. The Net Present Value allows </w:t>
      </w:r>
      <w:r w:rsidR="00BD7416" w:rsidRPr="00BD7416">
        <w:rPr>
          <w:rFonts w:ascii="Arial" w:eastAsia="Times New Roman" w:hAnsi="Arial" w:cs="Arial"/>
          <w:color w:val="212121"/>
          <w:lang w:val="en" w:eastAsia="en-GB"/>
        </w:rPr>
        <w:t>determining</w:t>
      </w:r>
      <w:r w:rsidRPr="00BD7416">
        <w:rPr>
          <w:rFonts w:ascii="Arial" w:eastAsia="Times New Roman" w:hAnsi="Arial" w:cs="Arial"/>
          <w:color w:val="212121"/>
          <w:lang w:val="en" w:eastAsia="en-GB"/>
        </w:rPr>
        <w:t xml:space="preserve"> if an investment fulfills the basic financial objective: MAXIMIZE the investment. The Net Present Value allows </w:t>
      </w:r>
      <w:r w:rsidR="00BD7416" w:rsidRPr="00BD7416">
        <w:rPr>
          <w:rFonts w:ascii="Arial" w:eastAsia="Times New Roman" w:hAnsi="Arial" w:cs="Arial"/>
          <w:color w:val="212121"/>
          <w:lang w:val="en" w:eastAsia="en-GB"/>
        </w:rPr>
        <w:t>determining</w:t>
      </w:r>
      <w:r w:rsidRPr="00BD7416">
        <w:rPr>
          <w:rFonts w:ascii="Arial" w:eastAsia="Times New Roman" w:hAnsi="Arial" w:cs="Arial"/>
          <w:color w:val="212121"/>
          <w:lang w:val="en" w:eastAsia="en-GB"/>
        </w:rPr>
        <w:t xml:space="preserve"> if said investment can increase or reduce the value invested</w:t>
      </w:r>
      <w:r w:rsidR="00BD7416">
        <w:rPr>
          <w:rFonts w:ascii="Arial" w:eastAsia="Times New Roman" w:hAnsi="Arial" w:cs="Arial"/>
          <w:color w:val="212121"/>
          <w:lang w:val="en" w:eastAsia="en-GB"/>
        </w:rPr>
        <w:t xml:space="preserve">. </w:t>
      </w:r>
      <w:sdt>
        <w:sdtPr>
          <w:rPr>
            <w:rFonts w:ascii="Arial" w:eastAsia="Times New Roman" w:hAnsi="Arial" w:cs="Arial"/>
            <w:color w:val="212121"/>
            <w:lang w:val="en" w:eastAsia="en-GB"/>
          </w:rPr>
          <w:id w:val="-121241884"/>
          <w:citation/>
        </w:sdtPr>
        <w:sdtEndPr/>
        <w:sdtContent>
          <w:r w:rsidR="00BD7416">
            <w:rPr>
              <w:rFonts w:ascii="Arial" w:eastAsia="Times New Roman" w:hAnsi="Arial" w:cs="Arial"/>
              <w:color w:val="212121"/>
              <w:lang w:val="en" w:eastAsia="en-GB"/>
            </w:rPr>
            <w:fldChar w:fldCharType="begin"/>
          </w:r>
          <w:r w:rsidR="00BD7416">
            <w:rPr>
              <w:rFonts w:ascii="Arial" w:eastAsia="Times New Roman" w:hAnsi="Arial" w:cs="Arial"/>
              <w:color w:val="212121"/>
              <w:lang w:eastAsia="en-GB"/>
            </w:rPr>
            <w:instrText xml:space="preserve"> CITATION Ber14 \l 2057 </w:instrText>
          </w:r>
          <w:r w:rsidR="00BD7416">
            <w:rPr>
              <w:rFonts w:ascii="Arial" w:eastAsia="Times New Roman" w:hAnsi="Arial" w:cs="Arial"/>
              <w:color w:val="212121"/>
              <w:lang w:val="en" w:eastAsia="en-GB"/>
            </w:rPr>
            <w:fldChar w:fldCharType="separate"/>
          </w:r>
          <w:r w:rsidR="00BD7416" w:rsidRPr="00BD7416">
            <w:rPr>
              <w:rFonts w:ascii="Arial" w:eastAsia="Times New Roman" w:hAnsi="Arial" w:cs="Arial"/>
              <w:noProof/>
              <w:color w:val="212121"/>
              <w:lang w:eastAsia="en-GB"/>
            </w:rPr>
            <w:t>(Demarzo, 2014)</w:t>
          </w:r>
          <w:r w:rsidR="00BD7416">
            <w:rPr>
              <w:rFonts w:ascii="Arial" w:eastAsia="Times New Roman" w:hAnsi="Arial" w:cs="Arial"/>
              <w:color w:val="212121"/>
              <w:lang w:val="en" w:eastAsia="en-GB"/>
            </w:rPr>
            <w:fldChar w:fldCharType="end"/>
          </w:r>
        </w:sdtContent>
      </w:sdt>
    </w:p>
    <w:p w:rsidR="00BD7416" w:rsidRDefault="00BD7416" w:rsidP="00220861">
      <w:pPr>
        <w:spacing w:line="240" w:lineRule="auto"/>
        <w:jc w:val="both"/>
        <w:rPr>
          <w:rFonts w:ascii="Arial" w:hAnsi="Arial" w:cs="Arial"/>
          <w:b/>
          <w:sz w:val="24"/>
          <w:szCs w:val="24"/>
        </w:rPr>
      </w:pPr>
    </w:p>
    <w:p w:rsidR="00A31CEE" w:rsidRDefault="00220861" w:rsidP="00220861">
      <w:pPr>
        <w:spacing w:line="240" w:lineRule="auto"/>
        <w:jc w:val="both"/>
        <w:rPr>
          <w:rFonts w:ascii="Arial" w:hAnsi="Arial" w:cs="Arial"/>
          <w:sz w:val="24"/>
          <w:szCs w:val="24"/>
        </w:rPr>
      </w:pPr>
      <w:r>
        <w:rPr>
          <w:rFonts w:ascii="Arial" w:hAnsi="Arial" w:cs="Arial"/>
          <w:sz w:val="24"/>
          <w:szCs w:val="24"/>
        </w:rPr>
        <w:t>NPV</w:t>
      </w:r>
      <w:r w:rsidR="00A31CEE">
        <w:rPr>
          <w:rFonts w:ascii="Arial" w:hAnsi="Arial" w:cs="Arial"/>
          <w:sz w:val="24"/>
          <w:szCs w:val="24"/>
        </w:rPr>
        <w:t>= -Co +C1</w:t>
      </w:r>
      <w:proofErr w:type="gramStart"/>
      <w:r w:rsidR="00A31CEE">
        <w:rPr>
          <w:rFonts w:ascii="Arial" w:hAnsi="Arial" w:cs="Arial"/>
          <w:sz w:val="24"/>
          <w:szCs w:val="24"/>
        </w:rPr>
        <w:t>/</w:t>
      </w:r>
      <w:r>
        <w:rPr>
          <w:rFonts w:ascii="Arial" w:hAnsi="Arial" w:cs="Arial"/>
          <w:sz w:val="24"/>
          <w:szCs w:val="24"/>
        </w:rPr>
        <w:t>(</w:t>
      </w:r>
      <w:proofErr w:type="gramEnd"/>
      <w:r w:rsidR="00A31CEE">
        <w:rPr>
          <w:rFonts w:ascii="Arial" w:hAnsi="Arial" w:cs="Arial"/>
          <w:sz w:val="24"/>
          <w:szCs w:val="24"/>
        </w:rPr>
        <w:t>1+r</w:t>
      </w:r>
      <w:r>
        <w:rPr>
          <w:rFonts w:ascii="Arial" w:hAnsi="Arial" w:cs="Arial"/>
          <w:sz w:val="24"/>
          <w:szCs w:val="24"/>
        </w:rPr>
        <w:t>)</w:t>
      </w:r>
      <w:r w:rsidR="00A31CEE">
        <w:rPr>
          <w:rFonts w:ascii="Arial" w:hAnsi="Arial" w:cs="Arial"/>
          <w:sz w:val="24"/>
          <w:szCs w:val="24"/>
        </w:rPr>
        <w:t>+C2/(1+r)</w:t>
      </w:r>
      <w:r>
        <w:rPr>
          <w:rFonts w:ascii="Arial" w:hAnsi="Arial" w:cs="Arial"/>
          <w:sz w:val="24"/>
          <w:szCs w:val="24"/>
        </w:rPr>
        <w:t>ⁿ+C3/(1+r)ⁿ…</w:t>
      </w:r>
    </w:p>
    <w:p w:rsidR="00220861" w:rsidRPr="00220861" w:rsidRDefault="00220861" w:rsidP="00220861">
      <w:pPr>
        <w:spacing w:line="240" w:lineRule="auto"/>
        <w:jc w:val="both"/>
        <w:rPr>
          <w:rFonts w:ascii="Arial" w:hAnsi="Arial" w:cs="Arial"/>
          <w:b/>
          <w:sz w:val="24"/>
          <w:szCs w:val="24"/>
        </w:rPr>
      </w:pPr>
      <w:r w:rsidRPr="00220861">
        <w:rPr>
          <w:rFonts w:ascii="Arial" w:hAnsi="Arial" w:cs="Arial"/>
          <w:b/>
          <w:sz w:val="24"/>
          <w:szCs w:val="24"/>
        </w:rPr>
        <w:t>PROJECT A</w:t>
      </w:r>
    </w:p>
    <w:p w:rsidR="00220861" w:rsidRPr="001D6A75" w:rsidRDefault="00220861" w:rsidP="00220861">
      <w:pPr>
        <w:spacing w:line="240" w:lineRule="auto"/>
        <w:jc w:val="both"/>
        <w:rPr>
          <w:rFonts w:ascii="Arial" w:hAnsi="Arial" w:cs="Arial"/>
          <w:i/>
          <w:sz w:val="24"/>
          <w:szCs w:val="24"/>
        </w:rPr>
      </w:pPr>
      <w:r w:rsidRPr="001D6A75">
        <w:rPr>
          <w:rFonts w:ascii="Arial" w:hAnsi="Arial" w:cs="Arial"/>
          <w:i/>
          <w:sz w:val="24"/>
          <w:szCs w:val="24"/>
        </w:rPr>
        <w:t>N</w:t>
      </w:r>
      <w:r w:rsidR="00200D34" w:rsidRPr="001D6A75">
        <w:rPr>
          <w:rFonts w:ascii="Arial" w:hAnsi="Arial" w:cs="Arial"/>
          <w:i/>
          <w:sz w:val="24"/>
          <w:szCs w:val="24"/>
        </w:rPr>
        <w:t>PV</w:t>
      </w:r>
      <w:r w:rsidRPr="001D6A75">
        <w:rPr>
          <w:rFonts w:ascii="Arial" w:hAnsi="Arial" w:cs="Arial"/>
          <w:i/>
          <w:sz w:val="24"/>
          <w:szCs w:val="24"/>
        </w:rPr>
        <w:t>= -85+10</w:t>
      </w:r>
      <w:proofErr w:type="gramStart"/>
      <w:r w:rsidRPr="001D6A75">
        <w:rPr>
          <w:rFonts w:ascii="Arial" w:hAnsi="Arial" w:cs="Arial"/>
          <w:i/>
          <w:sz w:val="24"/>
          <w:szCs w:val="24"/>
        </w:rPr>
        <w:t>/(</w:t>
      </w:r>
      <w:proofErr w:type="gramEnd"/>
      <w:r w:rsidRPr="001D6A75">
        <w:rPr>
          <w:rFonts w:ascii="Arial" w:hAnsi="Arial" w:cs="Arial"/>
          <w:i/>
          <w:sz w:val="24"/>
          <w:szCs w:val="24"/>
        </w:rPr>
        <w:t>1+10.5%)+20/(1+10.5%)ᴧ2+40/(1+10.5%)ᴧ3+55/(1+10.5%)ᴧ4</w:t>
      </w:r>
    </w:p>
    <w:p w:rsidR="00220861" w:rsidRPr="001D6A75" w:rsidRDefault="00220861" w:rsidP="00220861">
      <w:pPr>
        <w:spacing w:line="240" w:lineRule="auto"/>
        <w:jc w:val="both"/>
        <w:rPr>
          <w:rFonts w:ascii="Arial" w:hAnsi="Arial" w:cs="Arial"/>
          <w:b/>
          <w:i/>
          <w:sz w:val="24"/>
          <w:szCs w:val="24"/>
        </w:rPr>
      </w:pPr>
      <w:r w:rsidRPr="001D6A75">
        <w:rPr>
          <w:rFonts w:ascii="Arial" w:hAnsi="Arial" w:cs="Arial"/>
          <w:b/>
          <w:i/>
          <w:sz w:val="24"/>
          <w:szCs w:val="24"/>
        </w:rPr>
        <w:t>= 6.96</w:t>
      </w:r>
    </w:p>
    <w:p w:rsidR="00EB160D" w:rsidRDefault="00EB160D" w:rsidP="00220861">
      <w:pPr>
        <w:spacing w:line="240" w:lineRule="auto"/>
        <w:jc w:val="both"/>
        <w:rPr>
          <w:rFonts w:ascii="Arial" w:hAnsi="Arial" w:cs="Arial"/>
          <w:b/>
          <w:sz w:val="24"/>
          <w:szCs w:val="24"/>
        </w:rPr>
      </w:pPr>
    </w:p>
    <w:p w:rsidR="00220861" w:rsidRDefault="00220861" w:rsidP="00220861">
      <w:pPr>
        <w:spacing w:line="240" w:lineRule="auto"/>
        <w:jc w:val="both"/>
        <w:rPr>
          <w:rFonts w:ascii="Arial" w:hAnsi="Arial" w:cs="Arial"/>
          <w:b/>
          <w:sz w:val="24"/>
          <w:szCs w:val="24"/>
        </w:rPr>
      </w:pPr>
      <w:r>
        <w:rPr>
          <w:rFonts w:ascii="Arial" w:hAnsi="Arial" w:cs="Arial"/>
          <w:b/>
          <w:sz w:val="24"/>
          <w:szCs w:val="24"/>
        </w:rPr>
        <w:t>PROJECT B</w:t>
      </w:r>
    </w:p>
    <w:p w:rsidR="00220861" w:rsidRPr="001D6A75" w:rsidRDefault="00220861" w:rsidP="00220861">
      <w:pPr>
        <w:spacing w:line="240" w:lineRule="auto"/>
        <w:jc w:val="both"/>
        <w:rPr>
          <w:rFonts w:ascii="Arial" w:hAnsi="Arial" w:cs="Arial"/>
          <w:i/>
          <w:sz w:val="24"/>
          <w:szCs w:val="24"/>
        </w:rPr>
      </w:pPr>
      <w:r w:rsidRPr="001D6A75">
        <w:rPr>
          <w:rFonts w:ascii="Arial" w:hAnsi="Arial" w:cs="Arial"/>
          <w:i/>
          <w:sz w:val="24"/>
          <w:szCs w:val="24"/>
        </w:rPr>
        <w:t>N</w:t>
      </w:r>
      <w:r w:rsidR="00200D34" w:rsidRPr="001D6A75">
        <w:rPr>
          <w:rFonts w:ascii="Arial" w:hAnsi="Arial" w:cs="Arial"/>
          <w:i/>
          <w:sz w:val="24"/>
          <w:szCs w:val="24"/>
        </w:rPr>
        <w:t>PV</w:t>
      </w:r>
      <w:r w:rsidRPr="001D6A75">
        <w:rPr>
          <w:rFonts w:ascii="Arial" w:hAnsi="Arial" w:cs="Arial"/>
          <w:i/>
          <w:sz w:val="24"/>
          <w:szCs w:val="24"/>
        </w:rPr>
        <w:t>= -90+25</w:t>
      </w:r>
      <w:proofErr w:type="gramStart"/>
      <w:r w:rsidRPr="001D6A75">
        <w:rPr>
          <w:rFonts w:ascii="Arial" w:hAnsi="Arial" w:cs="Arial"/>
          <w:i/>
          <w:sz w:val="24"/>
          <w:szCs w:val="24"/>
        </w:rPr>
        <w:t>/(</w:t>
      </w:r>
      <w:proofErr w:type="gramEnd"/>
      <w:r w:rsidRPr="001D6A75">
        <w:rPr>
          <w:rFonts w:ascii="Arial" w:hAnsi="Arial" w:cs="Arial"/>
          <w:i/>
          <w:sz w:val="24"/>
          <w:szCs w:val="24"/>
        </w:rPr>
        <w:t>1+10.5%)+30/(1+10.5%)ᴧ2+35/(1+10.5%)ᴧ3+40/(1+10.5%)ᴧ4</w:t>
      </w:r>
    </w:p>
    <w:p w:rsidR="00220861" w:rsidRPr="001D6A75" w:rsidRDefault="00220861" w:rsidP="00220861">
      <w:pPr>
        <w:spacing w:line="240" w:lineRule="auto"/>
        <w:jc w:val="both"/>
        <w:rPr>
          <w:rFonts w:ascii="Arial" w:hAnsi="Arial" w:cs="Arial"/>
          <w:b/>
          <w:i/>
          <w:sz w:val="24"/>
          <w:szCs w:val="24"/>
        </w:rPr>
      </w:pPr>
      <w:r w:rsidRPr="001D6A75">
        <w:rPr>
          <w:rFonts w:ascii="Arial" w:hAnsi="Arial" w:cs="Arial"/>
          <w:b/>
          <w:i/>
          <w:sz w:val="24"/>
          <w:szCs w:val="24"/>
        </w:rPr>
        <w:t>=9.96</w:t>
      </w:r>
    </w:p>
    <w:p w:rsidR="006336B2" w:rsidRDefault="006336B2" w:rsidP="00220861">
      <w:pPr>
        <w:spacing w:line="240" w:lineRule="auto"/>
        <w:jc w:val="both"/>
        <w:rPr>
          <w:rFonts w:ascii="Arial" w:hAnsi="Arial" w:cs="Arial"/>
          <w:b/>
          <w:sz w:val="24"/>
          <w:szCs w:val="24"/>
        </w:rPr>
      </w:pPr>
      <w:r>
        <w:rPr>
          <w:rFonts w:ascii="Arial" w:hAnsi="Arial" w:cs="Arial"/>
          <w:b/>
          <w:sz w:val="24"/>
          <w:szCs w:val="24"/>
        </w:rPr>
        <w:t xml:space="preserve">Analysis </w:t>
      </w:r>
    </w:p>
    <w:p w:rsidR="007D3978" w:rsidRDefault="001D6A75" w:rsidP="00A15264">
      <w:pPr>
        <w:spacing w:line="360" w:lineRule="auto"/>
        <w:jc w:val="both"/>
        <w:rPr>
          <w:rFonts w:ascii="Arial" w:hAnsi="Arial" w:cs="Arial"/>
          <w:color w:val="212121"/>
          <w:shd w:val="clear" w:color="auto" w:fill="FFFFFF"/>
        </w:rPr>
      </w:pPr>
      <w:r>
        <w:rPr>
          <w:rFonts w:ascii="Arial" w:hAnsi="Arial" w:cs="Arial"/>
          <w:color w:val="212121"/>
          <w:shd w:val="clear" w:color="auto" w:fill="FFFFFF"/>
        </w:rPr>
        <w:t>In the evaluation of project A</w:t>
      </w:r>
      <w:r w:rsidR="006336B2">
        <w:rPr>
          <w:rFonts w:ascii="Arial" w:hAnsi="Arial" w:cs="Arial"/>
          <w:color w:val="212121"/>
          <w:shd w:val="clear" w:color="auto" w:fill="FFFFFF"/>
        </w:rPr>
        <w:t xml:space="preserve"> and project B with respect to the net present value, we can say that this project is totally feasible and viable for an investment, indicating that the money </w:t>
      </w:r>
      <w:r w:rsidR="006336B2">
        <w:rPr>
          <w:rFonts w:ascii="Arial" w:hAnsi="Arial" w:cs="Arial"/>
          <w:color w:val="212121"/>
          <w:shd w:val="clear" w:color="auto" w:fill="FFFFFF"/>
        </w:rPr>
        <w:lastRenderedPageBreak/>
        <w:t xml:space="preserve">invested in the project </w:t>
      </w:r>
      <w:r>
        <w:rPr>
          <w:rFonts w:ascii="Arial" w:hAnsi="Arial" w:cs="Arial"/>
          <w:color w:val="212121"/>
          <w:shd w:val="clear" w:color="auto" w:fill="FFFFFF"/>
        </w:rPr>
        <w:t xml:space="preserve">will cover the cost of </w:t>
      </w:r>
      <w:r w:rsidR="007D3978">
        <w:rPr>
          <w:rFonts w:ascii="Arial" w:hAnsi="Arial" w:cs="Arial"/>
          <w:color w:val="212121"/>
          <w:shd w:val="clear" w:color="auto" w:fill="FFFFFF"/>
        </w:rPr>
        <w:t xml:space="preserve">capital and will also deliver a return to the investors of 6.96 </w:t>
      </w:r>
      <w:r w:rsidR="00BD7416">
        <w:rPr>
          <w:rFonts w:ascii="Arial" w:hAnsi="Arial" w:cs="Arial"/>
          <w:color w:val="212121"/>
          <w:shd w:val="clear" w:color="auto" w:fill="FFFFFF"/>
        </w:rPr>
        <w:t>(Project</w:t>
      </w:r>
      <w:r w:rsidR="007D3978">
        <w:rPr>
          <w:rFonts w:ascii="Arial" w:hAnsi="Arial" w:cs="Arial"/>
          <w:color w:val="212121"/>
          <w:shd w:val="clear" w:color="auto" w:fill="FFFFFF"/>
        </w:rPr>
        <w:t xml:space="preserve"> A) and 9.96 (Project B)</w:t>
      </w:r>
      <w:r w:rsidR="006336B2">
        <w:rPr>
          <w:rFonts w:ascii="Arial" w:hAnsi="Arial" w:cs="Arial"/>
          <w:color w:val="212121"/>
          <w:shd w:val="clear" w:color="auto" w:fill="FFFFFF"/>
        </w:rPr>
        <w:t xml:space="preserve"> </w:t>
      </w:r>
    </w:p>
    <w:p w:rsidR="00BD7416" w:rsidRDefault="00BD7416" w:rsidP="00BD7416">
      <w:pPr>
        <w:pStyle w:val="ListParagraph"/>
        <w:spacing w:line="360" w:lineRule="auto"/>
        <w:jc w:val="both"/>
        <w:rPr>
          <w:rFonts w:ascii="Arial" w:hAnsi="Arial" w:cs="Arial"/>
          <w:b/>
          <w:lang w:val="en"/>
        </w:rPr>
      </w:pPr>
    </w:p>
    <w:p w:rsidR="00BD7416" w:rsidRPr="00BD7416" w:rsidRDefault="00D21B7B" w:rsidP="00BD7416">
      <w:pPr>
        <w:pStyle w:val="ListParagraph"/>
        <w:numPr>
          <w:ilvl w:val="0"/>
          <w:numId w:val="12"/>
        </w:numPr>
        <w:spacing w:line="360" w:lineRule="auto"/>
        <w:jc w:val="both"/>
        <w:rPr>
          <w:rFonts w:ascii="Arial" w:hAnsi="Arial" w:cs="Arial"/>
          <w:b/>
          <w:lang w:val="en"/>
        </w:rPr>
      </w:pPr>
      <w:r w:rsidRPr="007D3978">
        <w:rPr>
          <w:rFonts w:ascii="Arial" w:hAnsi="Arial" w:cs="Arial"/>
          <w:b/>
          <w:lang w:val="en"/>
        </w:rPr>
        <w:t>ACCOUNTING RATE OF RETURN</w:t>
      </w:r>
      <w:r w:rsidR="00EC7BD2" w:rsidRPr="007D3978">
        <w:rPr>
          <w:rFonts w:ascii="Arial" w:hAnsi="Arial" w:cs="Arial"/>
          <w:b/>
          <w:lang w:val="en"/>
        </w:rPr>
        <w:t xml:space="preserve"> (ARR)</w:t>
      </w:r>
    </w:p>
    <w:p w:rsidR="00200D34" w:rsidRDefault="00200D34" w:rsidP="00200D34">
      <w:pPr>
        <w:rPr>
          <w:rFonts w:ascii="Arial" w:hAnsi="Arial" w:cs="Arial"/>
          <w:b/>
          <w:lang w:val="en"/>
        </w:rPr>
      </w:pPr>
      <w:r>
        <w:rPr>
          <w:rFonts w:ascii="Arial" w:hAnsi="Arial" w:cs="Arial"/>
          <w:b/>
          <w:lang w:val="en"/>
        </w:rPr>
        <w:t>PROJECT A</w:t>
      </w:r>
    </w:p>
    <w:p w:rsidR="00200D34" w:rsidRPr="001D6A75" w:rsidRDefault="00200D34" w:rsidP="00200D34">
      <w:pPr>
        <w:rPr>
          <w:rFonts w:ascii="Arial" w:hAnsi="Arial" w:cs="Arial"/>
          <w:i/>
          <w:lang w:val="en"/>
        </w:rPr>
      </w:pPr>
      <w:r w:rsidRPr="001D6A75">
        <w:rPr>
          <w:rFonts w:ascii="Arial" w:hAnsi="Arial" w:cs="Arial"/>
          <w:i/>
          <w:lang w:val="en"/>
        </w:rPr>
        <w:t>ARR= ((10+20+40+55-85)/4)</w:t>
      </w:r>
      <w:proofErr w:type="gramStart"/>
      <w:r w:rsidRPr="001D6A75">
        <w:rPr>
          <w:rFonts w:ascii="Arial" w:hAnsi="Arial" w:cs="Arial"/>
          <w:i/>
          <w:lang w:val="en"/>
        </w:rPr>
        <w:t>/(</w:t>
      </w:r>
      <w:proofErr w:type="gramEnd"/>
      <w:r w:rsidRPr="001D6A75">
        <w:rPr>
          <w:rFonts w:ascii="Arial" w:hAnsi="Arial" w:cs="Arial"/>
          <w:i/>
          <w:lang w:val="en"/>
        </w:rPr>
        <w:t>85/2)</w:t>
      </w:r>
    </w:p>
    <w:p w:rsidR="00200D34" w:rsidRPr="001D6A75" w:rsidRDefault="00200D34" w:rsidP="00200D34">
      <w:pPr>
        <w:rPr>
          <w:rFonts w:ascii="Arial" w:hAnsi="Arial" w:cs="Arial"/>
          <w:b/>
          <w:i/>
          <w:lang w:val="en"/>
        </w:rPr>
      </w:pPr>
      <w:r w:rsidRPr="001D6A75">
        <w:rPr>
          <w:rFonts w:ascii="Arial" w:hAnsi="Arial" w:cs="Arial"/>
          <w:b/>
          <w:i/>
          <w:lang w:val="en"/>
        </w:rPr>
        <w:t>=23.5%</w:t>
      </w:r>
    </w:p>
    <w:p w:rsidR="00200D34" w:rsidRDefault="007C66A3" w:rsidP="00200D34">
      <w:pPr>
        <w:rPr>
          <w:rFonts w:ascii="Arial" w:hAnsi="Arial" w:cs="Arial"/>
          <w:b/>
          <w:lang w:val="en"/>
        </w:rPr>
      </w:pPr>
      <w:r>
        <w:rPr>
          <w:rFonts w:ascii="Arial" w:hAnsi="Arial" w:cs="Arial"/>
          <w:b/>
          <w:lang w:val="en"/>
        </w:rPr>
        <w:t>PROJECT B</w:t>
      </w:r>
    </w:p>
    <w:p w:rsidR="007C66A3" w:rsidRPr="001D6A75" w:rsidRDefault="007C66A3" w:rsidP="00200D34">
      <w:pPr>
        <w:rPr>
          <w:rFonts w:ascii="Arial" w:hAnsi="Arial" w:cs="Arial"/>
          <w:i/>
          <w:lang w:val="en"/>
        </w:rPr>
      </w:pPr>
      <w:r w:rsidRPr="001D6A75">
        <w:rPr>
          <w:rFonts w:ascii="Arial" w:hAnsi="Arial" w:cs="Arial"/>
          <w:i/>
          <w:lang w:val="en"/>
        </w:rPr>
        <w:t>ARR= ((25+30+35+40-90)/4)</w:t>
      </w:r>
      <w:proofErr w:type="gramStart"/>
      <w:r w:rsidRPr="001D6A75">
        <w:rPr>
          <w:rFonts w:ascii="Arial" w:hAnsi="Arial" w:cs="Arial"/>
          <w:i/>
          <w:lang w:val="en"/>
        </w:rPr>
        <w:t>/(</w:t>
      </w:r>
      <w:proofErr w:type="gramEnd"/>
      <w:r w:rsidRPr="001D6A75">
        <w:rPr>
          <w:rFonts w:ascii="Arial" w:hAnsi="Arial" w:cs="Arial"/>
          <w:i/>
          <w:lang w:val="en"/>
        </w:rPr>
        <w:t>90/2)</w:t>
      </w:r>
    </w:p>
    <w:p w:rsidR="007C66A3" w:rsidRPr="001D6A75" w:rsidRDefault="007C66A3" w:rsidP="00200D34">
      <w:pPr>
        <w:rPr>
          <w:rFonts w:ascii="Arial" w:hAnsi="Arial" w:cs="Arial"/>
          <w:b/>
          <w:i/>
          <w:lang w:val="en"/>
        </w:rPr>
      </w:pPr>
      <w:r w:rsidRPr="001D6A75">
        <w:rPr>
          <w:rFonts w:ascii="Arial" w:hAnsi="Arial" w:cs="Arial"/>
          <w:b/>
          <w:i/>
          <w:lang w:val="en"/>
        </w:rPr>
        <w:t>=22%</w:t>
      </w:r>
    </w:p>
    <w:p w:rsidR="00E31544" w:rsidRDefault="00E31544" w:rsidP="00200D34">
      <w:pPr>
        <w:rPr>
          <w:rFonts w:ascii="Arial" w:hAnsi="Arial" w:cs="Arial"/>
          <w:b/>
          <w:lang w:val="en"/>
        </w:rPr>
      </w:pPr>
      <w:r>
        <w:rPr>
          <w:rFonts w:ascii="Arial" w:hAnsi="Arial" w:cs="Arial"/>
          <w:b/>
          <w:lang w:val="en"/>
        </w:rPr>
        <w:t>Analysis</w:t>
      </w:r>
    </w:p>
    <w:p w:rsidR="00E31544" w:rsidRDefault="00040E9A" w:rsidP="00A15264">
      <w:pPr>
        <w:spacing w:line="360" w:lineRule="auto"/>
        <w:jc w:val="both"/>
        <w:rPr>
          <w:rFonts w:ascii="Arial" w:hAnsi="Arial" w:cs="Arial"/>
          <w:b/>
          <w:lang w:val="en"/>
        </w:rPr>
      </w:pPr>
      <w:r w:rsidRPr="00040E9A">
        <w:rPr>
          <w:rFonts w:ascii="Arial" w:hAnsi="Arial" w:cs="Arial"/>
          <w:lang w:val="en"/>
        </w:rPr>
        <w:t xml:space="preserve">The Accounting rate of return is a measure of the return on an investment where the annual profit before interest and tax is expressed </w:t>
      </w:r>
      <w:r>
        <w:rPr>
          <w:rFonts w:ascii="Arial" w:hAnsi="Arial" w:cs="Arial"/>
          <w:lang w:val="en"/>
        </w:rPr>
        <w:t>as percentage of the capital sum invested. In both cases illustrated above the ARR is much higher than the cost of capital of 10.5% suggesting that both project would bring the investors positive returns, though Project A would bring slightly more bigger return of 1.25%.</w:t>
      </w:r>
    </w:p>
    <w:p w:rsidR="00E31544" w:rsidRDefault="00E31544" w:rsidP="00200D34">
      <w:pPr>
        <w:rPr>
          <w:rFonts w:ascii="Arial" w:hAnsi="Arial" w:cs="Arial"/>
          <w:b/>
          <w:lang w:val="en"/>
        </w:rPr>
      </w:pPr>
    </w:p>
    <w:p w:rsidR="00EC7BD2" w:rsidRDefault="00EC7BD2" w:rsidP="00EC7BD2">
      <w:pPr>
        <w:pStyle w:val="Heading1"/>
        <w:numPr>
          <w:ilvl w:val="0"/>
          <w:numId w:val="12"/>
        </w:numPr>
        <w:shd w:val="clear" w:color="auto" w:fill="FFFFFF"/>
        <w:rPr>
          <w:rFonts w:ascii="Arial" w:hAnsi="Arial" w:cs="Arial"/>
          <w:bCs w:val="0"/>
          <w:color w:val="111111"/>
          <w:sz w:val="22"/>
          <w:szCs w:val="22"/>
        </w:rPr>
      </w:pPr>
      <w:r w:rsidRPr="00EC7BD2">
        <w:rPr>
          <w:rFonts w:ascii="Arial" w:hAnsi="Arial" w:cs="Arial"/>
          <w:bCs w:val="0"/>
          <w:color w:val="111111"/>
          <w:sz w:val="22"/>
          <w:szCs w:val="22"/>
        </w:rPr>
        <w:t>INTERNAL RATE OF RETURN (IRR) </w:t>
      </w:r>
    </w:p>
    <w:p w:rsidR="00BD7416" w:rsidRPr="00BD7416" w:rsidRDefault="00BD7416" w:rsidP="00BD7416">
      <w:pPr>
        <w:spacing w:line="360" w:lineRule="auto"/>
        <w:jc w:val="both"/>
        <w:rPr>
          <w:rFonts w:ascii="Arial" w:hAnsi="Arial" w:cs="Arial"/>
          <w:b/>
          <w:lang w:val="en"/>
        </w:rPr>
      </w:pPr>
      <w:r w:rsidRPr="00BD7416">
        <w:rPr>
          <w:rFonts w:ascii="Arial" w:hAnsi="Arial" w:cs="Arial"/>
          <w:color w:val="212121"/>
          <w:shd w:val="clear" w:color="auto" w:fill="FFFFFF"/>
        </w:rPr>
        <w:t xml:space="preserve">The Internal Rate of Return (IRR) is the interest rate or return offered by an investment. That is, it is the percentage of profit or loss that an investment will have for the amounts that have not been withdrawn from the project. It is a measure used in the evaluation of investment projects that is closely related to the net present value (NPV). It is also defined as the value of the discount rate that makes the NPV equal to zero, for a given investment project. </w:t>
      </w:r>
      <w:sdt>
        <w:sdtPr>
          <w:rPr>
            <w:shd w:val="clear" w:color="auto" w:fill="FFFFFF"/>
          </w:rPr>
          <w:id w:val="1980110922"/>
          <w:citation/>
        </w:sdtPr>
        <w:sdtEndPr/>
        <w:sdtContent>
          <w:r w:rsidRPr="00BD7416">
            <w:rPr>
              <w:rFonts w:ascii="Arial" w:hAnsi="Arial" w:cs="Arial"/>
              <w:color w:val="212121"/>
              <w:shd w:val="clear" w:color="auto" w:fill="FFFFFF"/>
            </w:rPr>
            <w:fldChar w:fldCharType="begin"/>
          </w:r>
          <w:r w:rsidRPr="00BD7416">
            <w:rPr>
              <w:rFonts w:ascii="Arial" w:hAnsi="Arial" w:cs="Arial"/>
              <w:color w:val="212121"/>
              <w:shd w:val="clear" w:color="auto" w:fill="FFFFFF"/>
            </w:rPr>
            <w:instrText xml:space="preserve"> CITATION Ber14 \l 2057 </w:instrText>
          </w:r>
          <w:r w:rsidRPr="00BD7416">
            <w:rPr>
              <w:rFonts w:ascii="Arial" w:hAnsi="Arial" w:cs="Arial"/>
              <w:color w:val="212121"/>
              <w:shd w:val="clear" w:color="auto" w:fill="FFFFFF"/>
            </w:rPr>
            <w:fldChar w:fldCharType="separate"/>
          </w:r>
          <w:r w:rsidRPr="00BD7416">
            <w:rPr>
              <w:rFonts w:ascii="Arial" w:hAnsi="Arial" w:cs="Arial"/>
              <w:noProof/>
              <w:color w:val="212121"/>
              <w:shd w:val="clear" w:color="auto" w:fill="FFFFFF"/>
            </w:rPr>
            <w:t>(Demarzo, 2014)</w:t>
          </w:r>
          <w:r w:rsidRPr="00BD7416">
            <w:rPr>
              <w:rFonts w:ascii="Arial" w:hAnsi="Arial" w:cs="Arial"/>
              <w:color w:val="212121"/>
              <w:shd w:val="clear" w:color="auto" w:fill="FFFFFF"/>
            </w:rPr>
            <w:fldChar w:fldCharType="end"/>
          </w:r>
        </w:sdtContent>
      </w:sdt>
    </w:p>
    <w:p w:rsidR="00B27D30" w:rsidRPr="009D7193" w:rsidRDefault="00B27D30" w:rsidP="00B27D30">
      <w:pPr>
        <w:pStyle w:val="Heading1"/>
        <w:shd w:val="clear" w:color="auto" w:fill="FFFFFF"/>
        <w:rPr>
          <w:rFonts w:ascii="Arial" w:hAnsi="Arial" w:cs="Arial"/>
          <w:sz w:val="24"/>
          <w:szCs w:val="24"/>
        </w:rPr>
      </w:pPr>
      <w:r w:rsidRPr="009D7193">
        <w:rPr>
          <w:rFonts w:ascii="Arial" w:hAnsi="Arial" w:cs="Arial"/>
          <w:bCs w:val="0"/>
          <w:color w:val="111111"/>
          <w:sz w:val="22"/>
          <w:szCs w:val="22"/>
        </w:rPr>
        <w:t xml:space="preserve">IRR= </w:t>
      </w:r>
      <w:r w:rsidR="009D7193" w:rsidRPr="009D7193">
        <w:rPr>
          <w:rFonts w:ascii="Arial" w:hAnsi="Arial" w:cs="Arial"/>
          <w:sz w:val="24"/>
          <w:szCs w:val="24"/>
        </w:rPr>
        <w:t>L</w:t>
      </w:r>
      <w:r w:rsidR="006958DE">
        <w:rPr>
          <w:rFonts w:ascii="Arial" w:hAnsi="Arial" w:cs="Arial"/>
          <w:sz w:val="24"/>
          <w:szCs w:val="24"/>
        </w:rPr>
        <w:t>%</w:t>
      </w:r>
      <w:r w:rsidR="009D7193" w:rsidRPr="009D7193">
        <w:rPr>
          <w:rFonts w:ascii="Arial" w:hAnsi="Arial" w:cs="Arial"/>
          <w:sz w:val="24"/>
          <w:szCs w:val="24"/>
        </w:rPr>
        <w:t>+NPVL</w:t>
      </w:r>
      <w:proofErr w:type="gramStart"/>
      <w:r w:rsidR="009D7193" w:rsidRPr="009D7193">
        <w:rPr>
          <w:rFonts w:ascii="Arial" w:hAnsi="Arial" w:cs="Arial"/>
          <w:sz w:val="24"/>
          <w:szCs w:val="24"/>
        </w:rPr>
        <w:t>/(</w:t>
      </w:r>
      <w:proofErr w:type="gramEnd"/>
      <w:r w:rsidR="009D7193" w:rsidRPr="009D7193">
        <w:rPr>
          <w:rFonts w:ascii="Arial" w:hAnsi="Arial" w:cs="Arial"/>
          <w:sz w:val="24"/>
          <w:szCs w:val="24"/>
        </w:rPr>
        <w:t>NPVL-NPVH)*(H</w:t>
      </w:r>
      <w:r w:rsidR="006958DE">
        <w:rPr>
          <w:rFonts w:ascii="Arial" w:hAnsi="Arial" w:cs="Arial"/>
          <w:sz w:val="24"/>
          <w:szCs w:val="24"/>
        </w:rPr>
        <w:t>%</w:t>
      </w:r>
      <w:r w:rsidR="009D7193" w:rsidRPr="009D7193">
        <w:rPr>
          <w:rFonts w:ascii="Arial" w:hAnsi="Arial" w:cs="Arial"/>
          <w:sz w:val="24"/>
          <w:szCs w:val="24"/>
        </w:rPr>
        <w:t>-L</w:t>
      </w:r>
      <w:r w:rsidR="006958DE">
        <w:rPr>
          <w:rFonts w:ascii="Arial" w:hAnsi="Arial" w:cs="Arial"/>
          <w:sz w:val="24"/>
          <w:szCs w:val="24"/>
        </w:rPr>
        <w:t>%</w:t>
      </w:r>
      <w:r w:rsidR="009D7193" w:rsidRPr="009D7193">
        <w:rPr>
          <w:rFonts w:ascii="Arial" w:hAnsi="Arial" w:cs="Arial"/>
          <w:sz w:val="24"/>
          <w:szCs w:val="24"/>
        </w:rPr>
        <w:t>)</w:t>
      </w:r>
    </w:p>
    <w:p w:rsidR="00B27D30" w:rsidRDefault="00B27D30" w:rsidP="00B27D30">
      <w:pPr>
        <w:pStyle w:val="Heading1"/>
        <w:shd w:val="clear" w:color="auto" w:fill="FFFFFF"/>
        <w:rPr>
          <w:rFonts w:ascii="Arial" w:hAnsi="Arial" w:cs="Arial"/>
          <w:sz w:val="24"/>
          <w:szCs w:val="24"/>
        </w:rPr>
      </w:pPr>
      <w:r w:rsidRPr="00B27D30">
        <w:rPr>
          <w:rFonts w:ascii="Arial" w:hAnsi="Arial" w:cs="Arial"/>
          <w:sz w:val="24"/>
          <w:szCs w:val="24"/>
        </w:rPr>
        <w:t>PROJECT A</w:t>
      </w:r>
    </w:p>
    <w:p w:rsidR="00F94B01" w:rsidRDefault="00F94B01" w:rsidP="00B27D30">
      <w:pPr>
        <w:pStyle w:val="Heading1"/>
        <w:shd w:val="clear" w:color="auto" w:fill="FFFFFF"/>
        <w:rPr>
          <w:rFonts w:ascii="Arial" w:hAnsi="Arial" w:cs="Arial"/>
          <w:sz w:val="24"/>
          <w:szCs w:val="24"/>
        </w:rPr>
      </w:pPr>
      <w:r>
        <w:rPr>
          <w:rFonts w:ascii="Arial" w:hAnsi="Arial" w:cs="Arial"/>
          <w:sz w:val="24"/>
          <w:szCs w:val="24"/>
        </w:rPr>
        <w:t>We select 10.5% and 13%</w:t>
      </w:r>
    </w:p>
    <w:p w:rsidR="00B27D30" w:rsidRPr="001D6A75" w:rsidRDefault="00F94B01" w:rsidP="00B27D30">
      <w:pPr>
        <w:pStyle w:val="Heading1"/>
        <w:shd w:val="clear" w:color="auto" w:fill="FFFFFF"/>
        <w:rPr>
          <w:rFonts w:ascii="Arial" w:hAnsi="Arial" w:cs="Arial"/>
          <w:b w:val="0"/>
          <w:i/>
          <w:sz w:val="24"/>
          <w:szCs w:val="24"/>
        </w:rPr>
      </w:pPr>
      <w:r>
        <w:rPr>
          <w:rFonts w:ascii="Arial" w:hAnsi="Arial" w:cs="Arial"/>
          <w:b w:val="0"/>
          <w:i/>
          <w:sz w:val="24"/>
          <w:szCs w:val="24"/>
        </w:rPr>
        <w:t>NPV(Higher rate)</w:t>
      </w:r>
      <w:r w:rsidR="00921754" w:rsidRPr="001D6A75">
        <w:rPr>
          <w:rFonts w:ascii="Arial" w:hAnsi="Arial" w:cs="Arial"/>
          <w:b w:val="0"/>
          <w:i/>
          <w:sz w:val="24"/>
          <w:szCs w:val="24"/>
        </w:rPr>
        <w:t xml:space="preserve">= </w:t>
      </w:r>
      <w:r w:rsidR="00C40D26" w:rsidRPr="001D6A75">
        <w:rPr>
          <w:rFonts w:ascii="Arial" w:hAnsi="Arial" w:cs="Arial"/>
          <w:b w:val="0"/>
          <w:i/>
          <w:sz w:val="24"/>
          <w:szCs w:val="24"/>
        </w:rPr>
        <w:t>-85+1</w:t>
      </w:r>
      <w:r w:rsidR="000547D6" w:rsidRPr="001D6A75">
        <w:rPr>
          <w:rFonts w:ascii="Arial" w:hAnsi="Arial" w:cs="Arial"/>
          <w:b w:val="0"/>
          <w:i/>
          <w:sz w:val="24"/>
          <w:szCs w:val="24"/>
        </w:rPr>
        <w:t>0/(1+13%)+20/(1+13</w:t>
      </w:r>
      <w:r w:rsidR="00C40D26" w:rsidRPr="001D6A75">
        <w:rPr>
          <w:rFonts w:ascii="Arial" w:hAnsi="Arial" w:cs="Arial"/>
          <w:b w:val="0"/>
          <w:i/>
          <w:sz w:val="24"/>
          <w:szCs w:val="24"/>
        </w:rPr>
        <w:t>%)ᴧ2</w:t>
      </w:r>
      <w:r w:rsidR="000547D6" w:rsidRPr="001D6A75">
        <w:rPr>
          <w:rFonts w:ascii="Arial" w:hAnsi="Arial" w:cs="Arial"/>
          <w:b w:val="0"/>
          <w:i/>
          <w:sz w:val="24"/>
          <w:szCs w:val="24"/>
        </w:rPr>
        <w:t>+40/(1+13</w:t>
      </w:r>
      <w:r w:rsidR="00C40D26" w:rsidRPr="001D6A75">
        <w:rPr>
          <w:rFonts w:ascii="Arial" w:hAnsi="Arial" w:cs="Arial"/>
          <w:b w:val="0"/>
          <w:i/>
          <w:sz w:val="24"/>
          <w:szCs w:val="24"/>
        </w:rPr>
        <w:t>%)ᴧ</w:t>
      </w:r>
      <w:r w:rsidR="000547D6" w:rsidRPr="001D6A75">
        <w:rPr>
          <w:rFonts w:ascii="Arial" w:hAnsi="Arial" w:cs="Arial"/>
          <w:b w:val="0"/>
          <w:i/>
          <w:sz w:val="24"/>
          <w:szCs w:val="24"/>
        </w:rPr>
        <w:t>3+55/(1+13</w:t>
      </w:r>
      <w:r w:rsidR="00C40D26" w:rsidRPr="001D6A75">
        <w:rPr>
          <w:rFonts w:ascii="Arial" w:hAnsi="Arial" w:cs="Arial"/>
          <w:b w:val="0"/>
          <w:i/>
          <w:sz w:val="24"/>
          <w:szCs w:val="24"/>
        </w:rPr>
        <w:t>%)ᴧ4</w:t>
      </w:r>
    </w:p>
    <w:p w:rsidR="00C40D26" w:rsidRPr="00074E7C" w:rsidRDefault="00F94B01" w:rsidP="00B27D30">
      <w:pPr>
        <w:pStyle w:val="Heading1"/>
        <w:shd w:val="clear" w:color="auto" w:fill="FFFFFF"/>
        <w:rPr>
          <w:rFonts w:ascii="Arial" w:hAnsi="Arial" w:cs="Arial"/>
          <w:b w:val="0"/>
          <w:i/>
          <w:sz w:val="24"/>
          <w:szCs w:val="24"/>
        </w:rPr>
      </w:pPr>
      <w:r w:rsidRPr="00074E7C">
        <w:rPr>
          <w:rFonts w:ascii="Arial" w:hAnsi="Arial" w:cs="Arial"/>
          <w:b w:val="0"/>
          <w:i/>
          <w:sz w:val="24"/>
          <w:szCs w:val="24"/>
        </w:rPr>
        <w:t xml:space="preserve">= </w:t>
      </w:r>
      <w:r w:rsidR="00B204EE">
        <w:rPr>
          <w:rFonts w:ascii="Arial" w:hAnsi="Arial" w:cs="Arial"/>
          <w:b w:val="0"/>
          <w:i/>
          <w:sz w:val="24"/>
          <w:szCs w:val="24"/>
        </w:rPr>
        <w:t xml:space="preserve">-85+ </w:t>
      </w:r>
      <w:r w:rsidRPr="00074E7C">
        <w:rPr>
          <w:rFonts w:ascii="Arial" w:hAnsi="Arial" w:cs="Arial"/>
          <w:b w:val="0"/>
          <w:i/>
          <w:sz w:val="24"/>
          <w:szCs w:val="24"/>
        </w:rPr>
        <w:t>8.85+15.66+27.72+33.73</w:t>
      </w:r>
      <w:r w:rsidR="00074E7C" w:rsidRPr="00074E7C">
        <w:rPr>
          <w:rFonts w:ascii="Arial" w:hAnsi="Arial" w:cs="Arial"/>
          <w:b w:val="0"/>
          <w:i/>
          <w:sz w:val="24"/>
          <w:szCs w:val="24"/>
        </w:rPr>
        <w:t xml:space="preserve"> = 0.96</w:t>
      </w:r>
    </w:p>
    <w:p w:rsidR="000547D6" w:rsidRPr="00074E7C" w:rsidRDefault="00F94B01" w:rsidP="00B27D30">
      <w:pPr>
        <w:pStyle w:val="Heading1"/>
        <w:shd w:val="clear" w:color="auto" w:fill="FFFFFF"/>
        <w:rPr>
          <w:rFonts w:ascii="Arial" w:hAnsi="Arial" w:cs="Arial"/>
          <w:b w:val="0"/>
          <w:i/>
          <w:sz w:val="24"/>
          <w:szCs w:val="24"/>
        </w:rPr>
      </w:pPr>
      <w:r>
        <w:rPr>
          <w:rFonts w:ascii="Arial" w:hAnsi="Arial" w:cs="Arial"/>
          <w:b w:val="0"/>
          <w:i/>
          <w:sz w:val="24"/>
          <w:szCs w:val="24"/>
        </w:rPr>
        <w:lastRenderedPageBreak/>
        <w:t xml:space="preserve">NPV(Lower rate) = </w:t>
      </w:r>
      <w:r w:rsidR="00074E7C">
        <w:rPr>
          <w:rFonts w:ascii="Arial" w:hAnsi="Arial" w:cs="Arial"/>
          <w:b w:val="0"/>
          <w:i/>
          <w:sz w:val="24"/>
          <w:szCs w:val="24"/>
        </w:rPr>
        <w:t>(</w:t>
      </w:r>
      <w:r>
        <w:rPr>
          <w:rFonts w:ascii="Arial" w:hAnsi="Arial" w:cs="Arial"/>
          <w:b w:val="0"/>
          <w:i/>
          <w:sz w:val="24"/>
          <w:szCs w:val="24"/>
        </w:rPr>
        <w:t>85)+10/(1+10.5%)+20/(1+10.5%)^2+40/(1+10.5%)^3+55/(1+10.5%)^4 =</w:t>
      </w:r>
      <w:r w:rsidR="00B204EE">
        <w:rPr>
          <w:rFonts w:ascii="Arial" w:hAnsi="Arial" w:cs="Arial"/>
          <w:b w:val="0"/>
          <w:i/>
          <w:sz w:val="24"/>
          <w:szCs w:val="24"/>
        </w:rPr>
        <w:t>-85 +</w:t>
      </w:r>
      <w:r>
        <w:rPr>
          <w:rFonts w:ascii="Arial" w:hAnsi="Arial" w:cs="Arial"/>
          <w:b w:val="0"/>
          <w:i/>
          <w:sz w:val="24"/>
          <w:szCs w:val="24"/>
        </w:rPr>
        <w:t>9.05+16.38+29.65+36.89 = 6.97</w:t>
      </w:r>
    </w:p>
    <w:p w:rsidR="009D7193" w:rsidRPr="009D7193" w:rsidRDefault="009D7193" w:rsidP="00B27D30">
      <w:pPr>
        <w:pStyle w:val="Heading1"/>
        <w:shd w:val="clear" w:color="auto" w:fill="FFFFFF"/>
        <w:rPr>
          <w:rFonts w:ascii="Arial" w:hAnsi="Arial" w:cs="Arial"/>
          <w:b w:val="0"/>
          <w:sz w:val="24"/>
          <w:szCs w:val="24"/>
        </w:rPr>
      </w:pPr>
      <w:r w:rsidRPr="009D7193">
        <w:rPr>
          <w:rFonts w:ascii="Arial" w:hAnsi="Arial" w:cs="Arial"/>
          <w:sz w:val="24"/>
          <w:szCs w:val="24"/>
        </w:rPr>
        <w:t>IRR1</w:t>
      </w:r>
      <w:r>
        <w:rPr>
          <w:rFonts w:ascii="Arial" w:hAnsi="Arial" w:cs="Arial"/>
          <w:b w:val="0"/>
          <w:sz w:val="24"/>
          <w:szCs w:val="24"/>
        </w:rPr>
        <w:t>= 0.105+6.97</w:t>
      </w:r>
      <w:proofErr w:type="gramStart"/>
      <w:r>
        <w:rPr>
          <w:rFonts w:ascii="Arial" w:hAnsi="Arial" w:cs="Arial"/>
          <w:b w:val="0"/>
          <w:sz w:val="24"/>
          <w:szCs w:val="24"/>
        </w:rPr>
        <w:t>/(</w:t>
      </w:r>
      <w:proofErr w:type="gramEnd"/>
      <w:r>
        <w:rPr>
          <w:rFonts w:ascii="Arial" w:hAnsi="Arial" w:cs="Arial"/>
          <w:b w:val="0"/>
          <w:sz w:val="24"/>
          <w:szCs w:val="24"/>
        </w:rPr>
        <w:t xml:space="preserve">6.97-0.96)*(0.13-0.105)= </w:t>
      </w:r>
      <w:r w:rsidRPr="009D7193">
        <w:rPr>
          <w:rFonts w:ascii="Arial" w:hAnsi="Arial" w:cs="Arial"/>
          <w:sz w:val="24"/>
          <w:szCs w:val="24"/>
        </w:rPr>
        <w:t>13.4%</w:t>
      </w:r>
    </w:p>
    <w:p w:rsidR="00862066" w:rsidRDefault="00862066" w:rsidP="00B27D30">
      <w:pPr>
        <w:pStyle w:val="Heading1"/>
        <w:shd w:val="clear" w:color="auto" w:fill="FFFFFF"/>
        <w:rPr>
          <w:rFonts w:ascii="Arial" w:hAnsi="Arial" w:cs="Arial"/>
          <w:sz w:val="24"/>
          <w:szCs w:val="24"/>
        </w:rPr>
      </w:pPr>
      <w:r>
        <w:rPr>
          <w:rFonts w:ascii="Arial" w:hAnsi="Arial" w:cs="Arial"/>
          <w:sz w:val="24"/>
          <w:szCs w:val="24"/>
        </w:rPr>
        <w:t>PROJECT B</w:t>
      </w:r>
    </w:p>
    <w:p w:rsidR="00B204EE" w:rsidRDefault="00B204EE" w:rsidP="00B27D30">
      <w:pPr>
        <w:pStyle w:val="Heading1"/>
        <w:shd w:val="clear" w:color="auto" w:fill="FFFFFF"/>
        <w:rPr>
          <w:rFonts w:ascii="Arial" w:hAnsi="Arial" w:cs="Arial"/>
          <w:sz w:val="24"/>
          <w:szCs w:val="24"/>
        </w:rPr>
      </w:pPr>
      <w:r>
        <w:rPr>
          <w:rFonts w:ascii="Arial" w:hAnsi="Arial" w:cs="Arial"/>
          <w:sz w:val="24"/>
          <w:szCs w:val="24"/>
        </w:rPr>
        <w:t>We select 10.5% and 14%</w:t>
      </w:r>
    </w:p>
    <w:p w:rsidR="00862066" w:rsidRPr="001D6A75" w:rsidRDefault="00B204EE" w:rsidP="00862066">
      <w:pPr>
        <w:pStyle w:val="Heading1"/>
        <w:shd w:val="clear" w:color="auto" w:fill="FFFFFF"/>
        <w:rPr>
          <w:rFonts w:ascii="Arial" w:hAnsi="Arial" w:cs="Arial"/>
          <w:b w:val="0"/>
          <w:i/>
          <w:sz w:val="24"/>
          <w:szCs w:val="24"/>
        </w:rPr>
      </w:pPr>
      <w:r>
        <w:rPr>
          <w:rFonts w:ascii="Arial" w:hAnsi="Arial" w:cs="Arial"/>
          <w:b w:val="0"/>
          <w:i/>
          <w:sz w:val="24"/>
          <w:szCs w:val="24"/>
        </w:rPr>
        <w:t>NPV(Higher Rate)</w:t>
      </w:r>
      <w:r w:rsidR="00862066" w:rsidRPr="001D6A75">
        <w:rPr>
          <w:rFonts w:ascii="Arial" w:hAnsi="Arial" w:cs="Arial"/>
          <w:b w:val="0"/>
          <w:i/>
          <w:sz w:val="24"/>
          <w:szCs w:val="24"/>
        </w:rPr>
        <w:t xml:space="preserve">= </w:t>
      </w:r>
      <w:r w:rsidR="000547D6" w:rsidRPr="001D6A75">
        <w:rPr>
          <w:rFonts w:ascii="Arial" w:hAnsi="Arial" w:cs="Arial"/>
          <w:b w:val="0"/>
          <w:i/>
          <w:sz w:val="24"/>
          <w:szCs w:val="24"/>
        </w:rPr>
        <w:t>-90+25/(1+14</w:t>
      </w:r>
      <w:r w:rsidR="00862066" w:rsidRPr="001D6A75">
        <w:rPr>
          <w:rFonts w:ascii="Arial" w:hAnsi="Arial" w:cs="Arial"/>
          <w:b w:val="0"/>
          <w:i/>
          <w:sz w:val="24"/>
          <w:szCs w:val="24"/>
        </w:rPr>
        <w:t>%)+30</w:t>
      </w:r>
      <w:r w:rsidR="000547D6" w:rsidRPr="001D6A75">
        <w:rPr>
          <w:rFonts w:ascii="Arial" w:hAnsi="Arial" w:cs="Arial"/>
          <w:b w:val="0"/>
          <w:i/>
          <w:sz w:val="24"/>
          <w:szCs w:val="24"/>
        </w:rPr>
        <w:t>/(1+14</w:t>
      </w:r>
      <w:r w:rsidR="00862066" w:rsidRPr="001D6A75">
        <w:rPr>
          <w:rFonts w:ascii="Arial" w:hAnsi="Arial" w:cs="Arial"/>
          <w:b w:val="0"/>
          <w:i/>
          <w:sz w:val="24"/>
          <w:szCs w:val="24"/>
        </w:rPr>
        <w:t>%)ᴧ2+35</w:t>
      </w:r>
      <w:r w:rsidR="000547D6" w:rsidRPr="001D6A75">
        <w:rPr>
          <w:rFonts w:ascii="Arial" w:hAnsi="Arial" w:cs="Arial"/>
          <w:b w:val="0"/>
          <w:i/>
          <w:sz w:val="24"/>
          <w:szCs w:val="24"/>
        </w:rPr>
        <w:t>/(1+14</w:t>
      </w:r>
      <w:r w:rsidR="00862066" w:rsidRPr="001D6A75">
        <w:rPr>
          <w:rFonts w:ascii="Arial" w:hAnsi="Arial" w:cs="Arial"/>
          <w:b w:val="0"/>
          <w:i/>
          <w:sz w:val="24"/>
          <w:szCs w:val="24"/>
        </w:rPr>
        <w:t>%)ᴧ3+40</w:t>
      </w:r>
      <w:r w:rsidR="000547D6" w:rsidRPr="001D6A75">
        <w:rPr>
          <w:rFonts w:ascii="Arial" w:hAnsi="Arial" w:cs="Arial"/>
          <w:b w:val="0"/>
          <w:i/>
          <w:sz w:val="24"/>
          <w:szCs w:val="24"/>
        </w:rPr>
        <w:t>/(1+14</w:t>
      </w:r>
      <w:r w:rsidR="00862066" w:rsidRPr="001D6A75">
        <w:rPr>
          <w:rFonts w:ascii="Arial" w:hAnsi="Arial" w:cs="Arial"/>
          <w:b w:val="0"/>
          <w:i/>
          <w:sz w:val="24"/>
          <w:szCs w:val="24"/>
        </w:rPr>
        <w:t>%)ᴧ4</w:t>
      </w:r>
    </w:p>
    <w:p w:rsidR="00862066" w:rsidRPr="001D6A75" w:rsidRDefault="00F94B01" w:rsidP="00862066">
      <w:pPr>
        <w:pStyle w:val="Heading1"/>
        <w:shd w:val="clear" w:color="auto" w:fill="FFFFFF"/>
        <w:rPr>
          <w:rFonts w:ascii="Arial" w:hAnsi="Arial" w:cs="Arial"/>
          <w:i/>
          <w:sz w:val="24"/>
          <w:szCs w:val="24"/>
        </w:rPr>
      </w:pPr>
      <w:r>
        <w:rPr>
          <w:rFonts w:ascii="Arial" w:hAnsi="Arial" w:cs="Arial"/>
          <w:i/>
          <w:sz w:val="24"/>
          <w:szCs w:val="24"/>
        </w:rPr>
        <w:t>=</w:t>
      </w:r>
      <w:r w:rsidR="00B204EE">
        <w:rPr>
          <w:rFonts w:ascii="Arial" w:hAnsi="Arial" w:cs="Arial"/>
          <w:i/>
          <w:sz w:val="24"/>
          <w:szCs w:val="24"/>
        </w:rPr>
        <w:t>-90+21.93+23.08+23.63+23.68= 2.32</w:t>
      </w:r>
    </w:p>
    <w:p w:rsidR="00B204EE" w:rsidRDefault="00B204EE" w:rsidP="00862066">
      <w:pPr>
        <w:pStyle w:val="Heading1"/>
        <w:shd w:val="clear" w:color="auto" w:fill="FFFFFF"/>
        <w:rPr>
          <w:rFonts w:ascii="Arial" w:hAnsi="Arial" w:cs="Arial"/>
          <w:b w:val="0"/>
          <w:i/>
          <w:sz w:val="24"/>
          <w:szCs w:val="24"/>
        </w:rPr>
      </w:pPr>
      <w:r>
        <w:rPr>
          <w:rFonts w:ascii="Arial" w:hAnsi="Arial" w:cs="Arial"/>
          <w:b w:val="0"/>
          <w:i/>
          <w:sz w:val="24"/>
          <w:szCs w:val="24"/>
        </w:rPr>
        <w:t>NPV (Lower Rate</w:t>
      </w:r>
      <w:proofErr w:type="gramStart"/>
      <w:r>
        <w:rPr>
          <w:rFonts w:ascii="Arial" w:hAnsi="Arial" w:cs="Arial"/>
          <w:b w:val="0"/>
          <w:i/>
          <w:sz w:val="24"/>
          <w:szCs w:val="24"/>
        </w:rPr>
        <w:t>)=</w:t>
      </w:r>
      <w:proofErr w:type="gramEnd"/>
      <w:r>
        <w:rPr>
          <w:rFonts w:ascii="Arial" w:hAnsi="Arial" w:cs="Arial"/>
          <w:b w:val="0"/>
          <w:i/>
          <w:sz w:val="24"/>
          <w:szCs w:val="24"/>
        </w:rPr>
        <w:t xml:space="preserve"> -90+25/(1+10.5%)+30/(1+10.5%)^2+35/(1+10.5%)^3+40/(1+10.5%)^4 </w:t>
      </w:r>
    </w:p>
    <w:p w:rsidR="00B204EE" w:rsidRDefault="00B204EE" w:rsidP="00862066">
      <w:pPr>
        <w:pStyle w:val="Heading1"/>
        <w:shd w:val="clear" w:color="auto" w:fill="FFFFFF"/>
        <w:rPr>
          <w:rFonts w:ascii="Arial" w:hAnsi="Arial" w:cs="Arial"/>
          <w:b w:val="0"/>
          <w:i/>
          <w:sz w:val="24"/>
          <w:szCs w:val="24"/>
        </w:rPr>
      </w:pPr>
      <w:r>
        <w:rPr>
          <w:rFonts w:ascii="Arial" w:hAnsi="Arial" w:cs="Arial"/>
          <w:b w:val="0"/>
          <w:i/>
          <w:sz w:val="24"/>
          <w:szCs w:val="24"/>
        </w:rPr>
        <w:t>=-90+22.63+</w:t>
      </w:r>
      <w:r w:rsidR="009D7193">
        <w:rPr>
          <w:rFonts w:ascii="Arial" w:hAnsi="Arial" w:cs="Arial"/>
          <w:b w:val="0"/>
          <w:i/>
          <w:sz w:val="24"/>
          <w:szCs w:val="24"/>
        </w:rPr>
        <w:t>24.57+25.94+26.83= 9.97</w:t>
      </w:r>
    </w:p>
    <w:p w:rsidR="000547D6" w:rsidRDefault="000547D6" w:rsidP="00862066">
      <w:pPr>
        <w:pStyle w:val="Heading1"/>
        <w:shd w:val="clear" w:color="auto" w:fill="FFFFFF"/>
        <w:rPr>
          <w:rFonts w:ascii="Arial" w:hAnsi="Arial" w:cs="Arial"/>
          <w:i/>
          <w:sz w:val="24"/>
          <w:szCs w:val="24"/>
        </w:rPr>
      </w:pPr>
      <w:r w:rsidRPr="009D7193">
        <w:rPr>
          <w:rFonts w:ascii="Arial" w:hAnsi="Arial" w:cs="Arial"/>
          <w:i/>
          <w:sz w:val="24"/>
          <w:szCs w:val="24"/>
        </w:rPr>
        <w:t>IRR</w:t>
      </w:r>
      <w:r w:rsidR="009D7193" w:rsidRPr="009D7193">
        <w:rPr>
          <w:rFonts w:ascii="Arial" w:hAnsi="Arial" w:cs="Arial"/>
          <w:i/>
          <w:sz w:val="24"/>
          <w:szCs w:val="24"/>
        </w:rPr>
        <w:t>2</w:t>
      </w:r>
      <w:r w:rsidRPr="001D6A75">
        <w:rPr>
          <w:rFonts w:ascii="Arial" w:hAnsi="Arial" w:cs="Arial"/>
          <w:b w:val="0"/>
          <w:i/>
          <w:sz w:val="24"/>
          <w:szCs w:val="24"/>
        </w:rPr>
        <w:t xml:space="preserve">= </w:t>
      </w:r>
      <w:r w:rsidR="009D7193">
        <w:rPr>
          <w:rFonts w:ascii="Arial" w:hAnsi="Arial" w:cs="Arial"/>
          <w:b w:val="0"/>
          <w:i/>
          <w:sz w:val="24"/>
          <w:szCs w:val="24"/>
        </w:rPr>
        <w:t>0.105+9.97</w:t>
      </w:r>
      <w:proofErr w:type="gramStart"/>
      <w:r w:rsidR="009D7193">
        <w:rPr>
          <w:rFonts w:ascii="Arial" w:hAnsi="Arial" w:cs="Arial"/>
          <w:b w:val="0"/>
          <w:i/>
          <w:sz w:val="24"/>
          <w:szCs w:val="24"/>
        </w:rPr>
        <w:t>/(</w:t>
      </w:r>
      <w:proofErr w:type="gramEnd"/>
      <w:r w:rsidR="009D7193">
        <w:rPr>
          <w:rFonts w:ascii="Arial" w:hAnsi="Arial" w:cs="Arial"/>
          <w:b w:val="0"/>
          <w:i/>
          <w:sz w:val="24"/>
          <w:szCs w:val="24"/>
        </w:rPr>
        <w:t xml:space="preserve">9.97-2.32)*(0.14-0.105)= </w:t>
      </w:r>
      <w:r w:rsidR="009D7193" w:rsidRPr="009D7193">
        <w:rPr>
          <w:rFonts w:ascii="Arial" w:hAnsi="Arial" w:cs="Arial"/>
          <w:i/>
          <w:sz w:val="24"/>
          <w:szCs w:val="24"/>
        </w:rPr>
        <w:t>15.1%</w:t>
      </w:r>
    </w:p>
    <w:p w:rsidR="008C2BC5" w:rsidRDefault="008C2BC5" w:rsidP="008C2BC5">
      <w:pPr>
        <w:rPr>
          <w:rFonts w:ascii="Arial" w:hAnsi="Arial" w:cs="Arial"/>
          <w:b/>
          <w:lang w:val="en"/>
        </w:rPr>
      </w:pPr>
      <w:r>
        <w:rPr>
          <w:rFonts w:ascii="Arial" w:hAnsi="Arial" w:cs="Arial"/>
          <w:b/>
          <w:lang w:val="en"/>
        </w:rPr>
        <w:t>Analysis</w:t>
      </w:r>
    </w:p>
    <w:p w:rsidR="009D7193" w:rsidRDefault="008C2BC5" w:rsidP="000E2CF1">
      <w:pPr>
        <w:pStyle w:val="Heading1"/>
        <w:shd w:val="clear" w:color="auto" w:fill="FFFFFF"/>
        <w:jc w:val="both"/>
        <w:rPr>
          <w:rFonts w:ascii="Arial" w:hAnsi="Arial" w:cs="Arial"/>
          <w:b w:val="0"/>
          <w:sz w:val="22"/>
          <w:szCs w:val="22"/>
        </w:rPr>
      </w:pPr>
      <w:r w:rsidRPr="000E2CF1">
        <w:rPr>
          <w:rFonts w:ascii="Arial" w:hAnsi="Arial" w:cs="Arial"/>
          <w:b w:val="0"/>
          <w:sz w:val="22"/>
          <w:szCs w:val="22"/>
        </w:rPr>
        <w:t>Both Projects A&amp;B will provide a bigger return (13.4% and 15.1%) than the cost of capital (10.5%) meaning that both are financially feasible.</w:t>
      </w:r>
      <w:r w:rsidRPr="000E2CF1">
        <w:rPr>
          <w:rFonts w:ascii="Arial" w:hAnsi="Arial" w:cs="Arial"/>
          <w:b w:val="0"/>
          <w:sz w:val="22"/>
          <w:szCs w:val="22"/>
        </w:rPr>
        <w:br/>
        <w:t xml:space="preserve">Project B will give a higher </w:t>
      </w:r>
      <w:r w:rsidR="000E2CF1" w:rsidRPr="000E2CF1">
        <w:rPr>
          <w:rFonts w:ascii="Arial" w:hAnsi="Arial" w:cs="Arial"/>
          <w:b w:val="0"/>
          <w:sz w:val="22"/>
          <w:szCs w:val="22"/>
        </w:rPr>
        <w:t>return;</w:t>
      </w:r>
      <w:r w:rsidRPr="000E2CF1">
        <w:rPr>
          <w:rFonts w:ascii="Arial" w:hAnsi="Arial" w:cs="Arial"/>
          <w:b w:val="0"/>
          <w:sz w:val="22"/>
          <w:szCs w:val="22"/>
        </w:rPr>
        <w:t xml:space="preserve"> therefore it is the more profitable one.</w:t>
      </w:r>
    </w:p>
    <w:p w:rsidR="000E2CF1" w:rsidRPr="000E2CF1" w:rsidRDefault="000E2CF1" w:rsidP="000E2CF1">
      <w:pPr>
        <w:pStyle w:val="Heading1"/>
        <w:shd w:val="clear" w:color="auto" w:fill="FFFFFF"/>
        <w:spacing w:line="360" w:lineRule="auto"/>
        <w:jc w:val="both"/>
        <w:rPr>
          <w:rFonts w:ascii="Arial" w:hAnsi="Arial" w:cs="Arial"/>
          <w:b w:val="0"/>
          <w:sz w:val="22"/>
          <w:szCs w:val="22"/>
        </w:rPr>
      </w:pPr>
      <w:r w:rsidRPr="000E2CF1">
        <w:rPr>
          <w:rFonts w:ascii="Arial" w:hAnsi="Arial" w:cs="Arial"/>
          <w:b w:val="0"/>
          <w:color w:val="212121"/>
          <w:sz w:val="22"/>
          <w:szCs w:val="22"/>
          <w:shd w:val="clear" w:color="auto" w:fill="FFFFFF"/>
        </w:rPr>
        <w:t>I choose the second project, since it is the most viable for the company, if we compare project A and project B we can see that in the project A the internal rate of return is 13.4% and for project B 15.1%, for therefore project B is having a better internal rate of return in the company</w:t>
      </w:r>
    </w:p>
    <w:p w:rsidR="000E2CF1" w:rsidRPr="000E2CF1" w:rsidRDefault="000E2CF1" w:rsidP="000E2CF1">
      <w:pPr>
        <w:pStyle w:val="Heading1"/>
        <w:shd w:val="clear" w:color="auto" w:fill="FFFFFF"/>
        <w:jc w:val="both"/>
        <w:rPr>
          <w:rFonts w:ascii="Arial" w:hAnsi="Arial" w:cs="Arial"/>
          <w:b w:val="0"/>
          <w:sz w:val="22"/>
          <w:szCs w:val="22"/>
        </w:rPr>
      </w:pPr>
    </w:p>
    <w:p w:rsidR="00F93E7F" w:rsidRDefault="00F93E7F" w:rsidP="00F93E7F">
      <w:pPr>
        <w:pStyle w:val="Heading1"/>
        <w:numPr>
          <w:ilvl w:val="0"/>
          <w:numId w:val="12"/>
        </w:numPr>
        <w:shd w:val="clear" w:color="auto" w:fill="FFFFFF"/>
        <w:rPr>
          <w:rFonts w:ascii="Arial" w:hAnsi="Arial" w:cs="Arial"/>
          <w:sz w:val="24"/>
          <w:szCs w:val="24"/>
        </w:rPr>
      </w:pPr>
      <w:r>
        <w:rPr>
          <w:rFonts w:ascii="Arial" w:hAnsi="Arial" w:cs="Arial"/>
          <w:sz w:val="24"/>
          <w:szCs w:val="24"/>
        </w:rPr>
        <w:t xml:space="preserve">PAYBACK PERIODO </w:t>
      </w:r>
    </w:p>
    <w:p w:rsidR="00BD7416" w:rsidRPr="00BD7416" w:rsidRDefault="00BD7416" w:rsidP="00BD741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r w:rsidRPr="00BD7416">
        <w:rPr>
          <w:rFonts w:ascii="Arial" w:eastAsia="Times New Roman" w:hAnsi="Arial" w:cs="Arial"/>
          <w:color w:val="212121"/>
          <w:lang w:val="en" w:eastAsia="en-GB"/>
        </w:rPr>
        <w:t>The recovery period is defined as the expected number of years that are required for an original investment to be recovered. The process is very simple, adding the future cash flows of each year until the initial cost of the capital project is at least covered.</w:t>
      </w:r>
    </w:p>
    <w:p w:rsidR="00BD7416" w:rsidRPr="00BD7416" w:rsidRDefault="00BD7416" w:rsidP="00BD741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val="en" w:eastAsia="en-GB"/>
        </w:rPr>
      </w:pPr>
    </w:p>
    <w:p w:rsidR="00BD7416" w:rsidRPr="00BD7416" w:rsidRDefault="00BD7416" w:rsidP="00BD7416">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360" w:lineRule="auto"/>
        <w:jc w:val="both"/>
        <w:rPr>
          <w:rFonts w:ascii="Arial" w:eastAsia="Times New Roman" w:hAnsi="Arial" w:cs="Arial"/>
          <w:color w:val="212121"/>
          <w:lang w:eastAsia="en-GB"/>
        </w:rPr>
      </w:pPr>
      <w:r w:rsidRPr="00BD7416">
        <w:rPr>
          <w:rFonts w:ascii="Arial" w:eastAsia="Times New Roman" w:hAnsi="Arial" w:cs="Arial"/>
          <w:color w:val="212121"/>
          <w:lang w:val="en" w:eastAsia="en-GB"/>
        </w:rPr>
        <w:t>The total amount of time required to recover the original amount invested, including the fraction of a year in case it is appropriate, is equal to the recovery period.</w:t>
      </w:r>
      <w:sdt>
        <w:sdtPr>
          <w:rPr>
            <w:rFonts w:ascii="Arial" w:eastAsia="Times New Roman" w:hAnsi="Arial" w:cs="Arial"/>
            <w:color w:val="212121"/>
            <w:lang w:val="en" w:eastAsia="en-GB"/>
          </w:rPr>
          <w:id w:val="1811282008"/>
          <w:citation/>
        </w:sdtPr>
        <w:sdtEndPr/>
        <w:sdtContent>
          <w:r>
            <w:rPr>
              <w:rFonts w:ascii="Arial" w:eastAsia="Times New Roman" w:hAnsi="Arial" w:cs="Arial"/>
              <w:color w:val="212121"/>
              <w:lang w:val="en" w:eastAsia="en-GB"/>
            </w:rPr>
            <w:fldChar w:fldCharType="begin"/>
          </w:r>
          <w:r>
            <w:rPr>
              <w:rFonts w:ascii="Arial" w:eastAsia="Times New Roman" w:hAnsi="Arial" w:cs="Arial"/>
              <w:color w:val="212121"/>
              <w:lang w:eastAsia="en-GB"/>
            </w:rPr>
            <w:instrText xml:space="preserve"> CITATION Ber14 \l 2057 </w:instrText>
          </w:r>
          <w:r>
            <w:rPr>
              <w:rFonts w:ascii="Arial" w:eastAsia="Times New Roman" w:hAnsi="Arial" w:cs="Arial"/>
              <w:color w:val="212121"/>
              <w:lang w:val="en" w:eastAsia="en-GB"/>
            </w:rPr>
            <w:fldChar w:fldCharType="separate"/>
          </w:r>
          <w:r>
            <w:rPr>
              <w:rFonts w:ascii="Arial" w:eastAsia="Times New Roman" w:hAnsi="Arial" w:cs="Arial"/>
              <w:noProof/>
              <w:color w:val="212121"/>
              <w:lang w:eastAsia="en-GB"/>
            </w:rPr>
            <w:t xml:space="preserve"> </w:t>
          </w:r>
          <w:r w:rsidRPr="00BD7416">
            <w:rPr>
              <w:rFonts w:ascii="Arial" w:eastAsia="Times New Roman" w:hAnsi="Arial" w:cs="Arial"/>
              <w:noProof/>
              <w:color w:val="212121"/>
              <w:lang w:eastAsia="en-GB"/>
            </w:rPr>
            <w:t>(Demarzo, 2014)</w:t>
          </w:r>
          <w:r>
            <w:rPr>
              <w:rFonts w:ascii="Arial" w:eastAsia="Times New Roman" w:hAnsi="Arial" w:cs="Arial"/>
              <w:color w:val="212121"/>
              <w:lang w:val="en" w:eastAsia="en-GB"/>
            </w:rPr>
            <w:fldChar w:fldCharType="end"/>
          </w:r>
        </w:sdtContent>
      </w:sdt>
    </w:p>
    <w:p w:rsidR="00B04914" w:rsidRDefault="00B04914" w:rsidP="00F93E7F">
      <w:pPr>
        <w:pStyle w:val="Heading1"/>
        <w:shd w:val="clear" w:color="auto" w:fill="FFFFFF"/>
        <w:rPr>
          <w:rFonts w:ascii="Arial" w:hAnsi="Arial" w:cs="Arial"/>
          <w:i/>
          <w:sz w:val="24"/>
          <w:szCs w:val="24"/>
        </w:rPr>
      </w:pPr>
    </w:p>
    <w:p w:rsidR="00B04914" w:rsidRDefault="00B04914" w:rsidP="00F93E7F">
      <w:pPr>
        <w:pStyle w:val="Heading1"/>
        <w:shd w:val="clear" w:color="auto" w:fill="FFFFFF"/>
        <w:rPr>
          <w:rFonts w:ascii="Arial" w:hAnsi="Arial" w:cs="Arial"/>
          <w:i/>
          <w:sz w:val="24"/>
          <w:szCs w:val="24"/>
        </w:rPr>
      </w:pPr>
    </w:p>
    <w:p w:rsidR="00F93E7F" w:rsidRPr="001D6A75" w:rsidRDefault="00F93E7F" w:rsidP="00F93E7F">
      <w:pPr>
        <w:pStyle w:val="Heading1"/>
        <w:shd w:val="clear" w:color="auto" w:fill="FFFFFF"/>
        <w:rPr>
          <w:rFonts w:ascii="Arial" w:hAnsi="Arial" w:cs="Arial"/>
          <w:i/>
          <w:sz w:val="24"/>
          <w:szCs w:val="24"/>
        </w:rPr>
      </w:pPr>
      <w:r w:rsidRPr="001D6A75">
        <w:rPr>
          <w:rFonts w:ascii="Arial" w:hAnsi="Arial" w:cs="Arial"/>
          <w:i/>
          <w:sz w:val="24"/>
          <w:szCs w:val="24"/>
        </w:rPr>
        <w:lastRenderedPageBreak/>
        <w:t>PROJECT A</w:t>
      </w:r>
    </w:p>
    <w:p w:rsidR="00F93E7F" w:rsidRPr="001D6A75" w:rsidRDefault="00F93E7F" w:rsidP="00F93E7F">
      <w:pPr>
        <w:pStyle w:val="Heading1"/>
        <w:shd w:val="clear" w:color="auto" w:fill="FFFFFF"/>
        <w:rPr>
          <w:rFonts w:ascii="Arial" w:hAnsi="Arial" w:cs="Arial"/>
          <w:b w:val="0"/>
          <w:i/>
          <w:sz w:val="24"/>
          <w:szCs w:val="24"/>
        </w:rPr>
      </w:pPr>
      <w:r w:rsidRPr="001D6A75">
        <w:rPr>
          <w:rFonts w:ascii="Arial" w:hAnsi="Arial" w:cs="Arial"/>
          <w:b w:val="0"/>
          <w:i/>
          <w:sz w:val="24"/>
          <w:szCs w:val="24"/>
        </w:rPr>
        <w:t>3</w:t>
      </w:r>
      <w:proofErr w:type="gramStart"/>
      <w:r w:rsidRPr="001D6A75">
        <w:rPr>
          <w:rFonts w:ascii="Arial" w:hAnsi="Arial" w:cs="Arial"/>
          <w:b w:val="0"/>
          <w:i/>
          <w:sz w:val="24"/>
          <w:szCs w:val="24"/>
        </w:rPr>
        <w:t>+(</w:t>
      </w:r>
      <w:proofErr w:type="gramEnd"/>
      <w:r w:rsidRPr="001D6A75">
        <w:rPr>
          <w:rFonts w:ascii="Arial" w:hAnsi="Arial" w:cs="Arial"/>
          <w:b w:val="0"/>
          <w:i/>
          <w:sz w:val="24"/>
          <w:szCs w:val="24"/>
        </w:rPr>
        <w:t xml:space="preserve">15/55)= </w:t>
      </w:r>
      <w:r w:rsidRPr="001D6A75">
        <w:rPr>
          <w:rFonts w:ascii="Arial" w:hAnsi="Arial" w:cs="Arial"/>
          <w:i/>
          <w:sz w:val="24"/>
          <w:szCs w:val="24"/>
        </w:rPr>
        <w:t>3.27 YEARS</w:t>
      </w:r>
    </w:p>
    <w:p w:rsidR="00F93E7F" w:rsidRPr="001D6A75" w:rsidRDefault="00F93E7F" w:rsidP="00F93E7F">
      <w:pPr>
        <w:pStyle w:val="Heading1"/>
        <w:shd w:val="clear" w:color="auto" w:fill="FFFFFF"/>
        <w:rPr>
          <w:rFonts w:ascii="Arial" w:hAnsi="Arial" w:cs="Arial"/>
          <w:i/>
          <w:sz w:val="24"/>
          <w:szCs w:val="24"/>
        </w:rPr>
      </w:pPr>
      <w:r w:rsidRPr="001D6A75">
        <w:rPr>
          <w:rFonts w:ascii="Arial" w:hAnsi="Arial" w:cs="Arial"/>
          <w:i/>
          <w:sz w:val="24"/>
          <w:szCs w:val="24"/>
        </w:rPr>
        <w:t>PROJECT B</w:t>
      </w:r>
    </w:p>
    <w:p w:rsidR="00F93E7F" w:rsidRPr="001D6A75" w:rsidRDefault="00F93E7F" w:rsidP="00F93E7F">
      <w:pPr>
        <w:pStyle w:val="Heading1"/>
        <w:shd w:val="clear" w:color="auto" w:fill="FFFFFF"/>
        <w:rPr>
          <w:rFonts w:ascii="Arial" w:hAnsi="Arial" w:cs="Arial"/>
          <w:b w:val="0"/>
          <w:i/>
          <w:sz w:val="24"/>
          <w:szCs w:val="24"/>
        </w:rPr>
      </w:pPr>
      <w:r w:rsidRPr="001D6A75">
        <w:rPr>
          <w:rFonts w:ascii="Arial" w:hAnsi="Arial" w:cs="Arial"/>
          <w:b w:val="0"/>
          <w:i/>
          <w:sz w:val="24"/>
          <w:szCs w:val="24"/>
        </w:rPr>
        <w:t>2</w:t>
      </w:r>
      <w:proofErr w:type="gramStart"/>
      <w:r w:rsidRPr="001D6A75">
        <w:rPr>
          <w:rFonts w:ascii="Arial" w:hAnsi="Arial" w:cs="Arial"/>
          <w:b w:val="0"/>
          <w:i/>
          <w:sz w:val="24"/>
          <w:szCs w:val="24"/>
        </w:rPr>
        <w:t>+(</w:t>
      </w:r>
      <w:proofErr w:type="gramEnd"/>
      <w:r w:rsidRPr="001D6A75">
        <w:rPr>
          <w:rFonts w:ascii="Arial" w:hAnsi="Arial" w:cs="Arial"/>
          <w:b w:val="0"/>
          <w:i/>
          <w:sz w:val="24"/>
          <w:szCs w:val="24"/>
        </w:rPr>
        <w:t xml:space="preserve">35/35)= </w:t>
      </w:r>
      <w:r w:rsidRPr="001D6A75">
        <w:rPr>
          <w:rFonts w:ascii="Arial" w:hAnsi="Arial" w:cs="Arial"/>
          <w:i/>
          <w:sz w:val="24"/>
          <w:szCs w:val="24"/>
        </w:rPr>
        <w:t>3 YEARS</w:t>
      </w:r>
    </w:p>
    <w:p w:rsidR="00862066" w:rsidRDefault="004778FA" w:rsidP="00B27D30">
      <w:pPr>
        <w:pStyle w:val="Heading1"/>
        <w:shd w:val="clear" w:color="auto" w:fill="FFFFFF"/>
        <w:rPr>
          <w:rFonts w:ascii="Arial" w:hAnsi="Arial" w:cs="Arial"/>
          <w:sz w:val="24"/>
          <w:szCs w:val="24"/>
        </w:rPr>
      </w:pPr>
      <w:r>
        <w:rPr>
          <w:rFonts w:ascii="Arial" w:hAnsi="Arial" w:cs="Arial"/>
          <w:sz w:val="24"/>
          <w:szCs w:val="24"/>
        </w:rPr>
        <w:t>Analysis</w:t>
      </w:r>
    </w:p>
    <w:p w:rsidR="004778FA" w:rsidRDefault="004778FA" w:rsidP="00A15264">
      <w:pPr>
        <w:pStyle w:val="Heading1"/>
        <w:shd w:val="clear" w:color="auto" w:fill="FFFFFF"/>
        <w:spacing w:line="360" w:lineRule="auto"/>
        <w:jc w:val="both"/>
        <w:rPr>
          <w:rFonts w:ascii="Arial" w:hAnsi="Arial" w:cs="Arial"/>
          <w:b w:val="0"/>
          <w:sz w:val="22"/>
          <w:szCs w:val="22"/>
        </w:rPr>
      </w:pPr>
      <w:r w:rsidRPr="00A15264">
        <w:rPr>
          <w:rFonts w:ascii="Arial" w:hAnsi="Arial" w:cs="Arial"/>
          <w:b w:val="0"/>
          <w:sz w:val="22"/>
          <w:szCs w:val="22"/>
        </w:rPr>
        <w:t>Both results suggest that the project will start gaining positive results after 3 years and therefore be financially viable.</w:t>
      </w:r>
    </w:p>
    <w:p w:rsidR="000E2CF1" w:rsidRPr="000E2CF1" w:rsidRDefault="000E2CF1" w:rsidP="00A15264">
      <w:pPr>
        <w:pStyle w:val="Heading1"/>
        <w:shd w:val="clear" w:color="auto" w:fill="FFFFFF"/>
        <w:spacing w:line="360" w:lineRule="auto"/>
        <w:jc w:val="both"/>
        <w:rPr>
          <w:rFonts w:ascii="Arial" w:hAnsi="Arial" w:cs="Arial"/>
          <w:sz w:val="28"/>
          <w:szCs w:val="28"/>
        </w:rPr>
      </w:pPr>
      <w:r w:rsidRPr="000E2CF1">
        <w:rPr>
          <w:rFonts w:ascii="Arial" w:hAnsi="Arial" w:cs="Arial"/>
          <w:sz w:val="28"/>
          <w:szCs w:val="28"/>
        </w:rPr>
        <w:t xml:space="preserve">Part </w:t>
      </w:r>
      <w:r>
        <w:rPr>
          <w:rFonts w:ascii="Arial" w:hAnsi="Arial" w:cs="Arial"/>
          <w:sz w:val="28"/>
          <w:szCs w:val="28"/>
        </w:rPr>
        <w:t>C</w:t>
      </w:r>
    </w:p>
    <w:p w:rsidR="004778FA" w:rsidRPr="00A15264" w:rsidRDefault="004778FA" w:rsidP="00A15264">
      <w:pPr>
        <w:pStyle w:val="Heading1"/>
        <w:numPr>
          <w:ilvl w:val="0"/>
          <w:numId w:val="13"/>
        </w:numPr>
        <w:shd w:val="clear" w:color="auto" w:fill="FFFFFF"/>
        <w:spacing w:line="360" w:lineRule="auto"/>
        <w:jc w:val="both"/>
        <w:rPr>
          <w:rFonts w:ascii="Arial" w:hAnsi="Arial" w:cs="Arial"/>
          <w:bCs w:val="0"/>
          <w:color w:val="111111"/>
          <w:sz w:val="22"/>
          <w:szCs w:val="22"/>
        </w:rPr>
      </w:pPr>
      <w:r w:rsidRPr="00A15264">
        <w:rPr>
          <w:rFonts w:ascii="Arial" w:hAnsi="Arial" w:cs="Arial"/>
          <w:bCs w:val="0"/>
          <w:color w:val="111111"/>
          <w:sz w:val="22"/>
          <w:szCs w:val="22"/>
        </w:rPr>
        <w:t>Advantages and Disadvantages of the methods used to estimate the projects above</w:t>
      </w:r>
    </w:p>
    <w:p w:rsidR="009534D1" w:rsidRPr="00A15264" w:rsidRDefault="009534D1" w:rsidP="00A15264">
      <w:pPr>
        <w:pStyle w:val="Heading1"/>
        <w:shd w:val="clear" w:color="auto" w:fill="FFFFFF"/>
        <w:spacing w:line="360" w:lineRule="auto"/>
        <w:ind w:left="360"/>
        <w:jc w:val="both"/>
        <w:rPr>
          <w:rFonts w:ascii="Arial" w:hAnsi="Arial" w:cs="Arial"/>
          <w:bCs w:val="0"/>
          <w:color w:val="111111"/>
          <w:sz w:val="22"/>
          <w:szCs w:val="22"/>
        </w:rPr>
      </w:pPr>
      <w:r w:rsidRPr="00A15264">
        <w:rPr>
          <w:rFonts w:ascii="Arial" w:hAnsi="Arial" w:cs="Arial"/>
          <w:bCs w:val="0"/>
          <w:color w:val="111111"/>
          <w:sz w:val="22"/>
          <w:szCs w:val="22"/>
        </w:rPr>
        <w:t>Accounting Rate of Return:</w:t>
      </w:r>
    </w:p>
    <w:p w:rsidR="009534D1" w:rsidRPr="00A15264" w:rsidRDefault="009534D1" w:rsidP="00A15264">
      <w:pPr>
        <w:pStyle w:val="Heading1"/>
        <w:shd w:val="clear" w:color="auto" w:fill="FFFFFF"/>
        <w:spacing w:line="360" w:lineRule="auto"/>
        <w:ind w:left="360"/>
        <w:jc w:val="both"/>
        <w:rPr>
          <w:rFonts w:ascii="Arial" w:hAnsi="Arial" w:cs="Arial"/>
          <w:bCs w:val="0"/>
          <w:color w:val="111111"/>
          <w:sz w:val="22"/>
          <w:szCs w:val="22"/>
        </w:rPr>
      </w:pPr>
      <w:r w:rsidRPr="00A15264">
        <w:rPr>
          <w:rFonts w:ascii="Arial" w:hAnsi="Arial" w:cs="Arial"/>
          <w:bCs w:val="0"/>
          <w:color w:val="111111"/>
          <w:sz w:val="22"/>
          <w:szCs w:val="22"/>
        </w:rPr>
        <w:t>Advantages:</w:t>
      </w:r>
    </w:p>
    <w:p w:rsidR="004778FA" w:rsidRPr="00A15264" w:rsidRDefault="009534D1" w:rsidP="00A15264">
      <w:pPr>
        <w:pStyle w:val="Heading1"/>
        <w:numPr>
          <w:ilvl w:val="0"/>
          <w:numId w:val="14"/>
        </w:numPr>
        <w:shd w:val="clear" w:color="auto" w:fill="FFFFFF"/>
        <w:spacing w:line="360" w:lineRule="auto"/>
        <w:jc w:val="both"/>
        <w:rPr>
          <w:rFonts w:ascii="Arial" w:hAnsi="Arial" w:cs="Arial"/>
          <w:b w:val="0"/>
          <w:bCs w:val="0"/>
          <w:color w:val="111111"/>
          <w:sz w:val="22"/>
          <w:szCs w:val="22"/>
        </w:rPr>
      </w:pPr>
      <w:proofErr w:type="gramStart"/>
      <w:r w:rsidRPr="00A15264">
        <w:rPr>
          <w:rFonts w:ascii="Arial" w:hAnsi="Arial" w:cs="Arial"/>
          <w:b w:val="0"/>
          <w:bCs w:val="0"/>
          <w:color w:val="111111"/>
          <w:sz w:val="22"/>
          <w:szCs w:val="22"/>
        </w:rPr>
        <w:t>E</w:t>
      </w:r>
      <w:r w:rsidR="00DD62A9">
        <w:rPr>
          <w:rFonts w:ascii="Arial" w:hAnsi="Arial" w:cs="Arial"/>
          <w:b w:val="0"/>
          <w:bCs w:val="0"/>
          <w:color w:val="111111"/>
          <w:sz w:val="22"/>
          <w:szCs w:val="22"/>
        </w:rPr>
        <w:t xml:space="preserve">asy </w:t>
      </w:r>
      <w:r w:rsidR="004778FA" w:rsidRPr="00A15264">
        <w:rPr>
          <w:rFonts w:ascii="Arial" w:hAnsi="Arial" w:cs="Arial"/>
          <w:b w:val="0"/>
          <w:bCs w:val="0"/>
          <w:color w:val="111111"/>
          <w:sz w:val="22"/>
          <w:szCs w:val="22"/>
        </w:rPr>
        <w:t xml:space="preserve">to calculate, easy to understand from the perspective of the investors and widely used across </w:t>
      </w:r>
      <w:r w:rsidRPr="00A15264">
        <w:rPr>
          <w:rFonts w:ascii="Arial" w:hAnsi="Arial" w:cs="Arial"/>
          <w:b w:val="0"/>
          <w:bCs w:val="0"/>
          <w:color w:val="111111"/>
          <w:sz w:val="22"/>
          <w:szCs w:val="22"/>
        </w:rPr>
        <w:t>the business.</w:t>
      </w:r>
      <w:proofErr w:type="gramEnd"/>
    </w:p>
    <w:p w:rsidR="009534D1" w:rsidRPr="00A15264" w:rsidRDefault="009534D1" w:rsidP="00A15264">
      <w:pPr>
        <w:pStyle w:val="Heading1"/>
        <w:shd w:val="clear" w:color="auto" w:fill="FFFFFF"/>
        <w:spacing w:line="360" w:lineRule="auto"/>
        <w:ind w:left="360"/>
        <w:jc w:val="both"/>
        <w:rPr>
          <w:rFonts w:ascii="Arial" w:hAnsi="Arial" w:cs="Arial"/>
          <w:bCs w:val="0"/>
          <w:color w:val="111111"/>
          <w:sz w:val="22"/>
          <w:szCs w:val="22"/>
        </w:rPr>
      </w:pPr>
      <w:r w:rsidRPr="00A15264">
        <w:rPr>
          <w:rFonts w:ascii="Arial" w:hAnsi="Arial" w:cs="Arial"/>
          <w:bCs w:val="0"/>
          <w:color w:val="111111"/>
          <w:sz w:val="22"/>
          <w:szCs w:val="22"/>
        </w:rPr>
        <w:t>Disadvantages:</w:t>
      </w:r>
    </w:p>
    <w:p w:rsidR="009534D1" w:rsidRPr="00A15264" w:rsidRDefault="009534D1" w:rsidP="00A15264">
      <w:pPr>
        <w:pStyle w:val="Heading1"/>
        <w:numPr>
          <w:ilvl w:val="0"/>
          <w:numId w:val="15"/>
        </w:numPr>
        <w:shd w:val="clear" w:color="auto" w:fill="FFFFFF"/>
        <w:spacing w:line="360" w:lineRule="auto"/>
        <w:jc w:val="both"/>
        <w:rPr>
          <w:rFonts w:ascii="Arial" w:hAnsi="Arial" w:cs="Arial"/>
          <w:b w:val="0"/>
          <w:bCs w:val="0"/>
          <w:color w:val="111111"/>
          <w:sz w:val="22"/>
          <w:szCs w:val="22"/>
        </w:rPr>
      </w:pPr>
      <w:r w:rsidRPr="00A15264">
        <w:rPr>
          <w:rFonts w:ascii="Arial" w:hAnsi="Arial" w:cs="Arial"/>
          <w:b w:val="0"/>
          <w:bCs w:val="0"/>
          <w:color w:val="111111"/>
          <w:sz w:val="22"/>
          <w:szCs w:val="22"/>
        </w:rPr>
        <w:t xml:space="preserve">ARR might be subject to manipulation by managers seeking approval for their investment proposals as different accounting profit figures could be used to calculate the % instead of cash flows, meaning the capital cost is over-stated in the calculation via both numerator and denominator. </w:t>
      </w:r>
    </w:p>
    <w:p w:rsidR="009534D1" w:rsidRPr="00A15264" w:rsidRDefault="009534D1" w:rsidP="00A15264">
      <w:pPr>
        <w:pStyle w:val="Heading1"/>
        <w:numPr>
          <w:ilvl w:val="0"/>
          <w:numId w:val="15"/>
        </w:numPr>
        <w:shd w:val="clear" w:color="auto" w:fill="FFFFFF"/>
        <w:spacing w:line="360" w:lineRule="auto"/>
        <w:jc w:val="both"/>
        <w:rPr>
          <w:rFonts w:ascii="Arial" w:hAnsi="Arial" w:cs="Arial"/>
          <w:b w:val="0"/>
          <w:bCs w:val="0"/>
          <w:color w:val="111111"/>
          <w:sz w:val="22"/>
          <w:szCs w:val="22"/>
        </w:rPr>
      </w:pPr>
      <w:r w:rsidRPr="00A15264">
        <w:rPr>
          <w:rFonts w:ascii="Arial" w:hAnsi="Arial" w:cs="Arial"/>
          <w:b w:val="0"/>
          <w:bCs w:val="0"/>
          <w:color w:val="111111"/>
          <w:sz w:val="22"/>
          <w:szCs w:val="22"/>
        </w:rPr>
        <w:t>One of the most important drawback of this measure is not taking into account the time value of money</w:t>
      </w:r>
    </w:p>
    <w:p w:rsidR="009534D1" w:rsidRDefault="009534D1" w:rsidP="00A15264">
      <w:pPr>
        <w:pStyle w:val="Heading1"/>
        <w:numPr>
          <w:ilvl w:val="0"/>
          <w:numId w:val="15"/>
        </w:numPr>
        <w:shd w:val="clear" w:color="auto" w:fill="FFFFFF"/>
        <w:spacing w:line="360" w:lineRule="auto"/>
        <w:jc w:val="both"/>
        <w:rPr>
          <w:rFonts w:ascii="Arial" w:hAnsi="Arial" w:cs="Arial"/>
          <w:b w:val="0"/>
          <w:bCs w:val="0"/>
          <w:color w:val="111111"/>
          <w:sz w:val="22"/>
          <w:szCs w:val="22"/>
        </w:rPr>
      </w:pPr>
      <w:r w:rsidRPr="009534D1">
        <w:rPr>
          <w:rFonts w:ascii="Arial" w:hAnsi="Arial" w:cs="Arial"/>
          <w:b w:val="0"/>
          <w:bCs w:val="0"/>
          <w:color w:val="111111"/>
          <w:sz w:val="22"/>
          <w:szCs w:val="22"/>
        </w:rPr>
        <w:t>It also does not give a clear decision rule and it</w:t>
      </w:r>
      <w:r>
        <w:rPr>
          <w:rFonts w:ascii="Arial" w:hAnsi="Arial" w:cs="Arial"/>
          <w:b w:val="0"/>
          <w:bCs w:val="0"/>
          <w:color w:val="111111"/>
          <w:sz w:val="22"/>
          <w:szCs w:val="22"/>
        </w:rPr>
        <w:t>`</w:t>
      </w:r>
      <w:r w:rsidRPr="009534D1">
        <w:rPr>
          <w:rFonts w:ascii="Arial" w:hAnsi="Arial" w:cs="Arial"/>
          <w:b w:val="0"/>
          <w:bCs w:val="0"/>
          <w:color w:val="111111"/>
          <w:sz w:val="22"/>
          <w:szCs w:val="22"/>
        </w:rPr>
        <w:t xml:space="preserve">s </w:t>
      </w:r>
      <w:r>
        <w:rPr>
          <w:rFonts w:ascii="Arial" w:hAnsi="Arial" w:cs="Arial"/>
          <w:b w:val="0"/>
          <w:bCs w:val="0"/>
          <w:color w:val="111111"/>
          <w:sz w:val="22"/>
          <w:szCs w:val="22"/>
        </w:rPr>
        <w:t>difficult to compare with ARR figures across different investments as its value is dependent on company specific accounting policies.</w:t>
      </w:r>
    </w:p>
    <w:p w:rsidR="008E5ADA" w:rsidRDefault="008E5ADA" w:rsidP="00DE24B0">
      <w:pPr>
        <w:pStyle w:val="Heading1"/>
        <w:shd w:val="clear" w:color="auto" w:fill="FFFFFF"/>
        <w:rPr>
          <w:rFonts w:ascii="Arial" w:hAnsi="Arial" w:cs="Arial"/>
          <w:bCs w:val="0"/>
          <w:color w:val="111111"/>
          <w:sz w:val="22"/>
          <w:szCs w:val="22"/>
        </w:rPr>
      </w:pPr>
    </w:p>
    <w:p w:rsidR="008E5ADA" w:rsidRDefault="008E5ADA" w:rsidP="00DE24B0">
      <w:pPr>
        <w:pStyle w:val="Heading1"/>
        <w:shd w:val="clear" w:color="auto" w:fill="FFFFFF"/>
        <w:rPr>
          <w:rFonts w:ascii="Arial" w:hAnsi="Arial" w:cs="Arial"/>
          <w:bCs w:val="0"/>
          <w:color w:val="111111"/>
          <w:sz w:val="22"/>
          <w:szCs w:val="22"/>
        </w:rPr>
      </w:pPr>
    </w:p>
    <w:p w:rsidR="008E5ADA" w:rsidRDefault="008E5ADA" w:rsidP="00DE24B0">
      <w:pPr>
        <w:pStyle w:val="Heading1"/>
        <w:shd w:val="clear" w:color="auto" w:fill="FFFFFF"/>
        <w:rPr>
          <w:rFonts w:ascii="Arial" w:hAnsi="Arial" w:cs="Arial"/>
          <w:bCs w:val="0"/>
          <w:color w:val="111111"/>
          <w:sz w:val="22"/>
          <w:szCs w:val="22"/>
        </w:rPr>
      </w:pPr>
    </w:p>
    <w:p w:rsidR="007A64E3" w:rsidRDefault="007A64E3" w:rsidP="00DE24B0">
      <w:pPr>
        <w:pStyle w:val="Heading1"/>
        <w:shd w:val="clear" w:color="auto" w:fill="FFFFFF"/>
        <w:rPr>
          <w:rFonts w:ascii="Arial" w:hAnsi="Arial" w:cs="Arial"/>
          <w:bCs w:val="0"/>
          <w:color w:val="111111"/>
          <w:sz w:val="22"/>
          <w:szCs w:val="22"/>
        </w:rPr>
      </w:pPr>
    </w:p>
    <w:p w:rsidR="007A64E3" w:rsidRDefault="007A64E3" w:rsidP="00DE24B0">
      <w:pPr>
        <w:pStyle w:val="Heading1"/>
        <w:shd w:val="clear" w:color="auto" w:fill="FFFFFF"/>
        <w:rPr>
          <w:rFonts w:ascii="Arial" w:hAnsi="Arial" w:cs="Arial"/>
          <w:bCs w:val="0"/>
          <w:color w:val="111111"/>
          <w:sz w:val="22"/>
          <w:szCs w:val="22"/>
        </w:rPr>
      </w:pPr>
    </w:p>
    <w:p w:rsidR="009534D1" w:rsidRDefault="009534D1" w:rsidP="00DE24B0">
      <w:pPr>
        <w:pStyle w:val="Heading1"/>
        <w:shd w:val="clear" w:color="auto" w:fill="FFFFFF"/>
        <w:rPr>
          <w:rFonts w:ascii="Arial" w:hAnsi="Arial" w:cs="Arial"/>
          <w:bCs w:val="0"/>
          <w:color w:val="111111"/>
          <w:sz w:val="22"/>
          <w:szCs w:val="22"/>
        </w:rPr>
      </w:pPr>
      <w:r>
        <w:rPr>
          <w:rFonts w:ascii="Arial" w:hAnsi="Arial" w:cs="Arial"/>
          <w:bCs w:val="0"/>
          <w:color w:val="111111"/>
          <w:sz w:val="22"/>
          <w:szCs w:val="22"/>
        </w:rPr>
        <w:t>Payback period:</w:t>
      </w:r>
    </w:p>
    <w:p w:rsidR="009534D1" w:rsidRDefault="009534D1" w:rsidP="00A15264">
      <w:pPr>
        <w:pStyle w:val="Heading1"/>
        <w:shd w:val="clear" w:color="auto" w:fill="FFFFFF"/>
        <w:spacing w:line="360" w:lineRule="auto"/>
        <w:ind w:left="360"/>
        <w:jc w:val="both"/>
        <w:rPr>
          <w:rFonts w:ascii="Arial" w:hAnsi="Arial" w:cs="Arial"/>
          <w:bCs w:val="0"/>
          <w:color w:val="111111"/>
          <w:sz w:val="22"/>
          <w:szCs w:val="22"/>
        </w:rPr>
      </w:pPr>
      <w:r>
        <w:rPr>
          <w:rFonts w:ascii="Arial" w:hAnsi="Arial" w:cs="Arial"/>
          <w:bCs w:val="0"/>
          <w:color w:val="111111"/>
          <w:sz w:val="22"/>
          <w:szCs w:val="22"/>
        </w:rPr>
        <w:t>Advantages:</w:t>
      </w:r>
    </w:p>
    <w:p w:rsidR="009534D1" w:rsidRDefault="0007317C" w:rsidP="00A15264">
      <w:pPr>
        <w:pStyle w:val="Heading1"/>
        <w:numPr>
          <w:ilvl w:val="0"/>
          <w:numId w:val="16"/>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It is used widely as an investment appraisal method in industry generally in addition to other measures. Like ARR it is easily calculated and understood.</w:t>
      </w:r>
    </w:p>
    <w:p w:rsidR="0007317C" w:rsidRDefault="0007317C" w:rsidP="00A15264">
      <w:pPr>
        <w:pStyle w:val="Heading1"/>
        <w:numPr>
          <w:ilvl w:val="0"/>
          <w:numId w:val="16"/>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PBP approach simply measures the time required for cumulative cash flows from an investment to sum to the original capital invested.</w:t>
      </w:r>
    </w:p>
    <w:p w:rsidR="0007317C" w:rsidRDefault="0007317C" w:rsidP="00A15264">
      <w:pPr>
        <w:pStyle w:val="Heading1"/>
        <w:numPr>
          <w:ilvl w:val="0"/>
          <w:numId w:val="16"/>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 xml:space="preserve">It is useful for companies which are seeking to claw back cash for investments as quickly as possible. At the same time, the concept is intuitively appealing as many </w:t>
      </w:r>
      <w:r w:rsidR="00DD62A9">
        <w:rPr>
          <w:rFonts w:ascii="Arial" w:hAnsi="Arial" w:cs="Arial"/>
          <w:b w:val="0"/>
          <w:bCs w:val="0"/>
          <w:color w:val="111111"/>
          <w:sz w:val="22"/>
          <w:szCs w:val="22"/>
        </w:rPr>
        <w:t>businessmen</w:t>
      </w:r>
      <w:r>
        <w:rPr>
          <w:rFonts w:ascii="Arial" w:hAnsi="Arial" w:cs="Arial"/>
          <w:b w:val="0"/>
          <w:bCs w:val="0"/>
          <w:color w:val="111111"/>
          <w:sz w:val="22"/>
          <w:szCs w:val="22"/>
        </w:rPr>
        <w:t xml:space="preserve"> will be concern about how long they may have to wait to get the money back. Because they believe the rapid repayment reduces risks.</w:t>
      </w:r>
    </w:p>
    <w:p w:rsidR="00BD7416" w:rsidRDefault="000E2CF1" w:rsidP="00A15264">
      <w:pPr>
        <w:pStyle w:val="Heading1"/>
        <w:shd w:val="clear" w:color="auto" w:fill="FFFFFF"/>
        <w:spacing w:line="360" w:lineRule="auto"/>
        <w:jc w:val="both"/>
        <w:rPr>
          <w:rFonts w:ascii="Arial" w:hAnsi="Arial" w:cs="Arial"/>
          <w:bCs w:val="0"/>
          <w:color w:val="111111"/>
          <w:sz w:val="22"/>
          <w:szCs w:val="22"/>
        </w:rPr>
      </w:pPr>
      <w:r>
        <w:rPr>
          <w:rFonts w:ascii="Arial" w:hAnsi="Arial" w:cs="Arial"/>
          <w:bCs w:val="0"/>
          <w:color w:val="111111"/>
          <w:sz w:val="22"/>
          <w:szCs w:val="22"/>
        </w:rPr>
        <w:t xml:space="preserve"> </w:t>
      </w:r>
    </w:p>
    <w:p w:rsidR="0007317C" w:rsidRPr="0007317C" w:rsidRDefault="0007317C" w:rsidP="00A15264">
      <w:pPr>
        <w:pStyle w:val="Heading1"/>
        <w:shd w:val="clear" w:color="auto" w:fill="FFFFFF"/>
        <w:spacing w:line="360" w:lineRule="auto"/>
        <w:jc w:val="both"/>
        <w:rPr>
          <w:rFonts w:ascii="Arial" w:hAnsi="Arial" w:cs="Arial"/>
          <w:bCs w:val="0"/>
          <w:color w:val="111111"/>
          <w:sz w:val="22"/>
          <w:szCs w:val="22"/>
        </w:rPr>
      </w:pPr>
      <w:r>
        <w:rPr>
          <w:rFonts w:ascii="Arial" w:hAnsi="Arial" w:cs="Arial"/>
          <w:bCs w:val="0"/>
          <w:color w:val="111111"/>
          <w:sz w:val="22"/>
          <w:szCs w:val="22"/>
        </w:rPr>
        <w:t xml:space="preserve"> </w:t>
      </w:r>
      <w:r w:rsidRPr="0007317C">
        <w:rPr>
          <w:rFonts w:ascii="Arial" w:hAnsi="Arial" w:cs="Arial"/>
          <w:bCs w:val="0"/>
          <w:color w:val="111111"/>
          <w:sz w:val="22"/>
          <w:szCs w:val="22"/>
        </w:rPr>
        <w:t>Disadvantages:</w:t>
      </w:r>
    </w:p>
    <w:p w:rsidR="0007317C" w:rsidRDefault="0007317C" w:rsidP="00A15264">
      <w:pPr>
        <w:pStyle w:val="Heading1"/>
        <w:numPr>
          <w:ilvl w:val="0"/>
          <w:numId w:val="17"/>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Payback ignores the overall profitability of a project by ignoring cash flow after payback is reached. In the examples above the cash flow between year 3 and the end of the project is not taken into account.</w:t>
      </w:r>
    </w:p>
    <w:p w:rsidR="0007317C" w:rsidRDefault="0007317C" w:rsidP="00A15264">
      <w:pPr>
        <w:pStyle w:val="Heading1"/>
        <w:numPr>
          <w:ilvl w:val="0"/>
          <w:numId w:val="17"/>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As with ARR, the payback method ignores the time value of money.</w:t>
      </w:r>
    </w:p>
    <w:p w:rsidR="0007317C" w:rsidRPr="009534D1" w:rsidRDefault="0007317C" w:rsidP="00A15264">
      <w:pPr>
        <w:pStyle w:val="Heading1"/>
        <w:numPr>
          <w:ilvl w:val="0"/>
          <w:numId w:val="17"/>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It offers no objective measure of what is the desirable return, as measured by the length of the payback period.</w:t>
      </w:r>
    </w:p>
    <w:p w:rsidR="00B27D30" w:rsidRDefault="0007317C" w:rsidP="00A15264">
      <w:pPr>
        <w:pStyle w:val="Heading1"/>
        <w:shd w:val="clear" w:color="auto" w:fill="FFFFFF"/>
        <w:spacing w:line="360" w:lineRule="auto"/>
        <w:jc w:val="both"/>
        <w:rPr>
          <w:rFonts w:ascii="Arial" w:hAnsi="Arial" w:cs="Arial"/>
          <w:bCs w:val="0"/>
          <w:color w:val="111111"/>
          <w:sz w:val="22"/>
          <w:szCs w:val="22"/>
        </w:rPr>
      </w:pPr>
      <w:r>
        <w:rPr>
          <w:rFonts w:ascii="Arial" w:hAnsi="Arial" w:cs="Arial"/>
          <w:bCs w:val="0"/>
          <w:color w:val="111111"/>
          <w:sz w:val="22"/>
          <w:szCs w:val="22"/>
        </w:rPr>
        <w:t>Internal Rate of Return:</w:t>
      </w:r>
    </w:p>
    <w:p w:rsidR="0007317C" w:rsidRDefault="0007317C" w:rsidP="00A15264">
      <w:pPr>
        <w:pStyle w:val="Heading1"/>
        <w:shd w:val="clear" w:color="auto" w:fill="FFFFFF"/>
        <w:spacing w:line="360" w:lineRule="auto"/>
        <w:jc w:val="both"/>
        <w:rPr>
          <w:rFonts w:ascii="Arial" w:hAnsi="Arial" w:cs="Arial"/>
          <w:bCs w:val="0"/>
          <w:color w:val="111111"/>
          <w:sz w:val="22"/>
          <w:szCs w:val="22"/>
        </w:rPr>
      </w:pPr>
      <w:r>
        <w:rPr>
          <w:rFonts w:ascii="Arial" w:hAnsi="Arial" w:cs="Arial"/>
          <w:bCs w:val="0"/>
          <w:color w:val="111111"/>
          <w:sz w:val="22"/>
          <w:szCs w:val="22"/>
        </w:rPr>
        <w:t>Advantages:</w:t>
      </w:r>
    </w:p>
    <w:p w:rsidR="00BE4F38" w:rsidRPr="00BE4F38" w:rsidRDefault="00BE4F38" w:rsidP="00A15264">
      <w:pPr>
        <w:pStyle w:val="Heading1"/>
        <w:numPr>
          <w:ilvl w:val="0"/>
          <w:numId w:val="20"/>
        </w:numPr>
        <w:shd w:val="clear" w:color="auto" w:fill="FFFFFF"/>
        <w:spacing w:line="360" w:lineRule="auto"/>
        <w:jc w:val="both"/>
        <w:rPr>
          <w:rFonts w:ascii="Arial" w:hAnsi="Arial" w:cs="Arial"/>
          <w:bCs w:val="0"/>
          <w:color w:val="111111"/>
          <w:sz w:val="22"/>
          <w:szCs w:val="22"/>
        </w:rPr>
      </w:pPr>
      <w:r>
        <w:rPr>
          <w:rFonts w:ascii="Arial" w:hAnsi="Arial" w:cs="Arial"/>
          <w:b w:val="0"/>
          <w:bCs w:val="0"/>
          <w:color w:val="111111"/>
          <w:sz w:val="22"/>
          <w:szCs w:val="22"/>
        </w:rPr>
        <w:t>IRR provides alternative to NPV when cost of capital of a project is uncertain.</w:t>
      </w:r>
    </w:p>
    <w:p w:rsidR="00BE4F38" w:rsidRPr="00BE4F38" w:rsidRDefault="00987936" w:rsidP="00A15264">
      <w:pPr>
        <w:pStyle w:val="Heading1"/>
        <w:numPr>
          <w:ilvl w:val="0"/>
          <w:numId w:val="20"/>
        </w:numPr>
        <w:shd w:val="clear" w:color="auto" w:fill="FFFFFF"/>
        <w:spacing w:line="360" w:lineRule="auto"/>
        <w:jc w:val="both"/>
        <w:rPr>
          <w:rFonts w:ascii="Arial" w:hAnsi="Arial" w:cs="Arial"/>
          <w:bCs w:val="0"/>
          <w:color w:val="111111"/>
          <w:sz w:val="22"/>
          <w:szCs w:val="22"/>
        </w:rPr>
      </w:pPr>
      <w:r>
        <w:rPr>
          <w:rFonts w:ascii="Arial" w:hAnsi="Arial" w:cs="Arial"/>
          <w:b w:val="0"/>
          <w:bCs w:val="0"/>
          <w:color w:val="111111"/>
          <w:sz w:val="22"/>
          <w:szCs w:val="22"/>
        </w:rPr>
        <w:t>IRR provides decision rule for investment appraisal, but also provides information about riskiness of a project i.e. sensitivity of its returns.</w:t>
      </w:r>
    </w:p>
    <w:p w:rsidR="00BE4F38" w:rsidRPr="00C0746F" w:rsidRDefault="00C0746F" w:rsidP="00A15264">
      <w:pPr>
        <w:pStyle w:val="Heading1"/>
        <w:numPr>
          <w:ilvl w:val="0"/>
          <w:numId w:val="20"/>
        </w:numPr>
        <w:shd w:val="clear" w:color="auto" w:fill="FFFFFF"/>
        <w:spacing w:line="360" w:lineRule="auto"/>
        <w:jc w:val="both"/>
        <w:rPr>
          <w:rFonts w:ascii="Arial" w:hAnsi="Arial" w:cs="Arial"/>
          <w:bCs w:val="0"/>
          <w:color w:val="111111"/>
          <w:sz w:val="22"/>
          <w:szCs w:val="22"/>
        </w:rPr>
      </w:pPr>
      <w:r>
        <w:rPr>
          <w:rFonts w:ascii="Arial" w:hAnsi="Arial" w:cs="Arial"/>
          <w:b w:val="0"/>
          <w:bCs w:val="0"/>
          <w:color w:val="111111"/>
          <w:sz w:val="22"/>
          <w:szCs w:val="22"/>
        </w:rPr>
        <w:t>IRR as well as NPV considers the Time value of money and uses cash-flows rather than accounting profits.</w:t>
      </w:r>
    </w:p>
    <w:p w:rsidR="008E5ADA" w:rsidRPr="00B04914" w:rsidRDefault="00C0746F" w:rsidP="00A15264">
      <w:pPr>
        <w:pStyle w:val="Heading1"/>
        <w:numPr>
          <w:ilvl w:val="0"/>
          <w:numId w:val="20"/>
        </w:numPr>
        <w:shd w:val="clear" w:color="auto" w:fill="FFFFFF"/>
        <w:spacing w:line="360" w:lineRule="auto"/>
        <w:jc w:val="both"/>
        <w:rPr>
          <w:rFonts w:ascii="Arial" w:hAnsi="Arial" w:cs="Arial"/>
          <w:bCs w:val="0"/>
          <w:color w:val="111111"/>
          <w:sz w:val="22"/>
          <w:szCs w:val="22"/>
        </w:rPr>
      </w:pPr>
      <w:r>
        <w:rPr>
          <w:rFonts w:ascii="Arial" w:hAnsi="Arial" w:cs="Arial"/>
          <w:b w:val="0"/>
          <w:bCs w:val="0"/>
          <w:color w:val="111111"/>
          <w:sz w:val="22"/>
          <w:szCs w:val="22"/>
        </w:rPr>
        <w:t xml:space="preserve">As it is a percentage it is more easily understood from </w:t>
      </w:r>
      <w:r w:rsidR="00CD694C">
        <w:rPr>
          <w:rFonts w:ascii="Arial" w:hAnsi="Arial" w:cs="Arial"/>
          <w:b w:val="0"/>
          <w:bCs w:val="0"/>
          <w:color w:val="111111"/>
          <w:sz w:val="22"/>
          <w:szCs w:val="22"/>
        </w:rPr>
        <w:t>investor’s</w:t>
      </w:r>
      <w:r>
        <w:rPr>
          <w:rFonts w:ascii="Arial" w:hAnsi="Arial" w:cs="Arial"/>
          <w:b w:val="0"/>
          <w:bCs w:val="0"/>
          <w:color w:val="111111"/>
          <w:sz w:val="22"/>
          <w:szCs w:val="22"/>
        </w:rPr>
        <w:t xml:space="preserve"> perspective and increases shareholder wealth</w:t>
      </w:r>
      <w:bookmarkStart w:id="0" w:name="_GoBack"/>
      <w:bookmarkEnd w:id="0"/>
    </w:p>
    <w:p w:rsidR="00BE4F38" w:rsidRDefault="00BE4F38" w:rsidP="00A15264">
      <w:pPr>
        <w:pStyle w:val="Heading1"/>
        <w:shd w:val="clear" w:color="auto" w:fill="FFFFFF"/>
        <w:spacing w:line="360" w:lineRule="auto"/>
        <w:jc w:val="both"/>
        <w:rPr>
          <w:rFonts w:ascii="Arial" w:hAnsi="Arial" w:cs="Arial"/>
          <w:bCs w:val="0"/>
          <w:color w:val="111111"/>
          <w:sz w:val="22"/>
          <w:szCs w:val="22"/>
        </w:rPr>
      </w:pPr>
      <w:r>
        <w:rPr>
          <w:rFonts w:ascii="Arial" w:hAnsi="Arial" w:cs="Arial"/>
          <w:bCs w:val="0"/>
          <w:color w:val="111111"/>
          <w:sz w:val="22"/>
          <w:szCs w:val="22"/>
        </w:rPr>
        <w:lastRenderedPageBreak/>
        <w:t>Disadvantages:</w:t>
      </w:r>
    </w:p>
    <w:p w:rsidR="00BE4F38" w:rsidRPr="00987936" w:rsidRDefault="00BE4F38" w:rsidP="00A15264">
      <w:pPr>
        <w:pStyle w:val="Heading1"/>
        <w:numPr>
          <w:ilvl w:val="0"/>
          <w:numId w:val="21"/>
        </w:numPr>
        <w:shd w:val="clear" w:color="auto" w:fill="FFFFFF"/>
        <w:spacing w:line="360" w:lineRule="auto"/>
        <w:jc w:val="both"/>
        <w:rPr>
          <w:rFonts w:ascii="Arial" w:hAnsi="Arial" w:cs="Arial"/>
          <w:bCs w:val="0"/>
          <w:color w:val="111111"/>
          <w:sz w:val="22"/>
          <w:szCs w:val="22"/>
        </w:rPr>
      </w:pPr>
      <w:r>
        <w:rPr>
          <w:rFonts w:ascii="Arial" w:hAnsi="Arial" w:cs="Arial"/>
          <w:b w:val="0"/>
          <w:bCs w:val="0"/>
          <w:color w:val="111111"/>
          <w:sz w:val="22"/>
          <w:szCs w:val="22"/>
        </w:rPr>
        <w:t>IRR it is possible to get multiple rates of return</w:t>
      </w:r>
      <w:r w:rsidR="00987936">
        <w:rPr>
          <w:rFonts w:ascii="Arial" w:hAnsi="Arial" w:cs="Arial"/>
          <w:b w:val="0"/>
          <w:bCs w:val="0"/>
          <w:color w:val="111111"/>
          <w:sz w:val="22"/>
          <w:szCs w:val="22"/>
        </w:rPr>
        <w:t>.</w:t>
      </w:r>
    </w:p>
    <w:p w:rsidR="00987936" w:rsidRPr="00987936" w:rsidRDefault="00987936" w:rsidP="00A15264">
      <w:pPr>
        <w:pStyle w:val="Heading1"/>
        <w:numPr>
          <w:ilvl w:val="0"/>
          <w:numId w:val="21"/>
        </w:numPr>
        <w:shd w:val="clear" w:color="auto" w:fill="FFFFFF"/>
        <w:spacing w:line="360" w:lineRule="auto"/>
        <w:jc w:val="both"/>
        <w:rPr>
          <w:rFonts w:ascii="Arial" w:hAnsi="Arial" w:cs="Arial"/>
          <w:bCs w:val="0"/>
          <w:color w:val="111111"/>
          <w:sz w:val="22"/>
          <w:szCs w:val="22"/>
        </w:rPr>
      </w:pPr>
      <w:r>
        <w:rPr>
          <w:rFonts w:ascii="Arial" w:hAnsi="Arial" w:cs="Arial"/>
          <w:b w:val="0"/>
          <w:bCs w:val="0"/>
          <w:color w:val="111111"/>
          <w:sz w:val="22"/>
          <w:szCs w:val="22"/>
        </w:rPr>
        <w:t>The decision rule is not always a clear cut. For instance, if a project has 2 IRRs or more, it is difficult to interpret the rule which says ‘Accept the project if the IRR is higher than the cost of capital’.</w:t>
      </w:r>
    </w:p>
    <w:p w:rsidR="00987936" w:rsidRPr="00C0746F" w:rsidRDefault="00987936" w:rsidP="00A15264">
      <w:pPr>
        <w:pStyle w:val="Heading1"/>
        <w:numPr>
          <w:ilvl w:val="0"/>
          <w:numId w:val="21"/>
        </w:numPr>
        <w:shd w:val="clear" w:color="auto" w:fill="FFFFFF"/>
        <w:spacing w:line="360" w:lineRule="auto"/>
        <w:jc w:val="both"/>
        <w:rPr>
          <w:rFonts w:ascii="Arial" w:hAnsi="Arial" w:cs="Arial"/>
          <w:bCs w:val="0"/>
          <w:color w:val="111111"/>
          <w:sz w:val="22"/>
          <w:szCs w:val="22"/>
        </w:rPr>
      </w:pPr>
      <w:r>
        <w:rPr>
          <w:rFonts w:ascii="Arial" w:hAnsi="Arial" w:cs="Arial"/>
          <w:b w:val="0"/>
          <w:bCs w:val="0"/>
          <w:color w:val="111111"/>
          <w:sz w:val="22"/>
          <w:szCs w:val="22"/>
        </w:rPr>
        <w:t>The assumptions - IRR is often mistakenly assumed to be a measure of the return from a project</w:t>
      </w:r>
      <w:r w:rsidR="00C0746F">
        <w:rPr>
          <w:rFonts w:ascii="Arial" w:hAnsi="Arial" w:cs="Arial"/>
          <w:b w:val="0"/>
          <w:bCs w:val="0"/>
          <w:color w:val="111111"/>
          <w:sz w:val="22"/>
          <w:szCs w:val="22"/>
        </w:rPr>
        <w:t>, which is not. The IRR only represents the return from the project if funds can be reinvested at the IRR for the duration of the period.</w:t>
      </w:r>
    </w:p>
    <w:p w:rsidR="00C0746F" w:rsidRPr="00C0746F" w:rsidRDefault="00C0746F" w:rsidP="00A15264">
      <w:pPr>
        <w:pStyle w:val="Heading1"/>
        <w:numPr>
          <w:ilvl w:val="0"/>
          <w:numId w:val="21"/>
        </w:numPr>
        <w:shd w:val="clear" w:color="auto" w:fill="FFFFFF"/>
        <w:spacing w:line="360" w:lineRule="auto"/>
        <w:jc w:val="both"/>
        <w:rPr>
          <w:rFonts w:ascii="Arial" w:hAnsi="Arial" w:cs="Arial"/>
          <w:bCs w:val="0"/>
          <w:color w:val="111111"/>
          <w:sz w:val="22"/>
          <w:szCs w:val="22"/>
        </w:rPr>
      </w:pPr>
      <w:r>
        <w:rPr>
          <w:rFonts w:ascii="Arial" w:hAnsi="Arial" w:cs="Arial"/>
          <w:b w:val="0"/>
          <w:bCs w:val="0"/>
          <w:color w:val="111111"/>
          <w:sz w:val="22"/>
          <w:szCs w:val="22"/>
        </w:rPr>
        <w:t>It is difficult to choose between projects, since they can have multiple IRRs or none at all, it is difficult to usefully compare projects using IRR.</w:t>
      </w:r>
    </w:p>
    <w:p w:rsidR="00EB160D" w:rsidRPr="000E2CF1" w:rsidRDefault="00C0746F" w:rsidP="00A15264">
      <w:pPr>
        <w:pStyle w:val="Heading1"/>
        <w:numPr>
          <w:ilvl w:val="0"/>
          <w:numId w:val="21"/>
        </w:numPr>
        <w:shd w:val="clear" w:color="auto" w:fill="FFFFFF"/>
        <w:spacing w:line="360" w:lineRule="auto"/>
        <w:jc w:val="both"/>
        <w:rPr>
          <w:rFonts w:ascii="Arial" w:hAnsi="Arial" w:cs="Arial"/>
          <w:bCs w:val="0"/>
          <w:color w:val="111111"/>
          <w:sz w:val="22"/>
          <w:szCs w:val="22"/>
        </w:rPr>
      </w:pPr>
      <w:r>
        <w:rPr>
          <w:rFonts w:ascii="Arial" w:hAnsi="Arial" w:cs="Arial"/>
          <w:b w:val="0"/>
          <w:bCs w:val="0"/>
          <w:color w:val="111111"/>
          <w:sz w:val="22"/>
          <w:szCs w:val="22"/>
        </w:rPr>
        <w:t>IRR does not produce absolute level of return it is a percentage only</w:t>
      </w:r>
      <w:r w:rsidR="000E2CF1">
        <w:rPr>
          <w:rFonts w:ascii="Arial" w:hAnsi="Arial" w:cs="Arial"/>
          <w:bCs w:val="0"/>
          <w:color w:val="111111"/>
          <w:sz w:val="22"/>
          <w:szCs w:val="22"/>
        </w:rPr>
        <w:t>.</w:t>
      </w:r>
    </w:p>
    <w:p w:rsidR="00937B43" w:rsidRDefault="00937B43" w:rsidP="00A15264">
      <w:pPr>
        <w:pStyle w:val="Heading1"/>
        <w:shd w:val="clear" w:color="auto" w:fill="FFFFFF"/>
        <w:spacing w:line="360" w:lineRule="auto"/>
        <w:jc w:val="both"/>
        <w:rPr>
          <w:rFonts w:ascii="Arial" w:hAnsi="Arial" w:cs="Arial"/>
          <w:bCs w:val="0"/>
          <w:color w:val="111111"/>
          <w:sz w:val="22"/>
          <w:szCs w:val="22"/>
        </w:rPr>
      </w:pPr>
    </w:p>
    <w:p w:rsidR="00282B74" w:rsidRDefault="00282B74" w:rsidP="00A15264">
      <w:pPr>
        <w:pStyle w:val="Heading1"/>
        <w:shd w:val="clear" w:color="auto" w:fill="FFFFFF"/>
        <w:spacing w:line="360" w:lineRule="auto"/>
        <w:jc w:val="both"/>
        <w:rPr>
          <w:rFonts w:ascii="Arial" w:hAnsi="Arial" w:cs="Arial"/>
          <w:bCs w:val="0"/>
          <w:color w:val="111111"/>
          <w:sz w:val="22"/>
          <w:szCs w:val="22"/>
        </w:rPr>
      </w:pPr>
      <w:r>
        <w:rPr>
          <w:rFonts w:ascii="Arial" w:hAnsi="Arial" w:cs="Arial"/>
          <w:bCs w:val="0"/>
          <w:color w:val="111111"/>
          <w:sz w:val="22"/>
          <w:szCs w:val="22"/>
        </w:rPr>
        <w:t>Net Present Value (NPV):</w:t>
      </w:r>
    </w:p>
    <w:p w:rsidR="00282B74" w:rsidRDefault="00282B74" w:rsidP="00A15264">
      <w:pPr>
        <w:pStyle w:val="Heading1"/>
        <w:shd w:val="clear" w:color="auto" w:fill="FFFFFF"/>
        <w:spacing w:line="360" w:lineRule="auto"/>
        <w:jc w:val="both"/>
        <w:rPr>
          <w:rFonts w:ascii="Arial" w:hAnsi="Arial" w:cs="Arial"/>
          <w:bCs w:val="0"/>
          <w:color w:val="111111"/>
          <w:sz w:val="22"/>
          <w:szCs w:val="22"/>
        </w:rPr>
      </w:pPr>
      <w:r>
        <w:rPr>
          <w:rFonts w:ascii="Arial" w:hAnsi="Arial" w:cs="Arial"/>
          <w:bCs w:val="0"/>
          <w:color w:val="111111"/>
          <w:sz w:val="22"/>
          <w:szCs w:val="22"/>
        </w:rPr>
        <w:t>Advantages:</w:t>
      </w:r>
    </w:p>
    <w:p w:rsidR="00282B74" w:rsidRDefault="00282B74" w:rsidP="00A15264">
      <w:pPr>
        <w:pStyle w:val="Heading1"/>
        <w:numPr>
          <w:ilvl w:val="0"/>
          <w:numId w:val="18"/>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NPV considers Cash flows – this is why it is preferred to Return on Capital employed (ROCE), since ROCE compares average annual accounting profit with initial or average capital invested. Accounting profits are subject to manipulation since that’s why cash flows are always preferred than Profits.</w:t>
      </w:r>
    </w:p>
    <w:p w:rsidR="00282B74" w:rsidRDefault="00282B74" w:rsidP="00A15264">
      <w:pPr>
        <w:pStyle w:val="Heading1"/>
        <w:numPr>
          <w:ilvl w:val="0"/>
          <w:numId w:val="18"/>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It considers the whole life of an investment project - this is why it is superior to Payback, which measures the time it takes for an investment project to repay the initial capital invested. As described above, Payback therefore considers cash flows within the payback period and ignores cash flows outside the payback period.</w:t>
      </w:r>
    </w:p>
    <w:p w:rsidR="00282B74" w:rsidRDefault="00282B74" w:rsidP="00A15264">
      <w:pPr>
        <w:pStyle w:val="Heading1"/>
        <w:numPr>
          <w:ilvl w:val="0"/>
          <w:numId w:val="18"/>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NPV considers the time value of money. NPV and IRR are both discounted cash flow (DCF) models which consider the time value of money, whereas ROCE and Payback do not consider it.</w:t>
      </w:r>
    </w:p>
    <w:p w:rsidR="00282B74" w:rsidRDefault="00282B74" w:rsidP="00A15264">
      <w:pPr>
        <w:pStyle w:val="Heading1"/>
        <w:numPr>
          <w:ilvl w:val="0"/>
          <w:numId w:val="18"/>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NPV is absolute measure of return – it is seen as superior to investment appraisal methods that offer a relative measure of return, such as IRR and ROCE, and which therefore fail to reflect the amount of the initial investment or the absolute increase in corporate value.</w:t>
      </w:r>
    </w:p>
    <w:p w:rsidR="00DE24B0" w:rsidRDefault="00282B74" w:rsidP="00A15264">
      <w:pPr>
        <w:pStyle w:val="Heading1"/>
        <w:numPr>
          <w:ilvl w:val="0"/>
          <w:numId w:val="18"/>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 xml:space="preserve">It links directly to the objective of maximising shareholders` wealth. It represents the change in total market value that will occur if the investment project is accepted. The increase in wealth of each shareholder can therefore be measured by the increase in </w:t>
      </w:r>
      <w:r>
        <w:rPr>
          <w:rFonts w:ascii="Arial" w:hAnsi="Arial" w:cs="Arial"/>
          <w:b w:val="0"/>
          <w:bCs w:val="0"/>
          <w:color w:val="111111"/>
          <w:sz w:val="22"/>
          <w:szCs w:val="22"/>
        </w:rPr>
        <w:lastRenderedPageBreak/>
        <w:t>the value of their shareholding as a percentage of the overall issued share capital of the company.</w:t>
      </w:r>
    </w:p>
    <w:p w:rsidR="00282B74" w:rsidRPr="00DE24B0" w:rsidRDefault="00BE4F38" w:rsidP="00DE24B0">
      <w:pPr>
        <w:pStyle w:val="Heading1"/>
        <w:shd w:val="clear" w:color="auto" w:fill="FFFFFF"/>
        <w:spacing w:line="360" w:lineRule="auto"/>
        <w:jc w:val="both"/>
        <w:rPr>
          <w:rFonts w:ascii="Arial" w:hAnsi="Arial" w:cs="Arial"/>
          <w:b w:val="0"/>
          <w:bCs w:val="0"/>
          <w:color w:val="111111"/>
          <w:sz w:val="22"/>
          <w:szCs w:val="22"/>
        </w:rPr>
      </w:pPr>
      <w:r w:rsidRPr="00DE24B0">
        <w:rPr>
          <w:rFonts w:ascii="Arial" w:hAnsi="Arial" w:cs="Arial"/>
          <w:bCs w:val="0"/>
          <w:color w:val="111111"/>
          <w:sz w:val="22"/>
          <w:szCs w:val="22"/>
        </w:rPr>
        <w:t>Disadvantages:</w:t>
      </w:r>
    </w:p>
    <w:p w:rsidR="00BE4F38" w:rsidRDefault="00BE4F38" w:rsidP="00A15264">
      <w:pPr>
        <w:pStyle w:val="Heading1"/>
        <w:numPr>
          <w:ilvl w:val="0"/>
          <w:numId w:val="19"/>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NPV is difficult to calculate and understand – so often shareholders who do not have financial background find it difficult to apprehend it.</w:t>
      </w:r>
    </w:p>
    <w:p w:rsidR="00BE4F38" w:rsidRDefault="00BE4F38" w:rsidP="00A15264">
      <w:pPr>
        <w:pStyle w:val="Heading1"/>
        <w:numPr>
          <w:ilvl w:val="0"/>
          <w:numId w:val="19"/>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It does not easily allow two projects of very different scales to be compared.</w:t>
      </w:r>
    </w:p>
    <w:p w:rsidR="00BE4F38" w:rsidRDefault="00BE4F38" w:rsidP="00A15264">
      <w:pPr>
        <w:pStyle w:val="Heading1"/>
        <w:numPr>
          <w:ilvl w:val="0"/>
          <w:numId w:val="19"/>
        </w:numPr>
        <w:shd w:val="clear" w:color="auto" w:fill="FFFFFF"/>
        <w:spacing w:line="360" w:lineRule="auto"/>
        <w:jc w:val="both"/>
        <w:rPr>
          <w:rFonts w:ascii="Arial" w:hAnsi="Arial" w:cs="Arial"/>
          <w:b w:val="0"/>
          <w:bCs w:val="0"/>
          <w:color w:val="111111"/>
          <w:sz w:val="22"/>
          <w:szCs w:val="22"/>
        </w:rPr>
      </w:pPr>
      <w:r>
        <w:rPr>
          <w:rFonts w:ascii="Arial" w:hAnsi="Arial" w:cs="Arial"/>
          <w:b w:val="0"/>
          <w:bCs w:val="0"/>
          <w:color w:val="111111"/>
          <w:sz w:val="22"/>
          <w:szCs w:val="22"/>
        </w:rPr>
        <w:t>NPV is often based on assumptions about cash flow, the timing and the cost of capital which in reality could be different from what is expected.</w:t>
      </w:r>
    </w:p>
    <w:p w:rsidR="007A64E3" w:rsidRPr="007A64E3" w:rsidRDefault="007A64E3" w:rsidP="007A64E3">
      <w:pPr>
        <w:pStyle w:val="Heading1"/>
        <w:shd w:val="clear" w:color="auto" w:fill="FFFFFF"/>
        <w:rPr>
          <w:rFonts w:ascii="Arial" w:hAnsi="Arial" w:cs="Arial"/>
          <w:color w:val="212121"/>
          <w:sz w:val="22"/>
          <w:szCs w:val="22"/>
          <w:shd w:val="clear" w:color="auto" w:fill="FFFFFF"/>
        </w:rPr>
      </w:pPr>
      <w:r w:rsidRPr="007A64E3">
        <w:rPr>
          <w:rFonts w:ascii="Arial" w:hAnsi="Arial" w:cs="Arial"/>
          <w:color w:val="212121"/>
          <w:sz w:val="22"/>
          <w:szCs w:val="22"/>
          <w:shd w:val="clear" w:color="auto" w:fill="FFFFFF"/>
        </w:rPr>
        <w:t>GENERAL CONCLUSION</w:t>
      </w:r>
    </w:p>
    <w:p w:rsidR="000A2D3C" w:rsidRPr="00B04914" w:rsidRDefault="007A64E3" w:rsidP="00B04914">
      <w:pPr>
        <w:pStyle w:val="Heading1"/>
        <w:shd w:val="clear" w:color="auto" w:fill="FFFFFF"/>
        <w:spacing w:line="360" w:lineRule="auto"/>
        <w:jc w:val="both"/>
        <w:rPr>
          <w:rFonts w:ascii="Arial" w:hAnsi="Arial" w:cs="Arial"/>
          <w:b w:val="0"/>
          <w:color w:val="212121"/>
          <w:sz w:val="22"/>
          <w:szCs w:val="22"/>
          <w:shd w:val="clear" w:color="auto" w:fill="FFFFFF"/>
        </w:rPr>
      </w:pPr>
      <w:r w:rsidRPr="00B04914">
        <w:rPr>
          <w:rFonts w:ascii="Arial" w:hAnsi="Arial" w:cs="Arial"/>
          <w:b w:val="0"/>
          <w:color w:val="212121"/>
          <w:sz w:val="22"/>
          <w:szCs w:val="22"/>
          <w:shd w:val="clear" w:color="auto" w:fill="FFFFFF"/>
        </w:rPr>
        <w:t xml:space="preserve"> when carrying out an in-depth analysis of the viability of the investment of two projects, we can say that both </w:t>
      </w:r>
      <w:r w:rsidRPr="00B04914">
        <w:rPr>
          <w:rFonts w:ascii="Arial" w:hAnsi="Arial" w:cs="Arial"/>
          <w:b w:val="0"/>
          <w:color w:val="212121"/>
          <w:sz w:val="22"/>
          <w:szCs w:val="22"/>
          <w:shd w:val="clear" w:color="auto" w:fill="FFFFFF"/>
        </w:rPr>
        <w:t>analyses</w:t>
      </w:r>
      <w:r w:rsidRPr="00B04914">
        <w:rPr>
          <w:rFonts w:ascii="Arial" w:hAnsi="Arial" w:cs="Arial"/>
          <w:b w:val="0"/>
          <w:color w:val="212121"/>
          <w:sz w:val="22"/>
          <w:szCs w:val="22"/>
          <w:shd w:val="clear" w:color="auto" w:fill="FFFFFF"/>
        </w:rPr>
        <w:t xml:space="preserve"> respond positively to the viability study carried out, despite the inconveniences they had during the five years </w:t>
      </w:r>
      <w:r w:rsidRPr="00B04914">
        <w:rPr>
          <w:rFonts w:ascii="Arial" w:hAnsi="Arial" w:cs="Arial"/>
          <w:b w:val="0"/>
          <w:color w:val="212121"/>
          <w:sz w:val="22"/>
          <w:szCs w:val="22"/>
          <w:shd w:val="clear" w:color="auto" w:fill="FFFFFF"/>
        </w:rPr>
        <w:t>analysed</w:t>
      </w:r>
      <w:r w:rsidRPr="00B04914">
        <w:rPr>
          <w:rFonts w:ascii="Arial" w:hAnsi="Arial" w:cs="Arial"/>
          <w:b w:val="0"/>
          <w:color w:val="212121"/>
          <w:sz w:val="22"/>
          <w:szCs w:val="22"/>
          <w:shd w:val="clear" w:color="auto" w:fill="FFFFFF"/>
        </w:rPr>
        <w:t xml:space="preserve"> (2014-2018), they were always at the margin of being able to respond to the investment they made. we can also say that according to this analysis projects A and B presented a good response regarding the net present value since both projects showed viability in the investment, meaning that the capital that has been invested will cover the costs having a return for both projects positive, in terms of the accounting rate of return both project A and project B have an ARR higher than the cost of capital, meaning that both projects are positive, of course, the project A has a little more </w:t>
      </w:r>
      <w:r w:rsidRPr="00B04914">
        <w:rPr>
          <w:rFonts w:ascii="Arial" w:hAnsi="Arial" w:cs="Arial"/>
          <w:b w:val="0"/>
          <w:color w:val="212121"/>
          <w:sz w:val="22"/>
          <w:szCs w:val="22"/>
          <w:shd w:val="clear" w:color="auto" w:fill="FFFFFF"/>
        </w:rPr>
        <w:t>viability</w:t>
      </w:r>
      <w:r w:rsidRPr="00B04914">
        <w:rPr>
          <w:rFonts w:ascii="Arial" w:hAnsi="Arial" w:cs="Arial"/>
          <w:b w:val="0"/>
          <w:color w:val="212121"/>
          <w:sz w:val="22"/>
          <w:szCs w:val="22"/>
          <w:shd w:val="clear" w:color="auto" w:fill="FFFFFF"/>
        </w:rPr>
        <w:t xml:space="preserve"> than Project B; but still both projects are positive</w:t>
      </w:r>
      <w:r w:rsidRPr="00B04914">
        <w:rPr>
          <w:rFonts w:ascii="Arial" w:hAnsi="Arial" w:cs="Arial"/>
          <w:b w:val="0"/>
          <w:color w:val="212121"/>
          <w:sz w:val="22"/>
          <w:szCs w:val="22"/>
          <w:shd w:val="clear" w:color="auto" w:fill="FFFFFF"/>
        </w:rPr>
        <w:t>.</w:t>
      </w:r>
    </w:p>
    <w:p w:rsidR="00B04914" w:rsidRPr="00B04914" w:rsidRDefault="00B04914" w:rsidP="00B04914">
      <w:pPr>
        <w:pStyle w:val="HTMLPreformatted"/>
        <w:shd w:val="clear" w:color="auto" w:fill="FFFFFF"/>
        <w:spacing w:line="360" w:lineRule="auto"/>
        <w:jc w:val="both"/>
        <w:rPr>
          <w:rFonts w:ascii="Arial" w:hAnsi="Arial" w:cs="Arial"/>
          <w:color w:val="212121"/>
          <w:sz w:val="22"/>
          <w:szCs w:val="22"/>
        </w:rPr>
      </w:pPr>
      <w:r w:rsidRPr="00B04914">
        <w:rPr>
          <w:rFonts w:ascii="Arial" w:hAnsi="Arial" w:cs="Arial"/>
          <w:color w:val="212121"/>
          <w:sz w:val="22"/>
          <w:szCs w:val="22"/>
          <w:shd w:val="clear" w:color="auto" w:fill="FFFFFF"/>
        </w:rPr>
        <w:t>As</w:t>
      </w:r>
      <w:r w:rsidR="00E2793F" w:rsidRPr="00B04914">
        <w:rPr>
          <w:rFonts w:ascii="Arial" w:hAnsi="Arial" w:cs="Arial"/>
          <w:color w:val="212121"/>
          <w:sz w:val="22"/>
          <w:szCs w:val="22"/>
          <w:shd w:val="clear" w:color="auto" w:fill="FFFFFF"/>
        </w:rPr>
        <w:t xml:space="preserve"> a final conclusion this study reflected the set of concepts and functions of the two projects A and B, disclosing the resources, obligations, capital, expenses, revenues, costs and all the changes that were generated in question of the 5 years </w:t>
      </w:r>
      <w:r w:rsidRPr="00B04914">
        <w:rPr>
          <w:rFonts w:ascii="Arial" w:hAnsi="Arial" w:cs="Arial"/>
          <w:color w:val="212121"/>
          <w:sz w:val="22"/>
          <w:szCs w:val="22"/>
          <w:shd w:val="clear" w:color="auto" w:fill="FFFFFF"/>
        </w:rPr>
        <w:t>analysed</w:t>
      </w:r>
      <w:r w:rsidR="00E2793F" w:rsidRPr="00B04914">
        <w:rPr>
          <w:rFonts w:ascii="Arial" w:hAnsi="Arial" w:cs="Arial"/>
          <w:color w:val="212121"/>
          <w:sz w:val="22"/>
          <w:szCs w:val="22"/>
          <w:shd w:val="clear" w:color="auto" w:fill="FFFFFF"/>
        </w:rPr>
        <w:t xml:space="preserve">. </w:t>
      </w:r>
      <w:r w:rsidRPr="00B04914">
        <w:rPr>
          <w:rFonts w:ascii="Arial" w:hAnsi="Arial" w:cs="Arial"/>
          <w:color w:val="212121"/>
          <w:sz w:val="22"/>
          <w:szCs w:val="22"/>
          <w:shd w:val="clear" w:color="auto" w:fill="FFFFFF"/>
        </w:rPr>
        <w:t>Also</w:t>
      </w:r>
      <w:r w:rsidR="00E2793F" w:rsidRPr="00B04914">
        <w:rPr>
          <w:rFonts w:ascii="Arial" w:hAnsi="Arial" w:cs="Arial"/>
          <w:color w:val="212121"/>
          <w:sz w:val="22"/>
          <w:szCs w:val="22"/>
          <w:shd w:val="clear" w:color="auto" w:fill="FFFFFF"/>
        </w:rPr>
        <w:t xml:space="preserve"> in this study we learned about the planning of business direction, decision making, </w:t>
      </w:r>
      <w:r w:rsidRPr="00B04914">
        <w:rPr>
          <w:rFonts w:ascii="Arial" w:hAnsi="Arial" w:cs="Arial"/>
          <w:color w:val="212121"/>
          <w:sz w:val="22"/>
          <w:szCs w:val="22"/>
          <w:shd w:val="clear" w:color="auto" w:fill="FFFFFF"/>
        </w:rPr>
        <w:t>analysis</w:t>
      </w:r>
      <w:r w:rsidR="00E2793F" w:rsidRPr="00B04914">
        <w:rPr>
          <w:rFonts w:ascii="Arial" w:hAnsi="Arial" w:cs="Arial"/>
          <w:color w:val="212121"/>
          <w:sz w:val="22"/>
          <w:szCs w:val="22"/>
          <w:shd w:val="clear" w:color="auto" w:fill="FFFFFF"/>
        </w:rPr>
        <w:t xml:space="preserve"> and evaluation management that is made from a financial study where the results show the viability of a project.</w:t>
      </w:r>
      <w:r w:rsidRPr="00B04914">
        <w:rPr>
          <w:rFonts w:ascii="Arial" w:hAnsi="Arial" w:cs="Arial"/>
          <w:color w:val="212121"/>
          <w:sz w:val="22"/>
          <w:szCs w:val="22"/>
          <w:shd w:val="clear" w:color="auto" w:fill="FFFFFF"/>
        </w:rPr>
        <w:t xml:space="preserve"> </w:t>
      </w:r>
      <w:r w:rsidRPr="00B04914">
        <w:rPr>
          <w:rFonts w:ascii="Arial" w:hAnsi="Arial" w:cs="Arial"/>
          <w:color w:val="212121"/>
          <w:sz w:val="22"/>
          <w:szCs w:val="22"/>
          <w:lang w:val="en"/>
        </w:rPr>
        <w:t>This study is useful for the decision making of a project or a credit, and to measure the solvency and liquidity with the account of a company.</w:t>
      </w:r>
    </w:p>
    <w:p w:rsidR="001C0CAF" w:rsidRPr="00B04914" w:rsidRDefault="001C0CAF" w:rsidP="00B04914">
      <w:pPr>
        <w:pStyle w:val="Heading1"/>
        <w:shd w:val="clear" w:color="auto" w:fill="FFFFFF"/>
        <w:spacing w:line="360" w:lineRule="auto"/>
        <w:ind w:left="360"/>
        <w:jc w:val="both"/>
        <w:rPr>
          <w:rFonts w:ascii="Arial" w:hAnsi="Arial" w:cs="Arial"/>
          <w:b w:val="0"/>
          <w:color w:val="212121"/>
          <w:sz w:val="22"/>
          <w:szCs w:val="22"/>
          <w:shd w:val="clear" w:color="auto" w:fill="FFFFFF"/>
        </w:rPr>
      </w:pPr>
    </w:p>
    <w:p w:rsidR="007A64E3" w:rsidRDefault="007A64E3" w:rsidP="007A64E3">
      <w:pPr>
        <w:pStyle w:val="Heading1"/>
        <w:shd w:val="clear" w:color="auto" w:fill="FFFFFF"/>
        <w:spacing w:line="360" w:lineRule="auto"/>
        <w:ind w:left="360"/>
        <w:jc w:val="both"/>
        <w:rPr>
          <w:rFonts w:ascii="Arial" w:hAnsi="Arial" w:cs="Arial"/>
          <w:b w:val="0"/>
          <w:color w:val="212121"/>
          <w:sz w:val="24"/>
          <w:szCs w:val="24"/>
          <w:shd w:val="clear" w:color="auto" w:fill="FFFFFF"/>
        </w:rPr>
      </w:pPr>
    </w:p>
    <w:p w:rsidR="007A64E3" w:rsidRDefault="007A64E3" w:rsidP="00B04914">
      <w:pPr>
        <w:pStyle w:val="Heading1"/>
        <w:shd w:val="clear" w:color="auto" w:fill="FFFFFF"/>
        <w:rPr>
          <w:rFonts w:ascii="Arial" w:hAnsi="Arial" w:cs="Arial"/>
          <w:bCs w:val="0"/>
          <w:color w:val="111111"/>
          <w:sz w:val="22"/>
          <w:szCs w:val="22"/>
        </w:rPr>
      </w:pPr>
    </w:p>
    <w:p w:rsidR="008E5ADA" w:rsidRDefault="008E5ADA" w:rsidP="00BE4F38">
      <w:pPr>
        <w:pStyle w:val="Heading1"/>
        <w:shd w:val="clear" w:color="auto" w:fill="FFFFFF"/>
        <w:ind w:left="360"/>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sdt>
      <w:sdtPr>
        <w:rPr>
          <w:rFonts w:asciiTheme="minorHAnsi" w:eastAsiaTheme="minorHAnsi" w:hAnsiTheme="minorHAnsi" w:cstheme="minorBidi"/>
          <w:b w:val="0"/>
          <w:bCs w:val="0"/>
          <w:kern w:val="0"/>
          <w:sz w:val="22"/>
          <w:szCs w:val="22"/>
          <w:lang w:eastAsia="en-US"/>
        </w:rPr>
        <w:id w:val="-1520001524"/>
        <w:docPartObj>
          <w:docPartGallery w:val="Bibliographies"/>
          <w:docPartUnique/>
        </w:docPartObj>
      </w:sdtPr>
      <w:sdtEndPr/>
      <w:sdtContent>
        <w:p w:rsidR="000C20D8" w:rsidRDefault="000C20D8">
          <w:pPr>
            <w:pStyle w:val="Heading1"/>
          </w:pPr>
          <w:r>
            <w:t>References</w:t>
          </w:r>
        </w:p>
        <w:sdt>
          <w:sdtPr>
            <w:id w:val="111145805"/>
            <w:bibliography/>
          </w:sdtPr>
          <w:sdtEndPr/>
          <w:sdtContent>
            <w:p w:rsidR="000C20D8" w:rsidRDefault="000C20D8" w:rsidP="000C20D8">
              <w:pPr>
                <w:pStyle w:val="Bibliography"/>
                <w:numPr>
                  <w:ilvl w:val="0"/>
                  <w:numId w:val="12"/>
                </w:numPr>
                <w:rPr>
                  <w:noProof/>
                </w:rPr>
              </w:pPr>
              <w:r>
                <w:fldChar w:fldCharType="begin"/>
              </w:r>
              <w:r>
                <w:instrText xml:space="preserve"> BIBLIOGRAPHY </w:instrText>
              </w:r>
              <w:r>
                <w:fldChar w:fldCharType="separate"/>
              </w:r>
              <w:r>
                <w:rPr>
                  <w:noProof/>
                </w:rPr>
                <w:t>Demarzo, B. (2014). Corporate Finance. Pearson.</w:t>
              </w:r>
            </w:p>
            <w:p w:rsidR="000C20D8" w:rsidRDefault="000C20D8" w:rsidP="000C20D8">
              <w:pPr>
                <w:pStyle w:val="Bibliography"/>
                <w:numPr>
                  <w:ilvl w:val="0"/>
                  <w:numId w:val="12"/>
                </w:numPr>
                <w:rPr>
                  <w:noProof/>
                </w:rPr>
              </w:pPr>
              <w:r>
                <w:rPr>
                  <w:noProof/>
                </w:rPr>
                <w:t>Jaffe, R. W. (2008). Corporate Finance. McGraul Hill.</w:t>
              </w:r>
            </w:p>
            <w:p w:rsidR="000C20D8" w:rsidRDefault="000C20D8" w:rsidP="000C20D8">
              <w:pPr>
                <w:pStyle w:val="Bibliography"/>
                <w:numPr>
                  <w:ilvl w:val="0"/>
                  <w:numId w:val="12"/>
                </w:numPr>
                <w:rPr>
                  <w:noProof/>
                </w:rPr>
              </w:pPr>
              <w:r>
                <w:rPr>
                  <w:noProof/>
                </w:rPr>
                <w:t>McLaney, E. (2009). Business Finance. Pearson Education Limited.</w:t>
              </w:r>
            </w:p>
            <w:p w:rsidR="000C20D8" w:rsidRDefault="000C20D8" w:rsidP="000C20D8">
              <w:pPr>
                <w:pStyle w:val="Bibliography"/>
                <w:numPr>
                  <w:ilvl w:val="0"/>
                  <w:numId w:val="12"/>
                </w:numPr>
                <w:rPr>
                  <w:noProof/>
                </w:rPr>
              </w:pPr>
              <w:r>
                <w:rPr>
                  <w:noProof/>
                </w:rPr>
                <w:t>McLaney, E. (2009). Business Finance . Pearson Education Limited.</w:t>
              </w:r>
            </w:p>
            <w:p w:rsidR="000C20D8" w:rsidRDefault="000C20D8" w:rsidP="000C20D8">
              <w:pPr>
                <w:pStyle w:val="Bibliography"/>
                <w:numPr>
                  <w:ilvl w:val="0"/>
                  <w:numId w:val="12"/>
                </w:numPr>
                <w:rPr>
                  <w:noProof/>
                </w:rPr>
              </w:pPr>
              <w:r>
                <w:rPr>
                  <w:noProof/>
                </w:rPr>
                <w:t>Mclanie, E. (2009). Business Finance Theory Practice. Harlow: Pearson Education Limited.</w:t>
              </w:r>
            </w:p>
            <w:p w:rsidR="000C20D8" w:rsidRDefault="000C20D8" w:rsidP="000C20D8">
              <w:pPr>
                <w:pStyle w:val="Bibliography"/>
                <w:numPr>
                  <w:ilvl w:val="0"/>
                  <w:numId w:val="12"/>
                </w:numPr>
                <w:rPr>
                  <w:noProof/>
                </w:rPr>
              </w:pPr>
              <w:r>
                <w:rPr>
                  <w:noProof/>
                </w:rPr>
                <w:t>partnership, J. L. (2014). Retrieved 03 15, 2019, from annual report andn accounts: https://www.johnlewispartnership.co.uk/content/dam/cws/pdfs/financials/annual-reports/John_Lewis_plc_annual_report_and_accounts_2014.pdf</w:t>
              </w:r>
            </w:p>
            <w:p w:rsidR="000C20D8" w:rsidRDefault="000C20D8" w:rsidP="000C20D8">
              <w:r>
                <w:rPr>
                  <w:b/>
                  <w:bCs/>
                  <w:noProof/>
                </w:rPr>
                <w:fldChar w:fldCharType="end"/>
              </w:r>
            </w:p>
          </w:sdtContent>
        </w:sdt>
      </w:sdtContent>
    </w:sdt>
    <w:p w:rsidR="00B21BEB" w:rsidRDefault="00B21BEB" w:rsidP="000C20D8">
      <w:pPr>
        <w:pStyle w:val="Heading1"/>
        <w:shd w:val="clear" w:color="auto" w:fill="FFFFFF"/>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p w:rsidR="00B21BEB" w:rsidRDefault="00B21BEB" w:rsidP="00BE4F38">
      <w:pPr>
        <w:pStyle w:val="Heading1"/>
        <w:shd w:val="clear" w:color="auto" w:fill="FFFFFF"/>
        <w:ind w:left="360"/>
        <w:rPr>
          <w:rFonts w:ascii="Arial" w:hAnsi="Arial" w:cs="Arial"/>
          <w:bCs w:val="0"/>
          <w:color w:val="111111"/>
          <w:sz w:val="22"/>
          <w:szCs w:val="22"/>
        </w:rPr>
      </w:pPr>
    </w:p>
    <w:p w:rsidR="001244E2" w:rsidRDefault="001244E2" w:rsidP="00A31CEE">
      <w:pPr>
        <w:jc w:val="both"/>
        <w:rPr>
          <w:rFonts w:ascii="Arial" w:eastAsia="Times New Roman" w:hAnsi="Arial" w:cs="Arial"/>
          <w:b/>
          <w:color w:val="111111"/>
          <w:kern w:val="36"/>
          <w:lang w:eastAsia="en-GB"/>
        </w:rPr>
      </w:pPr>
    </w:p>
    <w:p w:rsidR="00DE24B0" w:rsidRDefault="00DE24B0" w:rsidP="00A31CEE">
      <w:pPr>
        <w:jc w:val="both"/>
        <w:rPr>
          <w:rFonts w:ascii="Arial" w:eastAsia="Times New Roman" w:hAnsi="Arial" w:cs="Arial"/>
          <w:b/>
          <w:color w:val="111111"/>
          <w:kern w:val="36"/>
          <w:lang w:eastAsia="en-GB"/>
        </w:rPr>
      </w:pPr>
    </w:p>
    <w:p w:rsidR="00DE24B0" w:rsidRDefault="00DE24B0" w:rsidP="00A31CEE">
      <w:pPr>
        <w:jc w:val="both"/>
        <w:rPr>
          <w:rFonts w:ascii="Arial" w:eastAsia="Times New Roman" w:hAnsi="Arial" w:cs="Arial"/>
          <w:b/>
          <w:color w:val="111111"/>
          <w:kern w:val="36"/>
          <w:lang w:eastAsia="en-GB"/>
        </w:rPr>
      </w:pPr>
    </w:p>
    <w:p w:rsidR="00DE24B0" w:rsidRDefault="00DE24B0" w:rsidP="00A31CEE">
      <w:pPr>
        <w:jc w:val="both"/>
        <w:rPr>
          <w:rFonts w:ascii="Arial" w:eastAsia="Times New Roman" w:hAnsi="Arial" w:cs="Arial"/>
          <w:b/>
          <w:color w:val="111111"/>
          <w:kern w:val="36"/>
          <w:lang w:eastAsia="en-GB"/>
        </w:rPr>
      </w:pPr>
    </w:p>
    <w:p w:rsidR="00DE24B0" w:rsidRDefault="00DE24B0" w:rsidP="00A31CEE">
      <w:pPr>
        <w:jc w:val="both"/>
        <w:rPr>
          <w:rFonts w:ascii="Arial" w:eastAsia="Times New Roman" w:hAnsi="Arial" w:cs="Arial"/>
          <w:b/>
          <w:color w:val="111111"/>
          <w:kern w:val="36"/>
          <w:lang w:eastAsia="en-GB"/>
        </w:rPr>
      </w:pPr>
    </w:p>
    <w:p w:rsidR="00DE24B0" w:rsidRDefault="00DE24B0" w:rsidP="00A31CEE">
      <w:pPr>
        <w:jc w:val="both"/>
        <w:rPr>
          <w:rFonts w:ascii="Arial" w:eastAsia="Times New Roman" w:hAnsi="Arial" w:cs="Arial"/>
          <w:b/>
          <w:color w:val="111111"/>
          <w:kern w:val="36"/>
          <w:lang w:eastAsia="en-GB"/>
        </w:rPr>
      </w:pPr>
    </w:p>
    <w:p w:rsidR="001244E2" w:rsidRDefault="001244E2" w:rsidP="00A31CEE">
      <w:pPr>
        <w:jc w:val="both"/>
        <w:rPr>
          <w:rFonts w:ascii="Arial" w:eastAsia="Times New Roman" w:hAnsi="Arial" w:cs="Arial"/>
          <w:b/>
          <w:color w:val="111111"/>
          <w:kern w:val="36"/>
          <w:lang w:eastAsia="en-GB"/>
        </w:rPr>
      </w:pPr>
    </w:p>
    <w:p w:rsidR="00B80460" w:rsidRDefault="00B80460" w:rsidP="00B80460"/>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Default="00B80460" w:rsidP="00B80460">
      <w:pPr>
        <w:jc w:val="both"/>
        <w:rPr>
          <w:rFonts w:ascii="Arial" w:hAnsi="Arial" w:cs="Arial"/>
          <w:sz w:val="24"/>
          <w:szCs w:val="24"/>
        </w:rPr>
      </w:pPr>
    </w:p>
    <w:p w:rsidR="00B80460" w:rsidRPr="00B80460" w:rsidRDefault="00B80460" w:rsidP="00B80460">
      <w:pPr>
        <w:jc w:val="both"/>
        <w:rPr>
          <w:rFonts w:ascii="Arial" w:hAnsi="Arial" w:cs="Arial"/>
          <w:sz w:val="24"/>
          <w:szCs w:val="24"/>
        </w:rPr>
      </w:pPr>
    </w:p>
    <w:p w:rsidR="004E7CB8" w:rsidRPr="00012B50" w:rsidRDefault="004E7CB8" w:rsidP="00FC7BD2">
      <w:pPr>
        <w:pStyle w:val="ListParagraph"/>
        <w:jc w:val="both"/>
        <w:rPr>
          <w:rFonts w:ascii="Arial" w:hAnsi="Arial" w:cs="Arial"/>
          <w:sz w:val="24"/>
          <w:szCs w:val="24"/>
        </w:rPr>
      </w:pPr>
    </w:p>
    <w:sectPr w:rsidR="004E7CB8" w:rsidRPr="00012B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D15DC" w:rsidRDefault="00CD15DC" w:rsidP="009F5972">
      <w:pPr>
        <w:spacing w:after="0" w:line="240" w:lineRule="auto"/>
      </w:pPr>
      <w:r>
        <w:separator/>
      </w:r>
    </w:p>
  </w:endnote>
  <w:endnote w:type="continuationSeparator" w:id="0">
    <w:p w:rsidR="00CD15DC" w:rsidRDefault="00CD15DC" w:rsidP="009F59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D15DC" w:rsidRDefault="00CD15DC" w:rsidP="009F5972">
      <w:pPr>
        <w:spacing w:after="0" w:line="240" w:lineRule="auto"/>
      </w:pPr>
      <w:r>
        <w:separator/>
      </w:r>
    </w:p>
  </w:footnote>
  <w:footnote w:type="continuationSeparator" w:id="0">
    <w:p w:rsidR="00CD15DC" w:rsidRDefault="00CD15DC" w:rsidP="009F597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4614A0"/>
    <w:multiLevelType w:val="hybridMultilevel"/>
    <w:tmpl w:val="BFDC134E"/>
    <w:lvl w:ilvl="0" w:tplc="88D4B6A4">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35D2F1D"/>
    <w:multiLevelType w:val="hybridMultilevel"/>
    <w:tmpl w:val="4064B9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6FC1868"/>
    <w:multiLevelType w:val="hybridMultilevel"/>
    <w:tmpl w:val="0240C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C5D09DF"/>
    <w:multiLevelType w:val="hybridMultilevel"/>
    <w:tmpl w:val="FC108E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6590B6A"/>
    <w:multiLevelType w:val="hybridMultilevel"/>
    <w:tmpl w:val="E3864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B6115B0"/>
    <w:multiLevelType w:val="hybridMultilevel"/>
    <w:tmpl w:val="6F208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BA966AC"/>
    <w:multiLevelType w:val="hybridMultilevel"/>
    <w:tmpl w:val="241CC1B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nsid w:val="1D853867"/>
    <w:multiLevelType w:val="hybridMultilevel"/>
    <w:tmpl w:val="898648E8"/>
    <w:lvl w:ilvl="0" w:tplc="88D4B6A4">
      <w:start w:val="1"/>
      <w:numFmt w:val="decimal"/>
      <w:lvlText w:val="%1."/>
      <w:lvlJc w:val="left"/>
      <w:pPr>
        <w:ind w:left="720"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648614E"/>
    <w:multiLevelType w:val="hybridMultilevel"/>
    <w:tmpl w:val="7CF09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B0B7354"/>
    <w:multiLevelType w:val="hybridMultilevel"/>
    <w:tmpl w:val="8F16B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FFB5BF9"/>
    <w:multiLevelType w:val="hybridMultilevel"/>
    <w:tmpl w:val="75A6C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1C7581A"/>
    <w:multiLevelType w:val="hybridMultilevel"/>
    <w:tmpl w:val="600AE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F637B9D"/>
    <w:multiLevelType w:val="hybridMultilevel"/>
    <w:tmpl w:val="1AA0D1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4B063F8"/>
    <w:multiLevelType w:val="hybridMultilevel"/>
    <w:tmpl w:val="E760F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5902CD6"/>
    <w:multiLevelType w:val="hybridMultilevel"/>
    <w:tmpl w:val="7BC4AE7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nsid w:val="648A4F46"/>
    <w:multiLevelType w:val="hybridMultilevel"/>
    <w:tmpl w:val="190654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6B1E2B61"/>
    <w:multiLevelType w:val="hybridMultilevel"/>
    <w:tmpl w:val="BF18AD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2C00B71"/>
    <w:multiLevelType w:val="hybridMultilevel"/>
    <w:tmpl w:val="FDB00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781920BA"/>
    <w:multiLevelType w:val="hybridMultilevel"/>
    <w:tmpl w:val="8A1E12F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nsid w:val="7A3B7896"/>
    <w:multiLevelType w:val="hybridMultilevel"/>
    <w:tmpl w:val="EEA6D6AC"/>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20">
    <w:nsid w:val="7C04062A"/>
    <w:multiLevelType w:val="hybridMultilevel"/>
    <w:tmpl w:val="596C1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0"/>
  </w:num>
  <w:num w:numId="2">
    <w:abstractNumId w:val="19"/>
  </w:num>
  <w:num w:numId="3">
    <w:abstractNumId w:val="10"/>
  </w:num>
  <w:num w:numId="4">
    <w:abstractNumId w:val="9"/>
  </w:num>
  <w:num w:numId="5">
    <w:abstractNumId w:val="13"/>
  </w:num>
  <w:num w:numId="6">
    <w:abstractNumId w:val="2"/>
  </w:num>
  <w:num w:numId="7">
    <w:abstractNumId w:val="12"/>
  </w:num>
  <w:num w:numId="8">
    <w:abstractNumId w:val="14"/>
  </w:num>
  <w:num w:numId="9">
    <w:abstractNumId w:val="5"/>
  </w:num>
  <w:num w:numId="10">
    <w:abstractNumId w:val="8"/>
  </w:num>
  <w:num w:numId="11">
    <w:abstractNumId w:val="11"/>
  </w:num>
  <w:num w:numId="12">
    <w:abstractNumId w:val="4"/>
  </w:num>
  <w:num w:numId="13">
    <w:abstractNumId w:val="3"/>
  </w:num>
  <w:num w:numId="14">
    <w:abstractNumId w:val="17"/>
  </w:num>
  <w:num w:numId="15">
    <w:abstractNumId w:val="15"/>
  </w:num>
  <w:num w:numId="16">
    <w:abstractNumId w:val="6"/>
  </w:num>
  <w:num w:numId="17">
    <w:abstractNumId w:val="18"/>
  </w:num>
  <w:num w:numId="18">
    <w:abstractNumId w:val="16"/>
  </w:num>
  <w:num w:numId="19">
    <w:abstractNumId w:val="1"/>
  </w:num>
  <w:num w:numId="20">
    <w:abstractNumId w:val="7"/>
  </w:num>
  <w:num w:numId="2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501AA"/>
    <w:rsid w:val="00012B50"/>
    <w:rsid w:val="00012DF7"/>
    <w:rsid w:val="0001442F"/>
    <w:rsid w:val="00040E9A"/>
    <w:rsid w:val="000547D6"/>
    <w:rsid w:val="0006075B"/>
    <w:rsid w:val="0007182A"/>
    <w:rsid w:val="0007317C"/>
    <w:rsid w:val="00074E7C"/>
    <w:rsid w:val="0009332E"/>
    <w:rsid w:val="000A2D3C"/>
    <w:rsid w:val="000C0C2B"/>
    <w:rsid w:val="000C20D8"/>
    <w:rsid w:val="000C7F36"/>
    <w:rsid w:val="000E2CF1"/>
    <w:rsid w:val="001244E2"/>
    <w:rsid w:val="00171E0A"/>
    <w:rsid w:val="001C0CAF"/>
    <w:rsid w:val="001D3D89"/>
    <w:rsid w:val="001D6A75"/>
    <w:rsid w:val="00200D34"/>
    <w:rsid w:val="00220861"/>
    <w:rsid w:val="00280E4A"/>
    <w:rsid w:val="00282B74"/>
    <w:rsid w:val="002F4CF6"/>
    <w:rsid w:val="003226F3"/>
    <w:rsid w:val="00370FEB"/>
    <w:rsid w:val="00382C6D"/>
    <w:rsid w:val="003C75E6"/>
    <w:rsid w:val="003F769B"/>
    <w:rsid w:val="004778FA"/>
    <w:rsid w:val="004B5D74"/>
    <w:rsid w:val="004E7CB8"/>
    <w:rsid w:val="005355FB"/>
    <w:rsid w:val="00536675"/>
    <w:rsid w:val="0055710A"/>
    <w:rsid w:val="00566C4D"/>
    <w:rsid w:val="005953E4"/>
    <w:rsid w:val="005979C3"/>
    <w:rsid w:val="006336B2"/>
    <w:rsid w:val="006736CD"/>
    <w:rsid w:val="0067626C"/>
    <w:rsid w:val="006958DE"/>
    <w:rsid w:val="006F5914"/>
    <w:rsid w:val="007068B0"/>
    <w:rsid w:val="00740EC6"/>
    <w:rsid w:val="00744772"/>
    <w:rsid w:val="007514B4"/>
    <w:rsid w:val="00786AA8"/>
    <w:rsid w:val="0079509A"/>
    <w:rsid w:val="007A64E3"/>
    <w:rsid w:val="007B00A7"/>
    <w:rsid w:val="007C66A3"/>
    <w:rsid w:val="007D3978"/>
    <w:rsid w:val="007E5649"/>
    <w:rsid w:val="007E5723"/>
    <w:rsid w:val="00807AF8"/>
    <w:rsid w:val="00812FE1"/>
    <w:rsid w:val="008226B1"/>
    <w:rsid w:val="00843FF2"/>
    <w:rsid w:val="0086174F"/>
    <w:rsid w:val="00862066"/>
    <w:rsid w:val="00871512"/>
    <w:rsid w:val="008A7A34"/>
    <w:rsid w:val="008B5719"/>
    <w:rsid w:val="008C2BC5"/>
    <w:rsid w:val="008D6ECD"/>
    <w:rsid w:val="008E5ADA"/>
    <w:rsid w:val="008F36F2"/>
    <w:rsid w:val="0091135A"/>
    <w:rsid w:val="00921754"/>
    <w:rsid w:val="00935A17"/>
    <w:rsid w:val="009370EF"/>
    <w:rsid w:val="00937B43"/>
    <w:rsid w:val="00941EC7"/>
    <w:rsid w:val="009534D1"/>
    <w:rsid w:val="0095358B"/>
    <w:rsid w:val="00962796"/>
    <w:rsid w:val="00980772"/>
    <w:rsid w:val="00985D93"/>
    <w:rsid w:val="00987936"/>
    <w:rsid w:val="009D051E"/>
    <w:rsid w:val="009D1C14"/>
    <w:rsid w:val="009D7193"/>
    <w:rsid w:val="009F5972"/>
    <w:rsid w:val="009F6998"/>
    <w:rsid w:val="00A03240"/>
    <w:rsid w:val="00A15264"/>
    <w:rsid w:val="00A2432C"/>
    <w:rsid w:val="00A31CEE"/>
    <w:rsid w:val="00A4116A"/>
    <w:rsid w:val="00A664E5"/>
    <w:rsid w:val="00A775E5"/>
    <w:rsid w:val="00B00E99"/>
    <w:rsid w:val="00B04914"/>
    <w:rsid w:val="00B15116"/>
    <w:rsid w:val="00B204EE"/>
    <w:rsid w:val="00B21BEB"/>
    <w:rsid w:val="00B27D30"/>
    <w:rsid w:val="00B55645"/>
    <w:rsid w:val="00B80460"/>
    <w:rsid w:val="00BA1D67"/>
    <w:rsid w:val="00BD7416"/>
    <w:rsid w:val="00BE4F38"/>
    <w:rsid w:val="00C0746F"/>
    <w:rsid w:val="00C40D26"/>
    <w:rsid w:val="00C637B2"/>
    <w:rsid w:val="00C8226B"/>
    <w:rsid w:val="00C85668"/>
    <w:rsid w:val="00C95394"/>
    <w:rsid w:val="00CC46F9"/>
    <w:rsid w:val="00CC56A8"/>
    <w:rsid w:val="00CD15DC"/>
    <w:rsid w:val="00CD1A1C"/>
    <w:rsid w:val="00CD694C"/>
    <w:rsid w:val="00D03C3D"/>
    <w:rsid w:val="00D21B7B"/>
    <w:rsid w:val="00D501AA"/>
    <w:rsid w:val="00D85122"/>
    <w:rsid w:val="00DB5348"/>
    <w:rsid w:val="00DD2B02"/>
    <w:rsid w:val="00DD62A9"/>
    <w:rsid w:val="00DE24B0"/>
    <w:rsid w:val="00E00920"/>
    <w:rsid w:val="00E2793F"/>
    <w:rsid w:val="00E31544"/>
    <w:rsid w:val="00E507E1"/>
    <w:rsid w:val="00E5615F"/>
    <w:rsid w:val="00E76D41"/>
    <w:rsid w:val="00E94378"/>
    <w:rsid w:val="00EB158A"/>
    <w:rsid w:val="00EB160D"/>
    <w:rsid w:val="00EC7BD2"/>
    <w:rsid w:val="00EF08E0"/>
    <w:rsid w:val="00EF5E27"/>
    <w:rsid w:val="00F07AD1"/>
    <w:rsid w:val="00F21048"/>
    <w:rsid w:val="00F27748"/>
    <w:rsid w:val="00F64878"/>
    <w:rsid w:val="00F657A1"/>
    <w:rsid w:val="00F93E7F"/>
    <w:rsid w:val="00F94B01"/>
    <w:rsid w:val="00FC0553"/>
    <w:rsid w:val="00FC7BD2"/>
    <w:rsid w:val="00FF4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75E6"/>
  </w:style>
  <w:style w:type="paragraph" w:styleId="Heading1">
    <w:name w:val="heading 1"/>
    <w:basedOn w:val="Normal"/>
    <w:link w:val="Heading1Char"/>
    <w:uiPriority w:val="9"/>
    <w:qFormat/>
    <w:rsid w:val="00D501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37B4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1AA"/>
    <w:rPr>
      <w:rFonts w:ascii="Times New Roman" w:eastAsia="Times New Roman" w:hAnsi="Times New Roman" w:cs="Times New Roman"/>
      <w:b/>
      <w:bCs/>
      <w:kern w:val="36"/>
      <w:sz w:val="48"/>
      <w:szCs w:val="48"/>
      <w:lang w:eastAsia="en-GB"/>
    </w:rPr>
  </w:style>
  <w:style w:type="paragraph" w:styleId="HTMLPreformatted">
    <w:name w:val="HTML Preformatted"/>
    <w:basedOn w:val="Normal"/>
    <w:link w:val="HTMLPreformattedChar"/>
    <w:uiPriority w:val="99"/>
    <w:unhideWhenUsed/>
    <w:rsid w:val="00D501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501AA"/>
    <w:rPr>
      <w:rFonts w:ascii="Courier New" w:eastAsia="Times New Roman" w:hAnsi="Courier New" w:cs="Courier New"/>
      <w:sz w:val="20"/>
      <w:szCs w:val="20"/>
      <w:lang w:eastAsia="en-GB"/>
    </w:rPr>
  </w:style>
  <w:style w:type="paragraph" w:styleId="ListParagraph">
    <w:name w:val="List Paragraph"/>
    <w:basedOn w:val="Normal"/>
    <w:uiPriority w:val="34"/>
    <w:qFormat/>
    <w:rsid w:val="00D501AA"/>
    <w:pPr>
      <w:ind w:left="720"/>
      <w:contextualSpacing/>
    </w:pPr>
  </w:style>
  <w:style w:type="paragraph" w:styleId="NormalWeb">
    <w:name w:val="Normal (Web)"/>
    <w:basedOn w:val="Normal"/>
    <w:uiPriority w:val="99"/>
    <w:unhideWhenUsed/>
    <w:rsid w:val="00D501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501AA"/>
    <w:rPr>
      <w:color w:val="0000FF"/>
      <w:u w:val="single"/>
    </w:rPr>
  </w:style>
  <w:style w:type="paragraph" w:styleId="BalloonText">
    <w:name w:val="Balloon Text"/>
    <w:basedOn w:val="Normal"/>
    <w:link w:val="BalloonTextChar"/>
    <w:uiPriority w:val="99"/>
    <w:semiHidden/>
    <w:unhideWhenUsed/>
    <w:rsid w:val="00CC46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46F9"/>
    <w:rPr>
      <w:rFonts w:ascii="Tahoma" w:hAnsi="Tahoma" w:cs="Tahoma"/>
      <w:sz w:val="16"/>
      <w:szCs w:val="16"/>
    </w:rPr>
  </w:style>
  <w:style w:type="paragraph" w:customStyle="1" w:styleId="xmsonormal">
    <w:name w:val="x_msonormal"/>
    <w:basedOn w:val="Normal"/>
    <w:rsid w:val="00BA1D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9F6998"/>
  </w:style>
  <w:style w:type="character" w:customStyle="1" w:styleId="l6">
    <w:name w:val="l6"/>
    <w:basedOn w:val="DefaultParagraphFont"/>
    <w:rsid w:val="009F6998"/>
  </w:style>
  <w:style w:type="paragraph" w:styleId="FootnoteText">
    <w:name w:val="footnote text"/>
    <w:basedOn w:val="Normal"/>
    <w:link w:val="FootnoteTextChar"/>
    <w:uiPriority w:val="99"/>
    <w:semiHidden/>
    <w:unhideWhenUsed/>
    <w:rsid w:val="009F59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5972"/>
    <w:rPr>
      <w:sz w:val="20"/>
      <w:szCs w:val="20"/>
    </w:rPr>
  </w:style>
  <w:style w:type="character" w:styleId="FootnoteReference">
    <w:name w:val="footnote reference"/>
    <w:basedOn w:val="DefaultParagraphFont"/>
    <w:uiPriority w:val="99"/>
    <w:semiHidden/>
    <w:unhideWhenUsed/>
    <w:rsid w:val="009F5972"/>
    <w:rPr>
      <w:vertAlign w:val="superscript"/>
    </w:rPr>
  </w:style>
  <w:style w:type="character" w:customStyle="1" w:styleId="Heading2Char">
    <w:name w:val="Heading 2 Char"/>
    <w:basedOn w:val="DefaultParagraphFont"/>
    <w:link w:val="Heading2"/>
    <w:uiPriority w:val="9"/>
    <w:rsid w:val="00937B43"/>
    <w:rPr>
      <w:rFonts w:asciiTheme="majorHAnsi" w:eastAsiaTheme="majorEastAsia" w:hAnsiTheme="majorHAnsi" w:cstheme="majorBidi"/>
      <w:b/>
      <w:bCs/>
      <w:color w:val="4F81BD" w:themeColor="accent1"/>
      <w:sz w:val="26"/>
      <w:szCs w:val="26"/>
    </w:rPr>
  </w:style>
  <w:style w:type="character" w:customStyle="1" w:styleId="mw-headline">
    <w:name w:val="mw-headline"/>
    <w:basedOn w:val="DefaultParagraphFont"/>
    <w:rsid w:val="00937B43"/>
  </w:style>
  <w:style w:type="paragraph" w:styleId="Bibliography">
    <w:name w:val="Bibliography"/>
    <w:basedOn w:val="Normal"/>
    <w:next w:val="Normal"/>
    <w:uiPriority w:val="37"/>
    <w:unhideWhenUsed/>
    <w:rsid w:val="000C20D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75E6"/>
  </w:style>
  <w:style w:type="paragraph" w:styleId="Heading1">
    <w:name w:val="heading 1"/>
    <w:basedOn w:val="Normal"/>
    <w:link w:val="Heading1Char"/>
    <w:uiPriority w:val="9"/>
    <w:qFormat/>
    <w:rsid w:val="00D501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937B43"/>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01AA"/>
    <w:rPr>
      <w:rFonts w:ascii="Times New Roman" w:eastAsia="Times New Roman" w:hAnsi="Times New Roman" w:cs="Times New Roman"/>
      <w:b/>
      <w:bCs/>
      <w:kern w:val="36"/>
      <w:sz w:val="48"/>
      <w:szCs w:val="48"/>
      <w:lang w:eastAsia="en-GB"/>
    </w:rPr>
  </w:style>
  <w:style w:type="paragraph" w:styleId="HTMLPreformatted">
    <w:name w:val="HTML Preformatted"/>
    <w:basedOn w:val="Normal"/>
    <w:link w:val="HTMLPreformattedChar"/>
    <w:uiPriority w:val="99"/>
    <w:unhideWhenUsed/>
    <w:rsid w:val="00D501A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D501AA"/>
    <w:rPr>
      <w:rFonts w:ascii="Courier New" w:eastAsia="Times New Roman" w:hAnsi="Courier New" w:cs="Courier New"/>
      <w:sz w:val="20"/>
      <w:szCs w:val="20"/>
      <w:lang w:eastAsia="en-GB"/>
    </w:rPr>
  </w:style>
  <w:style w:type="paragraph" w:styleId="ListParagraph">
    <w:name w:val="List Paragraph"/>
    <w:basedOn w:val="Normal"/>
    <w:uiPriority w:val="34"/>
    <w:qFormat/>
    <w:rsid w:val="00D501AA"/>
    <w:pPr>
      <w:ind w:left="720"/>
      <w:contextualSpacing/>
    </w:pPr>
  </w:style>
  <w:style w:type="paragraph" w:styleId="NormalWeb">
    <w:name w:val="Normal (Web)"/>
    <w:basedOn w:val="Normal"/>
    <w:uiPriority w:val="99"/>
    <w:unhideWhenUsed/>
    <w:rsid w:val="00D501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501AA"/>
    <w:rPr>
      <w:color w:val="0000FF"/>
      <w:u w:val="single"/>
    </w:rPr>
  </w:style>
  <w:style w:type="paragraph" w:styleId="BalloonText">
    <w:name w:val="Balloon Text"/>
    <w:basedOn w:val="Normal"/>
    <w:link w:val="BalloonTextChar"/>
    <w:uiPriority w:val="99"/>
    <w:semiHidden/>
    <w:unhideWhenUsed/>
    <w:rsid w:val="00CC46F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C46F9"/>
    <w:rPr>
      <w:rFonts w:ascii="Tahoma" w:hAnsi="Tahoma" w:cs="Tahoma"/>
      <w:sz w:val="16"/>
      <w:szCs w:val="16"/>
    </w:rPr>
  </w:style>
  <w:style w:type="paragraph" w:customStyle="1" w:styleId="xmsonormal">
    <w:name w:val="x_msonormal"/>
    <w:basedOn w:val="Normal"/>
    <w:rsid w:val="00BA1D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a"/>
    <w:basedOn w:val="DefaultParagraphFont"/>
    <w:rsid w:val="009F6998"/>
  </w:style>
  <w:style w:type="character" w:customStyle="1" w:styleId="l6">
    <w:name w:val="l6"/>
    <w:basedOn w:val="DefaultParagraphFont"/>
    <w:rsid w:val="009F6998"/>
  </w:style>
  <w:style w:type="paragraph" w:styleId="FootnoteText">
    <w:name w:val="footnote text"/>
    <w:basedOn w:val="Normal"/>
    <w:link w:val="FootnoteTextChar"/>
    <w:uiPriority w:val="99"/>
    <w:semiHidden/>
    <w:unhideWhenUsed/>
    <w:rsid w:val="009F597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F5972"/>
    <w:rPr>
      <w:sz w:val="20"/>
      <w:szCs w:val="20"/>
    </w:rPr>
  </w:style>
  <w:style w:type="character" w:styleId="FootnoteReference">
    <w:name w:val="footnote reference"/>
    <w:basedOn w:val="DefaultParagraphFont"/>
    <w:uiPriority w:val="99"/>
    <w:semiHidden/>
    <w:unhideWhenUsed/>
    <w:rsid w:val="009F5972"/>
    <w:rPr>
      <w:vertAlign w:val="superscript"/>
    </w:rPr>
  </w:style>
  <w:style w:type="character" w:customStyle="1" w:styleId="Heading2Char">
    <w:name w:val="Heading 2 Char"/>
    <w:basedOn w:val="DefaultParagraphFont"/>
    <w:link w:val="Heading2"/>
    <w:uiPriority w:val="9"/>
    <w:rsid w:val="00937B43"/>
    <w:rPr>
      <w:rFonts w:asciiTheme="majorHAnsi" w:eastAsiaTheme="majorEastAsia" w:hAnsiTheme="majorHAnsi" w:cstheme="majorBidi"/>
      <w:b/>
      <w:bCs/>
      <w:color w:val="4F81BD" w:themeColor="accent1"/>
      <w:sz w:val="26"/>
      <w:szCs w:val="26"/>
    </w:rPr>
  </w:style>
  <w:style w:type="character" w:customStyle="1" w:styleId="mw-headline">
    <w:name w:val="mw-headline"/>
    <w:basedOn w:val="DefaultParagraphFont"/>
    <w:rsid w:val="00937B43"/>
  </w:style>
  <w:style w:type="paragraph" w:styleId="Bibliography">
    <w:name w:val="Bibliography"/>
    <w:basedOn w:val="Normal"/>
    <w:next w:val="Normal"/>
    <w:uiPriority w:val="37"/>
    <w:unhideWhenUsed/>
    <w:rsid w:val="000C20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414069">
      <w:bodyDiv w:val="1"/>
      <w:marLeft w:val="0"/>
      <w:marRight w:val="0"/>
      <w:marTop w:val="0"/>
      <w:marBottom w:val="0"/>
      <w:divBdr>
        <w:top w:val="none" w:sz="0" w:space="0" w:color="auto"/>
        <w:left w:val="none" w:sz="0" w:space="0" w:color="auto"/>
        <w:bottom w:val="none" w:sz="0" w:space="0" w:color="auto"/>
        <w:right w:val="none" w:sz="0" w:space="0" w:color="auto"/>
      </w:divBdr>
    </w:div>
    <w:div w:id="85199147">
      <w:bodyDiv w:val="1"/>
      <w:marLeft w:val="0"/>
      <w:marRight w:val="0"/>
      <w:marTop w:val="0"/>
      <w:marBottom w:val="0"/>
      <w:divBdr>
        <w:top w:val="none" w:sz="0" w:space="0" w:color="auto"/>
        <w:left w:val="none" w:sz="0" w:space="0" w:color="auto"/>
        <w:bottom w:val="none" w:sz="0" w:space="0" w:color="auto"/>
        <w:right w:val="none" w:sz="0" w:space="0" w:color="auto"/>
      </w:divBdr>
    </w:div>
    <w:div w:id="138883072">
      <w:bodyDiv w:val="1"/>
      <w:marLeft w:val="0"/>
      <w:marRight w:val="0"/>
      <w:marTop w:val="0"/>
      <w:marBottom w:val="0"/>
      <w:divBdr>
        <w:top w:val="none" w:sz="0" w:space="0" w:color="auto"/>
        <w:left w:val="none" w:sz="0" w:space="0" w:color="auto"/>
        <w:bottom w:val="none" w:sz="0" w:space="0" w:color="auto"/>
        <w:right w:val="none" w:sz="0" w:space="0" w:color="auto"/>
      </w:divBdr>
    </w:div>
    <w:div w:id="188957457">
      <w:bodyDiv w:val="1"/>
      <w:marLeft w:val="0"/>
      <w:marRight w:val="0"/>
      <w:marTop w:val="0"/>
      <w:marBottom w:val="0"/>
      <w:divBdr>
        <w:top w:val="none" w:sz="0" w:space="0" w:color="auto"/>
        <w:left w:val="none" w:sz="0" w:space="0" w:color="auto"/>
        <w:bottom w:val="none" w:sz="0" w:space="0" w:color="auto"/>
        <w:right w:val="none" w:sz="0" w:space="0" w:color="auto"/>
      </w:divBdr>
    </w:div>
    <w:div w:id="207911054">
      <w:bodyDiv w:val="1"/>
      <w:marLeft w:val="0"/>
      <w:marRight w:val="0"/>
      <w:marTop w:val="0"/>
      <w:marBottom w:val="0"/>
      <w:divBdr>
        <w:top w:val="none" w:sz="0" w:space="0" w:color="auto"/>
        <w:left w:val="none" w:sz="0" w:space="0" w:color="auto"/>
        <w:bottom w:val="none" w:sz="0" w:space="0" w:color="auto"/>
        <w:right w:val="none" w:sz="0" w:space="0" w:color="auto"/>
      </w:divBdr>
    </w:div>
    <w:div w:id="388110198">
      <w:bodyDiv w:val="1"/>
      <w:marLeft w:val="0"/>
      <w:marRight w:val="0"/>
      <w:marTop w:val="0"/>
      <w:marBottom w:val="0"/>
      <w:divBdr>
        <w:top w:val="none" w:sz="0" w:space="0" w:color="auto"/>
        <w:left w:val="none" w:sz="0" w:space="0" w:color="auto"/>
        <w:bottom w:val="none" w:sz="0" w:space="0" w:color="auto"/>
        <w:right w:val="none" w:sz="0" w:space="0" w:color="auto"/>
      </w:divBdr>
    </w:div>
    <w:div w:id="410782176">
      <w:bodyDiv w:val="1"/>
      <w:marLeft w:val="0"/>
      <w:marRight w:val="0"/>
      <w:marTop w:val="0"/>
      <w:marBottom w:val="0"/>
      <w:divBdr>
        <w:top w:val="none" w:sz="0" w:space="0" w:color="auto"/>
        <w:left w:val="none" w:sz="0" w:space="0" w:color="auto"/>
        <w:bottom w:val="none" w:sz="0" w:space="0" w:color="auto"/>
        <w:right w:val="none" w:sz="0" w:space="0" w:color="auto"/>
      </w:divBdr>
    </w:div>
    <w:div w:id="445588719">
      <w:bodyDiv w:val="1"/>
      <w:marLeft w:val="0"/>
      <w:marRight w:val="0"/>
      <w:marTop w:val="0"/>
      <w:marBottom w:val="0"/>
      <w:divBdr>
        <w:top w:val="none" w:sz="0" w:space="0" w:color="auto"/>
        <w:left w:val="none" w:sz="0" w:space="0" w:color="auto"/>
        <w:bottom w:val="none" w:sz="0" w:space="0" w:color="auto"/>
        <w:right w:val="none" w:sz="0" w:space="0" w:color="auto"/>
      </w:divBdr>
    </w:div>
    <w:div w:id="529222719">
      <w:bodyDiv w:val="1"/>
      <w:marLeft w:val="0"/>
      <w:marRight w:val="0"/>
      <w:marTop w:val="0"/>
      <w:marBottom w:val="0"/>
      <w:divBdr>
        <w:top w:val="none" w:sz="0" w:space="0" w:color="auto"/>
        <w:left w:val="none" w:sz="0" w:space="0" w:color="auto"/>
        <w:bottom w:val="none" w:sz="0" w:space="0" w:color="auto"/>
        <w:right w:val="none" w:sz="0" w:space="0" w:color="auto"/>
      </w:divBdr>
    </w:div>
    <w:div w:id="530338748">
      <w:bodyDiv w:val="1"/>
      <w:marLeft w:val="0"/>
      <w:marRight w:val="0"/>
      <w:marTop w:val="0"/>
      <w:marBottom w:val="0"/>
      <w:divBdr>
        <w:top w:val="none" w:sz="0" w:space="0" w:color="auto"/>
        <w:left w:val="none" w:sz="0" w:space="0" w:color="auto"/>
        <w:bottom w:val="none" w:sz="0" w:space="0" w:color="auto"/>
        <w:right w:val="none" w:sz="0" w:space="0" w:color="auto"/>
      </w:divBdr>
    </w:div>
    <w:div w:id="600531014">
      <w:bodyDiv w:val="1"/>
      <w:marLeft w:val="0"/>
      <w:marRight w:val="0"/>
      <w:marTop w:val="0"/>
      <w:marBottom w:val="0"/>
      <w:divBdr>
        <w:top w:val="none" w:sz="0" w:space="0" w:color="auto"/>
        <w:left w:val="none" w:sz="0" w:space="0" w:color="auto"/>
        <w:bottom w:val="none" w:sz="0" w:space="0" w:color="auto"/>
        <w:right w:val="none" w:sz="0" w:space="0" w:color="auto"/>
      </w:divBdr>
    </w:div>
    <w:div w:id="660159933">
      <w:bodyDiv w:val="1"/>
      <w:marLeft w:val="0"/>
      <w:marRight w:val="0"/>
      <w:marTop w:val="0"/>
      <w:marBottom w:val="0"/>
      <w:divBdr>
        <w:top w:val="none" w:sz="0" w:space="0" w:color="auto"/>
        <w:left w:val="none" w:sz="0" w:space="0" w:color="auto"/>
        <w:bottom w:val="none" w:sz="0" w:space="0" w:color="auto"/>
        <w:right w:val="none" w:sz="0" w:space="0" w:color="auto"/>
      </w:divBdr>
    </w:div>
    <w:div w:id="688681763">
      <w:bodyDiv w:val="1"/>
      <w:marLeft w:val="0"/>
      <w:marRight w:val="0"/>
      <w:marTop w:val="0"/>
      <w:marBottom w:val="0"/>
      <w:divBdr>
        <w:top w:val="none" w:sz="0" w:space="0" w:color="auto"/>
        <w:left w:val="none" w:sz="0" w:space="0" w:color="auto"/>
        <w:bottom w:val="none" w:sz="0" w:space="0" w:color="auto"/>
        <w:right w:val="none" w:sz="0" w:space="0" w:color="auto"/>
      </w:divBdr>
    </w:div>
    <w:div w:id="773944876">
      <w:bodyDiv w:val="1"/>
      <w:marLeft w:val="0"/>
      <w:marRight w:val="0"/>
      <w:marTop w:val="0"/>
      <w:marBottom w:val="0"/>
      <w:divBdr>
        <w:top w:val="none" w:sz="0" w:space="0" w:color="auto"/>
        <w:left w:val="none" w:sz="0" w:space="0" w:color="auto"/>
        <w:bottom w:val="none" w:sz="0" w:space="0" w:color="auto"/>
        <w:right w:val="none" w:sz="0" w:space="0" w:color="auto"/>
      </w:divBdr>
    </w:div>
    <w:div w:id="839276429">
      <w:bodyDiv w:val="1"/>
      <w:marLeft w:val="0"/>
      <w:marRight w:val="0"/>
      <w:marTop w:val="0"/>
      <w:marBottom w:val="0"/>
      <w:divBdr>
        <w:top w:val="none" w:sz="0" w:space="0" w:color="auto"/>
        <w:left w:val="none" w:sz="0" w:space="0" w:color="auto"/>
        <w:bottom w:val="none" w:sz="0" w:space="0" w:color="auto"/>
        <w:right w:val="none" w:sz="0" w:space="0" w:color="auto"/>
      </w:divBdr>
    </w:div>
    <w:div w:id="859860266">
      <w:bodyDiv w:val="1"/>
      <w:marLeft w:val="0"/>
      <w:marRight w:val="0"/>
      <w:marTop w:val="0"/>
      <w:marBottom w:val="0"/>
      <w:divBdr>
        <w:top w:val="none" w:sz="0" w:space="0" w:color="auto"/>
        <w:left w:val="none" w:sz="0" w:space="0" w:color="auto"/>
        <w:bottom w:val="none" w:sz="0" w:space="0" w:color="auto"/>
        <w:right w:val="none" w:sz="0" w:space="0" w:color="auto"/>
      </w:divBdr>
    </w:div>
    <w:div w:id="889924685">
      <w:bodyDiv w:val="1"/>
      <w:marLeft w:val="0"/>
      <w:marRight w:val="0"/>
      <w:marTop w:val="0"/>
      <w:marBottom w:val="0"/>
      <w:divBdr>
        <w:top w:val="none" w:sz="0" w:space="0" w:color="auto"/>
        <w:left w:val="none" w:sz="0" w:space="0" w:color="auto"/>
        <w:bottom w:val="none" w:sz="0" w:space="0" w:color="auto"/>
        <w:right w:val="none" w:sz="0" w:space="0" w:color="auto"/>
      </w:divBdr>
    </w:div>
    <w:div w:id="960065177">
      <w:bodyDiv w:val="1"/>
      <w:marLeft w:val="0"/>
      <w:marRight w:val="0"/>
      <w:marTop w:val="0"/>
      <w:marBottom w:val="0"/>
      <w:divBdr>
        <w:top w:val="none" w:sz="0" w:space="0" w:color="auto"/>
        <w:left w:val="none" w:sz="0" w:space="0" w:color="auto"/>
        <w:bottom w:val="none" w:sz="0" w:space="0" w:color="auto"/>
        <w:right w:val="none" w:sz="0" w:space="0" w:color="auto"/>
      </w:divBdr>
    </w:div>
    <w:div w:id="1050617592">
      <w:bodyDiv w:val="1"/>
      <w:marLeft w:val="0"/>
      <w:marRight w:val="0"/>
      <w:marTop w:val="0"/>
      <w:marBottom w:val="0"/>
      <w:divBdr>
        <w:top w:val="none" w:sz="0" w:space="0" w:color="auto"/>
        <w:left w:val="none" w:sz="0" w:space="0" w:color="auto"/>
        <w:bottom w:val="none" w:sz="0" w:space="0" w:color="auto"/>
        <w:right w:val="none" w:sz="0" w:space="0" w:color="auto"/>
      </w:divBdr>
    </w:div>
    <w:div w:id="1079446654">
      <w:bodyDiv w:val="1"/>
      <w:marLeft w:val="0"/>
      <w:marRight w:val="0"/>
      <w:marTop w:val="0"/>
      <w:marBottom w:val="0"/>
      <w:divBdr>
        <w:top w:val="none" w:sz="0" w:space="0" w:color="auto"/>
        <w:left w:val="none" w:sz="0" w:space="0" w:color="auto"/>
        <w:bottom w:val="none" w:sz="0" w:space="0" w:color="auto"/>
        <w:right w:val="none" w:sz="0" w:space="0" w:color="auto"/>
      </w:divBdr>
    </w:div>
    <w:div w:id="1085229098">
      <w:bodyDiv w:val="1"/>
      <w:marLeft w:val="0"/>
      <w:marRight w:val="0"/>
      <w:marTop w:val="0"/>
      <w:marBottom w:val="0"/>
      <w:divBdr>
        <w:top w:val="none" w:sz="0" w:space="0" w:color="auto"/>
        <w:left w:val="none" w:sz="0" w:space="0" w:color="auto"/>
        <w:bottom w:val="none" w:sz="0" w:space="0" w:color="auto"/>
        <w:right w:val="none" w:sz="0" w:space="0" w:color="auto"/>
      </w:divBdr>
    </w:div>
    <w:div w:id="1107502527">
      <w:bodyDiv w:val="1"/>
      <w:marLeft w:val="0"/>
      <w:marRight w:val="0"/>
      <w:marTop w:val="0"/>
      <w:marBottom w:val="0"/>
      <w:divBdr>
        <w:top w:val="none" w:sz="0" w:space="0" w:color="auto"/>
        <w:left w:val="none" w:sz="0" w:space="0" w:color="auto"/>
        <w:bottom w:val="none" w:sz="0" w:space="0" w:color="auto"/>
        <w:right w:val="none" w:sz="0" w:space="0" w:color="auto"/>
      </w:divBdr>
    </w:div>
    <w:div w:id="1111515032">
      <w:bodyDiv w:val="1"/>
      <w:marLeft w:val="0"/>
      <w:marRight w:val="0"/>
      <w:marTop w:val="0"/>
      <w:marBottom w:val="0"/>
      <w:divBdr>
        <w:top w:val="none" w:sz="0" w:space="0" w:color="auto"/>
        <w:left w:val="none" w:sz="0" w:space="0" w:color="auto"/>
        <w:bottom w:val="none" w:sz="0" w:space="0" w:color="auto"/>
        <w:right w:val="none" w:sz="0" w:space="0" w:color="auto"/>
      </w:divBdr>
    </w:div>
    <w:div w:id="1210798343">
      <w:bodyDiv w:val="1"/>
      <w:marLeft w:val="0"/>
      <w:marRight w:val="0"/>
      <w:marTop w:val="0"/>
      <w:marBottom w:val="0"/>
      <w:divBdr>
        <w:top w:val="none" w:sz="0" w:space="0" w:color="auto"/>
        <w:left w:val="none" w:sz="0" w:space="0" w:color="auto"/>
        <w:bottom w:val="none" w:sz="0" w:space="0" w:color="auto"/>
        <w:right w:val="none" w:sz="0" w:space="0" w:color="auto"/>
      </w:divBdr>
    </w:div>
    <w:div w:id="1216117883">
      <w:bodyDiv w:val="1"/>
      <w:marLeft w:val="0"/>
      <w:marRight w:val="0"/>
      <w:marTop w:val="0"/>
      <w:marBottom w:val="0"/>
      <w:divBdr>
        <w:top w:val="none" w:sz="0" w:space="0" w:color="auto"/>
        <w:left w:val="none" w:sz="0" w:space="0" w:color="auto"/>
        <w:bottom w:val="none" w:sz="0" w:space="0" w:color="auto"/>
        <w:right w:val="none" w:sz="0" w:space="0" w:color="auto"/>
      </w:divBdr>
    </w:div>
    <w:div w:id="1267229354">
      <w:bodyDiv w:val="1"/>
      <w:marLeft w:val="0"/>
      <w:marRight w:val="0"/>
      <w:marTop w:val="0"/>
      <w:marBottom w:val="0"/>
      <w:divBdr>
        <w:top w:val="none" w:sz="0" w:space="0" w:color="auto"/>
        <w:left w:val="none" w:sz="0" w:space="0" w:color="auto"/>
        <w:bottom w:val="none" w:sz="0" w:space="0" w:color="auto"/>
        <w:right w:val="none" w:sz="0" w:space="0" w:color="auto"/>
      </w:divBdr>
    </w:div>
    <w:div w:id="1281573618">
      <w:bodyDiv w:val="1"/>
      <w:marLeft w:val="0"/>
      <w:marRight w:val="0"/>
      <w:marTop w:val="0"/>
      <w:marBottom w:val="0"/>
      <w:divBdr>
        <w:top w:val="none" w:sz="0" w:space="0" w:color="auto"/>
        <w:left w:val="none" w:sz="0" w:space="0" w:color="auto"/>
        <w:bottom w:val="none" w:sz="0" w:space="0" w:color="auto"/>
        <w:right w:val="none" w:sz="0" w:space="0" w:color="auto"/>
      </w:divBdr>
    </w:div>
    <w:div w:id="1308978572">
      <w:bodyDiv w:val="1"/>
      <w:marLeft w:val="0"/>
      <w:marRight w:val="0"/>
      <w:marTop w:val="0"/>
      <w:marBottom w:val="0"/>
      <w:divBdr>
        <w:top w:val="none" w:sz="0" w:space="0" w:color="auto"/>
        <w:left w:val="none" w:sz="0" w:space="0" w:color="auto"/>
        <w:bottom w:val="none" w:sz="0" w:space="0" w:color="auto"/>
        <w:right w:val="none" w:sz="0" w:space="0" w:color="auto"/>
      </w:divBdr>
    </w:div>
    <w:div w:id="1330208161">
      <w:bodyDiv w:val="1"/>
      <w:marLeft w:val="0"/>
      <w:marRight w:val="0"/>
      <w:marTop w:val="0"/>
      <w:marBottom w:val="0"/>
      <w:divBdr>
        <w:top w:val="none" w:sz="0" w:space="0" w:color="auto"/>
        <w:left w:val="none" w:sz="0" w:space="0" w:color="auto"/>
        <w:bottom w:val="none" w:sz="0" w:space="0" w:color="auto"/>
        <w:right w:val="none" w:sz="0" w:space="0" w:color="auto"/>
      </w:divBdr>
    </w:div>
    <w:div w:id="1344629276">
      <w:bodyDiv w:val="1"/>
      <w:marLeft w:val="0"/>
      <w:marRight w:val="0"/>
      <w:marTop w:val="0"/>
      <w:marBottom w:val="0"/>
      <w:divBdr>
        <w:top w:val="none" w:sz="0" w:space="0" w:color="auto"/>
        <w:left w:val="none" w:sz="0" w:space="0" w:color="auto"/>
        <w:bottom w:val="none" w:sz="0" w:space="0" w:color="auto"/>
        <w:right w:val="none" w:sz="0" w:space="0" w:color="auto"/>
      </w:divBdr>
    </w:div>
    <w:div w:id="1447197966">
      <w:bodyDiv w:val="1"/>
      <w:marLeft w:val="0"/>
      <w:marRight w:val="0"/>
      <w:marTop w:val="0"/>
      <w:marBottom w:val="0"/>
      <w:divBdr>
        <w:top w:val="none" w:sz="0" w:space="0" w:color="auto"/>
        <w:left w:val="none" w:sz="0" w:space="0" w:color="auto"/>
        <w:bottom w:val="none" w:sz="0" w:space="0" w:color="auto"/>
        <w:right w:val="none" w:sz="0" w:space="0" w:color="auto"/>
      </w:divBdr>
    </w:div>
    <w:div w:id="1471480860">
      <w:bodyDiv w:val="1"/>
      <w:marLeft w:val="0"/>
      <w:marRight w:val="0"/>
      <w:marTop w:val="0"/>
      <w:marBottom w:val="0"/>
      <w:divBdr>
        <w:top w:val="none" w:sz="0" w:space="0" w:color="auto"/>
        <w:left w:val="none" w:sz="0" w:space="0" w:color="auto"/>
        <w:bottom w:val="none" w:sz="0" w:space="0" w:color="auto"/>
        <w:right w:val="none" w:sz="0" w:space="0" w:color="auto"/>
      </w:divBdr>
    </w:div>
    <w:div w:id="1579052627">
      <w:bodyDiv w:val="1"/>
      <w:marLeft w:val="0"/>
      <w:marRight w:val="0"/>
      <w:marTop w:val="0"/>
      <w:marBottom w:val="0"/>
      <w:divBdr>
        <w:top w:val="none" w:sz="0" w:space="0" w:color="auto"/>
        <w:left w:val="none" w:sz="0" w:space="0" w:color="auto"/>
        <w:bottom w:val="none" w:sz="0" w:space="0" w:color="auto"/>
        <w:right w:val="none" w:sz="0" w:space="0" w:color="auto"/>
      </w:divBdr>
    </w:div>
    <w:div w:id="1593275982">
      <w:bodyDiv w:val="1"/>
      <w:marLeft w:val="0"/>
      <w:marRight w:val="0"/>
      <w:marTop w:val="0"/>
      <w:marBottom w:val="0"/>
      <w:divBdr>
        <w:top w:val="none" w:sz="0" w:space="0" w:color="auto"/>
        <w:left w:val="none" w:sz="0" w:space="0" w:color="auto"/>
        <w:bottom w:val="none" w:sz="0" w:space="0" w:color="auto"/>
        <w:right w:val="none" w:sz="0" w:space="0" w:color="auto"/>
      </w:divBdr>
    </w:div>
    <w:div w:id="1652977264">
      <w:bodyDiv w:val="1"/>
      <w:marLeft w:val="0"/>
      <w:marRight w:val="0"/>
      <w:marTop w:val="0"/>
      <w:marBottom w:val="0"/>
      <w:divBdr>
        <w:top w:val="none" w:sz="0" w:space="0" w:color="auto"/>
        <w:left w:val="none" w:sz="0" w:space="0" w:color="auto"/>
        <w:bottom w:val="none" w:sz="0" w:space="0" w:color="auto"/>
        <w:right w:val="none" w:sz="0" w:space="0" w:color="auto"/>
      </w:divBdr>
    </w:div>
    <w:div w:id="1699700143">
      <w:bodyDiv w:val="1"/>
      <w:marLeft w:val="0"/>
      <w:marRight w:val="0"/>
      <w:marTop w:val="0"/>
      <w:marBottom w:val="0"/>
      <w:divBdr>
        <w:top w:val="none" w:sz="0" w:space="0" w:color="auto"/>
        <w:left w:val="none" w:sz="0" w:space="0" w:color="auto"/>
        <w:bottom w:val="none" w:sz="0" w:space="0" w:color="auto"/>
        <w:right w:val="none" w:sz="0" w:space="0" w:color="auto"/>
      </w:divBdr>
    </w:div>
    <w:div w:id="1751807190">
      <w:bodyDiv w:val="1"/>
      <w:marLeft w:val="0"/>
      <w:marRight w:val="0"/>
      <w:marTop w:val="0"/>
      <w:marBottom w:val="0"/>
      <w:divBdr>
        <w:top w:val="none" w:sz="0" w:space="0" w:color="auto"/>
        <w:left w:val="none" w:sz="0" w:space="0" w:color="auto"/>
        <w:bottom w:val="none" w:sz="0" w:space="0" w:color="auto"/>
        <w:right w:val="none" w:sz="0" w:space="0" w:color="auto"/>
      </w:divBdr>
    </w:div>
    <w:div w:id="1782337881">
      <w:bodyDiv w:val="1"/>
      <w:marLeft w:val="0"/>
      <w:marRight w:val="0"/>
      <w:marTop w:val="0"/>
      <w:marBottom w:val="0"/>
      <w:divBdr>
        <w:top w:val="none" w:sz="0" w:space="0" w:color="auto"/>
        <w:left w:val="none" w:sz="0" w:space="0" w:color="auto"/>
        <w:bottom w:val="none" w:sz="0" w:space="0" w:color="auto"/>
        <w:right w:val="none" w:sz="0" w:space="0" w:color="auto"/>
      </w:divBdr>
    </w:div>
    <w:div w:id="1901624770">
      <w:bodyDiv w:val="1"/>
      <w:marLeft w:val="0"/>
      <w:marRight w:val="0"/>
      <w:marTop w:val="0"/>
      <w:marBottom w:val="0"/>
      <w:divBdr>
        <w:top w:val="none" w:sz="0" w:space="0" w:color="auto"/>
        <w:left w:val="none" w:sz="0" w:space="0" w:color="auto"/>
        <w:bottom w:val="none" w:sz="0" w:space="0" w:color="auto"/>
        <w:right w:val="none" w:sz="0" w:space="0" w:color="auto"/>
      </w:divBdr>
    </w:div>
    <w:div w:id="1916236981">
      <w:bodyDiv w:val="1"/>
      <w:marLeft w:val="0"/>
      <w:marRight w:val="0"/>
      <w:marTop w:val="0"/>
      <w:marBottom w:val="0"/>
      <w:divBdr>
        <w:top w:val="none" w:sz="0" w:space="0" w:color="auto"/>
        <w:left w:val="none" w:sz="0" w:space="0" w:color="auto"/>
        <w:bottom w:val="none" w:sz="0" w:space="0" w:color="auto"/>
        <w:right w:val="none" w:sz="0" w:space="0" w:color="auto"/>
      </w:divBdr>
    </w:div>
    <w:div w:id="1918441893">
      <w:bodyDiv w:val="1"/>
      <w:marLeft w:val="0"/>
      <w:marRight w:val="0"/>
      <w:marTop w:val="0"/>
      <w:marBottom w:val="0"/>
      <w:divBdr>
        <w:top w:val="none" w:sz="0" w:space="0" w:color="auto"/>
        <w:left w:val="none" w:sz="0" w:space="0" w:color="auto"/>
        <w:bottom w:val="none" w:sz="0" w:space="0" w:color="auto"/>
        <w:right w:val="none" w:sz="0" w:space="0" w:color="auto"/>
      </w:divBdr>
    </w:div>
    <w:div w:id="2039696668">
      <w:bodyDiv w:val="1"/>
      <w:marLeft w:val="0"/>
      <w:marRight w:val="0"/>
      <w:marTop w:val="0"/>
      <w:marBottom w:val="0"/>
      <w:divBdr>
        <w:top w:val="none" w:sz="0" w:space="0" w:color="auto"/>
        <w:left w:val="none" w:sz="0" w:space="0" w:color="auto"/>
        <w:bottom w:val="none" w:sz="0" w:space="0" w:color="auto"/>
        <w:right w:val="none" w:sz="0" w:space="0" w:color="auto"/>
      </w:divBdr>
    </w:div>
    <w:div w:id="2053266371">
      <w:bodyDiv w:val="1"/>
      <w:marLeft w:val="0"/>
      <w:marRight w:val="0"/>
      <w:marTop w:val="0"/>
      <w:marBottom w:val="0"/>
      <w:divBdr>
        <w:top w:val="none" w:sz="0" w:space="0" w:color="auto"/>
        <w:left w:val="none" w:sz="0" w:space="0" w:color="auto"/>
        <w:bottom w:val="none" w:sz="0" w:space="0" w:color="auto"/>
        <w:right w:val="none" w:sz="0" w:space="0" w:color="auto"/>
      </w:divBdr>
    </w:div>
    <w:div w:id="2077700807">
      <w:bodyDiv w:val="1"/>
      <w:marLeft w:val="0"/>
      <w:marRight w:val="0"/>
      <w:marTop w:val="0"/>
      <w:marBottom w:val="0"/>
      <w:divBdr>
        <w:top w:val="none" w:sz="0" w:space="0" w:color="auto"/>
        <w:left w:val="none" w:sz="0" w:space="0" w:color="auto"/>
        <w:bottom w:val="none" w:sz="0" w:space="0" w:color="auto"/>
        <w:right w:val="none" w:sz="0" w:space="0" w:color="auto"/>
      </w:divBdr>
    </w:div>
    <w:div w:id="2124104764">
      <w:bodyDiv w:val="1"/>
      <w:marLeft w:val="0"/>
      <w:marRight w:val="0"/>
      <w:marTop w:val="0"/>
      <w:marBottom w:val="0"/>
      <w:divBdr>
        <w:top w:val="none" w:sz="0" w:space="0" w:color="auto"/>
        <w:left w:val="none" w:sz="0" w:space="0" w:color="auto"/>
        <w:bottom w:val="none" w:sz="0" w:space="0" w:color="auto"/>
        <w:right w:val="none" w:sz="0" w:space="0" w:color="auto"/>
      </w:divBdr>
    </w:div>
    <w:div w:id="2143108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Trafford_Centre"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en.wikipedia.org/wiki/Cheadle,_Greater_Manchester"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John_Lewis_%26_Partners" TargetMode="External"/><Relationship Id="rId5" Type="http://schemas.openxmlformats.org/officeDocument/2006/relationships/settings" Target="settings.xml"/><Relationship Id="rId15" Type="http://schemas.openxmlformats.org/officeDocument/2006/relationships/hyperlink" Target="https://en.wikipedia.org/wiki/Boots_UK" TargetMode="External"/><Relationship Id="rId10" Type="http://schemas.openxmlformats.org/officeDocument/2006/relationships/hyperlink" Target="https://en.wikipedia.org/wiki/1996_Manchester_bombing" TargetMode="External"/><Relationship Id="rId4" Type="http://schemas.microsoft.com/office/2007/relationships/stylesWithEffects" Target="stylesWithEffects.xml"/><Relationship Id="rId9" Type="http://schemas.openxmlformats.org/officeDocument/2006/relationships/hyperlink" Target="https://en.wikipedia.org/wiki/Manchester_city_centre" TargetMode="External"/><Relationship Id="rId14" Type="http://schemas.openxmlformats.org/officeDocument/2006/relationships/hyperlink" Target="https://en.wikipedia.org/wiki/Brigh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Joh14</b:Tag>
    <b:SourceType>InternetSite</b:SourceType>
    <b:Guid>{D7CF31BF-BE63-4377-BA7D-0E6B44744993}</b:Guid>
    <b:Author>
      <b:Author>
        <b:NameList>
          <b:Person>
            <b:Last>partnership</b:Last>
            <b:First>John</b:First>
            <b:Middle>Lewis</b:Middle>
          </b:Person>
        </b:NameList>
      </b:Author>
    </b:Author>
    <b:InternetSiteTitle>annual report andn accounts</b:InternetSiteTitle>
    <b:Year>2014</b:Year>
    <b:YearAccessed>2019</b:YearAccessed>
    <b:MonthAccessed>03</b:MonthAccessed>
    <b:DayAccessed>15</b:DayAccessed>
    <b:URL>https://www.johnlewispartnership.co.uk/content/dam/cws/pdfs/financials/annual-reports/John_Lewis_plc_annual_report_and_accounts_2014.pdf</b:URL>
    <b:RefOrder>6</b:RefOrder>
  </b:Source>
  <b:Source>
    <b:Tag>Edd09</b:Tag>
    <b:SourceType>BookSection</b:SourceType>
    <b:Guid>{3F5864BE-305F-453B-AA74-9A90A2219F77}</b:Guid>
    <b:Title>Business Finance Theory Practice</b:Title>
    <b:Year>2009</b:Year>
    <b:Author>
      <b:Author>
        <b:NameList>
          <b:Person>
            <b:Last>Mclanie</b:Last>
            <b:First>Eddie</b:First>
          </b:Person>
        </b:NameList>
      </b:Author>
    </b:Author>
    <b:City>Harlow</b:City>
    <b:Publisher>Pearson Education Limited</b:Publisher>
    <b:RefOrder>1</b:RefOrder>
  </b:Source>
  <b:Source>
    <b:Tag>Edd091</b:Tag>
    <b:SourceType>BookSection</b:SourceType>
    <b:Guid>{BA54DB95-B07E-441D-AB24-761EFF554400}</b:Guid>
    <b:Author>
      <b:Author>
        <b:NameList>
          <b:Person>
            <b:Last>McLaney</b:Last>
            <b:First>Eddie</b:First>
          </b:Person>
        </b:NameList>
      </b:Author>
    </b:Author>
    <b:Title>Business Finance </b:Title>
    <b:Year>2009</b:Year>
    <b:Publisher>Pearson Education Limited</b:Publisher>
    <b:RefOrder>2</b:RefOrder>
  </b:Source>
  <b:Source>
    <b:Tag>Edd092</b:Tag>
    <b:SourceType>BookSection</b:SourceType>
    <b:Guid>{0332E813-3004-4809-A19C-292ADAA045C1}</b:Guid>
    <b:Author>
      <b:Author>
        <b:NameList>
          <b:Person>
            <b:Last>McLaney</b:Last>
            <b:First>Eddie</b:First>
          </b:Person>
        </b:NameList>
      </b:Author>
    </b:Author>
    <b:Title>Business Finance</b:Title>
    <b:Year>2009</b:Year>
    <b:Publisher>Pearson Education Limited</b:Publisher>
    <b:RefOrder>3</b:RefOrder>
  </b:Source>
  <b:Source>
    <b:Tag>Ros08</b:Tag>
    <b:SourceType>BookSection</b:SourceType>
    <b:Guid>{AB5382AC-B9AF-4645-9EB3-088FA8BCE658}</b:Guid>
    <b:Author>
      <b:Author>
        <b:NameList>
          <b:Person>
            <b:Last>Jaffe</b:Last>
            <b:First>Ross</b:First>
            <b:Middle>Westerfield</b:Middle>
          </b:Person>
        </b:NameList>
      </b:Author>
    </b:Author>
    <b:Title>Corporate Finance</b:Title>
    <b:Year>2008</b:Year>
    <b:Publisher>McGraul Hill</b:Publisher>
    <b:RefOrder>4</b:RefOrder>
  </b:Source>
  <b:Source>
    <b:Tag>Ber14</b:Tag>
    <b:SourceType>BookSection</b:SourceType>
    <b:Guid>{B7883D7F-774C-4150-AF39-90818E60136E}</b:Guid>
    <b:Author>
      <b:Author>
        <b:NameList>
          <b:Person>
            <b:Last>Demarzo</b:Last>
            <b:First>Berk</b:First>
          </b:Person>
        </b:NameList>
      </b:Author>
    </b:Author>
    <b:Title>Corporate Finance</b:Title>
    <b:Year>2014</b:Year>
    <b:Publisher>Pearson</b:Publisher>
    <b:RefOrder>5</b:RefOrder>
  </b:Source>
  <b:Source xmlns:b="http://schemas.openxmlformats.org/officeDocument/2006/bibliography" xmlns="http://schemas.openxmlformats.org/officeDocument/2006/bibliography">
    <b:Tag>Placeholder1</b:Tag>
    <b:RefOrder>7</b:RefOrder>
  </b:Source>
</b:Sources>
</file>

<file path=customXml/itemProps1.xml><?xml version="1.0" encoding="utf-8"?>
<ds:datastoreItem xmlns:ds="http://schemas.openxmlformats.org/officeDocument/2006/customXml" ds:itemID="{5E3FD36D-5494-44CA-ACC5-D7E2CDCC3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4341</Words>
  <Characters>24744</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Dimitar</dc:creator>
  <cp:lastModifiedBy>Dimitar</cp:lastModifiedBy>
  <cp:revision>2</cp:revision>
  <dcterms:created xsi:type="dcterms:W3CDTF">2019-05-01T10:12:00Z</dcterms:created>
  <dcterms:modified xsi:type="dcterms:W3CDTF">2019-05-01T10:12:00Z</dcterms:modified>
</cp:coreProperties>
</file>