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E34BBD" w14:textId="77777777" w:rsidR="002229F0" w:rsidRDefault="002229F0" w:rsidP="00E611D9">
      <w:pPr>
        <w:pStyle w:val="AssignBody"/>
      </w:pPr>
    </w:p>
    <w:p w14:paraId="11419B84" w14:textId="5C082444" w:rsidR="00D83A40" w:rsidRDefault="00B43EBE" w:rsidP="00CD1240">
      <w:pPr>
        <w:pStyle w:val="AssignSubHeader"/>
      </w:pPr>
      <w:r w:rsidRPr="00B43EBE">
        <w:rPr>
          <w:sz w:val="36"/>
          <w:u w:val="single"/>
        </w:rPr>
        <w:t>Does the implementation of assessment for learning strategy ‘Think, Pair, Share’ increase student’s participation and confidence within a lesson?’</w:t>
      </w:r>
    </w:p>
    <w:p w14:paraId="13BBB0E2" w14:textId="2088A8D8" w:rsidR="00755E37" w:rsidRDefault="00755E37" w:rsidP="00755E37">
      <w:pPr>
        <w:pStyle w:val="AssignBody"/>
      </w:pPr>
    </w:p>
    <w:p w14:paraId="364A6B32" w14:textId="77777777" w:rsidR="00B457F0" w:rsidRDefault="00B457F0" w:rsidP="00755E37">
      <w:pPr>
        <w:pStyle w:val="AssignBody"/>
      </w:pPr>
    </w:p>
    <w:tbl>
      <w:tblPr>
        <w:tblStyle w:val="TableGrid"/>
        <w:tblW w:w="0" w:type="auto"/>
        <w:tblLook w:val="04A0" w:firstRow="1" w:lastRow="0" w:firstColumn="1" w:lastColumn="0" w:noHBand="0" w:noVBand="1"/>
      </w:tblPr>
      <w:tblGrid>
        <w:gridCol w:w="1722"/>
        <w:gridCol w:w="3647"/>
        <w:gridCol w:w="3647"/>
      </w:tblGrid>
      <w:tr w:rsidR="00755E37" w14:paraId="337F1D26" w14:textId="77777777" w:rsidTr="00755E37">
        <w:tc>
          <w:tcPr>
            <w:tcW w:w="1722" w:type="dxa"/>
            <w:tcBorders>
              <w:top w:val="single" w:sz="4" w:space="0" w:color="auto"/>
              <w:left w:val="single" w:sz="4" w:space="0" w:color="auto"/>
              <w:bottom w:val="single" w:sz="4" w:space="0" w:color="auto"/>
              <w:right w:val="single" w:sz="4" w:space="0" w:color="auto"/>
            </w:tcBorders>
          </w:tcPr>
          <w:p w14:paraId="6536D85E" w14:textId="77777777" w:rsidR="00755E37" w:rsidRDefault="00755E37">
            <w:pPr>
              <w:pStyle w:val="AssignBody"/>
            </w:pPr>
          </w:p>
        </w:tc>
        <w:tc>
          <w:tcPr>
            <w:tcW w:w="3647" w:type="dxa"/>
            <w:tcBorders>
              <w:top w:val="single" w:sz="4" w:space="0" w:color="auto"/>
              <w:left w:val="single" w:sz="4" w:space="0" w:color="auto"/>
              <w:bottom w:val="single" w:sz="4" w:space="0" w:color="auto"/>
              <w:right w:val="single" w:sz="4" w:space="0" w:color="auto"/>
            </w:tcBorders>
            <w:hideMark/>
          </w:tcPr>
          <w:p w14:paraId="041783CA" w14:textId="70EDE31B" w:rsidR="00755E37" w:rsidRDefault="00755E37">
            <w:pPr>
              <w:pStyle w:val="AssignBody"/>
            </w:pPr>
            <w:proofErr w:type="spellStart"/>
            <w:r>
              <w:t>Targed</w:t>
            </w:r>
            <w:proofErr w:type="spellEnd"/>
            <w:r>
              <w:t>/Target</w:t>
            </w:r>
          </w:p>
        </w:tc>
        <w:tc>
          <w:tcPr>
            <w:tcW w:w="3647" w:type="dxa"/>
            <w:tcBorders>
              <w:top w:val="single" w:sz="4" w:space="0" w:color="auto"/>
              <w:left w:val="single" w:sz="4" w:space="0" w:color="auto"/>
              <w:bottom w:val="single" w:sz="4" w:space="0" w:color="auto"/>
              <w:right w:val="single" w:sz="4" w:space="0" w:color="auto"/>
            </w:tcBorders>
          </w:tcPr>
          <w:p w14:paraId="1527969B" w14:textId="3C91E03C" w:rsidR="00755E37" w:rsidRDefault="00755E37">
            <w:pPr>
              <w:pStyle w:val="NormalWeb"/>
              <w:spacing w:before="0" w:beforeAutospacing="0" w:after="0" w:afterAutospacing="0"/>
              <w:rPr>
                <w:rFonts w:ascii="Arial" w:hAnsi="Arial" w:cs="Arial"/>
                <w:color w:val="222222"/>
                <w:sz w:val="22"/>
                <w:szCs w:val="22"/>
                <w:shd w:val="clear" w:color="auto" w:fill="F8F9FA"/>
                <w:lang w:val="en-US" w:eastAsia="en-US"/>
              </w:rPr>
            </w:pPr>
            <w:proofErr w:type="spellStart"/>
            <w:r>
              <w:rPr>
                <w:rFonts w:ascii="Arial" w:hAnsi="Arial" w:cs="Arial"/>
                <w:color w:val="222222"/>
                <w:sz w:val="22"/>
                <w:szCs w:val="22"/>
                <w:shd w:val="clear" w:color="auto" w:fill="F8F9FA"/>
                <w:lang w:val="en-US" w:eastAsia="en-US"/>
              </w:rPr>
              <w:t>Yr</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hyn</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yr</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wyf</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wedi'i</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wneud</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yn</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yr</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aseiniad</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hwn</w:t>
            </w:r>
            <w:proofErr w:type="spellEnd"/>
            <w:r>
              <w:rPr>
                <w:rFonts w:ascii="Arial" w:hAnsi="Arial" w:cs="Arial"/>
                <w:color w:val="222222"/>
                <w:sz w:val="22"/>
                <w:szCs w:val="22"/>
                <w:shd w:val="clear" w:color="auto" w:fill="F8F9FA"/>
                <w:lang w:val="en-US" w:eastAsia="en-US"/>
              </w:rPr>
              <w:t>.</w:t>
            </w:r>
          </w:p>
          <w:p w14:paraId="43542727" w14:textId="77777777" w:rsidR="00755E37" w:rsidRDefault="00755E37">
            <w:pPr>
              <w:pStyle w:val="NormalWeb"/>
              <w:spacing w:before="0" w:beforeAutospacing="0" w:after="0" w:afterAutospacing="0"/>
              <w:rPr>
                <w:rFonts w:ascii="Arial" w:hAnsi="Arial" w:cs="Arial"/>
                <w:color w:val="222222"/>
                <w:sz w:val="22"/>
                <w:szCs w:val="22"/>
                <w:lang w:val="en-US" w:eastAsia="en-US"/>
              </w:rPr>
            </w:pPr>
          </w:p>
          <w:p w14:paraId="0CFF26C5" w14:textId="321AC52F" w:rsidR="00755E37" w:rsidRPr="00755E37" w:rsidRDefault="00755E37" w:rsidP="00755E37">
            <w:pPr>
              <w:pStyle w:val="NormalWeb"/>
              <w:spacing w:before="0" w:beforeAutospacing="0" w:after="0" w:afterAutospacing="0"/>
              <w:rPr>
                <w:rFonts w:ascii="Arial" w:hAnsi="Arial" w:cs="Arial"/>
                <w:sz w:val="22"/>
                <w:szCs w:val="22"/>
                <w:lang w:val="en-US" w:eastAsia="en-US"/>
              </w:rPr>
            </w:pPr>
            <w:r>
              <w:rPr>
                <w:rFonts w:ascii="Arial" w:hAnsi="Arial" w:cs="Arial"/>
                <w:sz w:val="22"/>
                <w:szCs w:val="22"/>
                <w:lang w:val="en-US" w:eastAsia="en-US"/>
              </w:rPr>
              <w:t>What I have done in this assignment.</w:t>
            </w:r>
          </w:p>
        </w:tc>
      </w:tr>
      <w:tr w:rsidR="00755E37" w14:paraId="5916A988" w14:textId="77777777" w:rsidTr="00755E37">
        <w:tc>
          <w:tcPr>
            <w:tcW w:w="1722" w:type="dxa"/>
            <w:tcBorders>
              <w:top w:val="single" w:sz="4" w:space="0" w:color="auto"/>
              <w:left w:val="single" w:sz="4" w:space="0" w:color="auto"/>
              <w:bottom w:val="single" w:sz="4" w:space="0" w:color="auto"/>
              <w:right w:val="single" w:sz="4" w:space="0" w:color="auto"/>
            </w:tcBorders>
            <w:hideMark/>
          </w:tcPr>
          <w:p w14:paraId="2E8DFC85" w14:textId="77777777" w:rsidR="00755E37" w:rsidRDefault="00755E37">
            <w:pPr>
              <w:pStyle w:val="AssignBody"/>
            </w:pPr>
            <w:proofErr w:type="spellStart"/>
            <w:r>
              <w:t>T</w:t>
            </w:r>
            <w:bookmarkStart w:id="0" w:name="cysill"/>
            <w:bookmarkEnd w:id="0"/>
            <w:r>
              <w:t>arged</w:t>
            </w:r>
            <w:proofErr w:type="spellEnd"/>
            <w:r>
              <w:t>/Target 1</w:t>
            </w:r>
          </w:p>
        </w:tc>
        <w:tc>
          <w:tcPr>
            <w:tcW w:w="3647" w:type="dxa"/>
            <w:tcBorders>
              <w:top w:val="single" w:sz="4" w:space="0" w:color="auto"/>
              <w:left w:val="single" w:sz="4" w:space="0" w:color="auto"/>
              <w:bottom w:val="single" w:sz="4" w:space="0" w:color="auto"/>
              <w:right w:val="single" w:sz="4" w:space="0" w:color="auto"/>
            </w:tcBorders>
          </w:tcPr>
          <w:p w14:paraId="181D3942" w14:textId="5E6F7A3E" w:rsidR="00755E37" w:rsidRDefault="00B43EBE">
            <w:pPr>
              <w:pStyle w:val="AssignBody"/>
            </w:pPr>
            <w:r w:rsidRPr="00B43EBE">
              <w:t>Ensure you synthesise and reflect.</w:t>
            </w:r>
          </w:p>
        </w:tc>
        <w:tc>
          <w:tcPr>
            <w:tcW w:w="3647" w:type="dxa"/>
            <w:tcBorders>
              <w:top w:val="single" w:sz="4" w:space="0" w:color="auto"/>
              <w:left w:val="single" w:sz="4" w:space="0" w:color="auto"/>
              <w:bottom w:val="single" w:sz="4" w:space="0" w:color="auto"/>
              <w:right w:val="single" w:sz="4" w:space="0" w:color="auto"/>
            </w:tcBorders>
          </w:tcPr>
          <w:p w14:paraId="342A62A2" w14:textId="2DF156E7" w:rsidR="00755E37" w:rsidRDefault="00B43179">
            <w:pPr>
              <w:pStyle w:val="AssignBody"/>
            </w:pPr>
            <w:r>
              <w:t>I have attempted to synthesis and reflect on points made throughout the essay.</w:t>
            </w:r>
          </w:p>
        </w:tc>
      </w:tr>
      <w:tr w:rsidR="00755E37" w14:paraId="59BF48B3" w14:textId="77777777" w:rsidTr="00755E37">
        <w:tc>
          <w:tcPr>
            <w:tcW w:w="1722" w:type="dxa"/>
            <w:tcBorders>
              <w:top w:val="single" w:sz="4" w:space="0" w:color="auto"/>
              <w:left w:val="single" w:sz="4" w:space="0" w:color="auto"/>
              <w:bottom w:val="single" w:sz="4" w:space="0" w:color="auto"/>
              <w:right w:val="single" w:sz="4" w:space="0" w:color="auto"/>
            </w:tcBorders>
            <w:hideMark/>
          </w:tcPr>
          <w:p w14:paraId="5572A796" w14:textId="77777777" w:rsidR="00755E37" w:rsidRDefault="00755E37">
            <w:pPr>
              <w:pStyle w:val="AssignBody"/>
            </w:pPr>
            <w:proofErr w:type="spellStart"/>
            <w:r>
              <w:t>Targed</w:t>
            </w:r>
            <w:proofErr w:type="spellEnd"/>
            <w:r>
              <w:t>/Target 2</w:t>
            </w:r>
          </w:p>
        </w:tc>
        <w:tc>
          <w:tcPr>
            <w:tcW w:w="3647" w:type="dxa"/>
            <w:tcBorders>
              <w:top w:val="single" w:sz="4" w:space="0" w:color="auto"/>
              <w:left w:val="single" w:sz="4" w:space="0" w:color="auto"/>
              <w:bottom w:val="single" w:sz="4" w:space="0" w:color="auto"/>
              <w:right w:val="single" w:sz="4" w:space="0" w:color="auto"/>
            </w:tcBorders>
          </w:tcPr>
          <w:p w14:paraId="2A9415E3" w14:textId="774161F7" w:rsidR="00755E37" w:rsidRDefault="00B43EBE">
            <w:pPr>
              <w:pStyle w:val="AssignBody"/>
            </w:pPr>
            <w:r w:rsidRPr="00B43EBE">
              <w:t>Try to avoid sweeping statements</w:t>
            </w:r>
            <w:r>
              <w:t>.</w:t>
            </w:r>
          </w:p>
        </w:tc>
        <w:tc>
          <w:tcPr>
            <w:tcW w:w="3647" w:type="dxa"/>
            <w:tcBorders>
              <w:top w:val="single" w:sz="4" w:space="0" w:color="auto"/>
              <w:left w:val="single" w:sz="4" w:space="0" w:color="auto"/>
              <w:bottom w:val="single" w:sz="4" w:space="0" w:color="auto"/>
              <w:right w:val="single" w:sz="4" w:space="0" w:color="auto"/>
            </w:tcBorders>
          </w:tcPr>
          <w:p w14:paraId="0E186AA1" w14:textId="6801C026" w:rsidR="00755E37" w:rsidRDefault="00B43179">
            <w:pPr>
              <w:pStyle w:val="AssignBody"/>
            </w:pPr>
            <w:r>
              <w:t>I have ensured to reference all points</w:t>
            </w:r>
            <w:r w:rsidR="00EA4914">
              <w:t xml:space="preserve">. </w:t>
            </w:r>
          </w:p>
        </w:tc>
      </w:tr>
      <w:tr w:rsidR="00755E37" w14:paraId="2E4AF60A" w14:textId="77777777" w:rsidTr="00755E37">
        <w:tc>
          <w:tcPr>
            <w:tcW w:w="1722" w:type="dxa"/>
            <w:tcBorders>
              <w:top w:val="single" w:sz="4" w:space="0" w:color="auto"/>
              <w:left w:val="single" w:sz="4" w:space="0" w:color="auto"/>
              <w:bottom w:val="single" w:sz="4" w:space="0" w:color="auto"/>
              <w:right w:val="single" w:sz="4" w:space="0" w:color="auto"/>
            </w:tcBorders>
            <w:hideMark/>
          </w:tcPr>
          <w:p w14:paraId="1A54ED4C" w14:textId="77777777" w:rsidR="00755E37" w:rsidRDefault="00755E37">
            <w:pPr>
              <w:pStyle w:val="AssignBody"/>
            </w:pPr>
            <w:proofErr w:type="spellStart"/>
            <w:r>
              <w:t>Targed</w:t>
            </w:r>
            <w:proofErr w:type="spellEnd"/>
            <w:r>
              <w:t>/Target 3</w:t>
            </w:r>
          </w:p>
        </w:tc>
        <w:tc>
          <w:tcPr>
            <w:tcW w:w="3647" w:type="dxa"/>
            <w:tcBorders>
              <w:top w:val="single" w:sz="4" w:space="0" w:color="auto"/>
              <w:left w:val="single" w:sz="4" w:space="0" w:color="auto"/>
              <w:bottom w:val="single" w:sz="4" w:space="0" w:color="auto"/>
              <w:right w:val="single" w:sz="4" w:space="0" w:color="auto"/>
            </w:tcBorders>
          </w:tcPr>
          <w:p w14:paraId="47203029" w14:textId="51A8CC28" w:rsidR="00755E37" w:rsidRDefault="00B43EBE">
            <w:pPr>
              <w:pStyle w:val="AssignBody"/>
            </w:pPr>
            <w:r>
              <w:t>R</w:t>
            </w:r>
            <w:r w:rsidRPr="00B43EBE">
              <w:t>evise your use of the apostroph</w:t>
            </w:r>
            <w:r>
              <w:t>e.</w:t>
            </w:r>
          </w:p>
        </w:tc>
        <w:tc>
          <w:tcPr>
            <w:tcW w:w="3647" w:type="dxa"/>
            <w:tcBorders>
              <w:top w:val="single" w:sz="4" w:space="0" w:color="auto"/>
              <w:left w:val="single" w:sz="4" w:space="0" w:color="auto"/>
              <w:bottom w:val="single" w:sz="4" w:space="0" w:color="auto"/>
              <w:right w:val="single" w:sz="4" w:space="0" w:color="auto"/>
            </w:tcBorders>
          </w:tcPr>
          <w:p w14:paraId="38E46D89" w14:textId="6BE9A419" w:rsidR="00755E37" w:rsidRDefault="00EA4914">
            <w:pPr>
              <w:pStyle w:val="AssignBody"/>
            </w:pPr>
            <w:r>
              <w:t>Spent time reading over the use of apostrophes.</w:t>
            </w:r>
          </w:p>
        </w:tc>
      </w:tr>
      <w:tr w:rsidR="00B43EBE" w14:paraId="4D21AB75" w14:textId="77777777" w:rsidTr="00755E37">
        <w:tc>
          <w:tcPr>
            <w:tcW w:w="1722" w:type="dxa"/>
            <w:tcBorders>
              <w:top w:val="single" w:sz="4" w:space="0" w:color="auto"/>
              <w:left w:val="single" w:sz="4" w:space="0" w:color="auto"/>
              <w:bottom w:val="single" w:sz="4" w:space="0" w:color="auto"/>
              <w:right w:val="single" w:sz="4" w:space="0" w:color="auto"/>
            </w:tcBorders>
          </w:tcPr>
          <w:p w14:paraId="4A19B640" w14:textId="672C3F4A" w:rsidR="00B43EBE" w:rsidRDefault="00B43EBE">
            <w:pPr>
              <w:pStyle w:val="AssignBody"/>
            </w:pPr>
            <w:proofErr w:type="spellStart"/>
            <w:r>
              <w:t>Targed</w:t>
            </w:r>
            <w:proofErr w:type="spellEnd"/>
            <w:r>
              <w:t>/ Target 4</w:t>
            </w:r>
          </w:p>
        </w:tc>
        <w:tc>
          <w:tcPr>
            <w:tcW w:w="3647" w:type="dxa"/>
            <w:tcBorders>
              <w:top w:val="single" w:sz="4" w:space="0" w:color="auto"/>
              <w:left w:val="single" w:sz="4" w:space="0" w:color="auto"/>
              <w:bottom w:val="single" w:sz="4" w:space="0" w:color="auto"/>
              <w:right w:val="single" w:sz="4" w:space="0" w:color="auto"/>
            </w:tcBorders>
          </w:tcPr>
          <w:p w14:paraId="57717FA7" w14:textId="6E7BF2F8" w:rsidR="00B43EBE" w:rsidRDefault="00B43EBE">
            <w:pPr>
              <w:pStyle w:val="AssignBody"/>
            </w:pPr>
            <w:r>
              <w:t xml:space="preserve">Proof read your work. </w:t>
            </w:r>
          </w:p>
        </w:tc>
        <w:tc>
          <w:tcPr>
            <w:tcW w:w="3647" w:type="dxa"/>
            <w:tcBorders>
              <w:top w:val="single" w:sz="4" w:space="0" w:color="auto"/>
              <w:left w:val="single" w:sz="4" w:space="0" w:color="auto"/>
              <w:bottom w:val="single" w:sz="4" w:space="0" w:color="auto"/>
              <w:right w:val="single" w:sz="4" w:space="0" w:color="auto"/>
            </w:tcBorders>
          </w:tcPr>
          <w:p w14:paraId="383B11AB" w14:textId="6007BB51" w:rsidR="00B43EBE" w:rsidRDefault="00EA4914">
            <w:pPr>
              <w:pStyle w:val="AssignBody"/>
            </w:pPr>
            <w:r>
              <w:t>Proof read my work numerous times, whilst also having family members read my work also.</w:t>
            </w:r>
          </w:p>
        </w:tc>
      </w:tr>
    </w:tbl>
    <w:p w14:paraId="35C23213" w14:textId="67AFAEB1" w:rsidR="00755E37" w:rsidRDefault="00755E37" w:rsidP="00755E37">
      <w:pPr>
        <w:pStyle w:val="AssignBody"/>
      </w:pPr>
    </w:p>
    <w:p w14:paraId="59CD9FF4" w14:textId="543654DD" w:rsidR="00755E37" w:rsidRDefault="00755E37" w:rsidP="00755E37">
      <w:pPr>
        <w:pStyle w:val="AssignBody"/>
      </w:pPr>
    </w:p>
    <w:p w14:paraId="4362936D" w14:textId="68281749" w:rsidR="00755E37" w:rsidRDefault="00755E37" w:rsidP="00755E37">
      <w:pPr>
        <w:pStyle w:val="AssignBody"/>
      </w:pPr>
    </w:p>
    <w:p w14:paraId="65122894" w14:textId="255D4F1E" w:rsidR="00755E37" w:rsidRDefault="00755E37" w:rsidP="00755E37">
      <w:pPr>
        <w:pStyle w:val="AssignBody"/>
      </w:pPr>
    </w:p>
    <w:p w14:paraId="07B0FFAE" w14:textId="4396ADA5" w:rsidR="00755E37" w:rsidRDefault="00755E37" w:rsidP="00755E37">
      <w:pPr>
        <w:pStyle w:val="AssignBody"/>
      </w:pPr>
    </w:p>
    <w:p w14:paraId="06907C98" w14:textId="0CB9B64B" w:rsidR="00755E37" w:rsidRDefault="00755E37" w:rsidP="00755E37">
      <w:pPr>
        <w:pStyle w:val="AssignBody"/>
      </w:pPr>
    </w:p>
    <w:p w14:paraId="4B9318D6" w14:textId="77777777" w:rsidR="00755E37" w:rsidRPr="00755E37" w:rsidRDefault="00755E37" w:rsidP="00755E37">
      <w:pPr>
        <w:pStyle w:val="AssignBody"/>
      </w:pPr>
    </w:p>
    <w:p w14:paraId="37D5BA92" w14:textId="1CB9E35E" w:rsidR="00E63AC3" w:rsidRDefault="00E63AC3" w:rsidP="00E611D9">
      <w:pPr>
        <w:pStyle w:val="AssignBody"/>
      </w:pPr>
    </w:p>
    <w:p w14:paraId="22545621" w14:textId="187906AF" w:rsidR="00B43179" w:rsidRDefault="00B43179" w:rsidP="00E611D9">
      <w:pPr>
        <w:pStyle w:val="AssignBody"/>
      </w:pPr>
    </w:p>
    <w:p w14:paraId="7602211E" w14:textId="4ABD68EB" w:rsidR="00B43179" w:rsidRDefault="00B43179" w:rsidP="00E611D9">
      <w:pPr>
        <w:pStyle w:val="AssignBody"/>
      </w:pPr>
    </w:p>
    <w:p w14:paraId="5F6EE44C" w14:textId="3C392B26" w:rsidR="00B43179" w:rsidRDefault="00B43179" w:rsidP="00E611D9">
      <w:pPr>
        <w:pStyle w:val="AssignBody"/>
      </w:pPr>
    </w:p>
    <w:p w14:paraId="78392E16" w14:textId="44AA07AA" w:rsidR="00B43179" w:rsidRDefault="00B43179" w:rsidP="00E611D9">
      <w:pPr>
        <w:pStyle w:val="AssignBody"/>
      </w:pPr>
    </w:p>
    <w:p w14:paraId="49F4E065" w14:textId="52516226" w:rsidR="00B43179" w:rsidRDefault="00B43179" w:rsidP="00E611D9">
      <w:pPr>
        <w:pStyle w:val="AssignBody"/>
      </w:pPr>
    </w:p>
    <w:p w14:paraId="172F3562" w14:textId="091FA175" w:rsidR="00B43179" w:rsidRDefault="00B43179" w:rsidP="00E611D9">
      <w:pPr>
        <w:pStyle w:val="AssignBody"/>
      </w:pPr>
    </w:p>
    <w:p w14:paraId="1D81C977" w14:textId="171AAA68" w:rsidR="00B43179" w:rsidRDefault="00B43179" w:rsidP="00E611D9">
      <w:pPr>
        <w:pStyle w:val="AssignBody"/>
      </w:pPr>
    </w:p>
    <w:p w14:paraId="30C86498" w14:textId="77777777" w:rsidR="00E63AC3" w:rsidRPr="00E63AC3" w:rsidRDefault="00E63AC3" w:rsidP="00E63AC3">
      <w:pPr>
        <w:pStyle w:val="AssignSubHeader"/>
      </w:pPr>
      <w:r w:rsidRPr="00E63AC3">
        <w:lastRenderedPageBreak/>
        <w:t>Context, Aims, Focus &amp; Purpose</w:t>
      </w:r>
    </w:p>
    <w:p w14:paraId="12C7F2D0" w14:textId="205F7ECF" w:rsidR="00E63AC3" w:rsidRDefault="00E63AC3" w:rsidP="00E63AC3">
      <w:pPr>
        <w:pStyle w:val="AssignBody"/>
      </w:pPr>
      <w:r>
        <w:t xml:space="preserve">Whilst working within a Year Four classroom, with pupils between the ages of eight and nine, I became particularly interested in Assessment for Learning, specifically the strategy ‘think, pair, share’. I became interested in this strategy as I observed my class teacher using ‘talk to your partners’ regularly within the classroom. This is very similar to ‘think, pair, share’, but with little emphasis on the pupils thinking to themselves before having their discussions. I also noticed that the same pupils were engaging with the questions asked by the class teacher. During discussions with my group, they had observed that the same pupils were engaging with class discussions whilst others were not. Therefore, as a group the research question that was decided is ‘Does the implementation of assessment for learning strategy ‘Think, Pair, Share’ increase student’s participation and confidence within a lesson?’. Whilst focussing on this research question, our aim of the research is to critically reflect on our practice of ‘Think, Pair, Share’ within the classroom to consequently increase the pupils’ engagement. Within the Year Four classroom, greater focus will be placed on the ‘think’ stage of ‘Think, Pair, Share’ due to the pupils having less of an opportunity to engage with this stage of the strategy within their regular classroom routine. </w:t>
      </w:r>
    </w:p>
    <w:p w14:paraId="1BBAD601" w14:textId="77777777" w:rsidR="00E63AC3" w:rsidRDefault="00E63AC3" w:rsidP="00E63AC3">
      <w:pPr>
        <w:pStyle w:val="AssignBody"/>
      </w:pPr>
    </w:p>
    <w:p w14:paraId="69B09FEE" w14:textId="77777777" w:rsidR="00E63AC3" w:rsidRDefault="00E63AC3" w:rsidP="00E63AC3">
      <w:pPr>
        <w:pStyle w:val="AssignSubHeader"/>
      </w:pPr>
      <w:r>
        <w:t>Literature Review</w:t>
      </w:r>
    </w:p>
    <w:p w14:paraId="37F456D0" w14:textId="77777777" w:rsidR="00E63AC3" w:rsidRDefault="00E63AC3" w:rsidP="00E63AC3">
      <w:pPr>
        <w:pStyle w:val="AssignBody"/>
      </w:pPr>
      <w:r>
        <w:t xml:space="preserve">Assessment for Learning (AfL) is the process of discovering where pupils are with their learning and identifying what is needed to be done to keep on improving (WAG, 2010). There has been a growing emphasis on AfL within education due to the significance that is placed upon the involvement of the pupils working in collaboration with teachers to actively develop their learning (Brown, 2019). Although, recent arguments have been presented which state that there is currently no concrete evidence on the impacts that AfL has within education (DeLuca et al, 2018). Despite this argument, sources recognise the importance of pupil knowledge and its link to goat setting and targets, which is crucial for development (WAG, 2010; Brown, 2019). </w:t>
      </w:r>
    </w:p>
    <w:p w14:paraId="33B32BE0" w14:textId="77777777" w:rsidR="00E63AC3" w:rsidRDefault="00E63AC3" w:rsidP="00E63AC3">
      <w:pPr>
        <w:pStyle w:val="AssignBody"/>
      </w:pPr>
      <w:r>
        <w:tab/>
        <w:t xml:space="preserve">When looking at the strategy ‘Think, Pair, Share’, it is important to look more closely at one of the AfL categories, questioning. Within the classroom, questions are predominantly asked to identify what the pupils already know (Wragg and Brown, 2002). Effective questioning enables pupils to think more deeply, develop their ideas and encourage problem-solving (Wragg and Brown, 2002; Ozuem and Lancaster, 2015; Jenkens, 2017). However, it is argued that pupils are aware when there are right and wrong answers to questions as teachers already have an idea of which answers they would like to receive from pupils (Myhill and Hopper, 2006; Frymier and Houser, 2016). By having this knowledge, pupils may disengage from answering questions out of fear of providing an incorrect answer </w:t>
      </w:r>
      <w:r>
        <w:lastRenderedPageBreak/>
        <w:t xml:space="preserve">(Black et al, 2007). However more recently, Jenkens (2017) found that effective questioning encouraged engagement within lessons, especially when sufficient time is provided to pupils to think more deeply about the questions asked to them. The strategy ‘Think, Pair, Share’ in which is being considered during this research, places great emphasis on pupils having this opportunity to think in order to enhance their ideas (WAG, 2010). </w:t>
      </w:r>
    </w:p>
    <w:p w14:paraId="7BA700B2" w14:textId="77777777" w:rsidR="00E63AC3" w:rsidRDefault="00E63AC3" w:rsidP="00E63AC3">
      <w:pPr>
        <w:pStyle w:val="AssignBody"/>
      </w:pPr>
      <w:r>
        <w:tab/>
        <w:t xml:space="preserve">‘Think, Pair, Share’ is a collaborative learning strategy which provides pupils with time to think about a question to themselves independently, they then have the opportunity to exchange their ideas with a seat partner where they can then share their final thoughts to the rest of the class (Kaddoura, 2013). Through research, Vygotsky found that children worked more effectively when they worked in collaboration with a peer or an adult as the discussion process allowed pupils to refine their thinking in order to make it more effective (WAG, 2010). Jean Piaget also agreed that children developed their thinking through collaborative learning, children expose themselves to different perspectives which can then help them to expand on their thoughts and ideas (Mercer, 2000). ‘Think, Pair, Share’ provides pupils with the time to work independently and collaboratively with other pupils (Rahayu and Suningsih, 2018). Pupils can think about a question that is posed to them independently first, they are then provided with time where they can then share their ideas with another pupil (Kaddoura, 2013). Through the sharing of their ideas, pupils can justify or develop their thought processes and also learn from other pupils differing perspectives (Mercer, 2000; Kaddoura, 2013). However, if pupils discuss the question posed and both provide a similar answer, this may prompt those pupils to want to share immediately during this discussion process. Pupils signal this readiness by placing their hands up ready to share an answer and to discontinue discussions, as a result, they would not have fully partaken in the important stage of ‘Think, Pair, Share’ which is this discussion of answers with their pair (Jenkens, 2017). Therefore, if pupils of a higher ability are involved in discussions with one another then too much of this strategy will hold them back due to these pupils not being fully engrossed with the different stages (Black et al., 2003; Jenkens, 2017). Consequently, ‘Think, Pair, Share’ is most effective when questions that encourage deeper thinking are asked to ensure all pupils are fully involved with each of the stages (Wragg and Brown, 2002; Jenkens, 2017). </w:t>
      </w:r>
    </w:p>
    <w:p w14:paraId="50D2A213" w14:textId="77777777" w:rsidR="00E63AC3" w:rsidRDefault="00E63AC3" w:rsidP="00E63AC3">
      <w:pPr>
        <w:pStyle w:val="AssignBody"/>
      </w:pPr>
      <w:r>
        <w:tab/>
        <w:t xml:space="preserve">During questioning sessions, pupils must be provided with an appropriate time to consider an answer to ensure all pupils are confident to engage with the lesson (Black et al., 2003). It is crucial that pupils are provided with this wait time as research has found that pupils take a minimum of five seconds to understand the question and to identify an appropriate answer (Jenkens, 2017). ‘Think, Pair, Share’ ensures that teachers are providing pupils with this wait time. Emphasis is placed on pupils having the time to think and then talk through their answers with a partner to collaboratively decide on an appropriate answer </w:t>
      </w:r>
      <w:r>
        <w:lastRenderedPageBreak/>
        <w:t>(Black et al., 2003). This wait time then contributes to pupils engaging further with the lesson as less pressure is placed on the pupils to identify an answer on the spot, which ensures provides pupils with more confidence to engage with the lesson (Jenkens, 2017). However, despite ‘Think, Pair, Share’ being an effective strategy to practice these appropriate wait times within lessons (Black et al., 2003; Jenkens, 2017), Hetika, Farida and Sari (2017) found that many students within their research were not comfortable with their pairings due to students being less serious during the discussion process. Therefore, this extra wait time may not have benefitted them. Despite this research looking at University students, Fernandes, Huang and Rinaldo (2011) also argue that seating arrangements can have a huge impact on pupils’ engagement within a lesson. Although despite these arguments, several sources advocate the benefits of ‘Think, Pair, Share’ in promoting pupil engagement (Kaddoura, 2013; Weyns et al., 2018; Cohen et al., 2019). ‘Think, Pair, Share’ provides all pupils, especially those with low confidence, an opportunity to engage with all questions asked as there is less pressure for them to do this in front of the whole class (WAG, 2010). Therefore, having this wait time while participating in ‘Think, Pair, Share’ ensures pupils can develop their learning through collaboration if sat with a suitable partner (Black et al., 2003; WAG, 2010).</w:t>
      </w:r>
    </w:p>
    <w:p w14:paraId="3BA0A505" w14:textId="77777777" w:rsidR="00E63AC3" w:rsidRDefault="00E63AC3" w:rsidP="00E63AC3">
      <w:pPr>
        <w:pStyle w:val="AssignBody"/>
      </w:pPr>
      <w:r>
        <w:tab/>
        <w:t xml:space="preserve">After conducting this review of the literature surrounding ‘Think, Pair, Share’, it was decided that this reading supported our question. We continued to use the research question, ‘Does the implementation of assessment for learning strategy ‘Think, Pair, Share’ increase student’s participation and confidence within a lesson?’ as we felt more confident that this was an appropriate question in which we wanted to explore. </w:t>
      </w:r>
    </w:p>
    <w:p w14:paraId="1CE77CCC" w14:textId="77777777" w:rsidR="00E63AC3" w:rsidRDefault="00E63AC3" w:rsidP="00E63AC3">
      <w:pPr>
        <w:pStyle w:val="AssignBody"/>
      </w:pPr>
    </w:p>
    <w:p w14:paraId="77AB58A0" w14:textId="77777777" w:rsidR="00E63AC3" w:rsidRDefault="00E63AC3" w:rsidP="00E63AC3">
      <w:pPr>
        <w:pStyle w:val="AssignSubHeader"/>
      </w:pPr>
      <w:r>
        <w:t>Methodology</w:t>
      </w:r>
    </w:p>
    <w:p w14:paraId="0373ED03" w14:textId="77777777" w:rsidR="00E63AC3" w:rsidRDefault="00E63AC3" w:rsidP="00E63AC3">
      <w:pPr>
        <w:pStyle w:val="AssignBody"/>
      </w:pPr>
      <w:r>
        <w:t xml:space="preserve">A lesson study method was adopted to complete the research. Lesson studies originated in Japan as a means of improving classroom teaching (Boonsena, Inprasitha and Sudjamnong, 2019). Educators work together in order to identify and develop teaching practices to consequently improve students learning, whilst also developing professionally (Groves et al., 2016; Boonsena, et al., 2019). During a lesson study, teachers work collaboratively to plan, deliver and observe a lesson with a focus on a chosen teaching practice (Sharp, 2012).  Teachers then reflect on the lesson to identify ways to improve their delivery to ultimately benefit the students’ learning (Archer, 2016; Amador and Carter, 2018). </w:t>
      </w:r>
    </w:p>
    <w:p w14:paraId="11583B5F" w14:textId="77777777" w:rsidR="00E63AC3" w:rsidRDefault="00E63AC3" w:rsidP="00E63AC3">
      <w:pPr>
        <w:pStyle w:val="AssignBody"/>
      </w:pPr>
      <w:r>
        <w:tab/>
        <w:t xml:space="preserve">In order to accurately implement this lesson study method within our research, a purposive sampling technique was used to choose three students that best fit the criteria for our research (Cohen et al., 2011). All three classroom teachers were consulted during the sampling process in order to help identify which students were felt to be least engaging </w:t>
      </w:r>
      <w:r>
        <w:lastRenderedPageBreak/>
        <w:t xml:space="preserve">during questioning sessions within lessons. In order to prevent a sample bias, baseline data was taken to identify how the selected pupils engaged with lessons prior to the research (Denscombe, 2014). Once this data had been taken and the three selected pupils were confirmed, the planning of the lessons commenced. It was decided that a problem-solving lesson focussing on the 3-Act Tasks (Appendix 1) would be used throughout the three classes. It was decided that this lesson would be the most effective in order to conduct the research for two reasons. The first with it being a problem-solving activity where a range of questions can be asked in order to implement the ‘Think, Pair, Share’ strategy. The second being that the 3-Act Tasks are regularly used within the classroom, therefore, the research would not have significantly disturbed the natural environment as these are lessons that the pupils are used to (Greig, MacKay and Taylor, 2007). </w:t>
      </w:r>
    </w:p>
    <w:p w14:paraId="00EA7698" w14:textId="77777777" w:rsidR="00E63AC3" w:rsidRDefault="00E63AC3" w:rsidP="00E63AC3">
      <w:pPr>
        <w:pStyle w:val="AssignBody"/>
      </w:pPr>
      <w:r>
        <w:tab/>
        <w:t xml:space="preserve">Identifying student learning during the research involves the researchers observing the pupils closely to see how they react to the lesson (DfE, 2009). According to this, an observation schedule was created (Appendix 4). The researchers used the observation schedules during the three lessons to ensure the observations were structured and the relevant data is collected (Cohen et al., 2011). During the lesson, five questions were asked and the levels of engagement were noted against each of these five questions.  The level of engagement was noted by the observers using the Leuven Scale during the ‘pair’ stage of ‘Think, Pair, Share’. The pupils were rated on a score from one to five, with one representing a low-level of engagement and five representing a high-level of engagement (Leuven, 2008). Quantitative data was formed when measuring the level of engagement through the use of numbers to form aspects of the data (Denscombe, 2014). Additionally, the observers noted down in descriptive notes how the pupils responded within each of the stages of ‘Think, Pair, Share’ creating qualitative data (Denscombe, 2014). The observers also noted if the selected pupils chose to share their answers once they had engaged with the strategy ‘Think, Pair, Share’ by writing yes/no. Whilst completing observations, particular care must be taken due to the natural environments being disturbed where behaviours may change due to this disruption (Greig, MacKay and Taylor, 2007). Therefore, to minimise this disruption, the observers avoided participating in the lesson to try and keep the learning environment as natural as possible (Cohen et al., 2011). </w:t>
      </w:r>
    </w:p>
    <w:p w14:paraId="3DD458D8" w14:textId="77777777" w:rsidR="00E63AC3" w:rsidRDefault="00E63AC3" w:rsidP="00E63AC3">
      <w:pPr>
        <w:pStyle w:val="AssignBody"/>
      </w:pPr>
      <w:r>
        <w:tab/>
        <w:t xml:space="preserve">Once the data had been recorded during the observation, the selected pupils are interviewed as close to the lesson as possible to receive the pupils’ fresh perspectives on the lesson (DfE, 2009). The questions were created prior to the interview (Appendix 5) to ensure all areas were addressed and discussed during the interviews. However, the researchers remain flexible to follow any discussion routes that the pupils follow (Denscombe, 2014). The nature of interviews can be frightening and uncomfortable for many </w:t>
      </w:r>
      <w:r>
        <w:lastRenderedPageBreak/>
        <w:t xml:space="preserve">pupils (Sharp, 2012) so the interviews were conducted by the researcher that has been working within the class to ensure pupils are speaking to a familiar adult. </w:t>
      </w:r>
    </w:p>
    <w:p w14:paraId="16613615" w14:textId="77777777" w:rsidR="00E63AC3" w:rsidRDefault="00E63AC3" w:rsidP="00E63AC3">
      <w:pPr>
        <w:pStyle w:val="AssignBody"/>
      </w:pPr>
      <w:r>
        <w:tab/>
        <w:t xml:space="preserve">In order to complete the lesson study process, a post-lesson discussion will take place where the researchers can reflect on the teaching and learning during the lesson (Groves et al., 2016). A Gibbs Reflective Cycle Model was used to reflect on the lesson (Appendix 6) where the researchers will then be able to follow a structure to successfully reflect on each of the lessons conducted (Gibbs, 1988). Each of the researchers will be involved in the reflection process to allow different perspectives to be considered and ensure the reflections are more broad and unbiased (Dudley, 2014). The data taken following the observations will be analysed to identify if the selected pupils’ levels of engagement increased following the implementation of ‘Think, Pair, Share’ within the classroom. Once the reflection and data analysis has taken place, the researchers will collectively identify how to improve the strategy used, in order to imbed it more successfully during the next lesson. This will then encourage the learning of the researchers own practices by identifying and understanding how to improve their practices to increase student learning (Boonsena et al., 2019). </w:t>
      </w:r>
    </w:p>
    <w:p w14:paraId="2A6479E1" w14:textId="77777777" w:rsidR="00E63AC3" w:rsidRDefault="00E63AC3" w:rsidP="00E63AC3">
      <w:pPr>
        <w:pStyle w:val="AssignBody"/>
      </w:pPr>
    </w:p>
    <w:p w14:paraId="6BA473B1" w14:textId="77777777" w:rsidR="00E63AC3" w:rsidRDefault="00E63AC3" w:rsidP="00E63AC3">
      <w:pPr>
        <w:pStyle w:val="AssignSubHeader"/>
      </w:pPr>
      <w:r>
        <w:t>Ethics</w:t>
      </w:r>
    </w:p>
    <w:p w14:paraId="1EF74E08" w14:textId="77777777" w:rsidR="00E63AC3" w:rsidRDefault="00E63AC3" w:rsidP="00E63AC3">
      <w:pPr>
        <w:pStyle w:val="AssignBody"/>
      </w:pPr>
      <w:r>
        <w:t xml:space="preserve">Ethical approval is required before undertaking any research project (Denscombe, 2014). According to this, an ethics application form was completed and submitted to a Research Ethics Committee to approve the research. Until this approval was received, no research could take place, including the recording of the baseline data. However, before this application, senior members of the school involved with the research were consulted and a meeting was held to discuss the proposed research. Once permission was granted to research within the school, the application form was completed. </w:t>
      </w:r>
    </w:p>
    <w:p w14:paraId="10793EC8" w14:textId="77777777" w:rsidR="00E63AC3" w:rsidRDefault="00E63AC3" w:rsidP="00E63AC3">
      <w:pPr>
        <w:pStyle w:val="AssignBody"/>
      </w:pPr>
      <w:r>
        <w:tab/>
        <w:t xml:space="preserve">Informed consent is crucial when completing research, all participants must be completely aware of what is expected of them and what the research will entail (BERA, 2019). Before the research, an information and consent letter was created (Appendix 7) which contained a detail account of the research and any expectations of the pupils involved with the research. The researchers must be given these letters containing the parental consent, and the selected sample of pupils must also have consent granted from their parent/ guardian otherwise they cannot be used within the research (Cohen et al., 2011). </w:t>
      </w:r>
    </w:p>
    <w:p w14:paraId="166A4923" w14:textId="77777777" w:rsidR="00E63AC3" w:rsidRDefault="00E63AC3" w:rsidP="00E63AC3">
      <w:pPr>
        <w:pStyle w:val="AssignBody"/>
      </w:pPr>
      <w:r>
        <w:tab/>
        <w:t xml:space="preserve">The option of withdrawal from the research will also be explained to the pupils to ensure that any pupils who may be feeling uncomfortable with the process do not need to take part, this can be done at any point of the research (BERA, 2019). This ability to </w:t>
      </w:r>
      <w:r>
        <w:lastRenderedPageBreak/>
        <w:t>withdraw will also be echoed during the interview to ensure pupils who may not be comfortable to take part have the opportunity to leave and go back into class.</w:t>
      </w:r>
    </w:p>
    <w:p w14:paraId="06848C53" w14:textId="77777777" w:rsidR="00E63AC3" w:rsidRDefault="00E63AC3" w:rsidP="00E63AC3">
      <w:pPr>
        <w:pStyle w:val="AssignBody"/>
      </w:pPr>
      <w:r>
        <w:t xml:space="preserve">Confidentiality will be a top priority during this research. Any pupils who have consented to the research will remain anonymous throughout the research and any evidence which contains information which could contest this will be destroyed as soon as the project is complete (BERA, 2019). </w:t>
      </w:r>
    </w:p>
    <w:p w14:paraId="26080001" w14:textId="77777777" w:rsidR="00E63AC3" w:rsidRDefault="00E63AC3" w:rsidP="00E63AC3">
      <w:pPr>
        <w:pStyle w:val="AssignBody"/>
      </w:pPr>
    </w:p>
    <w:p w14:paraId="1F5530BD" w14:textId="2909260D" w:rsidR="00E63AC3" w:rsidRDefault="00E63AC3" w:rsidP="00E63AC3">
      <w:pPr>
        <w:pStyle w:val="AssignSubHeader"/>
      </w:pPr>
      <w:r>
        <w:t xml:space="preserve">Lesson Studies </w:t>
      </w:r>
    </w:p>
    <w:p w14:paraId="223B92C3" w14:textId="5F05977D" w:rsidR="00E63AC3" w:rsidRDefault="00E63AC3" w:rsidP="00E63AC3">
      <w:pPr>
        <w:pStyle w:val="AssignBody"/>
      </w:pPr>
      <w:r>
        <w:t xml:space="preserve">Lesson Study 1 took place within a Year 5 Classroom with twenty-six pupils between the ages of nine and ten. All pupils were present during the lesson with the selected three pupils being the focus of observations. Observer three taught the lesson whilst observer one and two conducted the observations. </w:t>
      </w:r>
    </w:p>
    <w:p w14:paraId="7CEB2796" w14:textId="7FFE4A5B" w:rsidR="00E63AC3" w:rsidRDefault="00E63AC3" w:rsidP="00E63AC3">
      <w:pPr>
        <w:pStyle w:val="AssignBody"/>
      </w:pPr>
      <w:r>
        <w:rPr>
          <w:noProof/>
        </w:rPr>
        <w:drawing>
          <wp:inline distT="0" distB="0" distL="0" distR="0" wp14:anchorId="7B6494DD" wp14:editId="1B2BE953">
            <wp:extent cx="5731510" cy="2775585"/>
            <wp:effectExtent l="0" t="0" r="2540" b="5715"/>
            <wp:docPr id="16" name="Chart 16">
              <a:extLst xmlns:a="http://schemas.openxmlformats.org/drawingml/2006/main">
                <a:ext uri="{FF2B5EF4-FFF2-40B4-BE49-F238E27FC236}">
                  <a16:creationId xmlns:a16="http://schemas.microsoft.com/office/drawing/2014/main" id="{15444213-D6BA-4EA0-91F1-0E0F62D0240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45A8FBD" w14:textId="77777777" w:rsidR="00E63AC3" w:rsidRDefault="00E63AC3" w:rsidP="00E63AC3">
      <w:pPr>
        <w:pStyle w:val="AssignBody"/>
      </w:pPr>
      <w:r w:rsidRPr="00E63AC3">
        <w:rPr>
          <w:sz w:val="18"/>
          <w:szCs w:val="18"/>
        </w:rPr>
        <w:t>Figure 1- Demonstrates pupil engagement levels with the five questions asked when engaging in the ‘pair’ stage of ‘Think, Pair, Share’</w:t>
      </w:r>
      <w:r>
        <w:t xml:space="preserve">. </w:t>
      </w:r>
    </w:p>
    <w:p w14:paraId="41C30214" w14:textId="77777777" w:rsidR="00844D97" w:rsidRDefault="00844D97" w:rsidP="00E63AC3">
      <w:pPr>
        <w:pStyle w:val="AssignBody"/>
      </w:pPr>
    </w:p>
    <w:p w14:paraId="01493562" w14:textId="06BDFDEC" w:rsidR="00E63AC3" w:rsidRDefault="00E63AC3" w:rsidP="00E63AC3">
      <w:pPr>
        <w:pStyle w:val="AssignBody"/>
      </w:pPr>
      <w:r>
        <w:t xml:space="preserve">Participant A received a scoring of Level 2, 3 and 4 during the questioning sessions when engaging with a partner during the ‘pair’ stage, with an average level of engagement of 3.2. She was scored a level 2 once during the questioning sessions, a level 3 twice and also a level 4 twice. </w:t>
      </w:r>
    </w:p>
    <w:p w14:paraId="70919D68" w14:textId="77777777" w:rsidR="00E63AC3" w:rsidRDefault="00E63AC3" w:rsidP="00E63AC3">
      <w:pPr>
        <w:pStyle w:val="AssignBody"/>
      </w:pPr>
      <w:r>
        <w:t xml:space="preserve">Participant B received a scoring of Level 2, 3 and 4 during the questioning sessions when engaging with a partner during the ‘pair’ stage, with an average level of engagement of 3. She was scored a Level 2 once during the questioning sessions, a level 3 three times and a level 4 once. </w:t>
      </w:r>
    </w:p>
    <w:p w14:paraId="1D509073" w14:textId="77777777" w:rsidR="00E63AC3" w:rsidRDefault="00E63AC3" w:rsidP="00E63AC3">
      <w:pPr>
        <w:pStyle w:val="AssignBody"/>
      </w:pPr>
      <w:r>
        <w:lastRenderedPageBreak/>
        <w:t>Participant C received a scoring of Level 4 for each of the five questions when engaging with his partner during the ‘pair’ stage, consequently receiving an average level of engagement of 4.</w:t>
      </w:r>
    </w:p>
    <w:p w14:paraId="36C25FEC" w14:textId="156BCE3A" w:rsidR="00E63AC3" w:rsidRDefault="00E63AC3" w:rsidP="00E63AC3">
      <w:pPr>
        <w:pStyle w:val="AssignBody"/>
      </w:pPr>
      <w:r>
        <w:t xml:space="preserve">It is evident from the graph that Participant C engaged the most during the ‘pair’ stage in comparison to Participant B who demonstrated the least level of engagement. </w:t>
      </w:r>
    </w:p>
    <w:p w14:paraId="63D34B2E" w14:textId="77777777" w:rsidR="00844D97" w:rsidRDefault="00844D97" w:rsidP="00E63AC3">
      <w:pPr>
        <w:pStyle w:val="AssignBody"/>
      </w:pPr>
    </w:p>
    <w:p w14:paraId="6B1DF86F" w14:textId="66E01572" w:rsidR="00844D97" w:rsidRDefault="00844D97" w:rsidP="00E63AC3">
      <w:pPr>
        <w:pStyle w:val="AssignBody"/>
      </w:pPr>
      <w:r>
        <w:rPr>
          <w:noProof/>
        </w:rPr>
        <w:drawing>
          <wp:inline distT="0" distB="0" distL="0" distR="0" wp14:anchorId="3DA3A229" wp14:editId="3C255382">
            <wp:extent cx="5731510" cy="2686050"/>
            <wp:effectExtent l="0" t="0" r="2540" b="0"/>
            <wp:docPr id="15" name="Chart 15">
              <a:extLst xmlns:a="http://schemas.openxmlformats.org/drawingml/2006/main">
                <a:ext uri="{FF2B5EF4-FFF2-40B4-BE49-F238E27FC236}">
                  <a16:creationId xmlns:a16="http://schemas.microsoft.com/office/drawing/2014/main" id="{22BA6A0A-371A-489D-A007-8A9E6ACE712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5EED846" w14:textId="346AB486" w:rsidR="00E63AC3" w:rsidRPr="00844D97" w:rsidRDefault="00E63AC3" w:rsidP="00E63AC3">
      <w:pPr>
        <w:pStyle w:val="AssignBody"/>
        <w:rPr>
          <w:sz w:val="18"/>
          <w:szCs w:val="18"/>
        </w:rPr>
      </w:pPr>
      <w:r w:rsidRPr="00844D97">
        <w:rPr>
          <w:sz w:val="18"/>
          <w:szCs w:val="18"/>
        </w:rPr>
        <w:t xml:space="preserve">Figure 2- Demonstrates the percentage of pupils hand-raising across four-lesson sessions when five questions were asked, three sessions prior to the lesson study and one during the lesson study. </w:t>
      </w:r>
    </w:p>
    <w:p w14:paraId="135032EA" w14:textId="77777777" w:rsidR="00844D97" w:rsidRDefault="00844D97" w:rsidP="00E63AC3">
      <w:pPr>
        <w:pStyle w:val="AssignBody"/>
      </w:pPr>
    </w:p>
    <w:p w14:paraId="66EBE6A5" w14:textId="7C9C4D58" w:rsidR="00E63AC3" w:rsidRDefault="00E63AC3" w:rsidP="00E63AC3">
      <w:pPr>
        <w:pStyle w:val="AssignBody"/>
      </w:pPr>
      <w:r>
        <w:t xml:space="preserve">Participant A had a maximum percentage of 20% during the three baseline observations before the lesson study, showing that Participant A only raised her hand to answer a question once out of five questions asked. However, during the Lesson Study, her percentage of hand-raising rose to 40% demonstrating that she raised her hand twice out of a possible five opportunities. </w:t>
      </w:r>
    </w:p>
    <w:p w14:paraId="02FC3378" w14:textId="77777777" w:rsidR="00E63AC3" w:rsidRDefault="00E63AC3" w:rsidP="00E63AC3">
      <w:pPr>
        <w:pStyle w:val="AssignBody"/>
      </w:pPr>
      <w:r>
        <w:t xml:space="preserve">Participant B also received a maximum percentage of 20% during the three baseline observations before the lesson study, also showing that she raised her hand once out of five questions asked. This percentage also increased to 40% during the lesson study showing that she raised her hand twice. </w:t>
      </w:r>
    </w:p>
    <w:p w14:paraId="204F28CF" w14:textId="77777777" w:rsidR="00E63AC3" w:rsidRDefault="00E63AC3" w:rsidP="00E63AC3">
      <w:pPr>
        <w:pStyle w:val="AssignBody"/>
      </w:pPr>
      <w:r>
        <w:t xml:space="preserve">Participant C received a maximum of 20% during the three baseline observations. This percentage increased to 80% during the lesson study demonstrating that he raised his hand four times out of a possible five. </w:t>
      </w:r>
    </w:p>
    <w:p w14:paraId="17DD591B" w14:textId="77777777" w:rsidR="00E63AC3" w:rsidRDefault="00E63AC3" w:rsidP="00E63AC3">
      <w:pPr>
        <w:pStyle w:val="AssignBody"/>
      </w:pPr>
      <w:r>
        <w:t>Therefore, during the ‘share’ stage of ‘Think, Pair, Share’, Participant C also engaged the most during the lesson study by raising his hand four times to share his answer. Participant B and C both showed the same level of engagement during the ‘share’ stage as they both raised their hand twice to share an answer.</w:t>
      </w:r>
    </w:p>
    <w:p w14:paraId="21B02B5D" w14:textId="77777777" w:rsidR="00E63AC3" w:rsidRDefault="00E63AC3" w:rsidP="00E63AC3">
      <w:pPr>
        <w:pStyle w:val="AssignBody"/>
      </w:pPr>
    </w:p>
    <w:p w14:paraId="7E7C5E5B" w14:textId="77777777" w:rsidR="00E63AC3" w:rsidRDefault="00E63AC3" w:rsidP="00E63AC3">
      <w:pPr>
        <w:pStyle w:val="AssignBody"/>
      </w:pPr>
      <w:r>
        <w:t xml:space="preserve">During the interview, Participant A demonstrated an enjoyment when participating with the strategy ‘Think, Pair, Share’. She recognised the importance of sharing with a partner in regards to the increase in confidence to share with the class, despite only raising her hand twice during the lesson, stating “Because I had more time to get things right, get more ideas”. Participant A expressed enthusiasm for the strategy agreeing that she would like to use ‘Think, Pair, Share’ again within the classroom, explaining it was “much more fun”. </w:t>
      </w:r>
    </w:p>
    <w:p w14:paraId="043CC585" w14:textId="77777777" w:rsidR="00E63AC3" w:rsidRDefault="00E63AC3" w:rsidP="00E63AC3">
      <w:pPr>
        <w:pStyle w:val="AssignBody"/>
      </w:pPr>
      <w:r>
        <w:t>Participant B demonstrated the least level of engagement during the ‘pair’ stage of ‘Think, Pair, Share’ (Appendix 8). She also expressed the least level of enthusiasm when discussing the strategy. She recognised the importance of thinking before sharing with a partner (Appendix 9). Although she expressed her difficulties when engaging with the ‘pair’ stage, stating “I don’t like my partner”. She also felt that she was unable to contribute during the discussions with a partner, stating “__ is a bit bossy”. Participant A expressed that she would be more comfortable to answer questions after engaging in ‘Think, Pair, Share’ if she had the opportunity to work with a partner of her own choice (Appendix 9).</w:t>
      </w:r>
    </w:p>
    <w:p w14:paraId="2A72278E" w14:textId="77777777" w:rsidR="00E63AC3" w:rsidRDefault="00E63AC3" w:rsidP="00E63AC3">
      <w:pPr>
        <w:pStyle w:val="AssignBody"/>
      </w:pPr>
      <w:r>
        <w:t xml:space="preserve">Participant C showed the greatest level of engagement during the strategy (Appendix 8). However, contributed least during the interview (Appendix 9). Although, he did express a level of enthusiasm for the session stating that he raised his hand more during this session, stating “ Because I enjoyed problem-solving”. Similarly to Participant A, Participant C also exclaimed that he would like to use the strategy again within lessons, stating that “it’s easier”.  </w:t>
      </w:r>
    </w:p>
    <w:p w14:paraId="78643AD0" w14:textId="77777777" w:rsidR="00E63AC3" w:rsidRDefault="00E63AC3" w:rsidP="00E63AC3">
      <w:pPr>
        <w:pStyle w:val="AssignBody"/>
      </w:pPr>
      <w:r>
        <w:t xml:space="preserve">The evidence suggests that ‘Think, Pair, Share’ encourages the pupils to engage more with the lesson. However, the choice of partner can be negatively impact pupil engagement during the discussions with partners, which can consequently have an impact on pupil confidence to share. </w:t>
      </w:r>
    </w:p>
    <w:p w14:paraId="383141A9" w14:textId="77777777" w:rsidR="00E63AC3" w:rsidRDefault="00E63AC3" w:rsidP="00E63AC3">
      <w:pPr>
        <w:pStyle w:val="AssignBody"/>
      </w:pPr>
    </w:p>
    <w:p w14:paraId="54B0D339" w14:textId="77777777" w:rsidR="00E63AC3" w:rsidRDefault="00E63AC3" w:rsidP="00E63AC3">
      <w:pPr>
        <w:pStyle w:val="AssignBody"/>
      </w:pPr>
      <w:r>
        <w:t xml:space="preserve">When analysing the observation notes, it could be seen that the whiteboards served as a distraction to the pupils (Appendix 8). Therefore, the whiteboards will not be used during Lesson Study 2. Also, during Lesson Study 1 the pupils were provided with six seconds to think and one minute to share. However, during reflections we felt the pupils needed more time to engage with the ‘think’ stage, Participant B also suggested this during the interview (Appendix 9). We also felt as though the timings during the ‘share’ were too long as the participants were drifting off-task towards the end of the timings suggesting that they had finished with their discussions (Appendix 10). As a result of these reflections, we decided to change the timings to 10 seconds to think and 45 seconds to talk to their pairs. </w:t>
      </w:r>
    </w:p>
    <w:p w14:paraId="1EA421F4" w14:textId="77777777" w:rsidR="00E63AC3" w:rsidRDefault="00E63AC3" w:rsidP="00E63AC3">
      <w:pPr>
        <w:pStyle w:val="AssignBody"/>
      </w:pPr>
    </w:p>
    <w:p w14:paraId="26D9A71B" w14:textId="71338DB5" w:rsidR="00E63AC3" w:rsidRDefault="00E63AC3" w:rsidP="00844D97">
      <w:pPr>
        <w:pStyle w:val="AssignBody"/>
        <w:ind w:firstLine="720"/>
      </w:pPr>
      <w:r>
        <w:lastRenderedPageBreak/>
        <w:t xml:space="preserve">Lesson Study 2 took place within a Year 4 Classroom with thirty-two pupils between the ages of eight and nine. All pupils were present during the lesson with the selected three pupils being the focus of observations. Observer one taught the lesson whilst observer two and three conducted the observations. </w:t>
      </w:r>
    </w:p>
    <w:p w14:paraId="6CEC6444" w14:textId="43CF85F4" w:rsidR="00844D97" w:rsidRDefault="00844D97" w:rsidP="00844D97">
      <w:pPr>
        <w:pStyle w:val="AssignBody"/>
      </w:pPr>
    </w:p>
    <w:p w14:paraId="0B52C839" w14:textId="27173C75" w:rsidR="00844D97" w:rsidRDefault="00844D97" w:rsidP="00844D97">
      <w:pPr>
        <w:pStyle w:val="AssignBody"/>
      </w:pPr>
      <w:r>
        <w:rPr>
          <w:noProof/>
        </w:rPr>
        <w:drawing>
          <wp:inline distT="0" distB="0" distL="0" distR="0" wp14:anchorId="417727D3" wp14:editId="45C8C17A">
            <wp:extent cx="5731510" cy="2786380"/>
            <wp:effectExtent l="0" t="0" r="2540" b="13970"/>
            <wp:docPr id="20" name="Chart 20">
              <a:extLst xmlns:a="http://schemas.openxmlformats.org/drawingml/2006/main">
                <a:ext uri="{FF2B5EF4-FFF2-40B4-BE49-F238E27FC236}">
                  <a16:creationId xmlns:a16="http://schemas.microsoft.com/office/drawing/2014/main" id="{2A72FA45-7995-4AC9-AC6B-3F62CB98A9D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84D9AA4" w14:textId="40630EB3" w:rsidR="00E63AC3" w:rsidRPr="00844D97" w:rsidRDefault="00E63AC3" w:rsidP="00E63AC3">
      <w:pPr>
        <w:pStyle w:val="AssignBody"/>
        <w:rPr>
          <w:sz w:val="18"/>
          <w:szCs w:val="18"/>
        </w:rPr>
      </w:pPr>
      <w:r w:rsidRPr="00844D97">
        <w:rPr>
          <w:sz w:val="18"/>
          <w:szCs w:val="18"/>
        </w:rPr>
        <w:t>Figure 3- Demonstrates pupil engagement levels with the five questions asked when engaging in the ‘pair’ stage of ‘Think, Pair, Share’.</w:t>
      </w:r>
    </w:p>
    <w:p w14:paraId="7E4F83E7" w14:textId="77777777" w:rsidR="00844D97" w:rsidRDefault="00844D97" w:rsidP="00E63AC3">
      <w:pPr>
        <w:pStyle w:val="AssignBody"/>
      </w:pPr>
    </w:p>
    <w:p w14:paraId="4432571A" w14:textId="3337CA10" w:rsidR="00E63AC3" w:rsidRDefault="00E63AC3" w:rsidP="00E63AC3">
      <w:pPr>
        <w:pStyle w:val="AssignBody"/>
      </w:pPr>
      <w:r>
        <w:t xml:space="preserve">Participant D received a scoring of Level 2, 4 and 5 during the questioning sessions when engaging with a partner during the ‘pair’ stage, with an average level of engagement of 3.8. He was scored a level 2 once during the questioning sessions, a level 4 three times and also a level 5 once. </w:t>
      </w:r>
    </w:p>
    <w:p w14:paraId="5A444BE6" w14:textId="77777777" w:rsidR="00E63AC3" w:rsidRDefault="00E63AC3" w:rsidP="00E63AC3">
      <w:pPr>
        <w:pStyle w:val="AssignBody"/>
      </w:pPr>
      <w:r>
        <w:t xml:space="preserve">Participant E received a scoring of Level 3, 4 and 5 during the questioning sessions, with an average level of engagement of 4. She was scored a Level 3 once during the questioning sessions, a level 4 three times and a level 5 once. </w:t>
      </w:r>
    </w:p>
    <w:p w14:paraId="09208D07" w14:textId="77777777" w:rsidR="00E63AC3" w:rsidRDefault="00E63AC3" w:rsidP="00E63AC3">
      <w:pPr>
        <w:pStyle w:val="AssignBody"/>
      </w:pPr>
      <w:r>
        <w:t>Participant F received a scoring of Level 3 and 4 during the questioning sessions, with an average level of engagement of 3.8 like Participant D. She was scored a Level 3 once, and Level 4 four times.</w:t>
      </w:r>
    </w:p>
    <w:p w14:paraId="40CEEA2F" w14:textId="4B8428AF" w:rsidR="00E63AC3" w:rsidRDefault="00E63AC3" w:rsidP="00E63AC3">
      <w:pPr>
        <w:pStyle w:val="AssignBody"/>
      </w:pPr>
      <w:r>
        <w:t xml:space="preserve">Therefore, during the ‘pair’ stage of ‘Think, Pair, Share’, Participant E was rated as engaging the most with a partner. </w:t>
      </w:r>
    </w:p>
    <w:p w14:paraId="28198D7A" w14:textId="77555B3B" w:rsidR="00844D97" w:rsidRDefault="00844D97" w:rsidP="00E63AC3">
      <w:pPr>
        <w:pStyle w:val="AssignBody"/>
      </w:pPr>
    </w:p>
    <w:p w14:paraId="2099E570" w14:textId="4B7C1B5D" w:rsidR="00844D97" w:rsidRDefault="00844D97" w:rsidP="00E63AC3">
      <w:pPr>
        <w:pStyle w:val="AssignBody"/>
      </w:pPr>
      <w:r>
        <w:rPr>
          <w:noProof/>
        </w:rPr>
        <w:lastRenderedPageBreak/>
        <w:drawing>
          <wp:inline distT="0" distB="0" distL="0" distR="0" wp14:anchorId="73329939" wp14:editId="7A9CD51A">
            <wp:extent cx="5731510" cy="2786380"/>
            <wp:effectExtent l="0" t="0" r="2540" b="13970"/>
            <wp:docPr id="18" name="Chart 18">
              <a:extLst xmlns:a="http://schemas.openxmlformats.org/drawingml/2006/main">
                <a:ext uri="{FF2B5EF4-FFF2-40B4-BE49-F238E27FC236}">
                  <a16:creationId xmlns:a16="http://schemas.microsoft.com/office/drawing/2014/main" id="{4BE161A6-A400-4A41-A232-5E5938D0224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1F73DC73" w14:textId="153BDB0E" w:rsidR="00E63AC3" w:rsidRDefault="00E63AC3" w:rsidP="00E63AC3">
      <w:pPr>
        <w:pStyle w:val="AssignBody"/>
      </w:pPr>
      <w:r w:rsidRPr="00844D97">
        <w:rPr>
          <w:sz w:val="18"/>
          <w:szCs w:val="18"/>
        </w:rPr>
        <w:t xml:space="preserve">Figure 4- Demonstrates the percentage of pupils hand-raising across four-lesson sessions when five questions were asked, three sessions prior to the lesson study and one during the lesson study. </w:t>
      </w:r>
    </w:p>
    <w:p w14:paraId="3ADCF88D" w14:textId="77777777" w:rsidR="00E63AC3" w:rsidRDefault="00E63AC3" w:rsidP="00E63AC3">
      <w:pPr>
        <w:pStyle w:val="AssignBody"/>
      </w:pPr>
    </w:p>
    <w:p w14:paraId="4A380BB8" w14:textId="77777777" w:rsidR="00E63AC3" w:rsidRDefault="00E63AC3" w:rsidP="00E63AC3">
      <w:pPr>
        <w:pStyle w:val="AssignBody"/>
      </w:pPr>
      <w:r>
        <w:t xml:space="preserve">Participant D showed no engagement during the three baseline observations before the lesson study. However, during the Lesson Study, his percentage of hand-raising rose to 20% demonstrating that he raised his hand to share an answer once when five questions were asked. </w:t>
      </w:r>
    </w:p>
    <w:p w14:paraId="63266B28" w14:textId="77777777" w:rsidR="00E63AC3" w:rsidRDefault="00E63AC3" w:rsidP="00E63AC3">
      <w:pPr>
        <w:pStyle w:val="AssignBody"/>
      </w:pPr>
      <w:r>
        <w:t xml:space="preserve">Participant E had a maximum percentage of 20% during the three baseline observations, showing that she raised her hand once out of five questions asked. This percentage increased to 60% during the lesson study showing that she raised her hand three times. </w:t>
      </w:r>
    </w:p>
    <w:p w14:paraId="53E9CB27" w14:textId="77777777" w:rsidR="00E63AC3" w:rsidRDefault="00E63AC3" w:rsidP="00E63AC3">
      <w:pPr>
        <w:pStyle w:val="AssignBody"/>
      </w:pPr>
      <w:r>
        <w:t xml:space="preserve">Participant F received a maximum of 40% during the three baseline observations. This percentage increased to 100% during the lesson study demonstrating that she raised her hand to share an answer to all five questions.  </w:t>
      </w:r>
    </w:p>
    <w:p w14:paraId="4B23670B" w14:textId="77777777" w:rsidR="00E63AC3" w:rsidRDefault="00E63AC3" w:rsidP="00E63AC3">
      <w:pPr>
        <w:pStyle w:val="AssignBody"/>
      </w:pPr>
      <w:r>
        <w:t xml:space="preserve">Therefore, during the ‘share’ stage of ‘Think, Pair, Share’, Participant F engaged the most during the lesson study by raising her hand to share an answer for every question asked. Participant D engaged the least when sharing an answer by only raising his hand once. </w:t>
      </w:r>
    </w:p>
    <w:p w14:paraId="2834DC9A" w14:textId="77777777" w:rsidR="00E63AC3" w:rsidRDefault="00E63AC3" w:rsidP="00E63AC3">
      <w:pPr>
        <w:pStyle w:val="AssignBody"/>
      </w:pPr>
    </w:p>
    <w:p w14:paraId="0EFFBDFD" w14:textId="77777777" w:rsidR="00E63AC3" w:rsidRDefault="00E63AC3" w:rsidP="00E63AC3">
      <w:pPr>
        <w:pStyle w:val="AssignBody"/>
      </w:pPr>
      <w:r>
        <w:t>During the interview, Participant D expressed limited interest when discussing the strategy ‘Think, Pair, Share’. Although he answered positively with a yes to the questions, no explanation could be provided on why he enjoyed the different stages (Appendix 12).</w:t>
      </w:r>
    </w:p>
    <w:p w14:paraId="042855AD" w14:textId="77777777" w:rsidR="00E63AC3" w:rsidRDefault="00E63AC3" w:rsidP="00E63AC3">
      <w:pPr>
        <w:pStyle w:val="AssignBody"/>
      </w:pPr>
      <w:r>
        <w:t xml:space="preserve">Participant E demonstrated an enjoyment regarding the discussion of answers with a partner to collaboratively work together to figure answers out, commenting “You can count things together”. She also showed a high level of enthusiasm when discussing whether ‘Think, Pair, Share’ should be used in the classroom again, stating “Yes, it is very fun and shows what we are thinking”. Although, when discussing how the questioning can be improved, Participant E </w:t>
      </w:r>
      <w:r>
        <w:lastRenderedPageBreak/>
        <w:t xml:space="preserve">felt that more explanations on the questions should be provided before beginning the strategy ‘Think, Pair, Share’ (Appendix 12). </w:t>
      </w:r>
    </w:p>
    <w:p w14:paraId="1A6B7B42" w14:textId="77777777" w:rsidR="00E63AC3" w:rsidRDefault="00E63AC3" w:rsidP="00E63AC3">
      <w:pPr>
        <w:pStyle w:val="AssignBody"/>
      </w:pPr>
      <w:r>
        <w:t xml:space="preserve">Participant F also demonstrated an enthusiasm for the strategy ‘Think, Pair, Share’ that was used during the lesson. However, similarly to Participant D, she did not provide explanations (Appendix 12). However, in contrast to Participant E, Participant F felt that the level of explanation provided to the pupils was satisfactory, disputing “The explanation was good you did loads though”. </w:t>
      </w:r>
    </w:p>
    <w:p w14:paraId="2864494D" w14:textId="77777777" w:rsidR="00E63AC3" w:rsidRDefault="00E63AC3" w:rsidP="00E63AC3">
      <w:pPr>
        <w:pStyle w:val="AssignBody"/>
      </w:pPr>
    </w:p>
    <w:p w14:paraId="2A5CDCE6" w14:textId="77777777" w:rsidR="00E63AC3" w:rsidRDefault="00E63AC3" w:rsidP="00E63AC3">
      <w:pPr>
        <w:pStyle w:val="AssignBody"/>
      </w:pPr>
      <w:r>
        <w:t xml:space="preserve">The evidence provided during the observations and interviews suggests that the participants felt the strategy ‘Think, Pair, Share’ helps pupils by providing the opportunity to work in pairs to discuss answers. This positivity surrounding working in partners was evident in the observation data where the pupils are largely rated in the regions of Level 3, 4 and 5. The average levels of engagement were greater in Lesson Study 2 than Lesson Study 1, showing that the engagement with the strategy ‘Think, Pair, Share’ had increased. </w:t>
      </w:r>
    </w:p>
    <w:p w14:paraId="479339CC" w14:textId="77777777" w:rsidR="00E63AC3" w:rsidRDefault="00E63AC3" w:rsidP="00E63AC3">
      <w:pPr>
        <w:pStyle w:val="AssignBody"/>
      </w:pPr>
    </w:p>
    <w:p w14:paraId="761D2391" w14:textId="77777777" w:rsidR="00E63AC3" w:rsidRDefault="00E63AC3" w:rsidP="00E63AC3">
      <w:pPr>
        <w:pStyle w:val="AssignBody"/>
      </w:pPr>
      <w:r>
        <w:t xml:space="preserve">It was felt that the change in timings worked a lot more effectively during Lesson Study 2. However, we felt that some of the questions which were less challenging to the pupils caused the pupils to place their hands in their air before they were instructed to do so. Therefore, they were not fully engaging with the ‘pair’ stage of ‘Think, Pair, Share’ as they had halted and were ready to share an answer. Therefore, we decided that we would change the timings for each of the questions based on their level of difficulty (Appendix 13). </w:t>
      </w:r>
    </w:p>
    <w:p w14:paraId="56EA776C" w14:textId="77777777" w:rsidR="00E63AC3" w:rsidRDefault="00E63AC3" w:rsidP="00E63AC3">
      <w:pPr>
        <w:pStyle w:val="AssignBody"/>
      </w:pPr>
    </w:p>
    <w:p w14:paraId="66378F50" w14:textId="344F5A37" w:rsidR="00E63AC3" w:rsidRDefault="00E63AC3" w:rsidP="00844D97">
      <w:pPr>
        <w:pStyle w:val="AssignBody"/>
        <w:ind w:firstLine="720"/>
      </w:pPr>
      <w:r>
        <w:t xml:space="preserve">Lesson Study 3 took place within a Year 1 Classroom with twenty-nine pupils between the ages of five and six. All pupils were present during the lesson with the selected three pupils being the focus of observations. Observer two taught the lesson whilst observer one and three conducted the observations. </w:t>
      </w:r>
    </w:p>
    <w:p w14:paraId="5794E1C3" w14:textId="05A5DA9F" w:rsidR="00844D97" w:rsidRDefault="00844D97" w:rsidP="00844D97">
      <w:pPr>
        <w:pStyle w:val="AssignBody"/>
      </w:pPr>
    </w:p>
    <w:p w14:paraId="46C0C500" w14:textId="02ED7D7C" w:rsidR="00844D97" w:rsidRDefault="00844D97" w:rsidP="00844D97">
      <w:pPr>
        <w:pStyle w:val="AssignBody"/>
      </w:pPr>
      <w:r>
        <w:rPr>
          <w:noProof/>
        </w:rPr>
        <w:lastRenderedPageBreak/>
        <w:drawing>
          <wp:inline distT="0" distB="0" distL="0" distR="0" wp14:anchorId="6BF3B006" wp14:editId="06F112FE">
            <wp:extent cx="5731510" cy="2670810"/>
            <wp:effectExtent l="0" t="0" r="2540" b="15240"/>
            <wp:docPr id="22" name="Chart 22">
              <a:extLst xmlns:a="http://schemas.openxmlformats.org/drawingml/2006/main">
                <a:ext uri="{FF2B5EF4-FFF2-40B4-BE49-F238E27FC236}">
                  <a16:creationId xmlns:a16="http://schemas.microsoft.com/office/drawing/2014/main" id="{79850B01-D5FF-4CD3-877C-8F8034F8EE9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7C26CCE6" w14:textId="0F742C45" w:rsidR="00E63AC3" w:rsidRDefault="00E63AC3" w:rsidP="00E63AC3">
      <w:pPr>
        <w:pStyle w:val="AssignBody"/>
        <w:rPr>
          <w:sz w:val="18"/>
          <w:szCs w:val="18"/>
        </w:rPr>
      </w:pPr>
      <w:r w:rsidRPr="00844D97">
        <w:rPr>
          <w:sz w:val="18"/>
          <w:szCs w:val="18"/>
        </w:rPr>
        <w:t>Figure 5- Demonstrates pupil engagement levels with the five questions asked when engaging in the ‘pair’ stage of ‘Think, Pair, Share’.</w:t>
      </w:r>
    </w:p>
    <w:p w14:paraId="76D30FC1" w14:textId="77777777" w:rsidR="00844D97" w:rsidRPr="00844D97" w:rsidRDefault="00844D97" w:rsidP="00E63AC3">
      <w:pPr>
        <w:pStyle w:val="AssignBody"/>
        <w:rPr>
          <w:sz w:val="18"/>
          <w:szCs w:val="18"/>
        </w:rPr>
      </w:pPr>
    </w:p>
    <w:p w14:paraId="778F854B" w14:textId="77777777" w:rsidR="00E63AC3" w:rsidRDefault="00E63AC3" w:rsidP="00E63AC3">
      <w:pPr>
        <w:pStyle w:val="AssignBody"/>
      </w:pPr>
      <w:r>
        <w:t xml:space="preserve">Participant G received a scoring of Level 3, 4 and 5 during the questioning sessions when engaging with a partner during the ‘pair’ stage, with an average level of engagement of 4. He received a level 3 rating twice during the questioning sessions, a level 4 once and a level 5 twice. </w:t>
      </w:r>
    </w:p>
    <w:p w14:paraId="57F98442" w14:textId="77777777" w:rsidR="00E63AC3" w:rsidRDefault="00E63AC3" w:rsidP="00E63AC3">
      <w:pPr>
        <w:pStyle w:val="AssignBody"/>
      </w:pPr>
      <w:r>
        <w:t xml:space="preserve">Participant H received a scoring of Level 3, 4 and 5 during the questioning sessions, with an average level of engagement of 4 like Participant G. She was scored a Level 3 once during the questioning sessions, a level 4 three times and a level 5 once. </w:t>
      </w:r>
    </w:p>
    <w:p w14:paraId="1A53B51D" w14:textId="77777777" w:rsidR="00E63AC3" w:rsidRDefault="00E63AC3" w:rsidP="00E63AC3">
      <w:pPr>
        <w:pStyle w:val="AssignBody"/>
      </w:pPr>
      <w:r>
        <w:t xml:space="preserve">Participant I received a scoring of Level 1, 2, 4 and 5 during the questioning sessions, with an average level of engagement of 2.8. He was scored a Level 1 once, a Level 2 twice, a Level 4 once and a Level 5 once also. </w:t>
      </w:r>
    </w:p>
    <w:p w14:paraId="1857EAE9" w14:textId="363DA705" w:rsidR="00E63AC3" w:rsidRDefault="00E63AC3" w:rsidP="00E63AC3">
      <w:pPr>
        <w:pStyle w:val="AssignBody"/>
      </w:pPr>
      <w:r>
        <w:t xml:space="preserve">Therefore, during the ‘pair’ stage of ‘Think, Pair, Share’, Participant I was rated as engaging the least with a partner. </w:t>
      </w:r>
    </w:p>
    <w:p w14:paraId="763D3990" w14:textId="25D645D8" w:rsidR="00420ADF" w:rsidRDefault="00420ADF" w:rsidP="00E63AC3">
      <w:pPr>
        <w:pStyle w:val="AssignBody"/>
      </w:pPr>
    </w:p>
    <w:p w14:paraId="2842451D" w14:textId="192BEE1C" w:rsidR="00420ADF" w:rsidRDefault="00420ADF" w:rsidP="00E63AC3">
      <w:pPr>
        <w:pStyle w:val="AssignBody"/>
      </w:pPr>
      <w:r>
        <w:rPr>
          <w:noProof/>
        </w:rPr>
        <w:lastRenderedPageBreak/>
        <w:drawing>
          <wp:inline distT="0" distB="0" distL="0" distR="0" wp14:anchorId="455A6F81" wp14:editId="29D5C464">
            <wp:extent cx="5731510" cy="2781935"/>
            <wp:effectExtent l="0" t="0" r="2540" b="18415"/>
            <wp:docPr id="21" name="Chart 21">
              <a:extLst xmlns:a="http://schemas.openxmlformats.org/drawingml/2006/main">
                <a:ext uri="{FF2B5EF4-FFF2-40B4-BE49-F238E27FC236}">
                  <a16:creationId xmlns:a16="http://schemas.microsoft.com/office/drawing/2014/main" id="{216DC15B-3297-42A7-82F9-E023F908CED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29789590" w14:textId="618CF3AE" w:rsidR="00E63AC3" w:rsidRDefault="00E63AC3" w:rsidP="00E63AC3">
      <w:pPr>
        <w:pStyle w:val="AssignBody"/>
        <w:rPr>
          <w:sz w:val="18"/>
          <w:szCs w:val="18"/>
        </w:rPr>
      </w:pPr>
      <w:r w:rsidRPr="00420ADF">
        <w:rPr>
          <w:sz w:val="18"/>
          <w:szCs w:val="18"/>
        </w:rPr>
        <w:t xml:space="preserve">Figure 6- Demonstrates the percentage of pupils hand-raising across four-lesson sessions when five questions were asked, three sessions prior to the lesson study and one during the lesson study. </w:t>
      </w:r>
    </w:p>
    <w:p w14:paraId="776D4BE0" w14:textId="77777777" w:rsidR="00420ADF" w:rsidRPr="00420ADF" w:rsidRDefault="00420ADF" w:rsidP="00E63AC3">
      <w:pPr>
        <w:pStyle w:val="AssignBody"/>
      </w:pPr>
    </w:p>
    <w:p w14:paraId="120E8F61" w14:textId="77777777" w:rsidR="00E63AC3" w:rsidRDefault="00E63AC3" w:rsidP="00E63AC3">
      <w:pPr>
        <w:pStyle w:val="AssignBody"/>
      </w:pPr>
      <w:r>
        <w:t xml:space="preserve">Participant G showed a maximum of 20% during the three baseline observations prior to the lesson study, showing that Participant G raised his hand to answer one question. However, during the Lesson Study, his percentage of hand-raising rose to 80% demonstrating that he raised his hand to share an answer on four times when five questions were asked. </w:t>
      </w:r>
    </w:p>
    <w:p w14:paraId="539F3C73" w14:textId="77777777" w:rsidR="00E63AC3" w:rsidRDefault="00E63AC3" w:rsidP="00E63AC3">
      <w:pPr>
        <w:pStyle w:val="AssignBody"/>
      </w:pPr>
      <w:r>
        <w:t xml:space="preserve">Participant H had a maximum percentage of 20 during the three baseline observations, showing that she raised her hand once. This percentage increased to 60% during the lesson study showing that she raised her hand three times. </w:t>
      </w:r>
    </w:p>
    <w:p w14:paraId="1EDEFB2B" w14:textId="77777777" w:rsidR="00E63AC3" w:rsidRDefault="00E63AC3" w:rsidP="00E63AC3">
      <w:pPr>
        <w:pStyle w:val="AssignBody"/>
      </w:pPr>
      <w:r>
        <w:t xml:space="preserve">Participant I received a maximum of 20% during the three baseline observations. This percentage increased to 80% like Participant G during the lesson study demonstrating that he raised his hand to share an answer to four out of five questions.  </w:t>
      </w:r>
    </w:p>
    <w:p w14:paraId="6B566FF8" w14:textId="77777777" w:rsidR="00E63AC3" w:rsidRDefault="00E63AC3" w:rsidP="00E63AC3">
      <w:pPr>
        <w:pStyle w:val="AssignBody"/>
      </w:pPr>
      <w:r>
        <w:t>Therefore, during the ‘share’ stage of ‘Think, Pair, Share’, Participant H engaged the least when sharing an answer but was still wanting to share an answer to three questions.</w:t>
      </w:r>
    </w:p>
    <w:p w14:paraId="6E1264A4" w14:textId="77777777" w:rsidR="00E63AC3" w:rsidRDefault="00E63AC3" w:rsidP="00E63AC3">
      <w:pPr>
        <w:pStyle w:val="AssignBody"/>
      </w:pPr>
    </w:p>
    <w:p w14:paraId="52ABE8FA" w14:textId="77777777" w:rsidR="00E63AC3" w:rsidRDefault="00E63AC3" w:rsidP="00E63AC3">
      <w:pPr>
        <w:pStyle w:val="AssignBody"/>
      </w:pPr>
      <w:r>
        <w:t>During the interview, Participant G expressed enjoyment when engaging with the strategy ‘Think, Pair, Share’ (Appendix 16), especially having the opportunity to share with a partner. This was also evident during the observations, where Participant G had an average of 4 for his level of engagement during the discussions with a pair. However, he did show a level of discomfort when discussing sharing answers with a class, stating “I don’t like putting my hands up”. Despite this, Participant G was observed putting his hand up four times (Appendix 15) therefore this level of discomfort was not observed during the Lesson Study.</w:t>
      </w:r>
    </w:p>
    <w:p w14:paraId="2815B356" w14:textId="77777777" w:rsidR="00E63AC3" w:rsidRDefault="00E63AC3" w:rsidP="00E63AC3">
      <w:pPr>
        <w:pStyle w:val="AssignBody"/>
      </w:pPr>
      <w:r>
        <w:t xml:space="preserve">Participant H was the most comfortable when answering the questions within the interview. Despite showing a high level of engagement with the strategy ‘Think, Pair, Share’ during the </w:t>
      </w:r>
      <w:r>
        <w:lastRenderedPageBreak/>
        <w:t>observations, she showed limited enthusiasm for the strategy during the interview (Appendix 16). Similarly to Participant G, she expressed levels of discomfort when sharing answers with the class, stating “because sometimes you get them wrong and they get sad. I always worry.”. The process of ‘Think, Pair, Share’ may not have been clear to Participant G when sharing answers, this was evident when she commented “Well __ didn’t really want to. Sometimes I struggle with who is going to put your hand up.”. This demonstrates that Participant G believed that only one of the pupils in the pair were to put their hand up to answer a question.</w:t>
      </w:r>
    </w:p>
    <w:p w14:paraId="638DAF06" w14:textId="77777777" w:rsidR="00E63AC3" w:rsidRDefault="00E63AC3" w:rsidP="00E63AC3">
      <w:pPr>
        <w:pStyle w:val="AssignBody"/>
      </w:pPr>
      <w:r>
        <w:t xml:space="preserve">Participant I showed a limited engagement during discussions with a pair. However, he showed a greater level of engagement when participating in the sharing of answers with the class (Appendix 15 ). However, he showed a reluctance to answer the questions during the interview (Appendix 16). Participant I was the only participant who did not show any discomfort to sharing answers with the class, this supports the observations where he raised his hand four times to share an answer. He provided an understanding regarding collaboration providing pupils with confidence to share answers, commenting “I put my hand up when I’m with someone else.”. </w:t>
      </w:r>
    </w:p>
    <w:p w14:paraId="4D806FA4" w14:textId="77777777" w:rsidR="00E63AC3" w:rsidRDefault="00E63AC3" w:rsidP="00E63AC3">
      <w:pPr>
        <w:pStyle w:val="AssignBody"/>
      </w:pPr>
    </w:p>
    <w:p w14:paraId="5347C716" w14:textId="77777777" w:rsidR="00E63AC3" w:rsidRDefault="00E63AC3" w:rsidP="00E63AC3">
      <w:pPr>
        <w:pStyle w:val="AssignBody"/>
      </w:pPr>
      <w:r>
        <w:t xml:space="preserve">After analysing the graphs related to the level of engagement during the ‘pair’. During Lesson study 1, no pupils were rated a Level 5 during the observation. However, during Lesson Study 2, two pupils were rated a Level 5. In Lesson Study 3, all three participants were rated a Level 5. This shows that the level of engagement during this aspect of ‘Think, Pair, Share’ had increased during Lesson Study 3. The percentage of hand-raising rose for all nine participants in the three lesson studies. However, there is no clear increase across the three lessons. </w:t>
      </w:r>
    </w:p>
    <w:p w14:paraId="03AD6F09" w14:textId="77777777" w:rsidR="00E63AC3" w:rsidRDefault="00E63AC3" w:rsidP="00E63AC3">
      <w:pPr>
        <w:pStyle w:val="AssignBody"/>
      </w:pPr>
    </w:p>
    <w:p w14:paraId="2F897028" w14:textId="77777777" w:rsidR="00E63AC3" w:rsidRDefault="00E63AC3" w:rsidP="00420ADF">
      <w:pPr>
        <w:pStyle w:val="AssignSubHeader"/>
      </w:pPr>
      <w:r>
        <w:t>Research Findings Discussion</w:t>
      </w:r>
    </w:p>
    <w:p w14:paraId="46A077BC" w14:textId="7DD395D2" w:rsidR="00E63AC3" w:rsidRDefault="00E63AC3" w:rsidP="00E63AC3">
      <w:pPr>
        <w:pStyle w:val="AssignBody"/>
      </w:pPr>
      <w:r>
        <w:t xml:space="preserve">During Lesson Study 1, Participant B demonstrated the least level of engagement with the strategy ‘Think, Pair, Share’, expressing her discomfort when holding discussions with her partner. Hetika, Farida and Sari (2017) also found that student pairings impacted upon the level of engagement with the strategy and consequently the lesson. Therefore it is important to choose pairings carefully to ensure maximum participation from the pupils. However, when implemented effectively ‘Think, Pair, Share can have a positive impact on pupil’s participation with the lessons. This was evident across all three lesson studies where all pupil’s percentage of hand-raising increased during the lesson study, with some participant’s level of engagement raising more dramatically than others. ‘Think, Pair, Share’ encourages greater levels of engagement as the longer thinking time allows pupils to think more carefully </w:t>
      </w:r>
      <w:r>
        <w:lastRenderedPageBreak/>
        <w:t>about answers which can help build their confidence to share these answers (Black et al</w:t>
      </w:r>
      <w:r w:rsidR="006F31DC">
        <w:t>.</w:t>
      </w:r>
      <w:r>
        <w:t>, 2003; Jenkens, 2017). Although during Lesson Study 3, Participant G expressing pupils levels of discomfort when answering questions due to the fear of providing a wrong answer. This fear is highlighted within research where pupil’s levels of engagement during questioning can be negatively impacted due to the fear of being wrong (Black et al</w:t>
      </w:r>
      <w:r w:rsidR="006F31DC">
        <w:t>.</w:t>
      </w:r>
      <w:r>
        <w:t xml:space="preserve">, 2007). Therefore, it is important to provide an environment where pupils are not afraid to take risks when answering challenging questions as pupils may learn more from this (Estyn, 2018). Despite the participants in Lesson Study 2 addressing their concerns regarding sharing answers, during Lesson Study 2, pupils were observed halting their discussions before the time had finished as they were ready to share an answer. Therefore, pupils were raising their hands before being asked to do so. Jenkens (2017) found that if pupils identified an answer promptly within their pairs they would automatically raise their hand to signal they were ready. As a result, the pupils were not engaging fully for the allocated time. Therefore, ‘Think, Pair, Share is effective to provide pupils with confidence when they have similar answers to their partner (Kaddoura, 2013). Although, the strategy may be more beneficial when the questions require more thinking to ensure the pupils take advantage of the extra time to identify ideas collaboratively (Wragg and Brown, 2002; Jenkens, 2017). Therefore, during future teaching, ‘Think, Pair, Share’ will be employed when questions are more difficult to ensure this maximum participation. </w:t>
      </w:r>
    </w:p>
    <w:p w14:paraId="151E52E6" w14:textId="77777777" w:rsidR="00E63AC3" w:rsidRDefault="00E63AC3" w:rsidP="00E63AC3">
      <w:pPr>
        <w:pStyle w:val="AssignBody"/>
      </w:pPr>
      <w:r>
        <w:tab/>
        <w:t xml:space="preserve"> </w:t>
      </w:r>
    </w:p>
    <w:p w14:paraId="475EEEBD" w14:textId="77777777" w:rsidR="00E63AC3" w:rsidRDefault="00E63AC3" w:rsidP="00420ADF">
      <w:pPr>
        <w:pStyle w:val="AssignSubHeader"/>
      </w:pPr>
      <w:r>
        <w:t>Conclusion</w:t>
      </w:r>
    </w:p>
    <w:p w14:paraId="1FF99072" w14:textId="77777777" w:rsidR="00E63AC3" w:rsidRDefault="00E63AC3" w:rsidP="00E63AC3">
      <w:pPr>
        <w:pStyle w:val="AssignBody"/>
      </w:pPr>
      <w:r>
        <w:t xml:space="preserve">To conclude, the strategy ‘Think, Pair, Share increases the pupil’s level of participation and confidence within lessons as all pupils demonstrated an increase in the levels of hand-raising during the lesson studies. However, the changes to the timings may not have necessarily had an impact on the levels of participation during Lesson Study 2 and 3 as there was no clear increase to the hand-raising levels across the three lessons. However, the changes made throughout the lessons did have an impact on the pupil’s engagement when discussing with their partners, with all the participants scoring a Level 5 rating compared to none of the participants receiving this in Lesson Study 1. </w:t>
      </w:r>
    </w:p>
    <w:p w14:paraId="44271957" w14:textId="3BDFAF0F" w:rsidR="00E63AC3" w:rsidRDefault="00E63AC3" w:rsidP="00E63AC3">
      <w:pPr>
        <w:pStyle w:val="AssignBody"/>
      </w:pPr>
      <w:r>
        <w:tab/>
        <w:t>However, reflecting on the lesson study method, it can be seen that there were many strengths with the methods chosen, although there were also many limitations which may have impacted on the data in which was collated. The observations which were conducted by the two researchers provided a wealth of informative, raw data looking at the pupil’s natural reactions to the strategy (Groves et al, 2016). The researchers were also able to observe more carefully than the researcher that was teaching the lesson (Cohen et al</w:t>
      </w:r>
      <w:r w:rsidR="006F31DC">
        <w:t>.</w:t>
      </w:r>
      <w:r>
        <w:t xml:space="preserve">, 2011). However, through changing the natural environment by introducing two researchers </w:t>
      </w:r>
      <w:r>
        <w:lastRenderedPageBreak/>
        <w:t>that the pupils are not familiar with, this will consequently have an impact on the pupil’s behaviours during the lesson (Greig, MacKay and Taylor, 2007). Therefore, this focused attention in which the pupils were receiving from the observers may have also had an impact on the participation of the pupils, not just the strategy in which was used (Sharp, 2012). Also, during each of the lesson studies, the observers both generated different data to one another, specifically when using the Leuven Scale. Denscombe (2014) identifies that observers may produce different data due to observing different aspects of the lesson at different times. Therefore, the rating provided to the pupils using the Leuven Scale may be different due to the two observers focussing on different pupils at different times. The interviews provided important data on the participant’s perspectives on the strategy ‘Think, Pair, Share’, which could then be analysed alongside the observation data retrieved (Cohen et al</w:t>
      </w:r>
      <w:r w:rsidR="006F31DC">
        <w:t>.</w:t>
      </w:r>
      <w:r>
        <w:t>, 2011). However, it was difficult to ensure all participants were involved with the interview without putting pressure on the pupils. Therefore, we were not able to get all of the participant’s perspectives during the interview who may have provided us with interesting perspectives if they were more comfortable to do so (Denscombe, 2014).</w:t>
      </w:r>
    </w:p>
    <w:p w14:paraId="2B03F3BA" w14:textId="77777777" w:rsidR="00E63AC3" w:rsidRDefault="00E63AC3" w:rsidP="00E63AC3">
      <w:pPr>
        <w:pStyle w:val="AssignBody"/>
      </w:pPr>
      <w:r>
        <w:tab/>
        <w:t xml:space="preserve">Therefore, despite retrieving data in which supports the implementation of the strategy ‘Think, Pair, Share’ is also important to take into account the limitations in the study which may have impacted the data received. </w:t>
      </w:r>
    </w:p>
    <w:p w14:paraId="51A9E73C" w14:textId="77777777" w:rsidR="00E63AC3" w:rsidRDefault="00E63AC3" w:rsidP="00E63AC3">
      <w:pPr>
        <w:pStyle w:val="AssignBody"/>
      </w:pPr>
    </w:p>
    <w:p w14:paraId="7E18B944" w14:textId="77777777" w:rsidR="00E63AC3" w:rsidRDefault="00E63AC3" w:rsidP="00420ADF">
      <w:pPr>
        <w:pStyle w:val="AssignSubHeader"/>
      </w:pPr>
      <w:r>
        <w:t>Recommendations</w:t>
      </w:r>
    </w:p>
    <w:p w14:paraId="097C4DC0" w14:textId="0B99C803" w:rsidR="00E63AC3" w:rsidRDefault="00E63AC3" w:rsidP="00E63AC3">
      <w:pPr>
        <w:pStyle w:val="AssignBody"/>
      </w:pPr>
      <w:r>
        <w:t>Moving forward, I will implement the strategy ‘Think, Pair, Share’ within my lessons but will use it more effectively by only implementing it during questioning sessions which encourage deeper thinking (Wragg and Brown, 2002; Jenkens, 2017). I will also ensure not to overuse the strategy during lessons to ensure the pupils are always willing to engage with the strategy when they have the opportunity to do so. However, if I were to complete this Lesson Study research again, I would complete the research over several different subject sessions with the same class to identify how the strategy can have an impact on the pupils over a range of subjects.</w:t>
      </w:r>
    </w:p>
    <w:p w14:paraId="259ACC78" w14:textId="3EA2E5F8" w:rsidR="00B43179" w:rsidRDefault="00B43179" w:rsidP="00E63AC3">
      <w:pPr>
        <w:pStyle w:val="AssignBody"/>
      </w:pPr>
    </w:p>
    <w:p w14:paraId="0A5D34C9" w14:textId="34BEC6C1" w:rsidR="00B43179" w:rsidRDefault="00B43179" w:rsidP="00E63AC3">
      <w:pPr>
        <w:pStyle w:val="AssignBody"/>
      </w:pPr>
    </w:p>
    <w:p w14:paraId="15DBBBBF" w14:textId="29BE5BDD" w:rsidR="00B43179" w:rsidRDefault="00B43179" w:rsidP="00E63AC3">
      <w:pPr>
        <w:pStyle w:val="AssignBody"/>
      </w:pPr>
    </w:p>
    <w:p w14:paraId="06D70016" w14:textId="012AF475" w:rsidR="00B43179" w:rsidRDefault="00B43179" w:rsidP="00E63AC3">
      <w:pPr>
        <w:pStyle w:val="AssignBody"/>
      </w:pPr>
    </w:p>
    <w:p w14:paraId="67F0E346" w14:textId="1F4BEC2B" w:rsidR="00B43179" w:rsidRDefault="00B43179" w:rsidP="00E63AC3">
      <w:pPr>
        <w:pStyle w:val="AssignBody"/>
      </w:pPr>
    </w:p>
    <w:p w14:paraId="3EAFF69A" w14:textId="7F9448A2" w:rsidR="00B43179" w:rsidRDefault="00B43179" w:rsidP="00E63AC3">
      <w:pPr>
        <w:pStyle w:val="AssignBody"/>
      </w:pPr>
    </w:p>
    <w:p w14:paraId="76B3751F" w14:textId="5DA11348" w:rsidR="00B43179" w:rsidRDefault="00B43179" w:rsidP="00E63AC3">
      <w:pPr>
        <w:pStyle w:val="AssignBody"/>
      </w:pPr>
    </w:p>
    <w:p w14:paraId="076D9617" w14:textId="1223972C" w:rsidR="00B43179" w:rsidRDefault="00B43179" w:rsidP="00E63AC3">
      <w:pPr>
        <w:pStyle w:val="AssignBody"/>
      </w:pPr>
    </w:p>
    <w:p w14:paraId="600BE47E" w14:textId="692EA921" w:rsidR="00B43179" w:rsidRDefault="00B43179" w:rsidP="00B43179">
      <w:pPr>
        <w:pStyle w:val="AssignSubHeader"/>
      </w:pPr>
      <w:r>
        <w:lastRenderedPageBreak/>
        <w:t>References</w:t>
      </w:r>
    </w:p>
    <w:p w14:paraId="571E285D" w14:textId="77777777" w:rsidR="00B43179" w:rsidRDefault="00B43179" w:rsidP="00B43179">
      <w:pPr>
        <w:pStyle w:val="AssignBody"/>
      </w:pPr>
      <w:r>
        <w:t xml:space="preserve">Amador, J. and Carter, I. (2018) ‘Audible conversational affordances and constraints of verbalising professional notice during prospective teacher lesson study’, </w:t>
      </w:r>
      <w:r w:rsidRPr="00BE5355">
        <w:rPr>
          <w:i/>
          <w:iCs/>
        </w:rPr>
        <w:t>Journal of Mathematics teacher Education,</w:t>
      </w:r>
      <w:r>
        <w:t xml:space="preserve"> 21(1), pp. 5-34. DOI: 10.1007/s10857-016-9347-x</w:t>
      </w:r>
    </w:p>
    <w:p w14:paraId="3AFF5931" w14:textId="7399EE6B" w:rsidR="00B43179" w:rsidRDefault="00B43179" w:rsidP="00B43179">
      <w:pPr>
        <w:pStyle w:val="AssignBody"/>
      </w:pPr>
      <w:r>
        <w:t xml:space="preserve">Archer, R. (2016) ‘Lesson study in initial teacher education: students’ positioning analysed through the lens of Figured Worlds’, </w:t>
      </w:r>
      <w:r w:rsidRPr="00BE5355">
        <w:rPr>
          <w:i/>
          <w:iCs/>
        </w:rPr>
        <w:t>Proceedings of the British Society for Research into Learning</w:t>
      </w:r>
      <w:r>
        <w:t xml:space="preserve">, 36(1), pp. 13-18. </w:t>
      </w:r>
    </w:p>
    <w:p w14:paraId="710D8BBB" w14:textId="3B4DB2A3" w:rsidR="00B43179" w:rsidRDefault="00B43179" w:rsidP="00B43179">
      <w:pPr>
        <w:pStyle w:val="AssignBody"/>
      </w:pPr>
      <w:r>
        <w:t xml:space="preserve">Black, P. et al. (2003) </w:t>
      </w:r>
      <w:r w:rsidRPr="00BE5355">
        <w:rPr>
          <w:i/>
          <w:iCs/>
        </w:rPr>
        <w:t>Assessment for Learning: Putting it into Practice</w:t>
      </w:r>
      <w:r>
        <w:t xml:space="preserve">. Maidenhead: Open University Press. </w:t>
      </w:r>
    </w:p>
    <w:p w14:paraId="2FB68A75" w14:textId="77777777" w:rsidR="00B43179" w:rsidRDefault="00B43179" w:rsidP="00B43179">
      <w:pPr>
        <w:pStyle w:val="AssignBody"/>
      </w:pPr>
      <w:r>
        <w:t xml:space="preserve">Black, P. et al. (2007) </w:t>
      </w:r>
      <w:r w:rsidRPr="00BE5355">
        <w:rPr>
          <w:i/>
          <w:iCs/>
        </w:rPr>
        <w:t>Assessment for Learning</w:t>
      </w:r>
      <w:r>
        <w:t>. Maidenhead: McGraw- Hill Education.</w:t>
      </w:r>
    </w:p>
    <w:p w14:paraId="08EA785C" w14:textId="77777777" w:rsidR="00B43179" w:rsidRDefault="00B43179" w:rsidP="00B43179">
      <w:pPr>
        <w:pStyle w:val="AssignBody"/>
      </w:pPr>
      <w:r>
        <w:t xml:space="preserve">Boonsena, N. et al. (2019) ‘Teachers Learning about Teaching Practice in a Modify Lesson Study’, </w:t>
      </w:r>
      <w:r w:rsidRPr="00BE5355">
        <w:rPr>
          <w:i/>
          <w:iCs/>
        </w:rPr>
        <w:t>Psychology</w:t>
      </w:r>
      <w:r>
        <w:t>, 10(1), pp. 977-988. Available at: https://doi.org/10.4236/psych.2019.107064 (Accessed: 13th February 2020)</w:t>
      </w:r>
    </w:p>
    <w:p w14:paraId="26180A56" w14:textId="77777777" w:rsidR="00B43179" w:rsidRDefault="00B43179" w:rsidP="00B43179">
      <w:pPr>
        <w:pStyle w:val="AssignBody"/>
      </w:pPr>
      <w:r>
        <w:t xml:space="preserve">Boonsena, N., Inprasitha, M. and Sudjamnong, A. (2019) ‘Pre-Service Teachers as a Part of Lesson Study Team’, </w:t>
      </w:r>
      <w:r w:rsidRPr="00BE5355">
        <w:rPr>
          <w:i/>
          <w:iCs/>
        </w:rPr>
        <w:t>Creative Education</w:t>
      </w:r>
      <w:r>
        <w:t>, 10(6), pp. 1259-1270. DOI: 10.4236/ce.2019.106095</w:t>
      </w:r>
    </w:p>
    <w:p w14:paraId="03513F77" w14:textId="77777777" w:rsidR="00B43179" w:rsidRDefault="00B43179" w:rsidP="00B43179">
      <w:pPr>
        <w:pStyle w:val="AssignBody"/>
      </w:pPr>
      <w:r>
        <w:t xml:space="preserve">British Educational Research Association (BERA) (2018) </w:t>
      </w:r>
      <w:r w:rsidRPr="00BE5355">
        <w:rPr>
          <w:i/>
          <w:iCs/>
        </w:rPr>
        <w:t>Ethical Guidelines for Educational Research</w:t>
      </w:r>
      <w:r>
        <w:t>. 4th edn. London. Available at: file:///home/chronos/u-60b569df22d7ae91470d0b45b90cf06d3b272352/MyFiles/PGCE/ECAD7004/Reading/BERA%20ethical%20guidlines%202018.pdf (Accessed: 14th February 2020).</w:t>
      </w:r>
    </w:p>
    <w:p w14:paraId="5EFC70E0" w14:textId="77777777" w:rsidR="00B43179" w:rsidRDefault="00B43179" w:rsidP="00B43179">
      <w:pPr>
        <w:pStyle w:val="AssignBody"/>
      </w:pPr>
      <w:r>
        <w:t>Brown, G. (2019) ‘Is Assessment for Learning really assessment?’</w:t>
      </w:r>
      <w:r w:rsidRPr="00BE5355">
        <w:rPr>
          <w:i/>
          <w:iCs/>
        </w:rPr>
        <w:t>, Frontiers in Education</w:t>
      </w:r>
      <w:r>
        <w:t>, 4(1), pp. 1-7. DOI: 10.3389/feduc.2019.00064</w:t>
      </w:r>
    </w:p>
    <w:p w14:paraId="15832782" w14:textId="77777777" w:rsidR="00B43179" w:rsidRDefault="00B43179" w:rsidP="00B43179">
      <w:pPr>
        <w:pStyle w:val="AssignBody"/>
      </w:pPr>
      <w:r>
        <w:t xml:space="preserve">Cohen, L. et al. (2011) </w:t>
      </w:r>
      <w:r w:rsidRPr="00BE5355">
        <w:rPr>
          <w:i/>
          <w:iCs/>
        </w:rPr>
        <w:t>Research methods in education.</w:t>
      </w:r>
      <w:r>
        <w:t xml:space="preserve"> 7 edn. London; New York: Routledge.</w:t>
      </w:r>
    </w:p>
    <w:p w14:paraId="638F6072" w14:textId="77777777" w:rsidR="00B43179" w:rsidRDefault="00B43179" w:rsidP="00B43179">
      <w:pPr>
        <w:pStyle w:val="AssignBody"/>
      </w:pPr>
      <w:r>
        <w:t xml:space="preserve">Cohen, M. et al. (2019) ‘Think, Pair, Freeze: The Association Between Social Anxiety and Student Discomfort in the Active Learning Environment’, </w:t>
      </w:r>
      <w:r w:rsidRPr="00BE5355">
        <w:rPr>
          <w:i/>
          <w:iCs/>
        </w:rPr>
        <w:t>Scholarship of Teaching and Learning in Psychology</w:t>
      </w:r>
      <w:r>
        <w:t>, 5(4), pp. 265-278. DOI: 10.1037/stI0000147</w:t>
      </w:r>
    </w:p>
    <w:p w14:paraId="0E73D46D" w14:textId="77777777" w:rsidR="00B43179" w:rsidRDefault="00B43179" w:rsidP="00B43179">
      <w:pPr>
        <w:pStyle w:val="AssignBody"/>
      </w:pPr>
      <w:r>
        <w:t>DeLuca, C. et al. (2018) ‘Student perspectives on assessment for learning’</w:t>
      </w:r>
      <w:r w:rsidRPr="00BE5355">
        <w:rPr>
          <w:i/>
          <w:iCs/>
        </w:rPr>
        <w:t>, Curriculum Journal</w:t>
      </w:r>
      <w:r>
        <w:t>, 29(1), pp. 77-94. DOI: 10.1080/09585176.2017.1401550</w:t>
      </w:r>
    </w:p>
    <w:p w14:paraId="0CA9195D" w14:textId="77777777" w:rsidR="00B43179" w:rsidRDefault="00B43179" w:rsidP="00B43179">
      <w:pPr>
        <w:pStyle w:val="AssignBody"/>
      </w:pPr>
      <w:r>
        <w:t xml:space="preserve">Denscombe, M. (2014) </w:t>
      </w:r>
      <w:r w:rsidRPr="00BE5355">
        <w:rPr>
          <w:i/>
          <w:iCs/>
        </w:rPr>
        <w:t>The Good Research Guide for Small- Scale Social Research Projects</w:t>
      </w:r>
      <w:r>
        <w:t xml:space="preserve">. 5th edn. McGraw- Hill Education.  </w:t>
      </w:r>
    </w:p>
    <w:p w14:paraId="4E3ECE5D" w14:textId="77777777" w:rsidR="00B43179" w:rsidRDefault="00B43179" w:rsidP="00B43179">
      <w:pPr>
        <w:pStyle w:val="AssignBody"/>
      </w:pPr>
      <w:r>
        <w:t xml:space="preserve">Department for Education (DfE) (2009) </w:t>
      </w:r>
      <w:r w:rsidRPr="00BE5355">
        <w:rPr>
          <w:i/>
          <w:iCs/>
        </w:rPr>
        <w:t>Improving subject pedagogy through Lesson Study: Handbook for leading teachers in Mathematics and English</w:t>
      </w:r>
      <w:r>
        <w:t>. Available at: file:///home/chronos/u-60b569df22d7ae91470d0b45b90cf06d3b272352/MyFiles/PGCE/ECAD7004/Reading/Impro</w:t>
      </w:r>
      <w:r>
        <w:lastRenderedPageBreak/>
        <w:t xml:space="preserve">ving%20subject%20pedagogy%20through%20Lesson%20Study.pdf (Accessed: 16th February 2020).    </w:t>
      </w:r>
    </w:p>
    <w:p w14:paraId="5A7FADDC" w14:textId="77777777" w:rsidR="00B43179" w:rsidRDefault="00B43179" w:rsidP="00B43179">
      <w:pPr>
        <w:pStyle w:val="AssignBody"/>
      </w:pPr>
      <w:r>
        <w:t xml:space="preserve">Dudley, P. (2014) </w:t>
      </w:r>
      <w:r w:rsidRPr="00BE5355">
        <w:rPr>
          <w:i/>
          <w:iCs/>
        </w:rPr>
        <w:t>Lesson Study: a handbook</w:t>
      </w:r>
      <w:r>
        <w:t>. Available at: file:///home/chronos/u-60b569df22d7ae91470d0b45b90cf06d3b272352/MyFiles/PGCE/ECAD7004/Reading/Dudley%20Lesson%20Study%20Handbook.pdf (Accessed: 16th February 2020).</w:t>
      </w:r>
    </w:p>
    <w:p w14:paraId="6F3DB639" w14:textId="77777777" w:rsidR="00B43179" w:rsidRDefault="00B43179" w:rsidP="00B43179">
      <w:pPr>
        <w:pStyle w:val="AssignBody"/>
      </w:pPr>
      <w:r>
        <w:t xml:space="preserve">Estyn (2018) </w:t>
      </w:r>
      <w:r w:rsidRPr="00BE5355">
        <w:rPr>
          <w:i/>
          <w:iCs/>
        </w:rPr>
        <w:t>Assessment for Learning and thinking skills</w:t>
      </w:r>
      <w:r>
        <w:t xml:space="preserve">. Available at: https://www.estyn.gov.wales/effective-practice/assessment-learning-and-thinking-skills (Accessed: 19th February 2020). </w:t>
      </w:r>
    </w:p>
    <w:p w14:paraId="2D8498BA" w14:textId="77777777" w:rsidR="00B43179" w:rsidRDefault="00B43179" w:rsidP="00B43179">
      <w:pPr>
        <w:pStyle w:val="AssignBody"/>
      </w:pPr>
      <w:r>
        <w:t xml:space="preserve">Fernandes, A., Huang, J. and Rinaldo, V. (2011) ‘Does Where a Student Sits Really Matter? The impact of seating locations on student classroom learning’, </w:t>
      </w:r>
      <w:r w:rsidRPr="00BE5355">
        <w:rPr>
          <w:i/>
          <w:iCs/>
        </w:rPr>
        <w:t>International Journal of Applied Educational Studies,</w:t>
      </w:r>
      <w:r>
        <w:t xml:space="preserve"> 10(1), pp. 66-77. Available at: https://web-a-ebscohost-com.ezproxy.uwtsd.ac.uk/ehost/detail/detail?vid=2&amp;sid=ce48176-9fd1-4218-84d6-f4a3dbb2c8f9%40sessionmgr4006&amp;bdata=JnNpdG9ZWhvc3QtbGI27Q%3d%3d#An=602587637db=eue (Available: 13th February 2020). </w:t>
      </w:r>
    </w:p>
    <w:p w14:paraId="52E3E053" w14:textId="77777777" w:rsidR="00B43179" w:rsidRDefault="00B43179" w:rsidP="00B43179">
      <w:pPr>
        <w:pStyle w:val="AssignBody"/>
      </w:pPr>
      <w:r>
        <w:t xml:space="preserve">Frymier, A. and Houser, M. (2016) ‘The Role of Oral Participation in Student Engagement’, </w:t>
      </w:r>
      <w:r w:rsidRPr="00BE5355">
        <w:rPr>
          <w:i/>
          <w:iCs/>
        </w:rPr>
        <w:t>Communication Education</w:t>
      </w:r>
      <w:r>
        <w:t>, 65(1), pp. 83-104. DOI: 10.1080/03634523.2015.1066019</w:t>
      </w:r>
    </w:p>
    <w:p w14:paraId="0B21B84E" w14:textId="77777777" w:rsidR="00B43179" w:rsidRDefault="00B43179" w:rsidP="00B43179">
      <w:pPr>
        <w:pStyle w:val="AssignBody"/>
      </w:pPr>
      <w:r>
        <w:t xml:space="preserve">Gibbs, G. (1988) </w:t>
      </w:r>
      <w:r w:rsidRPr="00BE5355">
        <w:rPr>
          <w:i/>
          <w:iCs/>
        </w:rPr>
        <w:t>Learning by doing. A guide to teaching and learning methods</w:t>
      </w:r>
      <w:r>
        <w:t xml:space="preserve">. Oxford Polytechnic: Oxford.  </w:t>
      </w:r>
    </w:p>
    <w:p w14:paraId="27A84E3F" w14:textId="77777777" w:rsidR="00B43179" w:rsidRDefault="00B43179" w:rsidP="00B43179">
      <w:pPr>
        <w:pStyle w:val="AssignBody"/>
      </w:pPr>
      <w:r>
        <w:t>Greig, A., MacKay, T. and Taylor, J. (2007</w:t>
      </w:r>
      <w:r w:rsidRPr="00BE5355">
        <w:rPr>
          <w:i/>
          <w:iCs/>
        </w:rPr>
        <w:t>) Doing research with children</w:t>
      </w:r>
      <w:r>
        <w:t>. 2nd edn. London: SAGE.</w:t>
      </w:r>
    </w:p>
    <w:p w14:paraId="7ECE8C6B" w14:textId="77777777" w:rsidR="00B43179" w:rsidRDefault="00B43179" w:rsidP="00B43179">
      <w:pPr>
        <w:pStyle w:val="AssignBody"/>
      </w:pPr>
      <w:r>
        <w:t xml:space="preserve">Groves, S. et al. (2016) ‘Critical factors in the adaptation and implementation of Japanese Lesson Study in the Australian context’, </w:t>
      </w:r>
      <w:r w:rsidRPr="00BE5355">
        <w:rPr>
          <w:i/>
          <w:iCs/>
        </w:rPr>
        <w:t>Mathematics Education</w:t>
      </w:r>
      <w:r>
        <w:t>, 48, pp. 501-512. DOI: 10.1007/s11858-016-0786-8</w:t>
      </w:r>
    </w:p>
    <w:p w14:paraId="54EDD44A" w14:textId="77777777" w:rsidR="00B43179" w:rsidRDefault="00B43179" w:rsidP="00B43179">
      <w:pPr>
        <w:pStyle w:val="AssignBody"/>
      </w:pPr>
      <w:r>
        <w:t>Hetika, H., Farida, I. and Sari, Y. (2017) ‘Think Pair Share (TPS) as Method to Improve Student’s Learning Motivation and Learning Achievement’</w:t>
      </w:r>
      <w:r w:rsidRPr="00BE5355">
        <w:rPr>
          <w:i/>
          <w:iCs/>
        </w:rPr>
        <w:t xml:space="preserve">, </w:t>
      </w:r>
      <w:proofErr w:type="spellStart"/>
      <w:r w:rsidRPr="00BE5355">
        <w:rPr>
          <w:i/>
          <w:iCs/>
        </w:rPr>
        <w:t>Dinamika</w:t>
      </w:r>
      <w:proofErr w:type="spellEnd"/>
      <w:r w:rsidRPr="00BE5355">
        <w:rPr>
          <w:i/>
          <w:iCs/>
        </w:rPr>
        <w:t xml:space="preserve"> </w:t>
      </w:r>
      <w:proofErr w:type="spellStart"/>
      <w:r w:rsidRPr="00BE5355">
        <w:rPr>
          <w:i/>
          <w:iCs/>
        </w:rPr>
        <w:t>Pendidkan</w:t>
      </w:r>
      <w:proofErr w:type="spellEnd"/>
      <w:r>
        <w:t>, 12(2), pp. 125-135. DOI: 10.15294/dp.v12i2.13561</w:t>
      </w:r>
    </w:p>
    <w:p w14:paraId="42F5F89E" w14:textId="77777777" w:rsidR="00B43179" w:rsidRDefault="00B43179" w:rsidP="00B43179">
      <w:pPr>
        <w:pStyle w:val="AssignBody"/>
      </w:pPr>
      <w:r>
        <w:t xml:space="preserve">Jenkens, J. (2017) ‘Engagement: Not Just Hands-On but Minds-On’, </w:t>
      </w:r>
      <w:r w:rsidRPr="00BE5355">
        <w:rPr>
          <w:i/>
          <w:iCs/>
        </w:rPr>
        <w:t>Delta Kappa Gamma Bulletin</w:t>
      </w:r>
      <w:r>
        <w:t xml:space="preserve">, 84(2), pp. 16-19. Available at: https://web-b-ebscohost-com.ezproxy.uwtsd.ac.uk/ehost/pdfviewer/pdfviewer?vid=1&amp;sid=ecd801fc-8a2a-44e1-a11a-9ba2559cfed2%40pdc-v-sessmgr06 (Accessed: 13th February 2020). </w:t>
      </w:r>
    </w:p>
    <w:p w14:paraId="714FA827" w14:textId="1889DDB2" w:rsidR="00B43179" w:rsidRDefault="00B43179" w:rsidP="00B43179">
      <w:pPr>
        <w:pStyle w:val="AssignBody"/>
      </w:pPr>
      <w:r>
        <w:t>Kaddoura, M. (2013) ‘Think Pair Share: A Teaching Learning Strategy to Enhance Students’ Critical Thinking</w:t>
      </w:r>
      <w:r w:rsidR="00BE5355">
        <w:t>’</w:t>
      </w:r>
      <w:r w:rsidR="00BE5355" w:rsidRPr="00BE5355">
        <w:rPr>
          <w:i/>
          <w:iCs/>
        </w:rPr>
        <w:t>,</w:t>
      </w:r>
      <w:r w:rsidRPr="00BE5355">
        <w:rPr>
          <w:i/>
          <w:iCs/>
        </w:rPr>
        <w:t xml:space="preserve"> Educational Research Quartely</w:t>
      </w:r>
      <w:r>
        <w:t xml:space="preserve">, 36(4), pp. 3-25. Available at: https://web-b-ebscohost-com.ezproxy.uwtsd.ac.uk/ehost/pdfviewer/pdfviewer?vid=1&amp;sid=725d23c0-e9f1-475e-a787-1fd962290720%40sessionmgr103 (Accessed: 13th February 2020). </w:t>
      </w:r>
    </w:p>
    <w:p w14:paraId="17F2C972" w14:textId="77777777" w:rsidR="00B43179" w:rsidRDefault="00B43179" w:rsidP="00B43179">
      <w:pPr>
        <w:pStyle w:val="AssignBody"/>
      </w:pPr>
      <w:r>
        <w:t xml:space="preserve">Leuven, F. (2008) </w:t>
      </w:r>
      <w:r w:rsidRPr="00BE5355">
        <w:rPr>
          <w:i/>
          <w:iCs/>
        </w:rPr>
        <w:t>The Leuven involvement scale for young children: LIS-YC (3-6 year olds).</w:t>
      </w:r>
      <w:r>
        <w:t xml:space="preserve"> Leuven: CEGO.</w:t>
      </w:r>
    </w:p>
    <w:p w14:paraId="5826D5D5" w14:textId="77777777" w:rsidR="00B43179" w:rsidRDefault="00B43179" w:rsidP="00B43179">
      <w:pPr>
        <w:pStyle w:val="AssignBody"/>
      </w:pPr>
      <w:r>
        <w:lastRenderedPageBreak/>
        <w:t xml:space="preserve">Mercer, N. (2000) </w:t>
      </w:r>
      <w:r w:rsidRPr="00BE5355">
        <w:rPr>
          <w:i/>
          <w:iCs/>
        </w:rPr>
        <w:t>Words &amp; Minds: How we use language to think together</w:t>
      </w:r>
      <w:r>
        <w:t xml:space="preserve">. London; New York: Routledge. </w:t>
      </w:r>
    </w:p>
    <w:p w14:paraId="64E627CA" w14:textId="77777777" w:rsidR="00B43179" w:rsidRDefault="00B43179" w:rsidP="00B43179">
      <w:pPr>
        <w:pStyle w:val="AssignBody"/>
      </w:pPr>
      <w:r>
        <w:t xml:space="preserve">Myhill, D., Jones, S. and Hopper, R. (2006) </w:t>
      </w:r>
      <w:r w:rsidRPr="00BE5355">
        <w:rPr>
          <w:i/>
          <w:iCs/>
        </w:rPr>
        <w:t>Talking, listening, learning: effective talk in the primary classroom</w:t>
      </w:r>
      <w:r>
        <w:t xml:space="preserve">. Maidenhead: Open University Press. </w:t>
      </w:r>
    </w:p>
    <w:p w14:paraId="6C91614C" w14:textId="77777777" w:rsidR="00B43179" w:rsidRDefault="00B43179" w:rsidP="00B43179">
      <w:pPr>
        <w:pStyle w:val="AssignBody"/>
      </w:pPr>
      <w:r>
        <w:t xml:space="preserve">Ozuem, W. and Lancaster, G. (2015) ‘Questioning: A path to student learning experience’, </w:t>
      </w:r>
      <w:r w:rsidRPr="00BE5355">
        <w:rPr>
          <w:i/>
          <w:iCs/>
        </w:rPr>
        <w:t>Education &amp; Training</w:t>
      </w:r>
      <w:r>
        <w:t>, 57(5), pp. 474-491. DOI: 10.1108/ET-04-2014-0039</w:t>
      </w:r>
    </w:p>
    <w:p w14:paraId="204E968C" w14:textId="77777777" w:rsidR="00B43179" w:rsidRDefault="00B43179" w:rsidP="00B43179">
      <w:pPr>
        <w:pStyle w:val="AssignBody"/>
      </w:pPr>
      <w:r>
        <w:t xml:space="preserve">Rahayu, S. and Suningsih, A. (2018) ‘The effects of Type Learning Model Numbered Head Together and Think Pair Share’, </w:t>
      </w:r>
      <w:r w:rsidRPr="00BE5355">
        <w:rPr>
          <w:i/>
          <w:iCs/>
        </w:rPr>
        <w:t>International Journal of Trends in Mathematics Education Research</w:t>
      </w:r>
      <w:r>
        <w:t>, 1(1), pp. 19-21. DOI: 10.33122/ijtmer.v1i1.27</w:t>
      </w:r>
    </w:p>
    <w:p w14:paraId="01F24F1B" w14:textId="77777777" w:rsidR="00B43179" w:rsidRDefault="00B43179" w:rsidP="00B43179">
      <w:pPr>
        <w:pStyle w:val="AssignBody"/>
      </w:pPr>
      <w:r>
        <w:t xml:space="preserve">Sharp, J. (2012) </w:t>
      </w:r>
      <w:r w:rsidRPr="00BE5355">
        <w:rPr>
          <w:i/>
          <w:iCs/>
        </w:rPr>
        <w:t>Success with your education research project</w:t>
      </w:r>
      <w:r>
        <w:t xml:space="preserve">. 2nd edn. Thousand Oaks, California: Sage Publications.  </w:t>
      </w:r>
    </w:p>
    <w:p w14:paraId="47D174E8" w14:textId="77777777" w:rsidR="00B43179" w:rsidRDefault="00B43179" w:rsidP="00B43179">
      <w:pPr>
        <w:pStyle w:val="AssignBody"/>
      </w:pPr>
      <w:r>
        <w:t xml:space="preserve">Welsh Assembly Government (WAG) (2010) </w:t>
      </w:r>
      <w:r w:rsidRPr="00BE5355">
        <w:rPr>
          <w:i/>
          <w:iCs/>
        </w:rPr>
        <w:t>How to develop thinking and assessment for learning in the classroom.</w:t>
      </w:r>
      <w:r>
        <w:t xml:space="preserve"> Available at: https://hwb.gov.wals/storage/663d00fd-0c3b-4003-classroom.pdf (Accessed: 13th February 2020).</w:t>
      </w:r>
    </w:p>
    <w:p w14:paraId="497EC7AB" w14:textId="77777777" w:rsidR="00B43179" w:rsidRDefault="00B43179" w:rsidP="00B43179">
      <w:pPr>
        <w:pStyle w:val="AssignBody"/>
      </w:pPr>
      <w:r>
        <w:t xml:space="preserve">Weyns, T. et al. (2018) ‘Teacher Support, Peer Acceptance and Engagement in the Classroom: A Three- Wave Longitudinal Study in Late Childhood’, </w:t>
      </w:r>
      <w:r w:rsidRPr="00BE5355">
        <w:rPr>
          <w:i/>
          <w:iCs/>
        </w:rPr>
        <w:t>Journal of Youth and Adolescence</w:t>
      </w:r>
      <w:r>
        <w:t>, 47(6), pp. 1139-1150. DOI: 10.1007/s10964-017-0774-5</w:t>
      </w:r>
    </w:p>
    <w:p w14:paraId="3E1B43B6" w14:textId="1FBEBE5E" w:rsidR="00B43179" w:rsidRPr="00B43179" w:rsidRDefault="00B43179" w:rsidP="00B43179">
      <w:pPr>
        <w:pStyle w:val="AssignBody"/>
      </w:pPr>
      <w:r>
        <w:t xml:space="preserve">Wragg, E. and Brown, G. (2002) </w:t>
      </w:r>
      <w:bookmarkStart w:id="1" w:name="_GoBack"/>
      <w:r w:rsidRPr="00BE5355">
        <w:rPr>
          <w:i/>
          <w:iCs/>
        </w:rPr>
        <w:t>Questioning in the Primary School</w:t>
      </w:r>
      <w:bookmarkEnd w:id="1"/>
      <w:r>
        <w:t>. 2nd edn. London; New York: Routledge Falmer.</w:t>
      </w:r>
    </w:p>
    <w:sectPr w:rsidR="00B43179" w:rsidRPr="00B43179">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CE28C0D" w14:textId="77777777" w:rsidR="00092DF5" w:rsidRDefault="00092DF5" w:rsidP="00E611D9">
      <w:pPr>
        <w:spacing w:after="0" w:line="240" w:lineRule="auto"/>
      </w:pPr>
      <w:r>
        <w:separator/>
      </w:r>
    </w:p>
  </w:endnote>
  <w:endnote w:type="continuationSeparator" w:id="0">
    <w:p w14:paraId="22FE2565" w14:textId="77777777" w:rsidR="00092DF5" w:rsidRDefault="00092DF5"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1959A" w14:textId="4CF3EC72"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B457F0">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CB33EDC" w14:textId="77777777" w:rsidR="00092DF5" w:rsidRDefault="00092DF5" w:rsidP="00E611D9">
      <w:pPr>
        <w:spacing w:after="0" w:line="240" w:lineRule="auto"/>
      </w:pPr>
      <w:r>
        <w:separator/>
      </w:r>
    </w:p>
  </w:footnote>
  <w:footnote w:type="continuationSeparator" w:id="0">
    <w:p w14:paraId="0850BA44" w14:textId="77777777" w:rsidR="00092DF5" w:rsidRDefault="00092DF5"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12C748A" w14:textId="017FCA2C" w:rsidR="00B43EBE" w:rsidRDefault="00755E37">
    <w:pPr>
      <w:pStyle w:val="Header"/>
    </w:pPr>
    <w:r>
      <w:t>ECAD7004</w:t>
    </w:r>
  </w:p>
  <w:p w14:paraId="31028CA5" w14:textId="60CD5227" w:rsidR="00E611D9" w:rsidRDefault="00E611D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92DF5"/>
    <w:rsid w:val="002229F0"/>
    <w:rsid w:val="00420ADF"/>
    <w:rsid w:val="006419C3"/>
    <w:rsid w:val="006B5861"/>
    <w:rsid w:val="006F31DC"/>
    <w:rsid w:val="00755E37"/>
    <w:rsid w:val="00817F7A"/>
    <w:rsid w:val="00844D97"/>
    <w:rsid w:val="00B43179"/>
    <w:rsid w:val="00B43EBE"/>
    <w:rsid w:val="00B457F0"/>
    <w:rsid w:val="00BC651E"/>
    <w:rsid w:val="00BE5355"/>
    <w:rsid w:val="00CD1240"/>
    <w:rsid w:val="00D638DF"/>
    <w:rsid w:val="00D83A40"/>
    <w:rsid w:val="00E40820"/>
    <w:rsid w:val="00E611D9"/>
    <w:rsid w:val="00E63AC3"/>
    <w:rsid w:val="00EA49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BC651E"/>
    <w:rPr>
      <w:b/>
      <w:i/>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BC651E"/>
    <w:rPr>
      <w:rFonts w:ascii="Arial" w:hAnsi="Arial"/>
      <w:b/>
      <w:i/>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755E3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776508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chart" Target="charts/chart5.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chart" Target="charts/chart4.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3.xml"/><Relationship Id="rId5" Type="http://schemas.openxmlformats.org/officeDocument/2006/relationships/settings" Target="settings.xml"/><Relationship Id="rId15" Type="http://schemas.openxmlformats.org/officeDocument/2006/relationships/header" Target="header1.xml"/><Relationship Id="rId10" Type="http://schemas.openxmlformats.org/officeDocument/2006/relationships/chart" Target="charts/chart2.xml"/><Relationship Id="rId4" Type="http://schemas.openxmlformats.org/officeDocument/2006/relationships/styles" Target="styles.xml"/><Relationship Id="rId9" Type="http://schemas.openxmlformats.org/officeDocument/2006/relationships/chart" Target="charts/chart1.xml"/><Relationship Id="rId14" Type="http://schemas.openxmlformats.org/officeDocument/2006/relationships/chart" Target="charts/chart6.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MILES%20FAMILY\Documents\PGCE%20Primary\ECAD7004\Graphs%20year%205%20and%204.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MILES%20FAMILY\Documents\PGCE%20Primary\ECAD7004\Graphs%20year%205%20and%204.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MILES%20FAMILY\Documents\PGCE%20Primary\ECAD7004\Graphs%20year%205%20and%204.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MILES%20FAMILY\Documents\PGCE%20Primary\ECAD7004\Graphs%20year%205%20and%204.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MILES%20FAMILY\Documents\PGCE%20Primary\ECAD7004\Graphs%20year%205%20and%204.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MILES%20FAMILY\Documents\PGCE%20Primary\ECAD7004\Graphs%20year%205%20and%204.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600" b="1"/>
              <a:t>Level of Engagement Year 5-</a:t>
            </a:r>
            <a:r>
              <a:rPr lang="en-GB" sz="1600" b="1" baseline="0"/>
              <a:t> </a:t>
            </a:r>
            <a:r>
              <a:rPr lang="en-GB" sz="1600" b="1"/>
              <a:t>Observer 1</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Graphs!$N$3</c:f>
              <c:strCache>
                <c:ptCount val="1"/>
                <c:pt idx="0">
                  <c:v>A</c:v>
                </c:pt>
              </c:strCache>
            </c:strRef>
          </c:tx>
          <c:spPr>
            <a:solidFill>
              <a:schemeClr val="accent1"/>
            </a:solidFill>
            <a:ln>
              <a:noFill/>
            </a:ln>
            <a:effectLst/>
          </c:spPr>
          <c:invertIfNegative val="0"/>
          <c:cat>
            <c:strRef>
              <c:f>Graphs!$O$2:$S$2</c:f>
              <c:strCache>
                <c:ptCount val="5"/>
                <c:pt idx="0">
                  <c:v>Level 1</c:v>
                </c:pt>
                <c:pt idx="1">
                  <c:v>Level 2</c:v>
                </c:pt>
                <c:pt idx="2">
                  <c:v>Level 3</c:v>
                </c:pt>
                <c:pt idx="3">
                  <c:v>Level 4</c:v>
                </c:pt>
                <c:pt idx="4">
                  <c:v>Level 5</c:v>
                </c:pt>
              </c:strCache>
            </c:strRef>
          </c:cat>
          <c:val>
            <c:numRef>
              <c:f>Graphs!$O$3:$S$3</c:f>
              <c:numCache>
                <c:formatCode>General</c:formatCode>
                <c:ptCount val="5"/>
                <c:pt idx="1">
                  <c:v>1</c:v>
                </c:pt>
                <c:pt idx="2">
                  <c:v>2</c:v>
                </c:pt>
                <c:pt idx="3">
                  <c:v>2</c:v>
                </c:pt>
              </c:numCache>
            </c:numRef>
          </c:val>
          <c:extLst>
            <c:ext xmlns:c16="http://schemas.microsoft.com/office/drawing/2014/chart" uri="{C3380CC4-5D6E-409C-BE32-E72D297353CC}">
              <c16:uniqueId val="{00000000-3FFD-47D2-9564-310963B2F25C}"/>
            </c:ext>
          </c:extLst>
        </c:ser>
        <c:ser>
          <c:idx val="1"/>
          <c:order val="1"/>
          <c:tx>
            <c:strRef>
              <c:f>Graphs!$N$4</c:f>
              <c:strCache>
                <c:ptCount val="1"/>
                <c:pt idx="0">
                  <c:v>B</c:v>
                </c:pt>
              </c:strCache>
            </c:strRef>
          </c:tx>
          <c:spPr>
            <a:solidFill>
              <a:schemeClr val="accent2"/>
            </a:solidFill>
            <a:ln>
              <a:noFill/>
            </a:ln>
            <a:effectLst/>
          </c:spPr>
          <c:invertIfNegative val="0"/>
          <c:cat>
            <c:strRef>
              <c:f>Graphs!$O$2:$S$2</c:f>
              <c:strCache>
                <c:ptCount val="5"/>
                <c:pt idx="0">
                  <c:v>Level 1</c:v>
                </c:pt>
                <c:pt idx="1">
                  <c:v>Level 2</c:v>
                </c:pt>
                <c:pt idx="2">
                  <c:v>Level 3</c:v>
                </c:pt>
                <c:pt idx="3">
                  <c:v>Level 4</c:v>
                </c:pt>
                <c:pt idx="4">
                  <c:v>Level 5</c:v>
                </c:pt>
              </c:strCache>
            </c:strRef>
          </c:cat>
          <c:val>
            <c:numRef>
              <c:f>Graphs!$O$4:$S$4</c:f>
              <c:numCache>
                <c:formatCode>General</c:formatCode>
                <c:ptCount val="5"/>
                <c:pt idx="1">
                  <c:v>1</c:v>
                </c:pt>
                <c:pt idx="2">
                  <c:v>3</c:v>
                </c:pt>
                <c:pt idx="3">
                  <c:v>1</c:v>
                </c:pt>
              </c:numCache>
            </c:numRef>
          </c:val>
          <c:extLst>
            <c:ext xmlns:c16="http://schemas.microsoft.com/office/drawing/2014/chart" uri="{C3380CC4-5D6E-409C-BE32-E72D297353CC}">
              <c16:uniqueId val="{00000001-3FFD-47D2-9564-310963B2F25C}"/>
            </c:ext>
          </c:extLst>
        </c:ser>
        <c:ser>
          <c:idx val="2"/>
          <c:order val="2"/>
          <c:tx>
            <c:strRef>
              <c:f>Graphs!$N$5</c:f>
              <c:strCache>
                <c:ptCount val="1"/>
                <c:pt idx="0">
                  <c:v>C</c:v>
                </c:pt>
              </c:strCache>
            </c:strRef>
          </c:tx>
          <c:spPr>
            <a:solidFill>
              <a:schemeClr val="accent3"/>
            </a:solidFill>
            <a:ln>
              <a:noFill/>
            </a:ln>
            <a:effectLst/>
          </c:spPr>
          <c:invertIfNegative val="0"/>
          <c:cat>
            <c:strRef>
              <c:f>Graphs!$O$2:$S$2</c:f>
              <c:strCache>
                <c:ptCount val="5"/>
                <c:pt idx="0">
                  <c:v>Level 1</c:v>
                </c:pt>
                <c:pt idx="1">
                  <c:v>Level 2</c:v>
                </c:pt>
                <c:pt idx="2">
                  <c:v>Level 3</c:v>
                </c:pt>
                <c:pt idx="3">
                  <c:v>Level 4</c:v>
                </c:pt>
                <c:pt idx="4">
                  <c:v>Level 5</c:v>
                </c:pt>
              </c:strCache>
            </c:strRef>
          </c:cat>
          <c:val>
            <c:numRef>
              <c:f>Graphs!$O$5:$S$5</c:f>
              <c:numCache>
                <c:formatCode>General</c:formatCode>
                <c:ptCount val="5"/>
                <c:pt idx="3">
                  <c:v>5</c:v>
                </c:pt>
              </c:numCache>
            </c:numRef>
          </c:val>
          <c:extLst>
            <c:ext xmlns:c16="http://schemas.microsoft.com/office/drawing/2014/chart" uri="{C3380CC4-5D6E-409C-BE32-E72D297353CC}">
              <c16:uniqueId val="{00000002-3FFD-47D2-9564-310963B2F25C}"/>
            </c:ext>
          </c:extLst>
        </c:ser>
        <c:dLbls>
          <c:showLegendKey val="0"/>
          <c:showVal val="0"/>
          <c:showCatName val="0"/>
          <c:showSerName val="0"/>
          <c:showPercent val="0"/>
          <c:showBubbleSize val="0"/>
        </c:dLbls>
        <c:gapWidth val="150"/>
        <c:axId val="532788272"/>
        <c:axId val="447765984"/>
      </c:barChart>
      <c:lineChart>
        <c:grouping val="standard"/>
        <c:varyColors val="0"/>
        <c:ser>
          <c:idx val="3"/>
          <c:order val="3"/>
          <c:tx>
            <c:strRef>
              <c:f>Graphs!$N$11</c:f>
              <c:strCache>
                <c:ptCount val="1"/>
              </c:strCache>
            </c:strRef>
          </c:tx>
          <c:spPr>
            <a:ln w="28575" cap="rnd">
              <a:solidFill>
                <a:schemeClr val="accent4"/>
              </a:solidFill>
              <a:round/>
            </a:ln>
            <a:effectLst/>
          </c:spPr>
          <c:marker>
            <c:symbol val="none"/>
          </c:marker>
          <c:cat>
            <c:strRef>
              <c:f>Graphs!$O$2:$S$2</c:f>
              <c:strCache>
                <c:ptCount val="5"/>
                <c:pt idx="0">
                  <c:v>Level 1</c:v>
                </c:pt>
                <c:pt idx="1">
                  <c:v>Level 2</c:v>
                </c:pt>
                <c:pt idx="2">
                  <c:v>Level 3</c:v>
                </c:pt>
                <c:pt idx="3">
                  <c:v>Level 4</c:v>
                </c:pt>
                <c:pt idx="4">
                  <c:v>Level 5</c:v>
                </c:pt>
              </c:strCache>
            </c:strRef>
          </c:cat>
          <c:val>
            <c:numRef>
              <c:f>Graphs!$O$11:$S$11</c:f>
              <c:numCache>
                <c:formatCode>General</c:formatCode>
                <c:ptCount val="5"/>
              </c:numCache>
            </c:numRef>
          </c:val>
          <c:smooth val="0"/>
          <c:extLst>
            <c:ext xmlns:c16="http://schemas.microsoft.com/office/drawing/2014/chart" uri="{C3380CC4-5D6E-409C-BE32-E72D297353CC}">
              <c16:uniqueId val="{00000003-3FFD-47D2-9564-310963B2F25C}"/>
            </c:ext>
          </c:extLst>
        </c:ser>
        <c:ser>
          <c:idx val="4"/>
          <c:order val="4"/>
          <c:tx>
            <c:strRef>
              <c:f>Graphs!$N$12</c:f>
              <c:strCache>
                <c:ptCount val="1"/>
              </c:strCache>
            </c:strRef>
          </c:tx>
          <c:spPr>
            <a:ln w="28575" cap="rnd">
              <a:solidFill>
                <a:schemeClr val="accent5"/>
              </a:solidFill>
              <a:round/>
            </a:ln>
            <a:effectLst/>
          </c:spPr>
          <c:marker>
            <c:symbol val="none"/>
          </c:marker>
          <c:cat>
            <c:strRef>
              <c:f>Graphs!$O$2:$S$2</c:f>
              <c:strCache>
                <c:ptCount val="5"/>
                <c:pt idx="0">
                  <c:v>Level 1</c:v>
                </c:pt>
                <c:pt idx="1">
                  <c:v>Level 2</c:v>
                </c:pt>
                <c:pt idx="2">
                  <c:v>Level 3</c:v>
                </c:pt>
                <c:pt idx="3">
                  <c:v>Level 4</c:v>
                </c:pt>
                <c:pt idx="4">
                  <c:v>Level 5</c:v>
                </c:pt>
              </c:strCache>
            </c:strRef>
          </c:cat>
          <c:val>
            <c:numRef>
              <c:f>Graphs!$O$12:$S$12</c:f>
              <c:numCache>
                <c:formatCode>General</c:formatCode>
                <c:ptCount val="5"/>
              </c:numCache>
            </c:numRef>
          </c:val>
          <c:smooth val="0"/>
          <c:extLst>
            <c:ext xmlns:c16="http://schemas.microsoft.com/office/drawing/2014/chart" uri="{C3380CC4-5D6E-409C-BE32-E72D297353CC}">
              <c16:uniqueId val="{00000004-3FFD-47D2-9564-310963B2F25C}"/>
            </c:ext>
          </c:extLst>
        </c:ser>
        <c:dLbls>
          <c:showLegendKey val="0"/>
          <c:showVal val="0"/>
          <c:showCatName val="0"/>
          <c:showSerName val="0"/>
          <c:showPercent val="0"/>
          <c:showBubbleSize val="0"/>
        </c:dLbls>
        <c:marker val="1"/>
        <c:smooth val="0"/>
        <c:axId val="532788272"/>
        <c:axId val="447765984"/>
      </c:lineChart>
      <c:catAx>
        <c:axId val="53278827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1"/>
                  <a:t>Level</a:t>
                </a:r>
                <a:r>
                  <a:rPr lang="en-GB" b="1" baseline="0"/>
                  <a:t> of Engagement</a:t>
                </a:r>
                <a:endParaRPr lang="en-GB" b="1"/>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7765984"/>
        <c:crosses val="autoZero"/>
        <c:auto val="1"/>
        <c:lblAlgn val="ctr"/>
        <c:lblOffset val="100"/>
        <c:noMultiLvlLbl val="0"/>
      </c:catAx>
      <c:valAx>
        <c:axId val="447765984"/>
        <c:scaling>
          <c:orientation val="minMax"/>
          <c:max val="5"/>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1"/>
                  <a:t>Number</a:t>
                </a:r>
                <a:r>
                  <a:rPr lang="en-GB" b="1" baseline="0"/>
                  <a:t> of Questions Asked</a:t>
                </a:r>
                <a:endParaRPr lang="en-GB" b="1"/>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2788272"/>
        <c:crosses val="autoZero"/>
        <c:crossBetween val="between"/>
        <c:majorUnit val="1"/>
      </c:valAx>
      <c:spPr>
        <a:noFill/>
        <a:ln>
          <a:noFill/>
        </a:ln>
        <a:effectLst/>
      </c:spPr>
    </c:plotArea>
    <c:legend>
      <c:legendPos val="r"/>
      <c:layout>
        <c:manualLayout>
          <c:xMode val="edge"/>
          <c:yMode val="edge"/>
          <c:x val="0.8855277777777778"/>
          <c:y val="0.36507946923301254"/>
          <c:w val="9.7805555555555562E-2"/>
          <c:h val="0.3998869932925051"/>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Percentage</a:t>
            </a:r>
            <a:r>
              <a:rPr lang="en-GB" baseline="0"/>
              <a:t> of hand-raising across lessons- Year 5</a:t>
            </a:r>
            <a:endParaRPr lang="en-GB"/>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Graphs!$D$3</c:f>
              <c:strCache>
                <c:ptCount val="1"/>
                <c:pt idx="0">
                  <c:v>A</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cat>
            <c:strRef>
              <c:f>Graphs!$E$2:$H$2</c:f>
              <c:strCache>
                <c:ptCount val="4"/>
                <c:pt idx="0">
                  <c:v>Baseline 1</c:v>
                </c:pt>
                <c:pt idx="1">
                  <c:v>Baseline 2</c:v>
                </c:pt>
                <c:pt idx="2">
                  <c:v>Baseline 3</c:v>
                </c:pt>
                <c:pt idx="3">
                  <c:v>Lesson study </c:v>
                </c:pt>
              </c:strCache>
            </c:strRef>
          </c:cat>
          <c:val>
            <c:numRef>
              <c:f>Graphs!$E$3:$H$3</c:f>
              <c:numCache>
                <c:formatCode>0%</c:formatCode>
                <c:ptCount val="4"/>
                <c:pt idx="0">
                  <c:v>0.2</c:v>
                </c:pt>
                <c:pt idx="1">
                  <c:v>0</c:v>
                </c:pt>
                <c:pt idx="2">
                  <c:v>0.2</c:v>
                </c:pt>
                <c:pt idx="3">
                  <c:v>0.4</c:v>
                </c:pt>
              </c:numCache>
            </c:numRef>
          </c:val>
          <c:smooth val="0"/>
          <c:extLst>
            <c:ext xmlns:c16="http://schemas.microsoft.com/office/drawing/2014/chart" uri="{C3380CC4-5D6E-409C-BE32-E72D297353CC}">
              <c16:uniqueId val="{00000000-03AC-4914-9523-A27BD23C2C4D}"/>
            </c:ext>
          </c:extLst>
        </c:ser>
        <c:ser>
          <c:idx val="1"/>
          <c:order val="1"/>
          <c:tx>
            <c:strRef>
              <c:f>Graphs!$D$4</c:f>
              <c:strCache>
                <c:ptCount val="1"/>
                <c:pt idx="0">
                  <c:v>B</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cat>
            <c:strRef>
              <c:f>Graphs!$E$2:$H$2</c:f>
              <c:strCache>
                <c:ptCount val="4"/>
                <c:pt idx="0">
                  <c:v>Baseline 1</c:v>
                </c:pt>
                <c:pt idx="1">
                  <c:v>Baseline 2</c:v>
                </c:pt>
                <c:pt idx="2">
                  <c:v>Baseline 3</c:v>
                </c:pt>
                <c:pt idx="3">
                  <c:v>Lesson study </c:v>
                </c:pt>
              </c:strCache>
            </c:strRef>
          </c:cat>
          <c:val>
            <c:numRef>
              <c:f>Graphs!$E$4:$H$4</c:f>
              <c:numCache>
                <c:formatCode>0%</c:formatCode>
                <c:ptCount val="4"/>
                <c:pt idx="0">
                  <c:v>0.2</c:v>
                </c:pt>
                <c:pt idx="1">
                  <c:v>0</c:v>
                </c:pt>
                <c:pt idx="2">
                  <c:v>0</c:v>
                </c:pt>
                <c:pt idx="3">
                  <c:v>0.4</c:v>
                </c:pt>
              </c:numCache>
            </c:numRef>
          </c:val>
          <c:smooth val="0"/>
          <c:extLst>
            <c:ext xmlns:c16="http://schemas.microsoft.com/office/drawing/2014/chart" uri="{C3380CC4-5D6E-409C-BE32-E72D297353CC}">
              <c16:uniqueId val="{00000001-03AC-4914-9523-A27BD23C2C4D}"/>
            </c:ext>
          </c:extLst>
        </c:ser>
        <c:ser>
          <c:idx val="2"/>
          <c:order val="2"/>
          <c:tx>
            <c:strRef>
              <c:f>Graphs!$D$5</c:f>
              <c:strCache>
                <c:ptCount val="1"/>
                <c:pt idx="0">
                  <c:v>C</c:v>
                </c:pt>
              </c:strCache>
            </c:strRef>
          </c:tx>
          <c:spPr>
            <a:ln w="34925" cap="rnd">
              <a:solidFill>
                <a:schemeClr val="accent3"/>
              </a:solidFill>
              <a:round/>
            </a:ln>
            <a:effectLst>
              <a:outerShdw blurRad="57150" dist="19050" dir="5400000" algn="ctr" rotWithShape="0">
                <a:srgbClr val="000000">
                  <a:alpha val="63000"/>
                </a:srgbClr>
              </a:outerShdw>
            </a:effectLst>
          </c:spPr>
          <c:marker>
            <c:symbol val="none"/>
          </c:marker>
          <c:cat>
            <c:strRef>
              <c:f>Graphs!$E$2:$H$2</c:f>
              <c:strCache>
                <c:ptCount val="4"/>
                <c:pt idx="0">
                  <c:v>Baseline 1</c:v>
                </c:pt>
                <c:pt idx="1">
                  <c:v>Baseline 2</c:v>
                </c:pt>
                <c:pt idx="2">
                  <c:v>Baseline 3</c:v>
                </c:pt>
                <c:pt idx="3">
                  <c:v>Lesson study </c:v>
                </c:pt>
              </c:strCache>
            </c:strRef>
          </c:cat>
          <c:val>
            <c:numRef>
              <c:f>Graphs!$E$5:$H$5</c:f>
              <c:numCache>
                <c:formatCode>0%</c:formatCode>
                <c:ptCount val="4"/>
                <c:pt idx="0">
                  <c:v>0</c:v>
                </c:pt>
                <c:pt idx="1">
                  <c:v>0.2</c:v>
                </c:pt>
                <c:pt idx="2">
                  <c:v>0</c:v>
                </c:pt>
                <c:pt idx="3">
                  <c:v>0.8</c:v>
                </c:pt>
              </c:numCache>
            </c:numRef>
          </c:val>
          <c:smooth val="0"/>
          <c:extLst>
            <c:ext xmlns:c16="http://schemas.microsoft.com/office/drawing/2014/chart" uri="{C3380CC4-5D6E-409C-BE32-E72D297353CC}">
              <c16:uniqueId val="{00000002-03AC-4914-9523-A27BD23C2C4D}"/>
            </c:ext>
          </c:extLst>
        </c:ser>
        <c:dLbls>
          <c:showLegendKey val="0"/>
          <c:showVal val="0"/>
          <c:showCatName val="0"/>
          <c:showSerName val="0"/>
          <c:showPercent val="0"/>
          <c:showBubbleSize val="0"/>
        </c:dLbls>
        <c:smooth val="0"/>
        <c:axId val="332387056"/>
        <c:axId val="452356856"/>
      </c:lineChart>
      <c:catAx>
        <c:axId val="332387056"/>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2356856"/>
        <c:crosses val="autoZero"/>
        <c:auto val="1"/>
        <c:lblAlgn val="ctr"/>
        <c:lblOffset val="100"/>
        <c:noMultiLvlLbl val="0"/>
      </c:catAx>
      <c:valAx>
        <c:axId val="452356856"/>
        <c:scaling>
          <c:orientation val="minMax"/>
          <c:max val="1"/>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sz="1000" b="1"/>
                  <a:t>Hand Raising Percentage</a:t>
                </a:r>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2387056"/>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GB"/>
              <a:t>Level</a:t>
            </a:r>
            <a:r>
              <a:rPr lang="en-GB" baseline="0"/>
              <a:t> of Engagement Year 4 - Observer 3</a:t>
            </a:r>
            <a:endParaRPr lang="en-GB"/>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clustered"/>
        <c:varyColors val="0"/>
        <c:ser>
          <c:idx val="0"/>
          <c:order val="0"/>
          <c:tx>
            <c:strRef>
              <c:f>Graphs!$S$29</c:f>
              <c:strCache>
                <c:ptCount val="1"/>
                <c:pt idx="0">
                  <c:v>D</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cat>
            <c:strRef>
              <c:f>Graphs!$T$28:$X$28</c:f>
              <c:strCache>
                <c:ptCount val="5"/>
                <c:pt idx="0">
                  <c:v>Level 1</c:v>
                </c:pt>
                <c:pt idx="1">
                  <c:v>Level 2</c:v>
                </c:pt>
                <c:pt idx="2">
                  <c:v>Level 3</c:v>
                </c:pt>
                <c:pt idx="3">
                  <c:v>Level 4</c:v>
                </c:pt>
                <c:pt idx="4">
                  <c:v>Level 5</c:v>
                </c:pt>
              </c:strCache>
            </c:strRef>
          </c:cat>
          <c:val>
            <c:numRef>
              <c:f>Graphs!$T$29:$X$29</c:f>
              <c:numCache>
                <c:formatCode>General</c:formatCode>
                <c:ptCount val="5"/>
                <c:pt idx="1">
                  <c:v>1</c:v>
                </c:pt>
                <c:pt idx="3">
                  <c:v>3</c:v>
                </c:pt>
                <c:pt idx="4">
                  <c:v>1</c:v>
                </c:pt>
              </c:numCache>
            </c:numRef>
          </c:val>
          <c:extLst>
            <c:ext xmlns:c16="http://schemas.microsoft.com/office/drawing/2014/chart" uri="{C3380CC4-5D6E-409C-BE32-E72D297353CC}">
              <c16:uniqueId val="{00000000-6CA2-4D6F-BC16-D2958573E620}"/>
            </c:ext>
          </c:extLst>
        </c:ser>
        <c:ser>
          <c:idx val="1"/>
          <c:order val="1"/>
          <c:tx>
            <c:strRef>
              <c:f>Graphs!$S$30</c:f>
              <c:strCache>
                <c:ptCount val="1"/>
                <c:pt idx="0">
                  <c:v>E</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invertIfNegative val="0"/>
          <c:cat>
            <c:strRef>
              <c:f>Graphs!$T$28:$X$28</c:f>
              <c:strCache>
                <c:ptCount val="5"/>
                <c:pt idx="0">
                  <c:v>Level 1</c:v>
                </c:pt>
                <c:pt idx="1">
                  <c:v>Level 2</c:v>
                </c:pt>
                <c:pt idx="2">
                  <c:v>Level 3</c:v>
                </c:pt>
                <c:pt idx="3">
                  <c:v>Level 4</c:v>
                </c:pt>
                <c:pt idx="4">
                  <c:v>Level 5</c:v>
                </c:pt>
              </c:strCache>
            </c:strRef>
          </c:cat>
          <c:val>
            <c:numRef>
              <c:f>Graphs!$T$30:$X$30</c:f>
              <c:numCache>
                <c:formatCode>General</c:formatCode>
                <c:ptCount val="5"/>
                <c:pt idx="2">
                  <c:v>1</c:v>
                </c:pt>
                <c:pt idx="3">
                  <c:v>3</c:v>
                </c:pt>
                <c:pt idx="4">
                  <c:v>1</c:v>
                </c:pt>
              </c:numCache>
            </c:numRef>
          </c:val>
          <c:extLst>
            <c:ext xmlns:c16="http://schemas.microsoft.com/office/drawing/2014/chart" uri="{C3380CC4-5D6E-409C-BE32-E72D297353CC}">
              <c16:uniqueId val="{00000001-6CA2-4D6F-BC16-D2958573E620}"/>
            </c:ext>
          </c:extLst>
        </c:ser>
        <c:ser>
          <c:idx val="2"/>
          <c:order val="2"/>
          <c:tx>
            <c:strRef>
              <c:f>Graphs!$S$31</c:f>
              <c:strCache>
                <c:ptCount val="1"/>
                <c:pt idx="0">
                  <c:v>F</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c:spPr>
          <c:invertIfNegative val="0"/>
          <c:cat>
            <c:strRef>
              <c:f>Graphs!$T$28:$X$28</c:f>
              <c:strCache>
                <c:ptCount val="5"/>
                <c:pt idx="0">
                  <c:v>Level 1</c:v>
                </c:pt>
                <c:pt idx="1">
                  <c:v>Level 2</c:v>
                </c:pt>
                <c:pt idx="2">
                  <c:v>Level 3</c:v>
                </c:pt>
                <c:pt idx="3">
                  <c:v>Level 4</c:v>
                </c:pt>
                <c:pt idx="4">
                  <c:v>Level 5</c:v>
                </c:pt>
              </c:strCache>
            </c:strRef>
          </c:cat>
          <c:val>
            <c:numRef>
              <c:f>Graphs!$T$31:$X$31</c:f>
              <c:numCache>
                <c:formatCode>General</c:formatCode>
                <c:ptCount val="5"/>
                <c:pt idx="2">
                  <c:v>1</c:v>
                </c:pt>
                <c:pt idx="3">
                  <c:v>4</c:v>
                </c:pt>
              </c:numCache>
            </c:numRef>
          </c:val>
          <c:extLst>
            <c:ext xmlns:c16="http://schemas.microsoft.com/office/drawing/2014/chart" uri="{C3380CC4-5D6E-409C-BE32-E72D297353CC}">
              <c16:uniqueId val="{00000002-6CA2-4D6F-BC16-D2958573E620}"/>
            </c:ext>
          </c:extLst>
        </c:ser>
        <c:dLbls>
          <c:showLegendKey val="0"/>
          <c:showVal val="0"/>
          <c:showCatName val="0"/>
          <c:showSerName val="0"/>
          <c:showPercent val="0"/>
          <c:showBubbleSize val="0"/>
        </c:dLbls>
        <c:gapWidth val="300"/>
        <c:axId val="756168672"/>
        <c:axId val="756167032"/>
      </c:barChart>
      <c:catAx>
        <c:axId val="756168672"/>
        <c:scaling>
          <c:orientation val="minMax"/>
        </c:scaling>
        <c:delete val="0"/>
        <c:axPos val="b"/>
        <c:title>
          <c:tx>
            <c:rich>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GB" sz="1000"/>
                  <a:t>Level</a:t>
                </a:r>
                <a:r>
                  <a:rPr lang="en-GB" sz="1000" baseline="0"/>
                  <a:t> of Engagement</a:t>
                </a:r>
                <a:endParaRPr lang="en-GB" sz="1000"/>
              </a:p>
            </c:rich>
          </c:tx>
          <c:layout>
            <c:manualLayout>
              <c:xMode val="edge"/>
              <c:yMode val="edge"/>
              <c:x val="0.45535083114610675"/>
              <c:y val="0.8982174103237095"/>
            </c:manualLayout>
          </c:layout>
          <c:overlay val="0"/>
          <c:spPr>
            <a:noFill/>
            <a:ln>
              <a:noFill/>
            </a:ln>
            <a:effectLst/>
          </c:spPr>
          <c:txPr>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756167032"/>
        <c:crosses val="autoZero"/>
        <c:auto val="1"/>
        <c:lblAlgn val="ctr"/>
        <c:lblOffset val="100"/>
        <c:noMultiLvlLbl val="0"/>
      </c:catAx>
      <c:valAx>
        <c:axId val="756167032"/>
        <c:scaling>
          <c:orientation val="minMax"/>
          <c:max val="5"/>
        </c:scaling>
        <c:delete val="0"/>
        <c:axPos val="l"/>
        <c:majorGridlines>
          <c:spPr>
            <a:ln w="9525" cap="flat" cmpd="sng" algn="ctr">
              <a:solidFill>
                <a:schemeClr val="tx2">
                  <a:lumMod val="15000"/>
                  <a:lumOff val="85000"/>
                </a:schemeClr>
              </a:solidFill>
              <a:round/>
            </a:ln>
            <a:effectLst/>
          </c:spPr>
        </c:majorGridlines>
        <c:minorGridlines>
          <c:spPr>
            <a:ln>
              <a:solidFill>
                <a:schemeClr val="tx2">
                  <a:lumMod val="5000"/>
                  <a:lumOff val="95000"/>
                </a:schemeClr>
              </a:solidFill>
            </a:ln>
            <a:effectLst/>
          </c:spPr>
        </c:minorGridlines>
        <c:title>
          <c:tx>
            <c:rich>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GB" sz="1000"/>
                  <a:t>Number</a:t>
                </a:r>
                <a:r>
                  <a:rPr lang="en-GB" sz="1000" baseline="0"/>
                  <a:t> of Questions Asked</a:t>
                </a:r>
                <a:endParaRPr lang="en-GB" sz="1000"/>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756168672"/>
        <c:crosses val="autoZero"/>
        <c:crossBetween val="between"/>
        <c:majorUnit val="1"/>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Percentage</a:t>
            </a:r>
            <a:r>
              <a:rPr lang="en-GB" baseline="0"/>
              <a:t> of Hand-Raising Across Lessons- Year 4</a:t>
            </a:r>
            <a:endParaRPr lang="en-GB"/>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Graphs!$B$29</c:f>
              <c:strCache>
                <c:ptCount val="1"/>
                <c:pt idx="0">
                  <c:v>D</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cat>
            <c:strRef>
              <c:f>Graphs!$C$28:$F$28</c:f>
              <c:strCache>
                <c:ptCount val="4"/>
                <c:pt idx="0">
                  <c:v>Baseline 1</c:v>
                </c:pt>
                <c:pt idx="1">
                  <c:v>Baseline 2</c:v>
                </c:pt>
                <c:pt idx="2">
                  <c:v>Baseline 3</c:v>
                </c:pt>
                <c:pt idx="3">
                  <c:v>Lesson study </c:v>
                </c:pt>
              </c:strCache>
            </c:strRef>
          </c:cat>
          <c:val>
            <c:numRef>
              <c:f>Graphs!$C$29:$F$29</c:f>
              <c:numCache>
                <c:formatCode>0%</c:formatCode>
                <c:ptCount val="4"/>
                <c:pt idx="0">
                  <c:v>0</c:v>
                </c:pt>
                <c:pt idx="1">
                  <c:v>0</c:v>
                </c:pt>
                <c:pt idx="2">
                  <c:v>0</c:v>
                </c:pt>
                <c:pt idx="3">
                  <c:v>0.2</c:v>
                </c:pt>
              </c:numCache>
            </c:numRef>
          </c:val>
          <c:smooth val="0"/>
          <c:extLst>
            <c:ext xmlns:c16="http://schemas.microsoft.com/office/drawing/2014/chart" uri="{C3380CC4-5D6E-409C-BE32-E72D297353CC}">
              <c16:uniqueId val="{00000000-EE58-43B7-8DF3-54C7D3CCD418}"/>
            </c:ext>
          </c:extLst>
        </c:ser>
        <c:ser>
          <c:idx val="1"/>
          <c:order val="1"/>
          <c:tx>
            <c:strRef>
              <c:f>Graphs!$B$30</c:f>
              <c:strCache>
                <c:ptCount val="1"/>
                <c:pt idx="0">
                  <c:v>E</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cat>
            <c:strRef>
              <c:f>Graphs!$C$28:$F$28</c:f>
              <c:strCache>
                <c:ptCount val="4"/>
                <c:pt idx="0">
                  <c:v>Baseline 1</c:v>
                </c:pt>
                <c:pt idx="1">
                  <c:v>Baseline 2</c:v>
                </c:pt>
                <c:pt idx="2">
                  <c:v>Baseline 3</c:v>
                </c:pt>
                <c:pt idx="3">
                  <c:v>Lesson study </c:v>
                </c:pt>
              </c:strCache>
            </c:strRef>
          </c:cat>
          <c:val>
            <c:numRef>
              <c:f>Graphs!$C$30:$F$30</c:f>
              <c:numCache>
                <c:formatCode>0%</c:formatCode>
                <c:ptCount val="4"/>
                <c:pt idx="0">
                  <c:v>0.2</c:v>
                </c:pt>
                <c:pt idx="1">
                  <c:v>0</c:v>
                </c:pt>
                <c:pt idx="2">
                  <c:v>0</c:v>
                </c:pt>
                <c:pt idx="3">
                  <c:v>0.6</c:v>
                </c:pt>
              </c:numCache>
            </c:numRef>
          </c:val>
          <c:smooth val="0"/>
          <c:extLst>
            <c:ext xmlns:c16="http://schemas.microsoft.com/office/drawing/2014/chart" uri="{C3380CC4-5D6E-409C-BE32-E72D297353CC}">
              <c16:uniqueId val="{00000001-EE58-43B7-8DF3-54C7D3CCD418}"/>
            </c:ext>
          </c:extLst>
        </c:ser>
        <c:ser>
          <c:idx val="2"/>
          <c:order val="2"/>
          <c:tx>
            <c:strRef>
              <c:f>Graphs!$B$31</c:f>
              <c:strCache>
                <c:ptCount val="1"/>
                <c:pt idx="0">
                  <c:v>F</c:v>
                </c:pt>
              </c:strCache>
            </c:strRef>
          </c:tx>
          <c:spPr>
            <a:ln w="34925" cap="rnd">
              <a:solidFill>
                <a:schemeClr val="accent3"/>
              </a:solidFill>
              <a:round/>
            </a:ln>
            <a:effectLst>
              <a:outerShdw blurRad="57150" dist="19050" dir="5400000" algn="ctr" rotWithShape="0">
                <a:srgbClr val="000000">
                  <a:alpha val="63000"/>
                </a:srgbClr>
              </a:outerShdw>
            </a:effectLst>
          </c:spPr>
          <c:marker>
            <c:symbol val="none"/>
          </c:marker>
          <c:cat>
            <c:strRef>
              <c:f>Graphs!$C$28:$F$28</c:f>
              <c:strCache>
                <c:ptCount val="4"/>
                <c:pt idx="0">
                  <c:v>Baseline 1</c:v>
                </c:pt>
                <c:pt idx="1">
                  <c:v>Baseline 2</c:v>
                </c:pt>
                <c:pt idx="2">
                  <c:v>Baseline 3</c:v>
                </c:pt>
                <c:pt idx="3">
                  <c:v>Lesson study </c:v>
                </c:pt>
              </c:strCache>
            </c:strRef>
          </c:cat>
          <c:val>
            <c:numRef>
              <c:f>Graphs!$C$31:$F$31</c:f>
              <c:numCache>
                <c:formatCode>0%</c:formatCode>
                <c:ptCount val="4"/>
                <c:pt idx="0">
                  <c:v>0</c:v>
                </c:pt>
                <c:pt idx="1">
                  <c:v>0.4</c:v>
                </c:pt>
                <c:pt idx="2">
                  <c:v>0</c:v>
                </c:pt>
                <c:pt idx="3">
                  <c:v>1</c:v>
                </c:pt>
              </c:numCache>
            </c:numRef>
          </c:val>
          <c:smooth val="0"/>
          <c:extLst>
            <c:ext xmlns:c16="http://schemas.microsoft.com/office/drawing/2014/chart" uri="{C3380CC4-5D6E-409C-BE32-E72D297353CC}">
              <c16:uniqueId val="{00000002-EE58-43B7-8DF3-54C7D3CCD418}"/>
            </c:ext>
          </c:extLst>
        </c:ser>
        <c:dLbls>
          <c:showLegendKey val="0"/>
          <c:showVal val="0"/>
          <c:showCatName val="0"/>
          <c:showSerName val="0"/>
          <c:showPercent val="0"/>
          <c:showBubbleSize val="0"/>
        </c:dLbls>
        <c:smooth val="0"/>
        <c:axId val="751128008"/>
        <c:axId val="751125056"/>
      </c:lineChart>
      <c:catAx>
        <c:axId val="751128008"/>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51125056"/>
        <c:crosses val="autoZero"/>
        <c:auto val="1"/>
        <c:lblAlgn val="ctr"/>
        <c:lblOffset val="100"/>
        <c:noMultiLvlLbl val="0"/>
      </c:catAx>
      <c:valAx>
        <c:axId val="75112505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sz="1000" b="1"/>
                  <a:t>Hand Raising Percentage</a:t>
                </a:r>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51128008"/>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600" b="1"/>
              <a:t>Level of Engagement</a:t>
            </a:r>
            <a:r>
              <a:rPr lang="en-GB" sz="1600" b="1" baseline="0"/>
              <a:t> Year 1- Observer 1</a:t>
            </a:r>
            <a:endParaRPr lang="en-GB" sz="1600" b="1"/>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Graphs!$J$54</c:f>
              <c:strCache>
                <c:ptCount val="1"/>
                <c:pt idx="0">
                  <c:v>G</c:v>
                </c:pt>
              </c:strCache>
            </c:strRef>
          </c:tx>
          <c:spPr>
            <a:solidFill>
              <a:schemeClr val="accent1"/>
            </a:solidFill>
            <a:ln>
              <a:noFill/>
            </a:ln>
            <a:effectLst/>
          </c:spPr>
          <c:invertIfNegative val="0"/>
          <c:cat>
            <c:strRef>
              <c:f>Graphs!$K$53:$O$53</c:f>
              <c:strCache>
                <c:ptCount val="5"/>
                <c:pt idx="0">
                  <c:v>Level 1</c:v>
                </c:pt>
                <c:pt idx="1">
                  <c:v>Level 2</c:v>
                </c:pt>
                <c:pt idx="2">
                  <c:v>Level 3</c:v>
                </c:pt>
                <c:pt idx="3">
                  <c:v>Level 4 </c:v>
                </c:pt>
                <c:pt idx="4">
                  <c:v>Level 5</c:v>
                </c:pt>
              </c:strCache>
            </c:strRef>
          </c:cat>
          <c:val>
            <c:numRef>
              <c:f>Graphs!$K$54:$O$54</c:f>
              <c:numCache>
                <c:formatCode>General</c:formatCode>
                <c:ptCount val="5"/>
                <c:pt idx="2">
                  <c:v>2</c:v>
                </c:pt>
                <c:pt idx="3">
                  <c:v>1</c:v>
                </c:pt>
                <c:pt idx="4">
                  <c:v>2</c:v>
                </c:pt>
              </c:numCache>
            </c:numRef>
          </c:val>
          <c:extLst>
            <c:ext xmlns:c16="http://schemas.microsoft.com/office/drawing/2014/chart" uri="{C3380CC4-5D6E-409C-BE32-E72D297353CC}">
              <c16:uniqueId val="{00000000-DE22-4B69-BAEB-354A608344FF}"/>
            </c:ext>
          </c:extLst>
        </c:ser>
        <c:ser>
          <c:idx val="1"/>
          <c:order val="1"/>
          <c:tx>
            <c:strRef>
              <c:f>Graphs!$J$55</c:f>
              <c:strCache>
                <c:ptCount val="1"/>
                <c:pt idx="0">
                  <c:v>H</c:v>
                </c:pt>
              </c:strCache>
            </c:strRef>
          </c:tx>
          <c:spPr>
            <a:solidFill>
              <a:schemeClr val="accent2"/>
            </a:solidFill>
            <a:ln>
              <a:noFill/>
            </a:ln>
            <a:effectLst/>
          </c:spPr>
          <c:invertIfNegative val="0"/>
          <c:cat>
            <c:strRef>
              <c:f>Graphs!$K$53:$O$53</c:f>
              <c:strCache>
                <c:ptCount val="5"/>
                <c:pt idx="0">
                  <c:v>Level 1</c:v>
                </c:pt>
                <c:pt idx="1">
                  <c:v>Level 2</c:v>
                </c:pt>
                <c:pt idx="2">
                  <c:v>Level 3</c:v>
                </c:pt>
                <c:pt idx="3">
                  <c:v>Level 4 </c:v>
                </c:pt>
                <c:pt idx="4">
                  <c:v>Level 5</c:v>
                </c:pt>
              </c:strCache>
            </c:strRef>
          </c:cat>
          <c:val>
            <c:numRef>
              <c:f>Graphs!$K$55:$O$55</c:f>
              <c:numCache>
                <c:formatCode>General</c:formatCode>
                <c:ptCount val="5"/>
                <c:pt idx="2">
                  <c:v>1</c:v>
                </c:pt>
                <c:pt idx="3">
                  <c:v>3</c:v>
                </c:pt>
                <c:pt idx="4">
                  <c:v>1</c:v>
                </c:pt>
              </c:numCache>
            </c:numRef>
          </c:val>
          <c:extLst>
            <c:ext xmlns:c16="http://schemas.microsoft.com/office/drawing/2014/chart" uri="{C3380CC4-5D6E-409C-BE32-E72D297353CC}">
              <c16:uniqueId val="{00000001-DE22-4B69-BAEB-354A608344FF}"/>
            </c:ext>
          </c:extLst>
        </c:ser>
        <c:ser>
          <c:idx val="2"/>
          <c:order val="2"/>
          <c:tx>
            <c:strRef>
              <c:f>Graphs!$J$56</c:f>
              <c:strCache>
                <c:ptCount val="1"/>
                <c:pt idx="0">
                  <c:v>I</c:v>
                </c:pt>
              </c:strCache>
            </c:strRef>
          </c:tx>
          <c:spPr>
            <a:solidFill>
              <a:schemeClr val="accent3"/>
            </a:solidFill>
            <a:ln>
              <a:noFill/>
            </a:ln>
            <a:effectLst/>
          </c:spPr>
          <c:invertIfNegative val="0"/>
          <c:cat>
            <c:strRef>
              <c:f>Graphs!$K$53:$O$53</c:f>
              <c:strCache>
                <c:ptCount val="5"/>
                <c:pt idx="0">
                  <c:v>Level 1</c:v>
                </c:pt>
                <c:pt idx="1">
                  <c:v>Level 2</c:v>
                </c:pt>
                <c:pt idx="2">
                  <c:v>Level 3</c:v>
                </c:pt>
                <c:pt idx="3">
                  <c:v>Level 4 </c:v>
                </c:pt>
                <c:pt idx="4">
                  <c:v>Level 5</c:v>
                </c:pt>
              </c:strCache>
            </c:strRef>
          </c:cat>
          <c:val>
            <c:numRef>
              <c:f>Graphs!$K$56:$O$56</c:f>
              <c:numCache>
                <c:formatCode>General</c:formatCode>
                <c:ptCount val="5"/>
                <c:pt idx="0">
                  <c:v>1</c:v>
                </c:pt>
                <c:pt idx="1">
                  <c:v>2</c:v>
                </c:pt>
                <c:pt idx="3">
                  <c:v>1</c:v>
                </c:pt>
                <c:pt idx="4">
                  <c:v>1</c:v>
                </c:pt>
              </c:numCache>
            </c:numRef>
          </c:val>
          <c:extLst>
            <c:ext xmlns:c16="http://schemas.microsoft.com/office/drawing/2014/chart" uri="{C3380CC4-5D6E-409C-BE32-E72D297353CC}">
              <c16:uniqueId val="{00000002-DE22-4B69-BAEB-354A608344FF}"/>
            </c:ext>
          </c:extLst>
        </c:ser>
        <c:dLbls>
          <c:showLegendKey val="0"/>
          <c:showVal val="0"/>
          <c:showCatName val="0"/>
          <c:showSerName val="0"/>
          <c:showPercent val="0"/>
          <c:showBubbleSize val="0"/>
        </c:dLbls>
        <c:gapWidth val="150"/>
        <c:axId val="410773384"/>
        <c:axId val="410773056"/>
      </c:barChart>
      <c:catAx>
        <c:axId val="41077338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1"/>
                  <a:t>Leve</a:t>
                </a:r>
                <a:r>
                  <a:rPr lang="en-GB" b="1" baseline="0"/>
                  <a:t>l of Engagement</a:t>
                </a:r>
                <a:endParaRPr lang="en-GB" b="1"/>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0773056"/>
        <c:crosses val="autoZero"/>
        <c:auto val="1"/>
        <c:lblAlgn val="ctr"/>
        <c:lblOffset val="100"/>
        <c:noMultiLvlLbl val="0"/>
      </c:catAx>
      <c:valAx>
        <c:axId val="410773056"/>
        <c:scaling>
          <c:orientation val="minMax"/>
          <c:max val="5"/>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1"/>
                  <a:t>Number</a:t>
                </a:r>
                <a:r>
                  <a:rPr lang="en-GB" b="1" baseline="0"/>
                  <a:t> of Questions Asked</a:t>
                </a:r>
                <a:endParaRPr lang="en-GB" b="1"/>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0773384"/>
        <c:crosses val="autoZero"/>
        <c:crossBetween val="between"/>
        <c:majorUnit val="1"/>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Percentage</a:t>
            </a:r>
            <a:r>
              <a:rPr lang="en-GB" baseline="0"/>
              <a:t> of Hand-Raising Across Lessons- Year 1</a:t>
            </a:r>
            <a:endParaRPr lang="en-GB"/>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Graphs!$B$54</c:f>
              <c:strCache>
                <c:ptCount val="1"/>
                <c:pt idx="0">
                  <c:v>G</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cat>
            <c:strRef>
              <c:f>Graphs!$C$53:$F$53</c:f>
              <c:strCache>
                <c:ptCount val="4"/>
                <c:pt idx="0">
                  <c:v>Baseline 1</c:v>
                </c:pt>
                <c:pt idx="1">
                  <c:v>Baseline 2</c:v>
                </c:pt>
                <c:pt idx="2">
                  <c:v>Baseline 3</c:v>
                </c:pt>
                <c:pt idx="3">
                  <c:v>Lesson study </c:v>
                </c:pt>
              </c:strCache>
            </c:strRef>
          </c:cat>
          <c:val>
            <c:numRef>
              <c:f>Graphs!$C$54:$F$54</c:f>
              <c:numCache>
                <c:formatCode>0%</c:formatCode>
                <c:ptCount val="4"/>
                <c:pt idx="0">
                  <c:v>0.2</c:v>
                </c:pt>
                <c:pt idx="1">
                  <c:v>0</c:v>
                </c:pt>
                <c:pt idx="2">
                  <c:v>0</c:v>
                </c:pt>
                <c:pt idx="3">
                  <c:v>0.8</c:v>
                </c:pt>
              </c:numCache>
            </c:numRef>
          </c:val>
          <c:smooth val="0"/>
          <c:extLst>
            <c:ext xmlns:c16="http://schemas.microsoft.com/office/drawing/2014/chart" uri="{C3380CC4-5D6E-409C-BE32-E72D297353CC}">
              <c16:uniqueId val="{00000000-393A-4581-AB4D-939632508440}"/>
            </c:ext>
          </c:extLst>
        </c:ser>
        <c:ser>
          <c:idx val="1"/>
          <c:order val="1"/>
          <c:tx>
            <c:strRef>
              <c:f>Graphs!$B$55</c:f>
              <c:strCache>
                <c:ptCount val="1"/>
                <c:pt idx="0">
                  <c:v>H</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cat>
            <c:strRef>
              <c:f>Graphs!$C$53:$F$53</c:f>
              <c:strCache>
                <c:ptCount val="4"/>
                <c:pt idx="0">
                  <c:v>Baseline 1</c:v>
                </c:pt>
                <c:pt idx="1">
                  <c:v>Baseline 2</c:v>
                </c:pt>
                <c:pt idx="2">
                  <c:v>Baseline 3</c:v>
                </c:pt>
                <c:pt idx="3">
                  <c:v>Lesson study </c:v>
                </c:pt>
              </c:strCache>
            </c:strRef>
          </c:cat>
          <c:val>
            <c:numRef>
              <c:f>Graphs!$C$55:$F$55</c:f>
              <c:numCache>
                <c:formatCode>0%</c:formatCode>
                <c:ptCount val="4"/>
                <c:pt idx="0">
                  <c:v>0.2</c:v>
                </c:pt>
                <c:pt idx="1">
                  <c:v>0.2</c:v>
                </c:pt>
                <c:pt idx="2">
                  <c:v>0</c:v>
                </c:pt>
                <c:pt idx="3">
                  <c:v>0.6</c:v>
                </c:pt>
              </c:numCache>
            </c:numRef>
          </c:val>
          <c:smooth val="0"/>
          <c:extLst>
            <c:ext xmlns:c16="http://schemas.microsoft.com/office/drawing/2014/chart" uri="{C3380CC4-5D6E-409C-BE32-E72D297353CC}">
              <c16:uniqueId val="{00000001-393A-4581-AB4D-939632508440}"/>
            </c:ext>
          </c:extLst>
        </c:ser>
        <c:ser>
          <c:idx val="2"/>
          <c:order val="2"/>
          <c:tx>
            <c:strRef>
              <c:f>Graphs!$B$56</c:f>
              <c:strCache>
                <c:ptCount val="1"/>
                <c:pt idx="0">
                  <c:v>I</c:v>
                </c:pt>
              </c:strCache>
            </c:strRef>
          </c:tx>
          <c:spPr>
            <a:ln w="34925" cap="rnd">
              <a:solidFill>
                <a:schemeClr val="accent3"/>
              </a:solidFill>
              <a:round/>
            </a:ln>
            <a:effectLst>
              <a:outerShdw blurRad="57150" dist="19050" dir="5400000" algn="ctr" rotWithShape="0">
                <a:srgbClr val="000000">
                  <a:alpha val="63000"/>
                </a:srgbClr>
              </a:outerShdw>
            </a:effectLst>
          </c:spPr>
          <c:marker>
            <c:symbol val="none"/>
          </c:marker>
          <c:cat>
            <c:strRef>
              <c:f>Graphs!$C$53:$F$53</c:f>
              <c:strCache>
                <c:ptCount val="4"/>
                <c:pt idx="0">
                  <c:v>Baseline 1</c:v>
                </c:pt>
                <c:pt idx="1">
                  <c:v>Baseline 2</c:v>
                </c:pt>
                <c:pt idx="2">
                  <c:v>Baseline 3</c:v>
                </c:pt>
                <c:pt idx="3">
                  <c:v>Lesson study </c:v>
                </c:pt>
              </c:strCache>
            </c:strRef>
          </c:cat>
          <c:val>
            <c:numRef>
              <c:f>Graphs!$C$56:$F$56</c:f>
              <c:numCache>
                <c:formatCode>0%</c:formatCode>
                <c:ptCount val="4"/>
                <c:pt idx="0">
                  <c:v>0</c:v>
                </c:pt>
                <c:pt idx="1">
                  <c:v>0</c:v>
                </c:pt>
                <c:pt idx="2">
                  <c:v>0.2</c:v>
                </c:pt>
                <c:pt idx="3">
                  <c:v>0.8</c:v>
                </c:pt>
              </c:numCache>
            </c:numRef>
          </c:val>
          <c:smooth val="0"/>
          <c:extLst>
            <c:ext xmlns:c16="http://schemas.microsoft.com/office/drawing/2014/chart" uri="{C3380CC4-5D6E-409C-BE32-E72D297353CC}">
              <c16:uniqueId val="{00000002-393A-4581-AB4D-939632508440}"/>
            </c:ext>
          </c:extLst>
        </c:ser>
        <c:dLbls>
          <c:showLegendKey val="0"/>
          <c:showVal val="0"/>
          <c:showCatName val="0"/>
          <c:showSerName val="0"/>
          <c:showPercent val="0"/>
          <c:showBubbleSize val="0"/>
        </c:dLbls>
        <c:smooth val="0"/>
        <c:axId val="757316736"/>
        <c:axId val="757310176"/>
      </c:lineChart>
      <c:catAx>
        <c:axId val="757316736"/>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57310176"/>
        <c:crosses val="autoZero"/>
        <c:auto val="1"/>
        <c:lblAlgn val="ctr"/>
        <c:lblOffset val="100"/>
        <c:noMultiLvlLbl val="0"/>
      </c:catAx>
      <c:valAx>
        <c:axId val="75731017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sz="1000" b="1"/>
                  <a:t>Hand</a:t>
                </a:r>
                <a:r>
                  <a:rPr lang="en-GB" sz="1000" b="1" baseline="0"/>
                  <a:t> Raising Percentage</a:t>
                </a:r>
                <a:endParaRPr lang="en-GB" sz="1000" b="1"/>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57316736"/>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2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342">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3.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4.xml><?xml version="1.0" encoding="utf-8"?>
<cs:chartStyle xmlns:cs="http://schemas.microsoft.com/office/drawing/2012/chartStyle" xmlns:a="http://schemas.openxmlformats.org/drawingml/2006/main" id="342">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342">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3.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20</Pages>
  <Words>6602</Words>
  <Characters>37636</Characters>
  <Application>Microsoft Office Word</Application>
  <DocSecurity>0</DocSecurity>
  <Lines>313</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Liam.MILES</cp:lastModifiedBy>
  <cp:revision>10</cp:revision>
  <dcterms:created xsi:type="dcterms:W3CDTF">2020-02-18T12:13:00Z</dcterms:created>
  <dcterms:modified xsi:type="dcterms:W3CDTF">2020-02-23T20:29:00Z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