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1AD00D" w14:textId="24C2F136" w:rsidR="001C1011" w:rsidRPr="001C1011" w:rsidRDefault="001C1011">
      <w:pPr>
        <w:rPr>
          <w:rFonts w:ascii="Arial" w:hAnsi="Arial" w:cs="Arial"/>
          <w:b/>
          <w:bCs/>
          <w:sz w:val="28"/>
          <w:szCs w:val="32"/>
          <w:lang w:val="en-GB"/>
        </w:rPr>
      </w:pPr>
      <w:r w:rsidRPr="001C1011">
        <w:rPr>
          <w:rFonts w:ascii="Arial" w:hAnsi="Arial" w:cs="Arial"/>
          <w:b/>
          <w:bCs/>
          <w:sz w:val="28"/>
          <w:szCs w:val="32"/>
          <w:lang w:val="en-GB"/>
        </w:rPr>
        <w:t>Effective Annual Rate (EAR)</w:t>
      </w:r>
    </w:p>
    <w:p w14:paraId="72438271" w14:textId="243AC16A" w:rsidR="002433E1" w:rsidRPr="002433E1" w:rsidRDefault="002433E1">
      <w:pPr>
        <w:rPr>
          <w:rFonts w:ascii="Arial" w:hAnsi="Arial" w:cs="Arial"/>
          <w:lang w:val="en-GB"/>
        </w:rPr>
      </w:pPr>
      <w:r w:rsidRPr="002433E1">
        <w:rPr>
          <w:rFonts w:ascii="Arial" w:hAnsi="Arial" w:cs="Arial"/>
          <w:lang w:val="en-GB"/>
        </w:rPr>
        <w:t>When you have a nominal interest rate compounded more frequently than annually, you can use following formula to calculate Effective Annual Rate (EAR):</w:t>
      </w:r>
    </w:p>
    <w:p w14:paraId="50710EEC" w14:textId="38CC4340" w:rsidR="002433E1" w:rsidRPr="002433E1" w:rsidRDefault="002433E1">
      <w:pPr>
        <w:rPr>
          <w:rFonts w:ascii="Arial" w:hAnsi="Arial" w:cs="Arial"/>
          <w:lang w:val="en-GB"/>
        </w:rPr>
      </w:pPr>
      <m:oMathPara>
        <m:oMath>
          <m:r>
            <w:rPr>
              <w:rFonts w:ascii="Cambria Math" w:hAnsi="Cambria Math" w:cs="Arial"/>
              <w:lang w:val="en-GB"/>
            </w:rPr>
            <m:t>EAR=</m:t>
          </m:r>
          <m:sSup>
            <m:sSupPr>
              <m:ctrlPr>
                <w:rPr>
                  <w:rFonts w:ascii="Cambria Math" w:hAnsi="Cambria Math" w:cs="Arial"/>
                  <w:i/>
                  <w:lang w:val="en-GB"/>
                </w:rPr>
              </m:ctrlPr>
            </m:sSupPr>
            <m:e>
              <m:d>
                <m:dPr>
                  <m:ctrlPr>
                    <w:rPr>
                      <w:rFonts w:ascii="Cambria Math" w:hAnsi="Cambria Math" w:cs="Arial"/>
                      <w:i/>
                      <w:lang w:val="en-GB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lang w:val="en-GB"/>
                    </w:rPr>
                    <m:t>1+</m:t>
                  </m:r>
                  <m:f>
                    <m:fPr>
                      <m:ctrlPr>
                        <w:rPr>
                          <w:rFonts w:ascii="Cambria Math" w:hAnsi="Cambria Math" w:cs="Arial"/>
                          <w:i/>
                          <w:lang w:val="en-GB"/>
                        </w:rPr>
                      </m:ctrlPr>
                    </m:fPr>
                    <m:num>
                      <m:r>
                        <w:rPr>
                          <w:rFonts w:ascii="Cambria Math" w:hAnsi="Cambria Math" w:cs="Arial"/>
                          <w:lang w:val="en-GB"/>
                        </w:rPr>
                        <m:t>r</m:t>
                      </m:r>
                    </m:num>
                    <m:den>
                      <m:r>
                        <w:rPr>
                          <w:rFonts w:ascii="Cambria Math" w:hAnsi="Cambria Math" w:cs="Arial"/>
                          <w:lang w:val="en-GB"/>
                        </w:rPr>
                        <m:t>n</m:t>
                      </m:r>
                    </m:den>
                  </m:f>
                </m:e>
              </m:d>
            </m:e>
            <m:sup>
              <m:r>
                <w:rPr>
                  <w:rFonts w:ascii="Cambria Math" w:hAnsi="Cambria Math" w:cs="Arial"/>
                  <w:lang w:val="en-GB"/>
                </w:rPr>
                <m:t>n</m:t>
              </m:r>
            </m:sup>
          </m:sSup>
          <m:r>
            <w:rPr>
              <w:rFonts w:ascii="Cambria Math" w:hAnsi="Cambria Math" w:cs="Arial"/>
              <w:lang w:val="en-GB"/>
            </w:rPr>
            <m:t>-1</m:t>
          </m:r>
        </m:oMath>
      </m:oMathPara>
    </w:p>
    <w:p w14:paraId="37A57E29" w14:textId="327001B7" w:rsidR="002433E1" w:rsidRDefault="002433E1">
      <w:pPr>
        <w:rPr>
          <w:rFonts w:ascii="Arial" w:hAnsi="Arial" w:cs="Arial"/>
          <w:lang w:val="en-GB"/>
        </w:rPr>
      </w:pPr>
      <m:oMath>
        <m:r>
          <w:rPr>
            <w:rFonts w:ascii="Cambria Math" w:hAnsi="Cambria Math" w:cs="Arial"/>
            <w:lang w:val="en-GB"/>
          </w:rPr>
          <m:t xml:space="preserve">r=nominal annual interest rate </m:t>
        </m:r>
        <m:d>
          <m:dPr>
            <m:ctrlPr>
              <w:rPr>
                <w:rFonts w:ascii="Cambria Math" w:hAnsi="Cambria Math" w:cs="Arial"/>
                <w:i/>
                <w:lang w:val="en-GB"/>
              </w:rPr>
            </m:ctrlPr>
          </m:dPr>
          <m:e>
            <m:r>
              <w:rPr>
                <w:rFonts w:ascii="Cambria Math" w:hAnsi="Cambria Math" w:cs="Arial"/>
                <w:lang w:val="en-GB"/>
              </w:rPr>
              <m:t>e.g., 0.13 or 13%</m:t>
            </m:r>
          </m:e>
        </m:d>
      </m:oMath>
      <w:r>
        <w:rPr>
          <w:rFonts w:ascii="Arial" w:hAnsi="Arial" w:cs="Arial"/>
          <w:lang w:val="en-GB"/>
        </w:rPr>
        <w:t xml:space="preserve"> </w:t>
      </w:r>
    </w:p>
    <w:p w14:paraId="3A490D0C" w14:textId="581FEC01" w:rsidR="002433E1" w:rsidRDefault="002433E1">
      <w:pPr>
        <w:rPr>
          <w:rFonts w:ascii="Arial" w:hAnsi="Arial" w:cs="Arial"/>
          <w:lang w:val="en-GB"/>
        </w:rPr>
      </w:pPr>
      <m:oMath>
        <m:r>
          <w:rPr>
            <w:rFonts w:ascii="Cambria Math" w:hAnsi="Cambria Math" w:cs="Arial"/>
            <w:lang w:val="en-GB"/>
          </w:rPr>
          <m:t>n=number of compounding periods per year (e.g., 12 for monthly compouding)</m:t>
        </m:r>
      </m:oMath>
      <w:r>
        <w:rPr>
          <w:rFonts w:ascii="Arial" w:hAnsi="Arial" w:cs="Arial"/>
          <w:lang w:val="en-GB"/>
        </w:rPr>
        <w:t xml:space="preserve"> </w:t>
      </w:r>
    </w:p>
    <w:p w14:paraId="1DA25F89" w14:textId="77777777" w:rsidR="002433E1" w:rsidRDefault="002433E1">
      <w:pPr>
        <w:rPr>
          <w:rFonts w:ascii="Arial" w:hAnsi="Arial" w:cs="Arial"/>
          <w:lang w:val="en-GB"/>
        </w:rPr>
      </w:pPr>
    </w:p>
    <w:p w14:paraId="24A769BF" w14:textId="25477CAB" w:rsidR="001C1011" w:rsidRPr="001C1011" w:rsidRDefault="001C1011">
      <w:pPr>
        <w:rPr>
          <w:rFonts w:ascii="Arial" w:hAnsi="Arial" w:cs="Arial"/>
          <w:b/>
          <w:bCs/>
          <w:sz w:val="28"/>
          <w:szCs w:val="32"/>
          <w:lang w:val="en-GB"/>
        </w:rPr>
      </w:pPr>
      <w:r w:rsidRPr="001C1011">
        <w:rPr>
          <w:rFonts w:ascii="Arial" w:hAnsi="Arial" w:cs="Arial"/>
          <w:b/>
          <w:bCs/>
          <w:sz w:val="28"/>
          <w:szCs w:val="32"/>
          <w:lang w:val="en-GB"/>
        </w:rPr>
        <w:t>Annual Percentage Rate (APR)</w:t>
      </w:r>
    </w:p>
    <w:p w14:paraId="6D6467B5" w14:textId="1A1D4DA5" w:rsidR="002433E1" w:rsidRDefault="001C1011">
      <w:pPr>
        <w:rPr>
          <w:rFonts w:ascii="Arial" w:hAnsi="Arial" w:cs="Arial"/>
          <w:lang w:val="en-GB"/>
        </w:rPr>
      </w:pPr>
      <w:r w:rsidRPr="001C1011">
        <w:rPr>
          <w:rFonts w:ascii="Arial" w:hAnsi="Arial" w:cs="Arial"/>
          <w:lang w:val="en-GB"/>
        </w:rPr>
        <w:t>Annual percentage rate (APR) refers to the yearly interest generated by a sum that's charged to borrowers or paid to investors. APR is expressed as a percentage that represents the actual yearly cost of funds over the term of a loan or income earned on an investment. This includes any fees or additional costs associated with the transaction but does not take compounding into account. The APR provides consumers with a bottom-line number they can compare among lenders, credit cards, or investment products.</w:t>
      </w:r>
    </w:p>
    <w:p w14:paraId="1E3C0BD6" w14:textId="5110D3FA" w:rsidR="001C1011" w:rsidRPr="001C1011" w:rsidRDefault="001C1011">
      <w:pPr>
        <w:rPr>
          <w:rFonts w:ascii="Arial" w:hAnsi="Arial" w:cs="Arial"/>
          <w:lang w:val="en-GB"/>
        </w:rPr>
      </w:pPr>
      <m:oMathPara>
        <m:oMath>
          <m:r>
            <w:rPr>
              <w:rFonts w:ascii="Cambria Math" w:hAnsi="Cambria Math" w:cs="Arial"/>
              <w:lang w:val="en-GB"/>
            </w:rPr>
            <m:t>APR=</m:t>
          </m:r>
          <m:d>
            <m:dPr>
              <m:ctrlPr>
                <w:rPr>
                  <w:rFonts w:ascii="Cambria Math" w:hAnsi="Cambria Math" w:cs="Arial"/>
                  <w:i/>
                  <w:lang w:val="en-GB"/>
                </w:rPr>
              </m:ctrlPr>
            </m:dPr>
            <m:e>
              <m:d>
                <m:dPr>
                  <m:ctrlPr>
                    <w:rPr>
                      <w:rFonts w:ascii="Cambria Math" w:hAnsi="Cambria Math" w:cs="Arial"/>
                      <w:i/>
                      <w:lang w:val="en-GB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="Arial"/>
                          <w:i/>
                          <w:lang w:val="en-GB"/>
                        </w:rPr>
                      </m:ctrlPr>
                    </m:fPr>
                    <m:num>
                      <m:f>
                        <m:fPr>
                          <m:ctrlPr>
                            <w:rPr>
                              <w:rFonts w:ascii="Cambria Math" w:hAnsi="Cambria Math" w:cs="Arial"/>
                              <w:i/>
                              <w:lang w:val="en-GB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="Arial"/>
                              <w:lang w:val="en-GB"/>
                            </w:rPr>
                            <m:t>Fees+Interest</m:t>
                          </m:r>
                        </m:num>
                        <m:den>
                          <m:r>
                            <w:rPr>
                              <w:rFonts w:ascii="Cambria Math" w:hAnsi="Cambria Math" w:cs="Arial"/>
                              <w:lang w:val="en-GB"/>
                            </w:rPr>
                            <m:t>Principal</m:t>
                          </m:r>
                        </m:den>
                      </m:f>
                    </m:num>
                    <m:den>
                      <m:r>
                        <w:rPr>
                          <w:rFonts w:ascii="Cambria Math" w:hAnsi="Cambria Math" w:cs="Arial"/>
                          <w:lang w:val="en-GB"/>
                        </w:rPr>
                        <m:t>n</m:t>
                      </m:r>
                    </m:den>
                  </m:f>
                </m:e>
              </m:d>
              <m:r>
                <w:rPr>
                  <w:rFonts w:ascii="Cambria Math" w:hAnsi="Cambria Math" w:cs="Arial"/>
                  <w:lang w:val="en-GB"/>
                </w:rPr>
                <m:t>×365</m:t>
              </m:r>
            </m:e>
          </m:d>
          <m:r>
            <w:rPr>
              <w:rFonts w:ascii="Cambria Math" w:hAnsi="Cambria Math" w:cs="Arial"/>
              <w:lang w:val="en-GB"/>
            </w:rPr>
            <m:t>×100</m:t>
          </m:r>
        </m:oMath>
      </m:oMathPara>
    </w:p>
    <w:p w14:paraId="739D3C50" w14:textId="7C25E8F6" w:rsidR="001C1011" w:rsidRDefault="001C1011">
      <w:pPr>
        <w:rPr>
          <w:rFonts w:ascii="Arial" w:hAnsi="Arial" w:cs="Arial"/>
          <w:lang w:val="en-GB"/>
        </w:rPr>
      </w:pPr>
      <m:oMath>
        <m:r>
          <w:rPr>
            <w:rFonts w:ascii="Cambria Math" w:hAnsi="Cambria Math" w:cs="Arial"/>
            <w:lang w:val="en-GB"/>
          </w:rPr>
          <m:t>Interest=total interest paid over life of the loan</m:t>
        </m:r>
      </m:oMath>
      <w:r>
        <w:rPr>
          <w:rFonts w:ascii="Arial" w:hAnsi="Arial" w:cs="Arial"/>
          <w:lang w:val="en-GB"/>
        </w:rPr>
        <w:t xml:space="preserve"> </w:t>
      </w:r>
    </w:p>
    <w:p w14:paraId="67428073" w14:textId="4B520AD8" w:rsidR="001C1011" w:rsidRDefault="001C1011">
      <w:pPr>
        <w:rPr>
          <w:rFonts w:ascii="Arial" w:hAnsi="Arial" w:cs="Arial"/>
          <w:lang w:val="en-GB"/>
        </w:rPr>
      </w:pPr>
      <m:oMath>
        <m:r>
          <w:rPr>
            <w:rFonts w:ascii="Cambria Math" w:hAnsi="Cambria Math" w:cs="Arial"/>
            <w:lang w:val="en-GB"/>
          </w:rPr>
          <m:t>Principal=loan amount</m:t>
        </m:r>
      </m:oMath>
      <w:r>
        <w:rPr>
          <w:rFonts w:ascii="Arial" w:hAnsi="Arial" w:cs="Arial"/>
          <w:lang w:val="en-GB"/>
        </w:rPr>
        <w:t xml:space="preserve"> </w:t>
      </w:r>
    </w:p>
    <w:p w14:paraId="5E707A0A" w14:textId="0B9668AF" w:rsidR="001C1011" w:rsidRDefault="001C1011">
      <w:pPr>
        <w:rPr>
          <w:rFonts w:ascii="Arial" w:hAnsi="Arial" w:cs="Arial"/>
          <w:lang w:val="en-GB"/>
        </w:rPr>
      </w:pPr>
      <m:oMath>
        <m:r>
          <w:rPr>
            <w:rFonts w:ascii="Cambria Math" w:hAnsi="Cambria Math" w:cs="Arial"/>
            <w:lang w:val="en-GB"/>
          </w:rPr>
          <m:t>n=number of days in loan term</m:t>
        </m:r>
      </m:oMath>
      <w:r>
        <w:rPr>
          <w:rFonts w:ascii="Arial" w:hAnsi="Arial" w:cs="Arial"/>
          <w:lang w:val="en-GB"/>
        </w:rPr>
        <w:t xml:space="preserve"> </w:t>
      </w:r>
    </w:p>
    <w:p w14:paraId="19734E3A" w14:textId="77777777" w:rsidR="001C1011" w:rsidRDefault="001C1011">
      <w:pPr>
        <w:rPr>
          <w:rFonts w:ascii="Arial" w:hAnsi="Arial" w:cs="Arial"/>
          <w:lang w:val="en-GB"/>
        </w:rPr>
      </w:pPr>
    </w:p>
    <w:p w14:paraId="2A2CCCFB" w14:textId="189F93B5" w:rsidR="001C1011" w:rsidRPr="001C1011" w:rsidRDefault="001C1011">
      <w:pPr>
        <w:rPr>
          <w:rFonts w:ascii="Arial" w:hAnsi="Arial" w:cs="Arial"/>
          <w:b/>
          <w:bCs/>
          <w:sz w:val="28"/>
          <w:szCs w:val="32"/>
          <w:lang w:val="en-GB"/>
        </w:rPr>
      </w:pPr>
      <w:r w:rsidRPr="001C1011">
        <w:rPr>
          <w:rFonts w:ascii="Arial" w:hAnsi="Arial" w:cs="Arial"/>
          <w:b/>
          <w:bCs/>
          <w:sz w:val="28"/>
          <w:szCs w:val="32"/>
          <w:lang w:val="en-GB"/>
        </w:rPr>
        <w:t>Compounding</w:t>
      </w:r>
    </w:p>
    <w:p w14:paraId="0DDAE3BB" w14:textId="1C56591D" w:rsidR="002433E1" w:rsidRPr="002433E1" w:rsidRDefault="002433E1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PV=</m:t>
          </m:r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FV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Arial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="Arial"/>
                        </w:rPr>
                        <m:t>1+</m:t>
                      </m:r>
                      <m:f>
                        <m:fPr>
                          <m:ctrlPr>
                            <w:rPr>
                              <w:rFonts w:ascii="Cambria Math" w:hAnsi="Cambria Math" w:cs="Arial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="Arial"/>
                            </w:rPr>
                            <m:t>r</m:t>
                          </m:r>
                        </m:num>
                        <m:den>
                          <m:r>
                            <w:rPr>
                              <w:rFonts w:ascii="Cambria Math" w:hAnsi="Cambria Math" w:cs="Arial"/>
                            </w:rPr>
                            <m:t>n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Arial"/>
                    </w:rPr>
                    <m:t>n×t</m:t>
                  </m:r>
                </m:sup>
              </m:sSup>
            </m:den>
          </m:f>
        </m:oMath>
      </m:oMathPara>
    </w:p>
    <w:p w14:paraId="7ABA37A1" w14:textId="491D56D7" w:rsidR="002433E1" w:rsidRPr="002433E1" w:rsidRDefault="002433E1">
      <w:pPr>
        <w:rPr>
          <w:rFonts w:ascii="Arial" w:hAnsi="Arial" w:cs="Arial"/>
          <w:lang w:val="en-GB"/>
        </w:rPr>
      </w:pPr>
      <m:oMath>
        <m:r>
          <w:rPr>
            <w:rFonts w:ascii="Cambria Math" w:hAnsi="Cambria Math" w:cs="Arial"/>
            <w:lang w:val="en-GB"/>
          </w:rPr>
          <m:t>PV=present value</m:t>
        </m:r>
      </m:oMath>
      <w:r w:rsidRPr="002433E1">
        <w:rPr>
          <w:rFonts w:ascii="Arial" w:hAnsi="Arial" w:cs="Arial"/>
          <w:lang w:val="en-GB"/>
        </w:rPr>
        <w:t xml:space="preserve"> </w:t>
      </w:r>
    </w:p>
    <w:p w14:paraId="63FBFB56" w14:textId="7EE60788" w:rsidR="002433E1" w:rsidRPr="002433E1" w:rsidRDefault="002433E1">
      <w:pPr>
        <w:rPr>
          <w:rFonts w:ascii="Arial" w:hAnsi="Arial" w:cs="Arial"/>
          <w:lang w:val="en-GB"/>
        </w:rPr>
      </w:pPr>
      <m:oMath>
        <m:r>
          <w:rPr>
            <w:rFonts w:ascii="Cambria Math" w:hAnsi="Cambria Math" w:cs="Arial"/>
            <w:lang w:val="en-GB"/>
          </w:rPr>
          <m:t>FV=future value</m:t>
        </m:r>
      </m:oMath>
      <w:r w:rsidRPr="002433E1">
        <w:rPr>
          <w:rFonts w:ascii="Arial" w:hAnsi="Arial" w:cs="Arial"/>
          <w:lang w:val="en-GB"/>
        </w:rPr>
        <w:t xml:space="preserve"> </w:t>
      </w:r>
    </w:p>
    <w:p w14:paraId="48455C0B" w14:textId="77D16650" w:rsidR="002433E1" w:rsidRPr="002433E1" w:rsidRDefault="002433E1">
      <w:pPr>
        <w:rPr>
          <w:rFonts w:ascii="Arial" w:hAnsi="Arial" w:cs="Arial"/>
          <w:lang w:val="en-GB"/>
        </w:rPr>
      </w:pPr>
      <m:oMath>
        <m:r>
          <w:rPr>
            <w:rFonts w:ascii="Cambria Math" w:hAnsi="Cambria Math" w:cs="Arial"/>
            <w:lang w:val="en-GB"/>
          </w:rPr>
          <m:t>r=nominal annual interest rate (e.g., 0.05 or 5%)</m:t>
        </m:r>
      </m:oMath>
      <w:r w:rsidRPr="002433E1">
        <w:rPr>
          <w:rFonts w:ascii="Arial" w:hAnsi="Arial" w:cs="Arial"/>
          <w:lang w:val="en-GB"/>
        </w:rPr>
        <w:t xml:space="preserve"> </w:t>
      </w:r>
    </w:p>
    <w:p w14:paraId="422A7620" w14:textId="72027227" w:rsidR="001C1011" w:rsidRPr="001C1011" w:rsidRDefault="002433E1">
      <w:pPr>
        <w:rPr>
          <w:rFonts w:ascii="Arial" w:hAnsi="Arial" w:cs="Arial"/>
          <w:lang w:val="en-GB"/>
        </w:rPr>
      </w:pPr>
      <m:oMath>
        <m:r>
          <w:rPr>
            <w:rFonts w:ascii="Cambria Math" w:hAnsi="Cambria Math" w:cs="Arial"/>
            <w:lang w:val="en-GB"/>
          </w:rPr>
          <m:t xml:space="preserve">n=number of compounding periods per year </m:t>
        </m:r>
      </m:oMath>
      <w:r w:rsidR="001C1011">
        <w:rPr>
          <w:rFonts w:ascii="Arial" w:hAnsi="Arial" w:cs="Arial"/>
          <w:lang w:val="en-GB"/>
        </w:rPr>
        <w:t xml:space="preserve"> </w:t>
      </w:r>
    </w:p>
    <w:p w14:paraId="52088E12" w14:textId="069E3DB7" w:rsidR="002433E1" w:rsidRPr="002433E1" w:rsidRDefault="002433E1">
      <w:pPr>
        <w:rPr>
          <w:rFonts w:ascii="Arial" w:hAnsi="Arial" w:cs="Arial"/>
          <w:lang w:val="en-GB"/>
        </w:rPr>
      </w:pPr>
      <m:oMath>
        <m:r>
          <w:rPr>
            <w:rFonts w:ascii="Cambria Math" w:hAnsi="Cambria Math" w:cs="Arial"/>
            <w:lang w:val="en-GB"/>
          </w:rPr>
          <m:t xml:space="preserve">(e.g., </m:t>
        </m:r>
        <m:r>
          <w:rPr>
            <w:rFonts w:ascii="Cambria Math" w:hAnsi="Cambria Math" w:cs="Arial"/>
            <w:lang w:val="en-GB"/>
          </w:rPr>
          <m:t>n=</m:t>
        </m:r>
        <m:r>
          <w:rPr>
            <w:rFonts w:ascii="Cambria Math" w:hAnsi="Cambria Math" w:cs="Arial"/>
            <w:lang w:val="en-GB"/>
          </w:rPr>
          <m:t>1 for annual</m:t>
        </m:r>
        <m:r>
          <w:rPr>
            <w:rFonts w:ascii="Cambria Math" w:hAnsi="Cambria Math" w:cs="Arial"/>
            <w:lang w:val="en-GB"/>
          </w:rPr>
          <m:t>;</m:t>
        </m:r>
        <m:r>
          <w:rPr>
            <w:rFonts w:ascii="Cambria Math" w:hAnsi="Cambria Math" w:cs="Arial"/>
            <w:lang w:val="en-GB"/>
          </w:rPr>
          <m:t xml:space="preserve"> </m:t>
        </m:r>
        <m:r>
          <w:rPr>
            <w:rFonts w:ascii="Cambria Math" w:hAnsi="Cambria Math" w:cs="Arial"/>
            <w:lang w:val="en-GB"/>
          </w:rPr>
          <m:t>n=</m:t>
        </m:r>
        <m:r>
          <w:rPr>
            <w:rFonts w:ascii="Cambria Math" w:hAnsi="Cambria Math" w:cs="Arial"/>
            <w:lang w:val="en-GB"/>
          </w:rPr>
          <m:t>2 for semiannual</m:t>
        </m:r>
        <m:r>
          <w:rPr>
            <w:rFonts w:ascii="Cambria Math" w:hAnsi="Cambria Math" w:cs="Arial"/>
            <w:lang w:val="en-GB"/>
          </w:rPr>
          <m:t>;n=4 for quarterly; n=12 for monthly</m:t>
        </m:r>
        <m:r>
          <w:rPr>
            <w:rFonts w:ascii="Cambria Math" w:hAnsi="Cambria Math" w:cs="Arial"/>
            <w:lang w:val="en-GB"/>
          </w:rPr>
          <m:t>)</m:t>
        </m:r>
      </m:oMath>
      <w:r w:rsidRPr="002433E1">
        <w:rPr>
          <w:rFonts w:ascii="Arial" w:hAnsi="Arial" w:cs="Arial"/>
          <w:lang w:val="en-GB"/>
        </w:rPr>
        <w:t xml:space="preserve"> </w:t>
      </w:r>
    </w:p>
    <w:p w14:paraId="6C2C2A50" w14:textId="3CF23CA1" w:rsidR="00662832" w:rsidRDefault="002433E1">
      <w:pPr>
        <w:rPr>
          <w:rFonts w:ascii="Arial" w:hAnsi="Arial" w:cs="Arial"/>
          <w:lang w:val="en-GB"/>
        </w:rPr>
      </w:pPr>
      <m:oMath>
        <m:r>
          <w:rPr>
            <w:rFonts w:ascii="Cambria Math" w:hAnsi="Cambria Math" w:cs="Arial"/>
            <w:lang w:val="en-GB"/>
          </w:rPr>
          <m:t>t=time in years (e.g, 10 for 10 years)</m:t>
        </m:r>
      </m:oMath>
      <w:r w:rsidRPr="002433E1">
        <w:rPr>
          <w:rFonts w:ascii="Arial" w:hAnsi="Arial" w:cs="Arial"/>
          <w:lang w:val="en-GB"/>
        </w:rPr>
        <w:t xml:space="preserve"> </w:t>
      </w:r>
    </w:p>
    <w:sectPr w:rsidR="00662832" w:rsidSect="00D02662">
      <w:pgSz w:w="11906" w:h="16838"/>
      <w:pgMar w:top="720" w:right="720" w:bottom="720" w:left="72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F8D930" w14:textId="77777777" w:rsidR="0040160C" w:rsidRDefault="0040160C" w:rsidP="00D02662">
      <w:pPr>
        <w:spacing w:after="0" w:line="240" w:lineRule="auto"/>
      </w:pPr>
      <w:r>
        <w:separator/>
      </w:r>
    </w:p>
  </w:endnote>
  <w:endnote w:type="continuationSeparator" w:id="0">
    <w:p w14:paraId="5403DEB8" w14:textId="77777777" w:rsidR="0040160C" w:rsidRDefault="0040160C" w:rsidP="00D026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8330AC" w14:textId="77777777" w:rsidR="0040160C" w:rsidRDefault="0040160C" w:rsidP="00D02662">
      <w:pPr>
        <w:spacing w:after="0" w:line="240" w:lineRule="auto"/>
      </w:pPr>
      <w:r>
        <w:separator/>
      </w:r>
    </w:p>
  </w:footnote>
  <w:footnote w:type="continuationSeparator" w:id="0">
    <w:p w14:paraId="14DB3212" w14:textId="77777777" w:rsidR="0040160C" w:rsidRDefault="0040160C" w:rsidP="00D0266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420"/>
  <w:drawingGridHorizontalSpacing w:val="11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3E1"/>
    <w:rsid w:val="000931EC"/>
    <w:rsid w:val="000B45D4"/>
    <w:rsid w:val="001C1011"/>
    <w:rsid w:val="002433E1"/>
    <w:rsid w:val="003E3A64"/>
    <w:rsid w:val="0040160C"/>
    <w:rsid w:val="004A6DC2"/>
    <w:rsid w:val="00662832"/>
    <w:rsid w:val="00D02662"/>
    <w:rsid w:val="00E05CD2"/>
    <w:rsid w:val="00E74100"/>
    <w:rsid w:val="00FA7F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231317"/>
  <w15:chartTrackingRefBased/>
  <w15:docId w15:val="{EB6D1A2A-EE7B-406F-81B1-FD231B584E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</w:style>
  <w:style w:type="paragraph" w:styleId="Heading1">
    <w:name w:val="heading 1"/>
    <w:basedOn w:val="Normal"/>
    <w:next w:val="Normal"/>
    <w:link w:val="Heading1Char"/>
    <w:uiPriority w:val="9"/>
    <w:qFormat/>
    <w:rsid w:val="002433E1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33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33E1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33E1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33E1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33E1"/>
    <w:pPr>
      <w:keepNext/>
      <w:keepLines/>
      <w:spacing w:before="40" w:after="0"/>
      <w:outlineLvl w:val="5"/>
    </w:pPr>
    <w:rPr>
      <w:rFonts w:cstheme="majorBidi"/>
      <w:b/>
      <w:bCs/>
      <w:color w:val="0F4761" w:themeColor="accent1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33E1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33E1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33E1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33E1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33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33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33E1"/>
    <w:rPr>
      <w:rFonts w:cstheme="majorBidi"/>
      <w:color w:val="0F4761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33E1"/>
    <w:rPr>
      <w:rFonts w:cstheme="majorBidi"/>
      <w:color w:val="0F476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33E1"/>
    <w:rPr>
      <w:rFonts w:cstheme="majorBidi"/>
      <w:b/>
      <w:bCs/>
      <w:color w:val="0F4761" w:themeColor="accent1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33E1"/>
    <w:rPr>
      <w:rFonts w:cstheme="majorBidi"/>
      <w:b/>
      <w:b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33E1"/>
    <w:rPr>
      <w:rFonts w:cstheme="majorBidi"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33E1"/>
    <w:rPr>
      <w:rFonts w:eastAsiaTheme="majorEastAsia" w:cstheme="majorBidi"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2433E1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33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33E1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33E1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33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33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33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33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33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33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33E1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2433E1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D02662"/>
    <w:pP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D02662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D02662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D02662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D082354-E039-4664-8490-248CDFDD83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1</Pages>
  <Words>250</Words>
  <Characters>1425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SHENGFENG Mei (PGR)</dc:creator>
  <cp:keywords/>
  <dc:description/>
  <cp:lastModifiedBy>SHENGFENG Mei (PGR)</cp:lastModifiedBy>
  <cp:revision>3</cp:revision>
  <dcterms:created xsi:type="dcterms:W3CDTF">2024-10-10T12:13:00Z</dcterms:created>
  <dcterms:modified xsi:type="dcterms:W3CDTF">2025-02-06T09:52:00Z</dcterms:modified>
</cp:coreProperties>
</file>