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Arial" w:cs="Arial" w:eastAsia="Arial" w:hAnsi="Arial"/>
          <w:b w:val="1"/>
        </w:rPr>
      </w:pPr>
      <w:r w:rsidDel="00000000" w:rsidR="00000000" w:rsidRPr="00000000">
        <w:rPr>
          <w:rFonts w:ascii="Arial" w:cs="Arial" w:eastAsia="Arial" w:hAnsi="Arial"/>
          <w:b w:val="1"/>
          <w:rtl w:val="0"/>
        </w:rPr>
        <w:t xml:space="preserve">Research Practices (ADAD5001)</w:t>
      </w:r>
    </w:p>
    <w:p w:rsidR="00000000" w:rsidDel="00000000" w:rsidP="00000000" w:rsidRDefault="00000000" w:rsidRPr="00000000" w14:paraId="00000002">
      <w:pPr>
        <w:rPr>
          <w:rFonts w:ascii="Arial" w:cs="Arial" w:eastAsia="Arial" w:hAnsi="Arial"/>
          <w:b w:val="1"/>
        </w:rPr>
      </w:pPr>
      <w:r w:rsidDel="00000000" w:rsidR="00000000" w:rsidRPr="00000000">
        <w:rPr>
          <w:rtl w:val="0"/>
        </w:rPr>
      </w:r>
    </w:p>
    <w:p w:rsidR="00000000" w:rsidDel="00000000" w:rsidP="00000000" w:rsidRDefault="00000000" w:rsidRPr="00000000" w14:paraId="00000003">
      <w:pPr>
        <w:rPr>
          <w:rFonts w:ascii="Arial" w:cs="Arial" w:eastAsia="Arial" w:hAnsi="Arial"/>
          <w:b w:val="1"/>
        </w:rPr>
      </w:pPr>
      <w:r w:rsidDel="00000000" w:rsidR="00000000" w:rsidRPr="00000000">
        <w:rPr>
          <w:rFonts w:ascii="Arial" w:cs="Arial" w:eastAsia="Arial" w:hAnsi="Arial"/>
          <w:b w:val="1"/>
          <w:rtl w:val="0"/>
        </w:rPr>
        <w:t xml:space="preserve">Connor Hale (1701744)</w:t>
      </w:r>
      <w:r w:rsidDel="00000000" w:rsidR="00000000" w:rsidRPr="00000000">
        <w:br w:type="page"/>
      </w:r>
      <w:r w:rsidDel="00000000" w:rsidR="00000000" w:rsidRPr="00000000">
        <w:rPr>
          <w:rtl w:val="0"/>
        </w:rPr>
      </w:r>
    </w:p>
    <w:p w:rsidR="00000000" w:rsidDel="00000000" w:rsidP="00000000" w:rsidRDefault="00000000" w:rsidRPr="00000000" w14:paraId="00000004">
      <w:pPr>
        <w:rPr>
          <w:rFonts w:ascii="Arial" w:cs="Arial" w:eastAsia="Arial" w:hAnsi="Arial"/>
          <w:b w:val="1"/>
        </w:rPr>
      </w:pPr>
      <w:r w:rsidDel="00000000" w:rsidR="00000000" w:rsidRPr="00000000">
        <w:rPr>
          <w:rtl w:val="0"/>
        </w:rPr>
      </w:r>
    </w:p>
    <w:p w:rsidR="00000000" w:rsidDel="00000000" w:rsidP="00000000" w:rsidRDefault="00000000" w:rsidRPr="00000000" w14:paraId="00000005">
      <w:pPr>
        <w:pStyle w:val="Heading2"/>
        <w:rPr/>
      </w:pPr>
      <w:bookmarkStart w:colFirst="0" w:colLast="0" w:name="_uslbssy7ua31" w:id="0"/>
      <w:bookmarkEnd w:id="0"/>
      <w:r w:rsidDel="00000000" w:rsidR="00000000" w:rsidRPr="00000000">
        <w:rPr>
          <w:rtl w:val="0"/>
        </w:rPr>
        <w:t xml:space="preserve">Introduction</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In this essay I will be choosing three keywords and researching them to set up my dissertation question. By researching each keyword and contextualizing them I should have some framework I can use to think of my question. I will attempt to link each word together and figure out my proposed dissertation question based on my conclusions of each word.</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The three words I have chosen for this assignment are:</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b w:val="1"/>
        </w:rPr>
      </w:pPr>
      <w:r w:rsidDel="00000000" w:rsidR="00000000" w:rsidRPr="00000000">
        <w:rPr>
          <w:b w:val="1"/>
          <w:rtl w:val="0"/>
        </w:rPr>
        <w:t xml:space="preserve">Immersion</w:t>
      </w:r>
    </w:p>
    <w:p w:rsidR="00000000" w:rsidDel="00000000" w:rsidP="00000000" w:rsidRDefault="00000000" w:rsidRPr="00000000" w14:paraId="0000000D">
      <w:pPr>
        <w:rPr>
          <w:b w:val="1"/>
        </w:rPr>
      </w:pPr>
      <w:r w:rsidDel="00000000" w:rsidR="00000000" w:rsidRPr="00000000">
        <w:rPr>
          <w:rtl w:val="0"/>
        </w:rPr>
      </w:r>
    </w:p>
    <w:p w:rsidR="00000000" w:rsidDel="00000000" w:rsidP="00000000" w:rsidRDefault="00000000" w:rsidRPr="00000000" w14:paraId="0000000E">
      <w:pPr>
        <w:rPr>
          <w:b w:val="1"/>
        </w:rPr>
      </w:pPr>
      <w:r w:rsidDel="00000000" w:rsidR="00000000" w:rsidRPr="00000000">
        <w:rPr>
          <w:b w:val="1"/>
          <w:rtl w:val="0"/>
        </w:rPr>
        <w:t xml:space="preserve">Engagement</w:t>
      </w:r>
    </w:p>
    <w:p w:rsidR="00000000" w:rsidDel="00000000" w:rsidP="00000000" w:rsidRDefault="00000000" w:rsidRPr="00000000" w14:paraId="0000000F">
      <w:pPr>
        <w:rPr>
          <w:b w:val="1"/>
        </w:rPr>
      </w:pPr>
      <w:r w:rsidDel="00000000" w:rsidR="00000000" w:rsidRPr="00000000">
        <w:rPr>
          <w:rtl w:val="0"/>
        </w:rPr>
      </w:r>
    </w:p>
    <w:p w:rsidR="00000000" w:rsidDel="00000000" w:rsidP="00000000" w:rsidRDefault="00000000" w:rsidRPr="00000000" w14:paraId="00000010">
      <w:pPr>
        <w:rPr>
          <w:b w:val="1"/>
        </w:rPr>
      </w:pPr>
      <w:r w:rsidDel="00000000" w:rsidR="00000000" w:rsidRPr="00000000">
        <w:rPr>
          <w:b w:val="1"/>
          <w:rtl w:val="0"/>
        </w:rPr>
        <w:t xml:space="preserve">Demographic</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Three words that are related to my practice and topic of interest which is Creative Game Design and Development. Linking these words to my practice, I should have a dissertation question at the end of my research into the three keywords.</w:t>
      </w:r>
      <w:r w:rsidDel="00000000" w:rsidR="00000000" w:rsidRPr="00000000">
        <w:br w:type="page"/>
      </w:r>
      <w:r w:rsidDel="00000000" w:rsidR="00000000" w:rsidRPr="00000000">
        <w:rPr>
          <w:rtl w:val="0"/>
        </w:rPr>
      </w:r>
    </w:p>
    <w:p w:rsidR="00000000" w:rsidDel="00000000" w:rsidP="00000000" w:rsidRDefault="00000000" w:rsidRPr="00000000" w14:paraId="00000013">
      <w:pPr>
        <w:pStyle w:val="Heading3"/>
        <w:rPr/>
      </w:pPr>
      <w:bookmarkStart w:colFirst="0" w:colLast="0" w:name="_ct4it5aqxqpj" w:id="1"/>
      <w:bookmarkEnd w:id="1"/>
      <w:r w:rsidDel="00000000" w:rsidR="00000000" w:rsidRPr="00000000">
        <w:rPr>
          <w:rtl w:val="0"/>
        </w:rPr>
        <w:t xml:space="preserve">Immersion</w:t>
      </w:r>
    </w:p>
    <w:p w:rsidR="00000000" w:rsidDel="00000000" w:rsidP="00000000" w:rsidRDefault="00000000" w:rsidRPr="00000000" w14:paraId="00000014">
      <w:pPr>
        <w:rPr/>
      </w:pPr>
      <w:r w:rsidDel="00000000" w:rsidR="00000000" w:rsidRPr="00000000">
        <w:rPr>
          <w:rtl w:val="0"/>
        </w:rPr>
        <w:t xml:space="preserve">Immersion in terms of gaming is used to describe an experience that makes the audience feel like they have been taken out of the physical world and are totally focused inside a non physical world.</w:t>
      </w: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One definition for immersion as said by Murray (1978, p98-99) talks about immersion as a metaphor for being submerged in water and the feeling of being plunged in water: </w:t>
      </w:r>
      <w:r w:rsidDel="00000000" w:rsidR="00000000" w:rsidRPr="00000000">
        <w:rPr>
          <w:rtl w:val="0"/>
        </w:rPr>
      </w:r>
    </w:p>
    <w:p w:rsidR="00000000" w:rsidDel="00000000" w:rsidP="00000000" w:rsidRDefault="00000000" w:rsidRPr="00000000" w14:paraId="00000016">
      <w:pPr>
        <w:ind w:left="720" w:firstLine="0"/>
        <w:rPr/>
      </w:pPr>
      <w:r w:rsidDel="00000000" w:rsidR="00000000" w:rsidRPr="00000000">
        <w:rPr>
          <w:rtl w:val="0"/>
        </w:rPr>
        <w:t xml:space="preserve">“The sensation of being surrounded by a completely other reality, as different as water is from air, that takes over all of our attention. . . in a participatory medium, immersion implies learning to swim, to do the things that the new environment makes possible . . . the enjoyment of immersion as a participatory activity”.</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t xml:space="preserve">In one game designer handbook, used as reference for upcoming game designers, by Rouse (2001, p.12-13)  he talks about in one section that “players expect to be immersed” when playing video games he also talks about how immersion is to be taken out of reality and “fulfill (their) fantasies”</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This idea comes from game design theory and is used to keep people interested in the game that they are playing. The idea that players want to be sucked into a games story, action or character development, since the players see themselves in that position.  A position that players want to be in and put themselves in, a form of “ideal ego” (</w:t>
      </w:r>
      <w:r w:rsidDel="00000000" w:rsidR="00000000" w:rsidRPr="00000000">
        <w:rPr>
          <w:rtl w:val="0"/>
        </w:rPr>
        <w:t xml:space="preserve">On Narcissism, 1914c) as a critical theory. Where Freud describes it as a form of ego, where a person tries to rekindle a child's sense of self love and idea of omnipotence that they had from infancy but is lost as they grow older. I feel that video games fulfill a role in where the player is so immersed in a game</w:t>
      </w:r>
      <w:r w:rsidDel="00000000" w:rsidR="00000000" w:rsidRPr="00000000">
        <w:rPr>
          <w:rtl w:val="0"/>
        </w:rPr>
        <w:t xml:space="preserve"> where the player can do whatever they want in a virtual space, but are limited to the games rules and mechanics, making the player feel totally lost in a virtual world.</w:t>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br w:type="page"/>
      </w:r>
      <w:r w:rsidDel="00000000" w:rsidR="00000000" w:rsidRPr="00000000">
        <w:rPr>
          <w:rtl w:val="0"/>
        </w:rPr>
      </w:r>
    </w:p>
    <w:p w:rsidR="00000000" w:rsidDel="00000000" w:rsidP="00000000" w:rsidRDefault="00000000" w:rsidRPr="00000000" w14:paraId="0000001D">
      <w:pPr>
        <w:rPr/>
      </w:pPr>
      <w:r w:rsidDel="00000000" w:rsidR="00000000" w:rsidRPr="00000000">
        <w:rPr>
          <w:rtl w:val="0"/>
        </w:rPr>
        <w:t xml:space="preserve">This is only one of the scenarios in which a player would seek out immersion, in an article by Alison Mcmahan in the book “The Video Game Theory Reader” </w:t>
      </w:r>
      <w:r w:rsidDel="00000000" w:rsidR="00000000" w:rsidRPr="00000000">
        <w:rPr>
          <w:rFonts w:ascii="Arial" w:cs="Arial" w:eastAsia="Arial" w:hAnsi="Arial"/>
          <w:sz w:val="20"/>
          <w:szCs w:val="20"/>
          <w:highlight w:val="white"/>
          <w:rtl w:val="0"/>
        </w:rPr>
        <w:t xml:space="preserve">(Wolf and Perron, 2013,</w:t>
      </w:r>
      <w:r w:rsidDel="00000000" w:rsidR="00000000" w:rsidRPr="00000000">
        <w:rPr>
          <w:rtl w:val="0"/>
        </w:rPr>
        <w:t xml:space="preserve">p.69-70, 79</w:t>
      </w:r>
      <w:r w:rsidDel="00000000" w:rsidR="00000000" w:rsidRPr="00000000">
        <w:rPr>
          <w:rFonts w:ascii="Arial" w:cs="Arial" w:eastAsia="Arial" w:hAnsi="Arial"/>
          <w:sz w:val="20"/>
          <w:szCs w:val="20"/>
          <w:highlight w:val="white"/>
          <w:rtl w:val="0"/>
        </w:rPr>
        <w:t xml:space="preserve">)</w:t>
      </w:r>
      <w:r w:rsidDel="00000000" w:rsidR="00000000" w:rsidRPr="00000000">
        <w:rPr>
          <w:rtl w:val="0"/>
        </w:rPr>
        <w:t xml:space="preserve"> puts it into different categories that help with immersion:</w:t>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ind w:firstLine="720"/>
        <w:rPr/>
      </w:pPr>
      <w:r w:rsidDel="00000000" w:rsidR="00000000" w:rsidRPr="00000000">
        <w:rPr>
          <w:rtl w:val="0"/>
        </w:rPr>
        <w:t xml:space="preserve">Presence - </w:t>
      </w:r>
    </w:p>
    <w:p w:rsidR="00000000" w:rsidDel="00000000" w:rsidP="00000000" w:rsidRDefault="00000000" w:rsidRPr="00000000" w14:paraId="00000020">
      <w:pPr>
        <w:ind w:left="0" w:firstLine="0"/>
        <w:rPr/>
      </w:pPr>
      <w:r w:rsidDel="00000000" w:rsidR="00000000" w:rsidRPr="00000000">
        <w:rPr>
          <w:rtl w:val="0"/>
        </w:rPr>
        <w:t xml:space="preserve">The idea of being somewhere that is not really there, an artificial environment.</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ind w:firstLine="720"/>
        <w:rPr/>
      </w:pPr>
      <w:r w:rsidDel="00000000" w:rsidR="00000000" w:rsidRPr="00000000">
        <w:rPr>
          <w:rtl w:val="0"/>
        </w:rPr>
        <w:t xml:space="preserve">Intelligent Environment - </w:t>
      </w:r>
    </w:p>
    <w:p w:rsidR="00000000" w:rsidDel="00000000" w:rsidP="00000000" w:rsidRDefault="00000000" w:rsidRPr="00000000" w14:paraId="00000023">
      <w:pPr>
        <w:ind w:left="0" w:firstLine="0"/>
        <w:rPr/>
      </w:pPr>
      <w:r w:rsidDel="00000000" w:rsidR="00000000" w:rsidRPr="00000000">
        <w:rPr>
          <w:rtl w:val="0"/>
        </w:rPr>
        <w:t xml:space="preserve">How the artificial environment interacts with the player and how the player interacts with it. Is the environment intelligent enough in terms of realism to convince the brain it is really there?</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ind w:firstLine="720"/>
        <w:rPr/>
      </w:pPr>
      <w:r w:rsidDel="00000000" w:rsidR="00000000" w:rsidRPr="00000000">
        <w:rPr>
          <w:rtl w:val="0"/>
        </w:rPr>
        <w:t xml:space="preserve">Engagement -</w:t>
      </w:r>
    </w:p>
    <w:p w:rsidR="00000000" w:rsidDel="00000000" w:rsidP="00000000" w:rsidRDefault="00000000" w:rsidRPr="00000000" w14:paraId="00000026">
      <w:pPr>
        <w:ind w:left="0" w:firstLine="0"/>
        <w:rPr/>
      </w:pPr>
      <w:r w:rsidDel="00000000" w:rsidR="00000000" w:rsidRPr="00000000">
        <w:rPr>
          <w:rtl w:val="0"/>
        </w:rPr>
        <w:t xml:space="preserve">This refers to the players want to play the game not for the environment, but for the points, the score, the story, devising strategies all the non diegetic parts of the game.</w:t>
      </w:r>
    </w:p>
    <w:p w:rsidR="00000000" w:rsidDel="00000000" w:rsidP="00000000" w:rsidRDefault="00000000" w:rsidRPr="00000000" w14:paraId="00000027">
      <w:pPr>
        <w:ind w:left="720" w:firstLine="0"/>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These are not all the methods used to get a player immersed in an experience but these were ones I thought were more relevant to game design and development. All three of which fit in how immersion works and how they can fit into the game designers theory in creating a game.</w:t>
      </w:r>
    </w:p>
    <w:p w:rsidR="00000000" w:rsidDel="00000000" w:rsidP="00000000" w:rsidRDefault="00000000" w:rsidRPr="00000000" w14:paraId="00000029">
      <w:pPr>
        <w:rPr/>
      </w:pPr>
      <w:r w:rsidDel="00000000" w:rsidR="00000000" w:rsidRPr="00000000">
        <w:rPr>
          <w:rtl w:val="0"/>
        </w:rPr>
        <w:t xml:space="preserve">This fits within my practice since the job of a game designer is to establish the form of the game’s gameplay. They normally have multiple roles and jobs but the main focus and concern of the game designer should always be about the gameplay.</w:t>
      </w: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The reason this word spoke to me for one of my keywords is because of the idea of immersion is most effective due to the interactivity of video games compared to Tv, Movies and film. Since the player or the audience makes the character move and interact with a world that is not their own. It gives them choice, that in other forms of media cannot give. Sweetser (2005, p3) describes immersion in her GameFlow model as “a deep but effortless involvement, reduced concern for self and sense of time”.  Immersion can put a player into some kind of trance where they can play for hours without realising. </w:t>
      </w:r>
    </w:p>
    <w:p w:rsidR="00000000" w:rsidDel="00000000" w:rsidP="00000000" w:rsidRDefault="00000000" w:rsidRPr="00000000" w14:paraId="0000002B">
      <w:pPr>
        <w:rPr/>
      </w:pPr>
      <w:hyperlink r:id="rId6">
        <w:r w:rsidDel="00000000" w:rsidR="00000000" w:rsidRPr="00000000">
          <w:rPr>
            <w:color w:val="1155cc"/>
            <w:u w:val="single"/>
            <w:rtl w:val="0"/>
          </w:rPr>
          <w:t xml:space="preserve">http://cgit.nutn.edu.tw:8080/cgit/PaperDL/HGC_120223075158.PDF</w:t>
        </w:r>
      </w:hyperlink>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To conclude on this section, the theory of immersive gameplay can be considered as one of the reasons that video games are differed from other forms of media. The fact that a person playing a game can be so involved and engaged with a task that they almost lack a sense of time and self perspective as they play.  This links in with my next word “engagement”. Although similar to immersion, it is the act of keeping the playing attention while they are immersed in gameplay. </w:t>
      </w:r>
    </w:p>
    <w:p w:rsidR="00000000" w:rsidDel="00000000" w:rsidP="00000000" w:rsidRDefault="00000000" w:rsidRPr="00000000" w14:paraId="0000002D">
      <w:pPr>
        <w:rPr/>
      </w:pPr>
      <w:r w:rsidDel="00000000" w:rsidR="00000000" w:rsidRPr="00000000">
        <w:rPr>
          <w:rtl w:val="0"/>
        </w:rPr>
        <w:t xml:space="preserve"> </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pStyle w:val="Heading3"/>
        <w:rPr/>
      </w:pPr>
      <w:bookmarkStart w:colFirst="0" w:colLast="0" w:name="_3wes9nvc15dm" w:id="2"/>
      <w:bookmarkEnd w:id="2"/>
      <w:r w:rsidDel="00000000" w:rsidR="00000000" w:rsidRPr="00000000">
        <w:rPr>
          <w:rtl w:val="0"/>
        </w:rPr>
        <w:t xml:space="preserve">Engagement</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t xml:space="preserve">Engagement fits in with immersion since both words have similar meanings, both are used to keep the players attention for long periods of time and as game designers we will use both to create an experience for the player to be entirely engaged with.</w:t>
      </w:r>
    </w:p>
    <w:p w:rsidR="00000000" w:rsidDel="00000000" w:rsidP="00000000" w:rsidRDefault="00000000" w:rsidRPr="00000000" w14:paraId="00000034">
      <w:pPr>
        <w:rPr/>
      </w:pPr>
      <w:r w:rsidDel="00000000" w:rsidR="00000000" w:rsidRPr="00000000">
        <w:rPr>
          <w:rtl w:val="0"/>
        </w:rPr>
        <w:t xml:space="preserve">Player engagement in video games is incredibly important to a games designer. It allows a player to complete set or self created tasks of their own in the virtual space and can sometimes play for hours at a time. As Jones (1999, p.321), puts it:</w:t>
      </w:r>
    </w:p>
    <w:p w:rsidR="00000000" w:rsidDel="00000000" w:rsidP="00000000" w:rsidRDefault="00000000" w:rsidRPr="00000000" w14:paraId="00000035">
      <w:pPr>
        <w:ind w:left="720" w:firstLine="0"/>
        <w:rPr/>
      </w:pPr>
      <w:r w:rsidDel="00000000" w:rsidR="00000000" w:rsidRPr="00000000">
        <w:rPr>
          <w:rtl w:val="0"/>
        </w:rPr>
        <w:t xml:space="preserve">“For better or worse, digitally rendered environments can be as, at times more, engaging than reality.”</w:t>
      </w:r>
    </w:p>
    <w:p w:rsidR="00000000" w:rsidDel="00000000" w:rsidP="00000000" w:rsidRDefault="00000000" w:rsidRPr="00000000" w14:paraId="00000036">
      <w:pPr>
        <w:ind w:left="0" w:firstLine="0"/>
        <w:rPr/>
      </w:pPr>
      <w:r w:rsidDel="00000000" w:rsidR="00000000" w:rsidRPr="00000000">
        <w:rPr>
          <w:rtl w:val="0"/>
        </w:rPr>
      </w:r>
    </w:p>
    <w:p w:rsidR="00000000" w:rsidDel="00000000" w:rsidP="00000000" w:rsidRDefault="00000000" w:rsidRPr="00000000" w14:paraId="00000037">
      <w:pPr>
        <w:ind w:left="0" w:firstLine="0"/>
        <w:rPr/>
      </w:pPr>
      <w:r w:rsidDel="00000000" w:rsidR="00000000" w:rsidRPr="00000000">
        <w:rPr>
          <w:rtl w:val="0"/>
        </w:rPr>
        <w:t xml:space="preserve">This quote fits well with the idea that a virtual world can sometimes be considered more fantastic, in critical terms, than our own reality.</w:t>
      </w:r>
    </w:p>
    <w:p w:rsidR="00000000" w:rsidDel="00000000" w:rsidP="00000000" w:rsidRDefault="00000000" w:rsidRPr="00000000" w14:paraId="00000038">
      <w:pPr>
        <w:ind w:left="0" w:firstLine="0"/>
        <w:rPr/>
      </w:pPr>
      <w:r w:rsidDel="00000000" w:rsidR="00000000" w:rsidRPr="00000000">
        <w:rPr>
          <w:rtl w:val="0"/>
        </w:rPr>
        <w:t xml:space="preserve">In game design “engagement” normally refers to keeping the player playing over a long period of time, through set tasks. Although this is a prevalent issue among younger audiences, in a study conducted by </w:t>
      </w:r>
      <w:r w:rsidDel="00000000" w:rsidR="00000000" w:rsidRPr="00000000">
        <w:rPr>
          <w:sz w:val="21"/>
          <w:szCs w:val="21"/>
          <w:rtl w:val="0"/>
        </w:rPr>
        <w:t xml:space="preserve">Hope M. Cummings</w:t>
      </w:r>
      <w:r w:rsidDel="00000000" w:rsidR="00000000" w:rsidRPr="00000000">
        <w:rPr>
          <w:rtl w:val="0"/>
        </w:rPr>
        <w:t xml:space="preserve"> (2007), shows that younger players “...spent 30% less time reading and 34% less time doing homework”. A supporting claim that video games have an impact on a younger audiences time spent on more developmental activities. </w:t>
      </w:r>
    </w:p>
    <w:p w:rsidR="00000000" w:rsidDel="00000000" w:rsidP="00000000" w:rsidRDefault="00000000" w:rsidRPr="00000000" w14:paraId="00000039">
      <w:pPr>
        <w:ind w:left="0" w:firstLine="0"/>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ind w:left="0" w:firstLine="0"/>
        <w:rPr/>
      </w:pPr>
      <w:r w:rsidDel="00000000" w:rsidR="00000000" w:rsidRPr="00000000">
        <w:rPr>
          <w:rtl w:val="0"/>
        </w:rPr>
        <w:t xml:space="preserve">Even studies have confirmed the existence of addiction with video games and younger audiences </w:t>
      </w:r>
      <w:r w:rsidDel="00000000" w:rsidR="00000000" w:rsidRPr="00000000">
        <w:rPr>
          <w:rtl w:val="0"/>
        </w:rPr>
        <w:t xml:space="preserve">(Van Rooij et al., 2010,</w:t>
      </w:r>
      <w:r w:rsidDel="00000000" w:rsidR="00000000" w:rsidRPr="00000000">
        <w:rPr>
          <w:rFonts w:ascii="Arial" w:cs="Arial" w:eastAsia="Arial" w:hAnsi="Arial"/>
          <w:sz w:val="20"/>
          <w:szCs w:val="20"/>
          <w:highlight w:val="white"/>
          <w:rtl w:val="0"/>
        </w:rPr>
        <w:t xml:space="preserve"> </w:t>
      </w:r>
      <w:r w:rsidDel="00000000" w:rsidR="00000000" w:rsidRPr="00000000">
        <w:rPr>
          <w:rtl w:val="0"/>
        </w:rPr>
        <w:t xml:space="preserve">p.210-211</w:t>
      </w:r>
      <w:r w:rsidDel="00000000" w:rsidR="00000000" w:rsidRPr="00000000">
        <w:rPr>
          <w:rFonts w:ascii="Arial" w:cs="Arial" w:eastAsia="Arial" w:hAnsi="Arial"/>
          <w:sz w:val="20"/>
          <w:szCs w:val="20"/>
          <w:highlight w:val="white"/>
          <w:rtl w:val="0"/>
        </w:rPr>
        <w:t xml:space="preserve">)</w:t>
      </w:r>
      <w:r w:rsidDel="00000000" w:rsidR="00000000" w:rsidRPr="00000000">
        <w:rPr>
          <w:rtl w:val="0"/>
        </w:rPr>
        <w:t xml:space="preserve"> “this study confirms the existence of a small percentage (3%) of addicted online gamers”. Which can only go up in numbers as time goes on.</w:t>
      </w:r>
    </w:p>
    <w:p w:rsidR="00000000" w:rsidDel="00000000" w:rsidP="00000000" w:rsidRDefault="00000000" w:rsidRPr="00000000" w14:paraId="0000003C">
      <w:pPr>
        <w:ind w:left="0" w:firstLine="0"/>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t xml:space="preserve">This can be come down to many factors in video games, even though it is an important part of our job as a designer to create a game that has as much replayability and fun immersive gameplay as possible, it is still an issue that needs to be talked about in the gaming industry. Since video games are being played by virtually every teen (Amanda Lenhart, 2008, p.8) “Nearly all American teens—97%—ages 12-17 play computer, web, console, or mobile games “.</w:t>
      </w:r>
    </w:p>
    <w:p w:rsidR="00000000" w:rsidDel="00000000" w:rsidP="00000000" w:rsidRDefault="00000000" w:rsidRPr="00000000" w14:paraId="0000003F">
      <w:pPr>
        <w:ind w:left="0" w:firstLine="0"/>
        <w:rPr/>
      </w:pPr>
      <w:r w:rsidDel="00000000" w:rsidR="00000000" w:rsidRPr="00000000">
        <w:rPr>
          <w:rtl w:val="0"/>
        </w:rPr>
      </w:r>
    </w:p>
    <w:p w:rsidR="00000000" w:rsidDel="00000000" w:rsidP="00000000" w:rsidRDefault="00000000" w:rsidRPr="00000000" w14:paraId="00000040">
      <w:pPr>
        <w:ind w:left="0" w:firstLine="0"/>
        <w:rPr/>
      </w:pPr>
      <w:r w:rsidDel="00000000" w:rsidR="00000000" w:rsidRPr="00000000">
        <w:rPr>
          <w:rtl w:val="0"/>
        </w:rPr>
      </w:r>
    </w:p>
    <w:p w:rsidR="00000000" w:rsidDel="00000000" w:rsidP="00000000" w:rsidRDefault="00000000" w:rsidRPr="00000000" w14:paraId="00000041">
      <w:pPr>
        <w:ind w:left="0" w:firstLine="0"/>
        <w:rPr/>
      </w:pPr>
      <w:r w:rsidDel="00000000" w:rsidR="00000000" w:rsidRPr="00000000">
        <w:br w:type="page"/>
      </w:r>
      <w:r w:rsidDel="00000000" w:rsidR="00000000" w:rsidRPr="00000000">
        <w:rPr>
          <w:rtl w:val="0"/>
        </w:rPr>
      </w:r>
    </w:p>
    <w:p w:rsidR="00000000" w:rsidDel="00000000" w:rsidP="00000000" w:rsidRDefault="00000000" w:rsidRPr="00000000" w14:paraId="00000042">
      <w:pPr>
        <w:ind w:left="0" w:firstLine="0"/>
        <w:rPr/>
      </w:pPr>
      <w:r w:rsidDel="00000000" w:rsidR="00000000" w:rsidRPr="00000000">
        <w:rPr>
          <w:rtl w:val="0"/>
        </w:rPr>
        <w:t xml:space="preserve">These are just a few studies supporting some of the negative impacts of engagement in video games. This means that as a game designer myself and future game designers, precautions need to be put in place to keep video games from having a negative effect on a younger audiences well being. I feel that awareness among future game designers will help combat the need to make our games too addictive for teenagers and having a much more established system among the game designer community to keep this issue in mind in the future.</w:t>
      </w:r>
      <w:r w:rsidDel="00000000" w:rsidR="00000000" w:rsidRPr="00000000">
        <w:rPr>
          <w:rtl w:val="0"/>
        </w:rPr>
      </w:r>
    </w:p>
    <w:p w:rsidR="00000000" w:rsidDel="00000000" w:rsidP="00000000" w:rsidRDefault="00000000" w:rsidRPr="00000000" w14:paraId="00000043">
      <w:pPr>
        <w:ind w:left="0" w:firstLine="0"/>
        <w:rPr/>
      </w:pPr>
      <w:r w:rsidDel="00000000" w:rsidR="00000000" w:rsidRPr="00000000">
        <w:rPr>
          <w:rtl w:val="0"/>
        </w:rPr>
        <w:t xml:space="preserve">Although this does not mean in game design that we should actively make our games less engaging, since it is still a huge part of the game designer job to give every player a fun and exciting experience. It means to keep addictive techniques in our games to a minimum, to prevent a younger player from developing addicting behaviours.   </w:t>
      </w:r>
    </w:p>
    <w:p w:rsidR="00000000" w:rsidDel="00000000" w:rsidP="00000000" w:rsidRDefault="00000000" w:rsidRPr="00000000" w14:paraId="00000044">
      <w:pPr>
        <w:ind w:left="0" w:firstLine="0"/>
        <w:rPr/>
      </w:pPr>
      <w:r w:rsidDel="00000000" w:rsidR="00000000" w:rsidRPr="00000000">
        <w:rPr>
          <w:rtl w:val="0"/>
        </w:rPr>
      </w:r>
    </w:p>
    <w:p w:rsidR="00000000" w:rsidDel="00000000" w:rsidP="00000000" w:rsidRDefault="00000000" w:rsidRPr="00000000" w14:paraId="00000045">
      <w:pPr>
        <w:ind w:left="0" w:firstLine="0"/>
        <w:rPr/>
      </w:pPr>
      <w:r w:rsidDel="00000000" w:rsidR="00000000" w:rsidRPr="00000000">
        <w:rPr>
          <w:rtl w:val="0"/>
        </w:rPr>
        <w:t xml:space="preserve">Despite the bad connotations of addiction and engagement, engagement can come from many places in video games. From having high scores so that every player has a perpetual challenge to try and get the top, to the theory of scaling difficulty in levels that progressively get more challenging or as Hoffman &amp; Nadelson (2010, </w:t>
      </w:r>
      <w:r w:rsidDel="00000000" w:rsidR="00000000" w:rsidRPr="00000000">
        <w:rPr>
          <w:rtl w:val="0"/>
        </w:rPr>
        <w:t xml:space="preserve">p246</w:t>
      </w:r>
      <w:r w:rsidDel="00000000" w:rsidR="00000000" w:rsidRPr="00000000">
        <w:rPr>
          <w:rtl w:val="0"/>
        </w:rPr>
        <w:t xml:space="preserve">) describes tasks with high levels of engagement as: </w:t>
      </w:r>
    </w:p>
    <w:p w:rsidR="00000000" w:rsidDel="00000000" w:rsidP="00000000" w:rsidRDefault="00000000" w:rsidRPr="00000000" w14:paraId="00000046">
      <w:pPr>
        <w:ind w:left="720" w:firstLine="0"/>
        <w:rPr/>
      </w:pPr>
      <w:r w:rsidDel="00000000" w:rsidR="00000000" w:rsidRPr="00000000">
        <w:rPr>
          <w:rtl w:val="0"/>
        </w:rPr>
        <w:t xml:space="preserve">“Multiple-level games become increasingly complex and challenging as a player progresses and are of particular interest because the escalating difficulty requires persistence, overcoming in-game obstacles, and application of strategies to be successful at accomplishing game objectives.”</w:t>
      </w:r>
    </w:p>
    <w:p w:rsidR="00000000" w:rsidDel="00000000" w:rsidP="00000000" w:rsidRDefault="00000000" w:rsidRPr="00000000" w14:paraId="00000047">
      <w:pPr>
        <w:ind w:left="720" w:firstLine="0"/>
        <w:rPr/>
      </w:pPr>
      <w:r w:rsidDel="00000000" w:rsidR="00000000" w:rsidRPr="00000000">
        <w:rPr>
          <w:rtl w:val="0"/>
        </w:rPr>
      </w:r>
    </w:p>
    <w:p w:rsidR="00000000" w:rsidDel="00000000" w:rsidP="00000000" w:rsidRDefault="00000000" w:rsidRPr="00000000" w14:paraId="00000048">
      <w:pPr>
        <w:ind w:left="0" w:firstLine="0"/>
        <w:rPr/>
      </w:pPr>
      <w:r w:rsidDel="00000000" w:rsidR="00000000" w:rsidRPr="00000000">
        <w:rPr>
          <w:rtl w:val="0"/>
        </w:rPr>
        <w:t xml:space="preserve">To conclude on this section, engagement and immersion are closely related to keeping players playing for longer periods of time and there are studies that show a negative correlation between immersive and engaging gameplay to addiction among younger audiences. This is where I want to link my next keyword of “demographic” to “engagement”. Demographics referring to the targeted audience of games and how this affects engagement in video games. I think there might be a correlation between demographics and video game addiction.</w:t>
      </w:r>
    </w:p>
    <w:p w:rsidR="00000000" w:rsidDel="00000000" w:rsidP="00000000" w:rsidRDefault="00000000" w:rsidRPr="00000000" w14:paraId="00000049">
      <w:pPr>
        <w:ind w:left="0" w:firstLine="0"/>
        <w:rPr/>
      </w:pPr>
      <w:r w:rsidDel="00000000" w:rsidR="00000000" w:rsidRPr="00000000">
        <w:rPr>
          <w:rtl w:val="0"/>
        </w:rPr>
      </w:r>
    </w:p>
    <w:p w:rsidR="00000000" w:rsidDel="00000000" w:rsidP="00000000" w:rsidRDefault="00000000" w:rsidRPr="00000000" w14:paraId="0000004A">
      <w:pPr>
        <w:ind w:left="0" w:firstLine="0"/>
        <w:rPr/>
      </w:pPr>
      <w:r w:rsidDel="00000000" w:rsidR="00000000" w:rsidRPr="00000000">
        <w:br w:type="page"/>
      </w:r>
      <w:r w:rsidDel="00000000" w:rsidR="00000000" w:rsidRPr="00000000">
        <w:rPr>
          <w:rtl w:val="0"/>
        </w:rPr>
      </w:r>
    </w:p>
    <w:p w:rsidR="00000000" w:rsidDel="00000000" w:rsidP="00000000" w:rsidRDefault="00000000" w:rsidRPr="00000000" w14:paraId="0000004B">
      <w:pPr>
        <w:pStyle w:val="Heading3"/>
        <w:rPr/>
      </w:pPr>
      <w:bookmarkStart w:colFirst="0" w:colLast="0" w:name="_abav6uyodz0i" w:id="3"/>
      <w:bookmarkEnd w:id="3"/>
      <w:r w:rsidDel="00000000" w:rsidR="00000000" w:rsidRPr="00000000">
        <w:rPr>
          <w:rtl w:val="0"/>
        </w:rPr>
        <w:t xml:space="preserve">Demographic</w:t>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t xml:space="preserve">Demographic fits in with engagement and immersion, since games that are more targeted to a particular audience of people will be more appealing to that specific audience. A Demographic is broad and can cover multiple topics of interest, for example:</w:t>
      </w:r>
    </w:p>
    <w:p w:rsidR="00000000" w:rsidDel="00000000" w:rsidP="00000000" w:rsidRDefault="00000000" w:rsidRPr="00000000" w14:paraId="0000004E">
      <w:pPr>
        <w:rPr/>
      </w:pPr>
      <w:r w:rsidDel="00000000" w:rsidR="00000000" w:rsidRPr="00000000">
        <w:rPr>
          <w:rtl w:val="0"/>
        </w:rPr>
        <w:t xml:space="preserve">Age</w:t>
      </w:r>
    </w:p>
    <w:p w:rsidR="00000000" w:rsidDel="00000000" w:rsidP="00000000" w:rsidRDefault="00000000" w:rsidRPr="00000000" w14:paraId="0000004F">
      <w:pPr>
        <w:rPr/>
      </w:pPr>
      <w:r w:rsidDel="00000000" w:rsidR="00000000" w:rsidRPr="00000000">
        <w:rPr>
          <w:rtl w:val="0"/>
        </w:rPr>
        <w:t xml:space="preserve">Gender</w:t>
      </w:r>
    </w:p>
    <w:p w:rsidR="00000000" w:rsidDel="00000000" w:rsidP="00000000" w:rsidRDefault="00000000" w:rsidRPr="00000000" w14:paraId="00000050">
      <w:pPr>
        <w:rPr/>
      </w:pPr>
      <w:r w:rsidDel="00000000" w:rsidR="00000000" w:rsidRPr="00000000">
        <w:rPr>
          <w:rtl w:val="0"/>
        </w:rPr>
        <w:t xml:space="preserve">Race</w:t>
      </w:r>
    </w:p>
    <w:p w:rsidR="00000000" w:rsidDel="00000000" w:rsidP="00000000" w:rsidRDefault="00000000" w:rsidRPr="00000000" w14:paraId="00000051">
      <w:pPr>
        <w:rPr/>
      </w:pPr>
      <w:r w:rsidDel="00000000" w:rsidR="00000000" w:rsidRPr="00000000">
        <w:rPr>
          <w:rtl w:val="0"/>
        </w:rPr>
        <w:t xml:space="preserve">Annual Income</w:t>
      </w:r>
    </w:p>
    <w:p w:rsidR="00000000" w:rsidDel="00000000" w:rsidP="00000000" w:rsidRDefault="00000000" w:rsidRPr="00000000" w14:paraId="00000052">
      <w:pPr>
        <w:rPr/>
      </w:pPr>
      <w:r w:rsidDel="00000000" w:rsidR="00000000" w:rsidRPr="00000000">
        <w:rPr>
          <w:rtl w:val="0"/>
        </w:rPr>
        <w:t xml:space="preserve">These are all examples of demographics, but there are many more since it is mostly used to categorize a particular audience. In the interest of video games, the industry first normally looks at the demographic of age. Since the age of a target audience needs to developed before creating a game and need to coincide with the PEGI ratings system </w:t>
      </w:r>
      <w:r w:rsidDel="00000000" w:rsidR="00000000" w:rsidRPr="00000000">
        <w:rPr>
          <w:rFonts w:ascii="Arial" w:cs="Arial" w:eastAsia="Arial" w:hAnsi="Arial"/>
          <w:sz w:val="20"/>
          <w:szCs w:val="20"/>
          <w:highlight w:val="white"/>
          <w:rtl w:val="0"/>
        </w:rPr>
        <w:t xml:space="preserve">(Pegi.info, n.d.)</w:t>
      </w:r>
      <w:r w:rsidDel="00000000" w:rsidR="00000000" w:rsidRPr="00000000">
        <w:rPr>
          <w:rtl w:val="0"/>
        </w:rPr>
        <w:t xml:space="preserve">.</w:t>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t xml:space="preserve">The official website describes it as the age rating system used in TV, Film and games as a minimum age guideline for consumers to make an informed decision on what products are good for a child. Although this normally refers to a mature rating system, basing it off gore, violence, sex, bad language and audio visual content.</w:t>
      </w:r>
    </w:p>
    <w:p w:rsidR="00000000" w:rsidDel="00000000" w:rsidP="00000000" w:rsidRDefault="00000000" w:rsidRPr="00000000" w14:paraId="00000055">
      <w:pPr>
        <w:rPr/>
      </w:pPr>
      <w:r w:rsidDel="00000000" w:rsidR="00000000" w:rsidRPr="00000000">
        <w:rPr>
          <w:rtl w:val="0"/>
        </w:rPr>
        <w:t xml:space="preserve">The PEGI rating does not take into consideration a level of addictiveness for video games, but there is research into developing a measurement for game addiction, a study by </w:t>
      </w:r>
      <w:r w:rsidDel="00000000" w:rsidR="00000000" w:rsidRPr="00000000">
        <w:rPr>
          <w:rtl w:val="0"/>
        </w:rPr>
        <w:t xml:space="preserve">Khazaal (2018)</w:t>
      </w:r>
      <w:r w:rsidDel="00000000" w:rsidR="00000000" w:rsidRPr="00000000">
        <w:rPr>
          <w:rtl w:val="0"/>
        </w:rPr>
        <w:t xml:space="preserve"> to try and introduce a GAS (Gaming Addiction Scale). Although the study will need more research into developing a GAS, once it has been fully recognised it could be used in conjunction with the PEGI rating. This might help combat the problem of video game addicts, so that young audiences who are prone to addictive behaviour will know not to get a potentially addictive game.</w:t>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t xml:space="preserve">In game design demographics are important when you want to market, sell and create your game They should be considered whenever anything needs to be implemented into the game your creating. Having a particular audience you want to sell your game too means the designer can make a game around the target audience and demographics you have chosen. You can then market your game around what your audience are more likely to look at or take interest in. So it is incredibly important to keep this in mind when creating a game.</w:t>
      </w:r>
      <w:r w:rsidDel="00000000" w:rsidR="00000000" w:rsidRPr="00000000">
        <w:br w:type="page"/>
      </w:r>
      <w:r w:rsidDel="00000000" w:rsidR="00000000" w:rsidRPr="00000000">
        <w:rPr>
          <w:rtl w:val="0"/>
        </w:rPr>
      </w:r>
    </w:p>
    <w:p w:rsidR="00000000" w:rsidDel="00000000" w:rsidP="00000000" w:rsidRDefault="00000000" w:rsidRPr="00000000" w14:paraId="00000058">
      <w:pPr>
        <w:rPr/>
      </w:pPr>
      <w:r w:rsidDel="00000000" w:rsidR="00000000" w:rsidRPr="00000000">
        <w:rPr>
          <w:rtl w:val="0"/>
        </w:rPr>
        <w:t xml:space="preserve">When researching into demographics and video games, I came up with the assumption that a younger audience is more likely to play games for longer and lose track of time. Which would explain why there are more video game addicts among younger gamers. However demographics of games seem to have no correlation with gamers and loss of time when playing games. A study by Wood (2007, p.1) has shown that the loss of time occurs regardless of  “gender, age, or frequency of play” but was in fact more closely linked to how the games were created “... more associated with particular structural characteristics of games such as their complexity, the presence of multi-levels, missions and/or high scores, multiplayer interactions, and plot”. This study supports that demographics have no impact on time loss (immersion or engagement of games) but instead, depends on how the games were created.</w:t>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t xml:space="preserve">To conclude on this section, I tried finding a connection between the problem of engagement and immersion with demographics, but it seems it is not the case. A games ability to be addictive is almost entirely based on making a game engaging and immersive, making a person lose track of time as they play. This practice in video games is common since as game designers we want our players to feel satisfied with the amount of content we have produced or how many hours our players have put into our games. But this does have a negative effect on our audience since games can be addictive and some people are more prone to addiction than others. </w:t>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pStyle w:val="Heading3"/>
        <w:rPr/>
      </w:pPr>
      <w:bookmarkStart w:colFirst="0" w:colLast="0" w:name="_wnlsv8bogks1" w:id="4"/>
      <w:bookmarkEnd w:id="4"/>
      <w:r w:rsidDel="00000000" w:rsidR="00000000" w:rsidRPr="00000000">
        <w:rPr>
          <w:rtl w:val="0"/>
        </w:rPr>
        <w:t xml:space="preserve">Dissertation question proposal</w:t>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t xml:space="preserve">My research into every word in my essay and their impact on the field of my study has had some interesting results and I have drawn my own conclusions from each. A topic I found myself interested in and found had come up a few times in my research is the effect of addiction and video games. How immersion linked with this topic as the idea of immersion and video games is so that a player can feel almost entranced and  enthralled with the gameplay of a game. Engagement and video games showed that addiction comes from the act of being entirely engaged with a game that they almost lose a sense of time. Then lastly how the demographics of a game may have an effect on addiction since younger audiences could be more prone to its effects and that game designers may be creating content to take advantage of that.</w:t>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t xml:space="preserve">My proposal of the dissertation question, I will answer, will be;  </w:t>
      </w:r>
    </w:p>
    <w:p w:rsidR="00000000" w:rsidDel="00000000" w:rsidP="00000000" w:rsidRDefault="00000000" w:rsidRPr="00000000" w14:paraId="00000062">
      <w:pPr>
        <w:rPr/>
      </w:pPr>
      <w:r w:rsidDel="00000000" w:rsidR="00000000" w:rsidRPr="00000000">
        <w:rPr>
          <w:rtl w:val="0"/>
        </w:rPr>
        <w:t xml:space="preserve">“</w:t>
      </w:r>
      <w:r w:rsidDel="00000000" w:rsidR="00000000" w:rsidRPr="00000000">
        <w:rPr>
          <w:b w:val="1"/>
          <w:rtl w:val="0"/>
        </w:rPr>
        <w:t xml:space="preserve">What are the effects of video game addiction?</w:t>
      </w:r>
      <w:r w:rsidDel="00000000" w:rsidR="00000000" w:rsidRPr="00000000">
        <w:rPr>
          <w:rtl w:val="0"/>
        </w:rPr>
        <w:t xml:space="preserve">” </w:t>
      </w:r>
    </w:p>
    <w:p w:rsidR="00000000" w:rsidDel="00000000" w:rsidP="00000000" w:rsidRDefault="00000000" w:rsidRPr="00000000" w14:paraId="00000063">
      <w:pPr>
        <w:ind w:firstLine="720"/>
        <w:rPr/>
      </w:pPr>
      <w:r w:rsidDel="00000000" w:rsidR="00000000" w:rsidRPr="00000000">
        <w:rPr>
          <w:rtl w:val="0"/>
        </w:rPr>
        <w:t xml:space="preserve">-“What are the solutions to video game addiction?”</w:t>
      </w:r>
    </w:p>
    <w:p w:rsidR="00000000" w:rsidDel="00000000" w:rsidP="00000000" w:rsidRDefault="00000000" w:rsidRPr="00000000" w14:paraId="00000064">
      <w:pPr>
        <w:ind w:firstLine="720"/>
        <w:rPr/>
      </w:pPr>
      <w:r w:rsidDel="00000000" w:rsidR="00000000" w:rsidRPr="00000000">
        <w:rPr>
          <w:rtl w:val="0"/>
        </w:rPr>
        <w:t xml:space="preserve">- “What are the links between gambling and video games?”</w:t>
      </w:r>
    </w:p>
    <w:p w:rsidR="00000000" w:rsidDel="00000000" w:rsidP="00000000" w:rsidRDefault="00000000" w:rsidRPr="00000000" w14:paraId="00000065">
      <w:pPr>
        <w:ind w:left="720" w:firstLine="0"/>
        <w:rPr/>
      </w:pPr>
      <w:r w:rsidDel="00000000" w:rsidR="00000000" w:rsidRPr="00000000">
        <w:rPr>
          <w:rtl w:val="0"/>
        </w:rPr>
        <w:t xml:space="preserve">-“Are video game developers taking advantage of younger audiences who are prone to        addictive behaviour?</w:t>
      </w:r>
      <w:r w:rsidDel="00000000" w:rsidR="00000000" w:rsidRPr="00000000">
        <w:rPr>
          <w:rtl w:val="0"/>
        </w:rPr>
      </w:r>
    </w:p>
    <w:p w:rsidR="00000000" w:rsidDel="00000000" w:rsidP="00000000" w:rsidRDefault="00000000" w:rsidRPr="00000000" w14:paraId="00000066">
      <w:pPr>
        <w:ind w:left="0" w:firstLine="0"/>
        <w:rPr/>
      </w:pPr>
      <w:r w:rsidDel="00000000" w:rsidR="00000000" w:rsidRPr="00000000">
        <w:br w:type="page"/>
      </w:r>
      <w:r w:rsidDel="00000000" w:rsidR="00000000" w:rsidRPr="00000000">
        <w:rPr>
          <w:rtl w:val="0"/>
        </w:rPr>
      </w:r>
    </w:p>
    <w:p w:rsidR="00000000" w:rsidDel="00000000" w:rsidP="00000000" w:rsidRDefault="00000000" w:rsidRPr="00000000" w14:paraId="00000067">
      <w:pPr>
        <w:pStyle w:val="Heading3"/>
        <w:rPr/>
      </w:pPr>
      <w:bookmarkStart w:colFirst="0" w:colLast="0" w:name="_9jycebtz8gyf" w:id="5"/>
      <w:bookmarkEnd w:id="5"/>
      <w:r w:rsidDel="00000000" w:rsidR="00000000" w:rsidRPr="00000000">
        <w:rPr>
          <w:rtl w:val="0"/>
        </w:rPr>
        <w:t xml:space="preserve">Bibliography</w:t>
      </w:r>
    </w:p>
    <w:p w:rsidR="00000000" w:rsidDel="00000000" w:rsidP="00000000" w:rsidRDefault="00000000" w:rsidRPr="00000000" w14:paraId="00000068">
      <w:pPr>
        <w:rPr>
          <w:rFonts w:ascii="Arial" w:cs="Arial" w:eastAsia="Arial" w:hAnsi="Arial"/>
          <w:color w:val="333333"/>
          <w:sz w:val="20"/>
          <w:szCs w:val="20"/>
          <w:highlight w:val="white"/>
        </w:rPr>
      </w:pPr>
      <w:r w:rsidDel="00000000" w:rsidR="00000000" w:rsidRPr="00000000">
        <w:rPr>
          <w:rtl w:val="0"/>
        </w:rPr>
      </w:r>
    </w:p>
    <w:p w:rsidR="00000000" w:rsidDel="00000000" w:rsidP="00000000" w:rsidRDefault="00000000" w:rsidRPr="00000000" w14:paraId="00000069">
      <w:pPr>
        <w:rPr>
          <w:rFonts w:ascii="Arial" w:cs="Arial" w:eastAsia="Arial" w:hAnsi="Arial"/>
          <w:i w:val="1"/>
          <w:color w:val="333333"/>
          <w:sz w:val="20"/>
          <w:szCs w:val="20"/>
          <w:highlight w:val="white"/>
        </w:rPr>
      </w:pPr>
      <w:r w:rsidDel="00000000" w:rsidR="00000000" w:rsidRPr="00000000">
        <w:rPr>
          <w:rFonts w:ascii="Arial" w:cs="Arial" w:eastAsia="Arial" w:hAnsi="Arial"/>
          <w:color w:val="333333"/>
          <w:sz w:val="20"/>
          <w:szCs w:val="20"/>
          <w:highlight w:val="white"/>
          <w:rtl w:val="0"/>
        </w:rPr>
        <w:t xml:space="preserve">Hoffman, B. and Nadelson, L. (2010) </w:t>
      </w:r>
      <w:r w:rsidDel="00000000" w:rsidR="00000000" w:rsidRPr="00000000">
        <w:rPr>
          <w:rFonts w:ascii="Arial" w:cs="Arial" w:eastAsia="Arial" w:hAnsi="Arial"/>
          <w:i w:val="1"/>
          <w:color w:val="333333"/>
          <w:sz w:val="20"/>
          <w:szCs w:val="20"/>
          <w:highlight w:val="white"/>
          <w:rtl w:val="0"/>
        </w:rPr>
        <w:t xml:space="preserve">Motivational engagement and video gaming: a mixed</w:t>
      </w:r>
    </w:p>
    <w:p w:rsidR="00000000" w:rsidDel="00000000" w:rsidP="00000000" w:rsidRDefault="00000000" w:rsidRPr="00000000" w14:paraId="0000006A">
      <w:pPr>
        <w:rPr>
          <w:rFonts w:ascii="Arial" w:cs="Arial" w:eastAsia="Arial" w:hAnsi="Arial"/>
          <w:color w:val="333333"/>
          <w:sz w:val="20"/>
          <w:szCs w:val="20"/>
          <w:highlight w:val="white"/>
        </w:rPr>
      </w:pPr>
      <w:r w:rsidDel="00000000" w:rsidR="00000000" w:rsidRPr="00000000">
        <w:rPr>
          <w:rFonts w:ascii="Arial" w:cs="Arial" w:eastAsia="Arial" w:hAnsi="Arial"/>
          <w:i w:val="1"/>
          <w:color w:val="333333"/>
          <w:sz w:val="20"/>
          <w:szCs w:val="20"/>
          <w:highlight w:val="white"/>
          <w:rtl w:val="0"/>
        </w:rPr>
        <w:t xml:space="preserve">methods study </w:t>
      </w:r>
      <w:r w:rsidDel="00000000" w:rsidR="00000000" w:rsidRPr="00000000">
        <w:rPr>
          <w:rFonts w:ascii="Arial" w:cs="Arial" w:eastAsia="Arial" w:hAnsi="Arial"/>
          <w:color w:val="333333"/>
          <w:sz w:val="20"/>
          <w:szCs w:val="20"/>
          <w:highlight w:val="white"/>
          <w:rtl w:val="0"/>
        </w:rPr>
        <w:t xml:space="preserve"> (p246)</w:t>
      </w:r>
    </w:p>
    <w:p w:rsidR="00000000" w:rsidDel="00000000" w:rsidP="00000000" w:rsidRDefault="00000000" w:rsidRPr="00000000" w14:paraId="0000006B">
      <w:pPr>
        <w:rPr>
          <w:rFonts w:ascii="Arial" w:cs="Arial" w:eastAsia="Arial" w:hAnsi="Arial"/>
          <w:color w:val="333333"/>
          <w:sz w:val="20"/>
          <w:szCs w:val="20"/>
          <w:highlight w:val="white"/>
        </w:rPr>
      </w:pPr>
      <w:r w:rsidDel="00000000" w:rsidR="00000000" w:rsidRPr="00000000">
        <w:rPr>
          <w:rFonts w:ascii="Arial" w:cs="Arial" w:eastAsia="Arial" w:hAnsi="Arial"/>
          <w:color w:val="333333"/>
          <w:sz w:val="20"/>
          <w:szCs w:val="20"/>
          <w:highlight w:val="white"/>
          <w:rtl w:val="0"/>
        </w:rPr>
        <w:t xml:space="preserve">Hope M. Cummings, MA, (2007) </w:t>
      </w:r>
      <w:r w:rsidDel="00000000" w:rsidR="00000000" w:rsidRPr="00000000">
        <w:rPr>
          <w:rFonts w:ascii="Arial" w:cs="Arial" w:eastAsia="Arial" w:hAnsi="Arial"/>
          <w:i w:val="1"/>
          <w:color w:val="333333"/>
          <w:sz w:val="20"/>
          <w:szCs w:val="20"/>
          <w:highlight w:val="white"/>
          <w:rtl w:val="0"/>
        </w:rPr>
        <w:t xml:space="preserve">Relation of Adolescent Video Game Play to Time Spent in Other Activities</w:t>
      </w:r>
      <w:r w:rsidDel="00000000" w:rsidR="00000000" w:rsidRPr="00000000">
        <w:rPr>
          <w:rFonts w:ascii="Arial" w:cs="Arial" w:eastAsia="Arial" w:hAnsi="Arial"/>
          <w:color w:val="333333"/>
          <w:sz w:val="20"/>
          <w:szCs w:val="20"/>
          <w:highlight w:val="white"/>
          <w:rtl w:val="0"/>
        </w:rPr>
        <w:t xml:space="preserve"> </w:t>
      </w:r>
      <w:r w:rsidDel="00000000" w:rsidR="00000000" w:rsidRPr="00000000">
        <w:rPr>
          <w:rFonts w:ascii="Arial" w:cs="Arial" w:eastAsia="Arial" w:hAnsi="Arial"/>
          <w:color w:val="333333"/>
          <w:sz w:val="20"/>
          <w:szCs w:val="20"/>
          <w:highlight w:val="white"/>
          <w:rtl w:val="0"/>
        </w:rPr>
        <w:t xml:space="preserve">(pg.1)</w:t>
      </w:r>
    </w:p>
    <w:p w:rsidR="00000000" w:rsidDel="00000000" w:rsidP="00000000" w:rsidRDefault="00000000" w:rsidRPr="00000000" w14:paraId="0000006C">
      <w:pPr>
        <w:rPr>
          <w:rFonts w:ascii="Arial" w:cs="Arial" w:eastAsia="Arial" w:hAnsi="Arial"/>
          <w:color w:val="333333"/>
          <w:sz w:val="20"/>
          <w:szCs w:val="20"/>
          <w:highlight w:val="white"/>
        </w:rPr>
      </w:pPr>
      <w:r w:rsidDel="00000000" w:rsidR="00000000" w:rsidRPr="00000000">
        <w:rPr>
          <w:rFonts w:ascii="Arial" w:cs="Arial" w:eastAsia="Arial" w:hAnsi="Arial"/>
          <w:color w:val="333333"/>
          <w:sz w:val="20"/>
          <w:szCs w:val="20"/>
          <w:highlight w:val="white"/>
          <w:rtl w:val="0"/>
        </w:rPr>
        <w:t xml:space="preserve">Jones, M. G. (1999). </w:t>
      </w:r>
      <w:r w:rsidDel="00000000" w:rsidR="00000000" w:rsidRPr="00000000">
        <w:rPr>
          <w:rFonts w:ascii="Arial" w:cs="Arial" w:eastAsia="Arial" w:hAnsi="Arial"/>
          <w:i w:val="1"/>
          <w:color w:val="333333"/>
          <w:sz w:val="20"/>
          <w:szCs w:val="20"/>
          <w:highlight w:val="white"/>
          <w:rtl w:val="0"/>
        </w:rPr>
        <w:t xml:space="preserve">What can we learn from computer games: Strategies for learner involvement.</w:t>
      </w:r>
      <w:r w:rsidDel="00000000" w:rsidR="00000000" w:rsidRPr="00000000">
        <w:rPr>
          <w:rFonts w:ascii="Arial" w:cs="Arial" w:eastAsia="Arial" w:hAnsi="Arial"/>
          <w:color w:val="333333"/>
          <w:sz w:val="20"/>
          <w:szCs w:val="20"/>
          <w:highlight w:val="white"/>
          <w:rtl w:val="0"/>
        </w:rPr>
        <w:t xml:space="preserve"> (pg.327).</w:t>
      </w:r>
    </w:p>
    <w:p w:rsidR="00000000" w:rsidDel="00000000" w:rsidP="00000000" w:rsidRDefault="00000000" w:rsidRPr="00000000" w14:paraId="0000006D">
      <w:pPr>
        <w:rPr>
          <w:rFonts w:ascii="Arial" w:cs="Arial" w:eastAsia="Arial" w:hAnsi="Arial"/>
          <w:i w:val="1"/>
          <w:color w:val="333333"/>
          <w:sz w:val="20"/>
          <w:szCs w:val="20"/>
          <w:highlight w:val="white"/>
        </w:rPr>
      </w:pPr>
      <w:r w:rsidDel="00000000" w:rsidR="00000000" w:rsidRPr="00000000">
        <w:rPr>
          <w:rFonts w:ascii="Arial" w:cs="Arial" w:eastAsia="Arial" w:hAnsi="Arial"/>
          <w:color w:val="333333"/>
          <w:sz w:val="20"/>
          <w:szCs w:val="20"/>
          <w:highlight w:val="white"/>
          <w:rtl w:val="0"/>
        </w:rPr>
        <w:t xml:space="preserve">Khazaal, Y. MD (2018) </w:t>
      </w:r>
      <w:r w:rsidDel="00000000" w:rsidR="00000000" w:rsidRPr="00000000">
        <w:rPr>
          <w:rFonts w:ascii="Arial" w:cs="Arial" w:eastAsia="Arial" w:hAnsi="Arial"/>
          <w:i w:val="1"/>
          <w:color w:val="333333"/>
          <w:sz w:val="20"/>
          <w:szCs w:val="20"/>
          <w:highlight w:val="white"/>
          <w:rtl w:val="0"/>
        </w:rPr>
        <w:t xml:space="preserve">Game Addiction Scale Assessment Through a Nationally Representative Sample of Young Adult Men: Item Response Theory Graded–Response Modeling</w:t>
      </w:r>
    </w:p>
    <w:p w:rsidR="00000000" w:rsidDel="00000000" w:rsidP="00000000" w:rsidRDefault="00000000" w:rsidRPr="00000000" w14:paraId="0000006E">
      <w:pPr>
        <w:rPr>
          <w:rFonts w:ascii="Arial" w:cs="Arial" w:eastAsia="Arial" w:hAnsi="Arial"/>
          <w:color w:val="333333"/>
          <w:sz w:val="20"/>
          <w:szCs w:val="20"/>
          <w:highlight w:val="white"/>
        </w:rPr>
      </w:pPr>
      <w:r w:rsidDel="00000000" w:rsidR="00000000" w:rsidRPr="00000000">
        <w:rPr>
          <w:rFonts w:ascii="Arial" w:cs="Arial" w:eastAsia="Arial" w:hAnsi="Arial"/>
          <w:color w:val="333333"/>
          <w:sz w:val="20"/>
          <w:szCs w:val="20"/>
          <w:highlight w:val="white"/>
          <w:rtl w:val="0"/>
        </w:rPr>
        <w:t xml:space="preserve">Lenhart, A. (2008) </w:t>
      </w:r>
      <w:r w:rsidDel="00000000" w:rsidR="00000000" w:rsidRPr="00000000">
        <w:rPr>
          <w:rFonts w:ascii="Arial" w:cs="Arial" w:eastAsia="Arial" w:hAnsi="Arial"/>
          <w:i w:val="1"/>
          <w:color w:val="333333"/>
          <w:sz w:val="20"/>
          <w:szCs w:val="20"/>
          <w:highlight w:val="white"/>
          <w:rtl w:val="0"/>
        </w:rPr>
        <w:t xml:space="preserve">Teens, Video Games, and Civics: Teens' Gaming Experiences Are Diverse and Include Significant Social Interaction and Civic Engagement.</w:t>
      </w:r>
      <w:r w:rsidDel="00000000" w:rsidR="00000000" w:rsidRPr="00000000">
        <w:rPr>
          <w:rFonts w:ascii="Arial" w:cs="Arial" w:eastAsia="Arial" w:hAnsi="Arial"/>
          <w:color w:val="333333"/>
          <w:sz w:val="20"/>
          <w:szCs w:val="20"/>
          <w:highlight w:val="white"/>
          <w:rtl w:val="0"/>
        </w:rPr>
        <w:t xml:space="preserve"> (pg.8)</w:t>
      </w:r>
    </w:p>
    <w:p w:rsidR="00000000" w:rsidDel="00000000" w:rsidP="00000000" w:rsidRDefault="00000000" w:rsidRPr="00000000" w14:paraId="0000006F">
      <w:pPr>
        <w:rPr>
          <w:rFonts w:ascii="Arial" w:cs="Arial" w:eastAsia="Arial" w:hAnsi="Arial"/>
          <w:color w:val="333333"/>
          <w:sz w:val="20"/>
          <w:szCs w:val="20"/>
          <w:highlight w:val="white"/>
        </w:rPr>
      </w:pPr>
      <w:r w:rsidDel="00000000" w:rsidR="00000000" w:rsidRPr="00000000">
        <w:rPr>
          <w:rFonts w:ascii="Arial" w:cs="Arial" w:eastAsia="Arial" w:hAnsi="Arial"/>
          <w:color w:val="333333"/>
          <w:sz w:val="20"/>
          <w:szCs w:val="20"/>
          <w:highlight w:val="white"/>
          <w:rtl w:val="0"/>
        </w:rPr>
        <w:t xml:space="preserve">Murray, J. (1997), </w:t>
      </w:r>
      <w:r w:rsidDel="00000000" w:rsidR="00000000" w:rsidRPr="00000000">
        <w:rPr>
          <w:rFonts w:ascii="Arial" w:cs="Arial" w:eastAsia="Arial" w:hAnsi="Arial"/>
          <w:i w:val="1"/>
          <w:color w:val="333333"/>
          <w:sz w:val="20"/>
          <w:szCs w:val="20"/>
          <w:highlight w:val="white"/>
          <w:rtl w:val="0"/>
        </w:rPr>
        <w:t xml:space="preserve">Hamlet on the Holodeck: The Future of Narrative in Cyberspace</w:t>
      </w:r>
      <w:r w:rsidDel="00000000" w:rsidR="00000000" w:rsidRPr="00000000">
        <w:rPr>
          <w:rFonts w:ascii="Arial" w:cs="Arial" w:eastAsia="Arial" w:hAnsi="Arial"/>
          <w:color w:val="333333"/>
          <w:sz w:val="20"/>
          <w:szCs w:val="20"/>
          <w:highlight w:val="white"/>
          <w:rtl w:val="0"/>
        </w:rPr>
        <w:t xml:space="preserve"> (pg.98–99).</w:t>
      </w:r>
    </w:p>
    <w:p w:rsidR="00000000" w:rsidDel="00000000" w:rsidP="00000000" w:rsidRDefault="00000000" w:rsidRPr="00000000" w14:paraId="00000070">
      <w:pPr>
        <w:rPr>
          <w:rFonts w:ascii="Arial" w:cs="Arial" w:eastAsia="Arial" w:hAnsi="Arial"/>
          <w:color w:val="333333"/>
          <w:sz w:val="20"/>
          <w:szCs w:val="20"/>
          <w:highlight w:val="white"/>
        </w:rPr>
      </w:pPr>
      <w:r w:rsidDel="00000000" w:rsidR="00000000" w:rsidRPr="00000000">
        <w:rPr>
          <w:rFonts w:ascii="Arial" w:cs="Arial" w:eastAsia="Arial" w:hAnsi="Arial"/>
          <w:color w:val="333333"/>
          <w:sz w:val="20"/>
          <w:szCs w:val="20"/>
          <w:highlight w:val="white"/>
          <w:rtl w:val="0"/>
        </w:rPr>
        <w:t xml:space="preserve">Pegi.info. (n.d.). </w:t>
      </w:r>
      <w:r w:rsidDel="00000000" w:rsidR="00000000" w:rsidRPr="00000000">
        <w:rPr>
          <w:rFonts w:ascii="Arial" w:cs="Arial" w:eastAsia="Arial" w:hAnsi="Arial"/>
          <w:i w:val="1"/>
          <w:color w:val="333333"/>
          <w:sz w:val="20"/>
          <w:szCs w:val="20"/>
          <w:highlight w:val="white"/>
          <w:rtl w:val="0"/>
        </w:rPr>
        <w:t xml:space="preserve">PEGI age ratings | Pegi Public Site.</w:t>
      </w:r>
      <w:r w:rsidDel="00000000" w:rsidR="00000000" w:rsidRPr="00000000">
        <w:rPr>
          <w:rFonts w:ascii="Arial" w:cs="Arial" w:eastAsia="Arial" w:hAnsi="Arial"/>
          <w:color w:val="333333"/>
          <w:sz w:val="20"/>
          <w:szCs w:val="20"/>
          <w:highlight w:val="white"/>
          <w:rtl w:val="0"/>
        </w:rPr>
        <w:t xml:space="preserve"> [online] Available at: https://pegi.info/page/pegi-age-ratings [Accessed 24 April 2019].</w:t>
      </w:r>
    </w:p>
    <w:p w:rsidR="00000000" w:rsidDel="00000000" w:rsidP="00000000" w:rsidRDefault="00000000" w:rsidRPr="00000000" w14:paraId="00000071">
      <w:pPr>
        <w:rPr>
          <w:rFonts w:ascii="Arial" w:cs="Arial" w:eastAsia="Arial" w:hAnsi="Arial"/>
          <w:color w:val="333333"/>
          <w:sz w:val="20"/>
          <w:szCs w:val="20"/>
          <w:highlight w:val="white"/>
        </w:rPr>
      </w:pPr>
      <w:r w:rsidDel="00000000" w:rsidR="00000000" w:rsidRPr="00000000">
        <w:rPr>
          <w:rFonts w:ascii="Arial" w:cs="Arial" w:eastAsia="Arial" w:hAnsi="Arial"/>
          <w:color w:val="333333"/>
          <w:sz w:val="20"/>
          <w:szCs w:val="20"/>
          <w:highlight w:val="white"/>
          <w:rtl w:val="0"/>
        </w:rPr>
        <w:t xml:space="preserve">Rouse, R. and Ogden, S. (2005). </w:t>
      </w:r>
      <w:r w:rsidDel="00000000" w:rsidR="00000000" w:rsidRPr="00000000">
        <w:rPr>
          <w:rFonts w:ascii="Arial" w:cs="Arial" w:eastAsia="Arial" w:hAnsi="Arial"/>
          <w:i w:val="1"/>
          <w:color w:val="333333"/>
          <w:sz w:val="20"/>
          <w:szCs w:val="20"/>
          <w:highlight w:val="white"/>
          <w:rtl w:val="0"/>
        </w:rPr>
        <w:t xml:space="preserve">Game design theory and Practice. 2nd ed</w:t>
      </w:r>
      <w:r w:rsidDel="00000000" w:rsidR="00000000" w:rsidRPr="00000000">
        <w:rPr>
          <w:rFonts w:ascii="Arial" w:cs="Arial" w:eastAsia="Arial" w:hAnsi="Arial"/>
          <w:color w:val="333333"/>
          <w:sz w:val="20"/>
          <w:szCs w:val="20"/>
          <w:highlight w:val="white"/>
          <w:rtl w:val="0"/>
        </w:rPr>
        <w:t xml:space="preserve">. Plano, Tex.: Wordware Publ., (pg.69-70,79).</w:t>
      </w:r>
    </w:p>
    <w:p w:rsidR="00000000" w:rsidDel="00000000" w:rsidP="00000000" w:rsidRDefault="00000000" w:rsidRPr="00000000" w14:paraId="00000072">
      <w:pPr>
        <w:rPr>
          <w:rFonts w:ascii="Arial" w:cs="Arial" w:eastAsia="Arial" w:hAnsi="Arial"/>
          <w:color w:val="333333"/>
          <w:sz w:val="20"/>
          <w:szCs w:val="20"/>
          <w:highlight w:val="white"/>
        </w:rPr>
      </w:pPr>
      <w:r w:rsidDel="00000000" w:rsidR="00000000" w:rsidRPr="00000000">
        <w:rPr>
          <w:rFonts w:ascii="Arial" w:cs="Arial" w:eastAsia="Arial" w:hAnsi="Arial"/>
          <w:color w:val="333333"/>
          <w:sz w:val="20"/>
          <w:szCs w:val="20"/>
          <w:highlight w:val="white"/>
          <w:rtl w:val="0"/>
        </w:rPr>
        <w:t xml:space="preserve">Sigmund, F. (1914). </w:t>
      </w:r>
      <w:r w:rsidDel="00000000" w:rsidR="00000000" w:rsidRPr="00000000">
        <w:rPr>
          <w:rFonts w:ascii="Arial" w:cs="Arial" w:eastAsia="Arial" w:hAnsi="Arial"/>
          <w:i w:val="1"/>
          <w:color w:val="333333"/>
          <w:sz w:val="20"/>
          <w:szCs w:val="20"/>
          <w:highlight w:val="white"/>
          <w:rtl w:val="0"/>
        </w:rPr>
        <w:t xml:space="preserve">On Narcissism</w:t>
      </w:r>
      <w:r w:rsidDel="00000000" w:rsidR="00000000" w:rsidRPr="00000000">
        <w:rPr>
          <w:rFonts w:ascii="Arial" w:cs="Arial" w:eastAsia="Arial" w:hAnsi="Arial"/>
          <w:color w:val="333333"/>
          <w:sz w:val="20"/>
          <w:szCs w:val="20"/>
          <w:highlight w:val="white"/>
          <w:rtl w:val="0"/>
        </w:rPr>
        <w:t xml:space="preserve"> (pg.67-102)</w:t>
      </w:r>
    </w:p>
    <w:p w:rsidR="00000000" w:rsidDel="00000000" w:rsidP="00000000" w:rsidRDefault="00000000" w:rsidRPr="00000000" w14:paraId="00000073">
      <w:pPr>
        <w:rPr>
          <w:rFonts w:ascii="Arial" w:cs="Arial" w:eastAsia="Arial" w:hAnsi="Arial"/>
          <w:color w:val="333333"/>
          <w:sz w:val="20"/>
          <w:szCs w:val="20"/>
          <w:highlight w:val="white"/>
        </w:rPr>
      </w:pPr>
      <w:r w:rsidDel="00000000" w:rsidR="00000000" w:rsidRPr="00000000">
        <w:rPr>
          <w:rFonts w:ascii="Arial" w:cs="Arial" w:eastAsia="Arial" w:hAnsi="Arial"/>
          <w:color w:val="333333"/>
          <w:sz w:val="20"/>
          <w:szCs w:val="20"/>
          <w:highlight w:val="white"/>
          <w:rtl w:val="0"/>
        </w:rPr>
        <w:t xml:space="preserve">Sweetser, P. (2005). </w:t>
      </w:r>
      <w:r w:rsidDel="00000000" w:rsidR="00000000" w:rsidRPr="00000000">
        <w:rPr>
          <w:rFonts w:ascii="Arial" w:cs="Arial" w:eastAsia="Arial" w:hAnsi="Arial"/>
          <w:i w:val="1"/>
          <w:color w:val="333333"/>
          <w:sz w:val="20"/>
          <w:szCs w:val="20"/>
          <w:highlight w:val="white"/>
          <w:rtl w:val="0"/>
        </w:rPr>
        <w:t xml:space="preserve">GameFlow: A Model for Evaluating Player Enjoyment in Games</w:t>
      </w:r>
      <w:r w:rsidDel="00000000" w:rsidR="00000000" w:rsidRPr="00000000">
        <w:rPr>
          <w:rFonts w:ascii="Arial" w:cs="Arial" w:eastAsia="Arial" w:hAnsi="Arial"/>
          <w:color w:val="333333"/>
          <w:sz w:val="20"/>
          <w:szCs w:val="20"/>
          <w:highlight w:val="white"/>
          <w:rtl w:val="0"/>
        </w:rPr>
        <w:t xml:space="preserve"> (pg.3) </w:t>
      </w:r>
    </w:p>
    <w:p w:rsidR="00000000" w:rsidDel="00000000" w:rsidP="00000000" w:rsidRDefault="00000000" w:rsidRPr="00000000" w14:paraId="00000074">
      <w:pPr>
        <w:rPr>
          <w:rFonts w:ascii="Arial" w:cs="Arial" w:eastAsia="Arial" w:hAnsi="Arial"/>
          <w:color w:val="333333"/>
          <w:sz w:val="20"/>
          <w:szCs w:val="20"/>
          <w:highlight w:val="white"/>
        </w:rPr>
      </w:pPr>
      <w:r w:rsidDel="00000000" w:rsidR="00000000" w:rsidRPr="00000000">
        <w:rPr>
          <w:rFonts w:ascii="Arial" w:cs="Arial" w:eastAsia="Arial" w:hAnsi="Arial"/>
          <w:color w:val="333333"/>
          <w:sz w:val="20"/>
          <w:szCs w:val="20"/>
          <w:highlight w:val="white"/>
          <w:rtl w:val="0"/>
        </w:rPr>
        <w:t xml:space="preserve">Van Rooij, A., Schoenmakers, T., Vermulst, A., Van Den Eijnden, R. and Van De Mheen, D. (2010). </w:t>
      </w:r>
      <w:r w:rsidDel="00000000" w:rsidR="00000000" w:rsidRPr="00000000">
        <w:rPr>
          <w:rFonts w:ascii="Arial" w:cs="Arial" w:eastAsia="Arial" w:hAnsi="Arial"/>
          <w:i w:val="1"/>
          <w:color w:val="333333"/>
          <w:sz w:val="20"/>
          <w:szCs w:val="20"/>
          <w:highlight w:val="white"/>
          <w:rtl w:val="0"/>
        </w:rPr>
        <w:t xml:space="preserve">Online video game addiction: identification of addicted adolescent gamers. Addiction,</w:t>
      </w:r>
      <w:r w:rsidDel="00000000" w:rsidR="00000000" w:rsidRPr="00000000">
        <w:rPr>
          <w:rFonts w:ascii="Arial" w:cs="Arial" w:eastAsia="Arial" w:hAnsi="Arial"/>
          <w:color w:val="333333"/>
          <w:sz w:val="20"/>
          <w:szCs w:val="20"/>
          <w:highlight w:val="white"/>
          <w:rtl w:val="0"/>
        </w:rPr>
        <w:t xml:space="preserve"> (pg.210-211).</w:t>
      </w:r>
      <w:r w:rsidDel="00000000" w:rsidR="00000000" w:rsidRPr="00000000">
        <w:rPr>
          <w:rtl w:val="0"/>
        </w:rPr>
      </w:r>
    </w:p>
    <w:p w:rsidR="00000000" w:rsidDel="00000000" w:rsidP="00000000" w:rsidRDefault="00000000" w:rsidRPr="00000000" w14:paraId="00000075">
      <w:pPr>
        <w:rPr>
          <w:rFonts w:ascii="Arial" w:cs="Arial" w:eastAsia="Arial" w:hAnsi="Arial"/>
          <w:color w:val="333333"/>
          <w:sz w:val="20"/>
          <w:szCs w:val="20"/>
          <w:highlight w:val="white"/>
        </w:rPr>
      </w:pPr>
      <w:r w:rsidDel="00000000" w:rsidR="00000000" w:rsidRPr="00000000">
        <w:rPr>
          <w:rFonts w:ascii="Arial" w:cs="Arial" w:eastAsia="Arial" w:hAnsi="Arial"/>
          <w:color w:val="333333"/>
          <w:sz w:val="20"/>
          <w:szCs w:val="20"/>
          <w:highlight w:val="white"/>
          <w:rtl w:val="0"/>
        </w:rPr>
        <w:t xml:space="preserve">Wolf, M. and Perron, B. (2013). </w:t>
      </w:r>
      <w:r w:rsidDel="00000000" w:rsidR="00000000" w:rsidRPr="00000000">
        <w:rPr>
          <w:rFonts w:ascii="Arial" w:cs="Arial" w:eastAsia="Arial" w:hAnsi="Arial"/>
          <w:i w:val="1"/>
          <w:color w:val="333333"/>
          <w:sz w:val="20"/>
          <w:szCs w:val="20"/>
          <w:highlight w:val="white"/>
          <w:rtl w:val="0"/>
        </w:rPr>
        <w:t xml:space="preserve">The Video Game Theory Reader</w:t>
      </w:r>
      <w:r w:rsidDel="00000000" w:rsidR="00000000" w:rsidRPr="00000000">
        <w:rPr>
          <w:rFonts w:ascii="Arial" w:cs="Arial" w:eastAsia="Arial" w:hAnsi="Arial"/>
          <w:color w:val="333333"/>
          <w:sz w:val="20"/>
          <w:szCs w:val="20"/>
          <w:highlight w:val="white"/>
          <w:rtl w:val="0"/>
        </w:rPr>
        <w:t xml:space="preserve">. Hoboken: Taylor and Francis.</w:t>
      </w:r>
    </w:p>
    <w:p w:rsidR="00000000" w:rsidDel="00000000" w:rsidP="00000000" w:rsidRDefault="00000000" w:rsidRPr="00000000" w14:paraId="00000076">
      <w:pPr>
        <w:rPr>
          <w:rFonts w:ascii="Arial" w:cs="Arial" w:eastAsia="Arial" w:hAnsi="Arial"/>
          <w:color w:val="333333"/>
          <w:sz w:val="20"/>
          <w:szCs w:val="20"/>
          <w:highlight w:val="white"/>
        </w:rPr>
      </w:pPr>
      <w:r w:rsidDel="00000000" w:rsidR="00000000" w:rsidRPr="00000000">
        <w:rPr>
          <w:rFonts w:ascii="Arial" w:cs="Arial" w:eastAsia="Arial" w:hAnsi="Arial"/>
          <w:color w:val="333333"/>
          <w:sz w:val="20"/>
          <w:szCs w:val="20"/>
          <w:highlight w:val="white"/>
          <w:rtl w:val="0"/>
        </w:rPr>
        <w:t xml:space="preserve">Wood, R. (2007)</w:t>
      </w:r>
      <w:r w:rsidDel="00000000" w:rsidR="00000000" w:rsidRPr="00000000">
        <w:rPr>
          <w:rFonts w:ascii="Arial" w:cs="Arial" w:eastAsia="Arial" w:hAnsi="Arial"/>
          <w:i w:val="1"/>
          <w:color w:val="333333"/>
          <w:sz w:val="20"/>
          <w:szCs w:val="20"/>
          <w:highlight w:val="white"/>
          <w:rtl w:val="0"/>
        </w:rPr>
        <w:t xml:space="preserve"> Experiences of Time Loss among Video game Players: An Empirical Study</w:t>
      </w:r>
      <w:r w:rsidDel="00000000" w:rsidR="00000000" w:rsidRPr="00000000">
        <w:rPr>
          <w:rFonts w:ascii="Arial" w:cs="Arial" w:eastAsia="Arial" w:hAnsi="Arial"/>
          <w:color w:val="333333"/>
          <w:sz w:val="20"/>
          <w:szCs w:val="20"/>
          <w:highlight w:val="white"/>
          <w:rtl w:val="0"/>
        </w:rPr>
        <w:t xml:space="preserve"> (pg.1)</w:t>
      </w:r>
    </w:p>
    <w:p w:rsidR="00000000" w:rsidDel="00000000" w:rsidP="00000000" w:rsidRDefault="00000000" w:rsidRPr="00000000" w14:paraId="00000077">
      <w:pPr>
        <w:rPr>
          <w:i w:val="1"/>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rFonts w:ascii="Arial" w:cs="Arial" w:eastAsia="Arial" w:hAnsi="Arial"/>
          <w:color w:val="333333"/>
          <w:sz w:val="20"/>
          <w:szCs w:val="20"/>
          <w:highlight w:val="white"/>
        </w:rPr>
      </w:pPr>
      <w:r w:rsidDel="00000000" w:rsidR="00000000" w:rsidRPr="00000000">
        <w:rPr>
          <w:rtl w:val="0"/>
        </w:rPr>
      </w:r>
    </w:p>
    <w:p w:rsidR="00000000" w:rsidDel="00000000" w:rsidP="00000000" w:rsidRDefault="00000000" w:rsidRPr="00000000" w14:paraId="0000007A">
      <w:pPr>
        <w:rPr>
          <w:rFonts w:ascii="Arial" w:cs="Arial" w:eastAsia="Arial" w:hAnsi="Arial"/>
          <w:color w:val="333333"/>
          <w:sz w:val="20"/>
          <w:szCs w:val="20"/>
          <w:highlight w:val="white"/>
        </w:rPr>
      </w:pPr>
      <w:r w:rsidDel="00000000" w:rsidR="00000000" w:rsidRPr="00000000">
        <w:rPr>
          <w:rtl w:val="0"/>
        </w:rPr>
      </w:r>
    </w:p>
    <w:p w:rsidR="00000000" w:rsidDel="00000000" w:rsidP="00000000" w:rsidRDefault="00000000" w:rsidRPr="00000000" w14:paraId="0000007B">
      <w:pPr>
        <w:rPr>
          <w:rFonts w:ascii="Arial" w:cs="Arial" w:eastAsia="Arial" w:hAnsi="Arial"/>
          <w:color w:val="333333"/>
          <w:sz w:val="20"/>
          <w:szCs w:val="20"/>
          <w:highlight w:val="white"/>
        </w:rPr>
      </w:pPr>
      <w:r w:rsidDel="00000000" w:rsidR="00000000" w:rsidRPr="00000000">
        <w:rPr>
          <w:rtl w:val="0"/>
        </w:rPr>
      </w:r>
    </w:p>
    <w:p w:rsidR="00000000" w:rsidDel="00000000" w:rsidP="00000000" w:rsidRDefault="00000000" w:rsidRPr="00000000" w14:paraId="0000007C">
      <w:pPr>
        <w:rPr>
          <w:rFonts w:ascii="Arial" w:cs="Arial" w:eastAsia="Arial" w:hAnsi="Arial"/>
          <w:color w:val="333333"/>
          <w:sz w:val="20"/>
          <w:szCs w:val="20"/>
          <w:highlight w:val="white"/>
        </w:rPr>
      </w:pPr>
      <w:r w:rsidDel="00000000" w:rsidR="00000000" w:rsidRPr="00000000">
        <w:rPr>
          <w:rtl w:val="0"/>
        </w:rPr>
      </w:r>
    </w:p>
    <w:p w:rsidR="00000000" w:rsidDel="00000000" w:rsidP="00000000" w:rsidRDefault="00000000" w:rsidRPr="00000000" w14:paraId="0000007D">
      <w:pPr>
        <w:rPr>
          <w:rFonts w:ascii="Arial" w:cs="Arial" w:eastAsia="Arial" w:hAnsi="Arial"/>
          <w:color w:val="333333"/>
          <w:sz w:val="20"/>
          <w:szCs w:val="20"/>
          <w:highlight w:val="white"/>
        </w:rPr>
      </w:pPr>
      <w:r w:rsidDel="00000000" w:rsidR="00000000" w:rsidRPr="00000000">
        <w:rPr>
          <w:rtl w:val="0"/>
        </w:rPr>
      </w:r>
    </w:p>
    <w:p w:rsidR="00000000" w:rsidDel="00000000" w:rsidP="00000000" w:rsidRDefault="00000000" w:rsidRPr="00000000" w14:paraId="0000007E">
      <w:pPr>
        <w:rPr>
          <w:rFonts w:ascii="Arial" w:cs="Arial" w:eastAsia="Arial" w:hAnsi="Arial"/>
          <w:color w:val="333333"/>
          <w:sz w:val="20"/>
          <w:szCs w:val="20"/>
          <w:highlight w:val="white"/>
        </w:rPr>
      </w:pPr>
      <w:r w:rsidDel="00000000" w:rsidR="00000000" w:rsidRPr="00000000">
        <w:rPr>
          <w:rtl w:val="0"/>
        </w:rPr>
      </w:r>
    </w:p>
    <w:p w:rsidR="00000000" w:rsidDel="00000000" w:rsidP="00000000" w:rsidRDefault="00000000" w:rsidRPr="00000000" w14:paraId="0000007F">
      <w:pPr>
        <w:rPr>
          <w:rFonts w:ascii="Arial" w:cs="Arial" w:eastAsia="Arial" w:hAnsi="Arial"/>
          <w:color w:val="333333"/>
          <w:sz w:val="31"/>
          <w:szCs w:val="31"/>
          <w:highlight w:val="white"/>
        </w:rPr>
      </w:pPr>
      <w:r w:rsidDel="00000000" w:rsidR="00000000" w:rsidRPr="00000000">
        <w:rPr>
          <w:rtl w:val="0"/>
        </w:rPr>
      </w:r>
    </w:p>
    <w:sectPr>
      <w:footerReference r:id="rId7" w:type="default"/>
      <w:pgSz w:h="16838" w:w="11906"/>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0">
    <w:pPr>
      <w:rPr>
        <w:color w:val="cccccc"/>
      </w:rPr>
    </w:pPr>
    <w:r w:rsidDel="00000000" w:rsidR="00000000" w:rsidRPr="00000000">
      <w:rPr>
        <w:color w:val="cccccc"/>
        <w:rtl w:val="0"/>
      </w:rPr>
      <w:t xml:space="preserve">Connor Hale (1701744) - Research Practices (</w:t>
    </w:r>
    <w:r w:rsidDel="00000000" w:rsidR="00000000" w:rsidRPr="00000000">
      <w:rPr>
        <w:color w:val="cccccc"/>
        <w:rtl w:val="0"/>
      </w:rPr>
      <w:t xml:space="preserve">ADAD5001)</w:t>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cgit.nutn.edu.tw:8080/cgit/PaperDL/HGC_120223075158.PDF" TargetMode="Externa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