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A03A71" w14:textId="11DB15CA" w:rsidR="00122BE4" w:rsidRPr="00DD650D" w:rsidRDefault="00122BE4" w:rsidP="00DD650D">
      <w:pPr>
        <w:jc w:val="center"/>
      </w:pPr>
      <w:r w:rsidRPr="00DD650D">
        <w:t>Aissata Camara</w:t>
      </w:r>
    </w:p>
    <w:p w14:paraId="4874C639" w14:textId="2CF8DD3A" w:rsidR="00122BE4" w:rsidRPr="00DD650D" w:rsidRDefault="00122BE4" w:rsidP="00DD650D">
      <w:pPr>
        <w:jc w:val="center"/>
      </w:pPr>
      <w:r w:rsidRPr="00DD650D">
        <w:t>Student number:</w:t>
      </w:r>
      <w:r w:rsidR="00805324">
        <w:t xml:space="preserve"> 2424904</w:t>
      </w:r>
    </w:p>
    <w:p w14:paraId="0547BB21" w14:textId="6C89939C" w:rsidR="00DD650D" w:rsidRPr="00805324" w:rsidRDefault="00805324" w:rsidP="00805324">
      <w:pPr>
        <w:jc w:val="center"/>
      </w:pPr>
      <w:r w:rsidRPr="00805324">
        <w:t xml:space="preserve">Farah Wiita </w:t>
      </w:r>
    </w:p>
    <w:p w14:paraId="03D5F8DF" w14:textId="7A0E90C2" w:rsidR="00D303F0" w:rsidRPr="00D303F0" w:rsidRDefault="00D303F0" w:rsidP="00DD650D">
      <w:pPr>
        <w:jc w:val="center"/>
      </w:pPr>
      <w:r w:rsidRPr="00D303F0">
        <w:t>LCHS4010</w:t>
      </w:r>
    </w:p>
    <w:p w14:paraId="2ED9AFB6" w14:textId="1BD45412" w:rsidR="00DD650D" w:rsidRPr="00DD650D" w:rsidRDefault="00DD650D" w:rsidP="00DD650D">
      <w:pPr>
        <w:jc w:val="center"/>
      </w:pPr>
      <w:r w:rsidRPr="00DD650D">
        <w:t>Bibliography &amp; report</w:t>
      </w:r>
    </w:p>
    <w:p w14:paraId="0AFE9C8C" w14:textId="77777777" w:rsidR="00122BE4" w:rsidRDefault="00122BE4" w:rsidP="00122BE4">
      <w:pPr>
        <w:rPr>
          <w:b/>
          <w:bCs/>
        </w:rPr>
      </w:pPr>
    </w:p>
    <w:p w14:paraId="617E00EB" w14:textId="77777777" w:rsidR="00122BE4" w:rsidRDefault="00122BE4" w:rsidP="00122BE4">
      <w:pPr>
        <w:rPr>
          <w:b/>
          <w:bCs/>
        </w:rPr>
      </w:pPr>
    </w:p>
    <w:p w14:paraId="34128758" w14:textId="77777777" w:rsidR="00122BE4" w:rsidRDefault="00122BE4" w:rsidP="00122BE4">
      <w:pPr>
        <w:rPr>
          <w:b/>
          <w:bCs/>
        </w:rPr>
      </w:pPr>
    </w:p>
    <w:p w14:paraId="5C0E2B2F" w14:textId="37BEF053" w:rsidR="00561DD0" w:rsidRDefault="00561DD0"/>
    <w:p w14:paraId="33167366" w14:textId="77777777" w:rsidR="00561DD0" w:rsidRPr="004A263C" w:rsidRDefault="00561DD0" w:rsidP="004A263C">
      <w:pPr>
        <w:spacing w:line="360" w:lineRule="auto"/>
        <w:rPr>
          <w:rFonts w:ascii="Arial" w:hAnsi="Arial" w:cs="Arial"/>
          <w:sz w:val="22"/>
          <w:szCs w:val="22"/>
        </w:rPr>
      </w:pPr>
      <w:r>
        <w:br w:type="page"/>
      </w:r>
    </w:p>
    <w:p w14:paraId="4C1D85B6" w14:textId="6661E650" w:rsidR="00686955" w:rsidRPr="004A263C" w:rsidRDefault="00686955" w:rsidP="004A263C">
      <w:pPr>
        <w:spacing w:line="360" w:lineRule="auto"/>
        <w:rPr>
          <w:rFonts w:ascii="Arial" w:hAnsi="Arial" w:cs="Arial"/>
          <w:sz w:val="22"/>
          <w:szCs w:val="22"/>
          <w:u w:val="single"/>
        </w:rPr>
      </w:pPr>
      <w:r w:rsidRPr="00686955">
        <w:rPr>
          <w:rFonts w:ascii="Arial" w:hAnsi="Arial" w:cs="Arial"/>
          <w:b/>
          <w:bCs/>
          <w:sz w:val="22"/>
          <w:szCs w:val="22"/>
          <w:u w:val="single"/>
        </w:rPr>
        <w:lastRenderedPageBreak/>
        <w:t xml:space="preserve">Part A </w:t>
      </w:r>
    </w:p>
    <w:p w14:paraId="16738519" w14:textId="37C2ED7C" w:rsidR="007B3271" w:rsidRPr="007B3271" w:rsidRDefault="007B3271" w:rsidP="004A263C">
      <w:pPr>
        <w:spacing w:line="360" w:lineRule="auto"/>
        <w:rPr>
          <w:rFonts w:ascii="Arial" w:hAnsi="Arial" w:cs="Arial"/>
          <w:sz w:val="22"/>
          <w:szCs w:val="22"/>
        </w:rPr>
      </w:pPr>
      <w:r w:rsidRPr="007B3271">
        <w:rPr>
          <w:rFonts w:ascii="Arial" w:hAnsi="Arial" w:cs="Arial"/>
          <w:sz w:val="22"/>
          <w:szCs w:val="22"/>
        </w:rPr>
        <w:t xml:space="preserve">Bowlby </w:t>
      </w:r>
      <w:r w:rsidRPr="004A263C">
        <w:rPr>
          <w:rFonts w:ascii="Arial" w:hAnsi="Arial" w:cs="Arial"/>
          <w:sz w:val="22"/>
          <w:szCs w:val="22"/>
        </w:rPr>
        <w:t xml:space="preserve">(1969) </w:t>
      </w:r>
      <w:r w:rsidRPr="007B3271">
        <w:rPr>
          <w:rFonts w:ascii="Arial" w:hAnsi="Arial" w:cs="Arial"/>
          <w:sz w:val="22"/>
          <w:szCs w:val="22"/>
        </w:rPr>
        <w:t>proposed that attachment is a deep emotional bond formed between an infant and a primary caregiver, developed through consistent care, protection and responsiveness. He argued that this bond has an evolutionary function, helping infants remain close to caregivers for survival while also forming the foundation for later emotional and social development. Secure attachment develops when caregivers are reliable and responsive, allowing the child to feel safe, valued and able to trust others. In contrast, inconsistent or unresponsive caregiving can lead to insecure attachment, where individuals may experience anxiety, avoidance or difficulties in relationships. Bowlby also introduced the concept of the internal working model, which refers to the mental framework shaped by early attachment experiences. These internal models influence how individuals perceive themselves and others and can affect relationships across the lifespan. Ainsworth’s Strange Situation study provided empirical support for these ideas by identifying patterns of secure and insecure attachment.</w:t>
      </w:r>
      <w:r w:rsidR="00BF2B0D" w:rsidRPr="004A263C">
        <w:rPr>
          <w:rFonts w:ascii="Arial" w:hAnsi="Arial" w:cs="Arial"/>
          <w:sz w:val="22"/>
          <w:szCs w:val="22"/>
        </w:rPr>
        <w:t xml:space="preserve"> </w:t>
      </w:r>
      <w:r w:rsidR="005652C3" w:rsidRPr="004A263C">
        <w:rPr>
          <w:rFonts w:ascii="Arial" w:hAnsi="Arial" w:cs="Arial"/>
          <w:sz w:val="22"/>
          <w:szCs w:val="22"/>
        </w:rPr>
        <w:t>Karantzas, Romano and Lee (2019)</w:t>
      </w:r>
      <w:r w:rsidRPr="007B3271">
        <w:rPr>
          <w:rFonts w:ascii="Arial" w:hAnsi="Arial" w:cs="Arial"/>
          <w:sz w:val="22"/>
          <w:szCs w:val="22"/>
        </w:rPr>
        <w:t xml:space="preserve"> extend</w:t>
      </w:r>
      <w:r w:rsidR="005652C3" w:rsidRPr="004A263C">
        <w:rPr>
          <w:rFonts w:ascii="Arial" w:hAnsi="Arial" w:cs="Arial"/>
          <w:sz w:val="22"/>
          <w:szCs w:val="22"/>
        </w:rPr>
        <w:t xml:space="preserve">ed </w:t>
      </w:r>
      <w:r w:rsidRPr="007B3271">
        <w:rPr>
          <w:rFonts w:ascii="Arial" w:hAnsi="Arial" w:cs="Arial"/>
          <w:sz w:val="22"/>
          <w:szCs w:val="22"/>
        </w:rPr>
        <w:t>Bowlby’s theory into later life, arguing that attachment remains highly relevant for understanding the emotional needs of older adults in health and social care settings. Their systematic review highlights that older adults continue to seek emotional security and reassurance, particularly during periods of transition such as moving into residential care or experiencing declining health. The study shows that individuals with secure attachment styles are more likely to adapt positively to care environments, while those with insecure attachment may display anxiety, withdrawal or resistance to care. This supports Bowlby’s concept of the internal working model, as early attachment experiences continue to influence behaviour and relationships in later life.</w:t>
      </w:r>
      <w:r w:rsidRPr="004A263C">
        <w:rPr>
          <w:rFonts w:ascii="Arial" w:hAnsi="Arial" w:cs="Arial"/>
          <w:sz w:val="22"/>
          <w:szCs w:val="22"/>
        </w:rPr>
        <w:t xml:space="preserve"> </w:t>
      </w:r>
      <w:r w:rsidR="00BF2B0D" w:rsidRPr="004A263C">
        <w:rPr>
          <w:rFonts w:ascii="Arial" w:hAnsi="Arial" w:cs="Arial"/>
          <w:sz w:val="22"/>
          <w:szCs w:val="22"/>
        </w:rPr>
        <w:t xml:space="preserve"> </w:t>
      </w:r>
      <w:r w:rsidRPr="007B3271">
        <w:rPr>
          <w:rFonts w:ascii="Arial" w:hAnsi="Arial" w:cs="Arial"/>
          <w:sz w:val="22"/>
          <w:szCs w:val="22"/>
        </w:rPr>
        <w:t xml:space="preserve">The arguments presented by </w:t>
      </w:r>
      <w:r w:rsidR="00216CDA" w:rsidRPr="004A263C">
        <w:rPr>
          <w:rFonts w:ascii="Arial" w:hAnsi="Arial" w:cs="Arial"/>
          <w:sz w:val="22"/>
          <w:szCs w:val="22"/>
        </w:rPr>
        <w:t xml:space="preserve">them </w:t>
      </w:r>
      <w:r w:rsidRPr="007B3271">
        <w:rPr>
          <w:rFonts w:ascii="Arial" w:hAnsi="Arial" w:cs="Arial"/>
          <w:sz w:val="22"/>
          <w:szCs w:val="22"/>
        </w:rPr>
        <w:t>are strong due to the use of a systematic review, which provides a broad and reliable evidence base. The research is particularly relevant to health and social care as it demonstrates how understanding attachment styles can improve the quality of care provided to older adults. For example, recognising signs of insecure attachment may help care staff adapt their approach to provide greater reassurance and consistency. However, a limitation of applying Bowlby’s monotropic theory in this context is that older adults in care settings are often supported by multiple caregivers rather than a single primary attachment figure. This suggests that attachment in later life may be more complex than Bowlby originally proposed. Despite this, the theory remains valuable as it emphasises the importance of trust, emotional support and stable relationships in promoting wellbeing among older adults.</w:t>
      </w:r>
    </w:p>
    <w:p w14:paraId="68C5CBCC" w14:textId="77777777" w:rsidR="007B3271" w:rsidRPr="007B3271" w:rsidRDefault="007B3271" w:rsidP="004A263C">
      <w:pPr>
        <w:spacing w:line="360" w:lineRule="auto"/>
        <w:rPr>
          <w:rFonts w:ascii="Arial" w:hAnsi="Arial" w:cs="Arial"/>
          <w:sz w:val="22"/>
          <w:szCs w:val="22"/>
        </w:rPr>
      </w:pPr>
    </w:p>
    <w:p w14:paraId="68BEA6C0" w14:textId="49652472" w:rsidR="007B3271" w:rsidRPr="007B3271" w:rsidRDefault="007B3271" w:rsidP="004A263C">
      <w:pPr>
        <w:spacing w:line="360" w:lineRule="auto"/>
        <w:rPr>
          <w:rFonts w:ascii="Arial" w:hAnsi="Arial" w:cs="Arial"/>
          <w:sz w:val="22"/>
          <w:szCs w:val="22"/>
        </w:rPr>
      </w:pPr>
      <w:r w:rsidRPr="007B3271">
        <w:rPr>
          <w:rFonts w:ascii="Arial" w:hAnsi="Arial" w:cs="Arial"/>
          <w:sz w:val="22"/>
          <w:szCs w:val="22"/>
        </w:rPr>
        <w:lastRenderedPageBreak/>
        <w:t>Hendriks et al. (2020) focus</w:t>
      </w:r>
      <w:r w:rsidR="00516B2C" w:rsidRPr="004A263C">
        <w:rPr>
          <w:rFonts w:ascii="Arial" w:hAnsi="Arial" w:cs="Arial"/>
          <w:sz w:val="22"/>
          <w:szCs w:val="22"/>
        </w:rPr>
        <w:t>ed</w:t>
      </w:r>
      <w:r w:rsidRPr="007B3271">
        <w:rPr>
          <w:rFonts w:ascii="Arial" w:hAnsi="Arial" w:cs="Arial"/>
          <w:sz w:val="22"/>
          <w:szCs w:val="22"/>
        </w:rPr>
        <w:t xml:space="preserve"> on interventions designed to improve wellbeing by actively cultivating positive aspects of an individual’s life, rather than concentrating on difficulties or decline. The</w:t>
      </w:r>
      <w:r w:rsidR="00516B2C" w:rsidRPr="004A263C">
        <w:rPr>
          <w:rFonts w:ascii="Arial" w:hAnsi="Arial" w:cs="Arial"/>
          <w:sz w:val="22"/>
          <w:szCs w:val="22"/>
        </w:rPr>
        <w:t xml:space="preserve">y </w:t>
      </w:r>
      <w:r w:rsidRPr="007B3271">
        <w:rPr>
          <w:rFonts w:ascii="Arial" w:hAnsi="Arial" w:cs="Arial"/>
          <w:sz w:val="22"/>
          <w:szCs w:val="22"/>
        </w:rPr>
        <w:t>review</w:t>
      </w:r>
      <w:r w:rsidR="00516B2C" w:rsidRPr="004A263C">
        <w:rPr>
          <w:rFonts w:ascii="Arial" w:hAnsi="Arial" w:cs="Arial"/>
          <w:sz w:val="22"/>
          <w:szCs w:val="22"/>
        </w:rPr>
        <w:t>ed</w:t>
      </w:r>
      <w:r w:rsidRPr="007B3271">
        <w:rPr>
          <w:rFonts w:ascii="Arial" w:hAnsi="Arial" w:cs="Arial"/>
          <w:sz w:val="22"/>
          <w:szCs w:val="22"/>
        </w:rPr>
        <w:t xml:space="preserve"> a range of approaches that encourage individuals to reflect on what is meaningful to them, recognis</w:t>
      </w:r>
      <w:r w:rsidR="00516B2C" w:rsidRPr="004A263C">
        <w:rPr>
          <w:rFonts w:ascii="Arial" w:hAnsi="Arial" w:cs="Arial"/>
          <w:sz w:val="22"/>
          <w:szCs w:val="22"/>
        </w:rPr>
        <w:t>ing</w:t>
      </w:r>
      <w:r w:rsidRPr="007B3271">
        <w:rPr>
          <w:rFonts w:ascii="Arial" w:hAnsi="Arial" w:cs="Arial"/>
          <w:sz w:val="22"/>
          <w:szCs w:val="22"/>
        </w:rPr>
        <w:t xml:space="preserve"> their abilities and engage in activities that promote enjoyment and fulfilment. Their findings indicate that these</w:t>
      </w:r>
      <w:r w:rsidR="00BF2B0D" w:rsidRPr="004A263C">
        <w:rPr>
          <w:rFonts w:ascii="Arial" w:hAnsi="Arial" w:cs="Arial"/>
          <w:sz w:val="22"/>
          <w:szCs w:val="22"/>
        </w:rPr>
        <w:t xml:space="preserve"> </w:t>
      </w:r>
      <w:r w:rsidRPr="007B3271">
        <w:rPr>
          <w:rFonts w:ascii="Arial" w:hAnsi="Arial" w:cs="Arial"/>
          <w:sz w:val="22"/>
          <w:szCs w:val="22"/>
        </w:rPr>
        <w:t>interventions are associated with improved emotional outcomes, including higher levels of life satisfaction, enhanced ability to cope with challenges and a reduction in symptoms linked to low mood. This perspective presents ageing as a stage where wellbeing can still be strengthened, rather than something that inevitably deteriorates over time.</w:t>
      </w:r>
      <w:r w:rsidR="00BF2B0D" w:rsidRPr="004A263C">
        <w:rPr>
          <w:rFonts w:ascii="Arial" w:hAnsi="Arial" w:cs="Arial"/>
          <w:sz w:val="22"/>
          <w:szCs w:val="22"/>
        </w:rPr>
        <w:t xml:space="preserve"> </w:t>
      </w:r>
      <w:r w:rsidRPr="007B3271">
        <w:rPr>
          <w:rFonts w:ascii="Arial" w:hAnsi="Arial" w:cs="Arial"/>
          <w:sz w:val="22"/>
          <w:szCs w:val="22"/>
        </w:rPr>
        <w:t>The study is particularly credible due to its use of a systematic review and meta-analysis, which draws together evidence from multiple sources to produce more reliable conclusions. This makes it useful for informing practice in health and social care, where improving quality of life is a central aim. The emphasis on recognising what individuals can still do, rather than what they have lost, supports a more respectful and empowering approach to care. However, translating these interventions into practice can be challenging. Structured activities may require time and resources that are not always available in care settings, and some older adults</w:t>
      </w:r>
      <w:r w:rsidR="00516B2C" w:rsidRPr="004A263C">
        <w:rPr>
          <w:rFonts w:ascii="Arial" w:hAnsi="Arial" w:cs="Arial"/>
          <w:sz w:val="22"/>
          <w:szCs w:val="22"/>
        </w:rPr>
        <w:t xml:space="preserve">, </w:t>
      </w:r>
      <w:r w:rsidRPr="007B3271">
        <w:rPr>
          <w:rFonts w:ascii="Arial" w:hAnsi="Arial" w:cs="Arial"/>
          <w:sz w:val="22"/>
          <w:szCs w:val="22"/>
        </w:rPr>
        <w:t>particularly those experiencing cognitive decline</w:t>
      </w:r>
      <w:r w:rsidR="00516B2C" w:rsidRPr="004A263C">
        <w:rPr>
          <w:rFonts w:ascii="Arial" w:hAnsi="Arial" w:cs="Arial"/>
          <w:sz w:val="22"/>
          <w:szCs w:val="22"/>
        </w:rPr>
        <w:t xml:space="preserve">, </w:t>
      </w:r>
      <w:r w:rsidRPr="007B3271">
        <w:rPr>
          <w:rFonts w:ascii="Arial" w:hAnsi="Arial" w:cs="Arial"/>
          <w:sz w:val="22"/>
          <w:szCs w:val="22"/>
        </w:rPr>
        <w:t>may find it difficult to fully engage with them.</w:t>
      </w:r>
      <w:r w:rsidR="00BF2B0D" w:rsidRPr="004A263C">
        <w:rPr>
          <w:rFonts w:ascii="Arial" w:hAnsi="Arial" w:cs="Arial"/>
          <w:sz w:val="22"/>
          <w:szCs w:val="22"/>
        </w:rPr>
        <w:t xml:space="preserve"> </w:t>
      </w:r>
      <w:r w:rsidRPr="007B3271">
        <w:rPr>
          <w:rFonts w:ascii="Arial" w:hAnsi="Arial" w:cs="Arial"/>
          <w:sz w:val="22"/>
          <w:szCs w:val="22"/>
        </w:rPr>
        <w:t>Even with these limitations, the underlying principles remain highly applicable. Small, everyday actions such as encouraging participation in enjoyable activities, supporting social interaction and helping individuals maintain a sense of purpose can have a meaningful impact on wellbeing. Overall, this approach offers a practical way of supporting older adults by promoting positive experiences and reinforcing a sense of value, complementing other psychological perspectives that focus on emotional security and relationships.</w:t>
      </w:r>
    </w:p>
    <w:p w14:paraId="0D455447" w14:textId="1932F6CF" w:rsidR="00F9582C" w:rsidRPr="004A263C" w:rsidRDefault="00686955" w:rsidP="004A263C">
      <w:pPr>
        <w:spacing w:line="360" w:lineRule="auto"/>
        <w:rPr>
          <w:rFonts w:ascii="Arial" w:hAnsi="Arial" w:cs="Arial"/>
          <w:sz w:val="22"/>
          <w:szCs w:val="22"/>
        </w:rPr>
      </w:pPr>
      <w:r w:rsidRPr="004A263C">
        <w:rPr>
          <w:rFonts w:ascii="Arial" w:hAnsi="Arial" w:cs="Arial"/>
          <w:sz w:val="22"/>
          <w:szCs w:val="22"/>
        </w:rPr>
        <w:t>Over</w:t>
      </w:r>
      <w:r w:rsidR="005F6C9F" w:rsidRPr="004A263C">
        <w:rPr>
          <w:rFonts w:ascii="Arial" w:hAnsi="Arial" w:cs="Arial"/>
          <w:sz w:val="22"/>
          <w:szCs w:val="22"/>
        </w:rPr>
        <w:t>all</w:t>
      </w:r>
      <w:r w:rsidR="00D23141" w:rsidRPr="004A263C">
        <w:rPr>
          <w:rFonts w:ascii="Arial" w:hAnsi="Arial" w:cs="Arial"/>
          <w:sz w:val="22"/>
          <w:szCs w:val="22"/>
        </w:rPr>
        <w:t>,</w:t>
      </w:r>
      <w:r w:rsidR="007B3271" w:rsidRPr="004A263C">
        <w:rPr>
          <w:rFonts w:ascii="Arial" w:hAnsi="Arial" w:cs="Arial"/>
          <w:sz w:val="22"/>
          <w:szCs w:val="22"/>
        </w:rPr>
        <w:t xml:space="preserve"> Bowlby’s attachment theory explains the importance of stable, trusting relationships, while positive psychology focuses on enhancing wellbeing through strengths and meaning. Combining these approaches provides a more holistic understanding of ageing and supports improved outcomes in health and social care settings.</w:t>
      </w:r>
    </w:p>
    <w:p w14:paraId="6D5535D9" w14:textId="77777777" w:rsidR="005F6C9F" w:rsidRPr="004A263C" w:rsidRDefault="005F6C9F" w:rsidP="004A263C">
      <w:pPr>
        <w:spacing w:line="360" w:lineRule="auto"/>
        <w:rPr>
          <w:rFonts w:ascii="Arial" w:hAnsi="Arial" w:cs="Arial"/>
          <w:sz w:val="22"/>
          <w:szCs w:val="22"/>
        </w:rPr>
      </w:pPr>
    </w:p>
    <w:p w14:paraId="069C819C" w14:textId="4DD43434" w:rsidR="005F6C9F" w:rsidRPr="004A263C" w:rsidRDefault="005F6C9F" w:rsidP="004A263C">
      <w:pPr>
        <w:spacing w:line="360" w:lineRule="auto"/>
        <w:rPr>
          <w:rFonts w:ascii="Arial" w:hAnsi="Arial" w:cs="Arial"/>
          <w:b/>
          <w:bCs/>
          <w:sz w:val="22"/>
          <w:szCs w:val="22"/>
          <w:u w:val="single"/>
        </w:rPr>
      </w:pPr>
      <w:r w:rsidRPr="004A263C">
        <w:rPr>
          <w:rFonts w:ascii="Arial" w:hAnsi="Arial" w:cs="Arial"/>
          <w:b/>
          <w:bCs/>
          <w:sz w:val="22"/>
          <w:szCs w:val="22"/>
          <w:u w:val="single"/>
        </w:rPr>
        <w:t>Part B</w:t>
      </w:r>
    </w:p>
    <w:p w14:paraId="55E599A0" w14:textId="77777777" w:rsidR="00A40FEA" w:rsidRPr="00A40FEA" w:rsidRDefault="00A40FEA" w:rsidP="004A263C">
      <w:pPr>
        <w:spacing w:line="360" w:lineRule="auto"/>
        <w:rPr>
          <w:rFonts w:ascii="Arial" w:hAnsi="Arial" w:cs="Arial"/>
          <w:sz w:val="22"/>
          <w:szCs w:val="22"/>
        </w:rPr>
      </w:pPr>
      <w:r w:rsidRPr="00A40FEA">
        <w:rPr>
          <w:rFonts w:ascii="Arial" w:hAnsi="Arial" w:cs="Arial"/>
          <w:sz w:val="22"/>
          <w:szCs w:val="22"/>
        </w:rPr>
        <w:t xml:space="preserve">Bowlby’s attachment theory can be applied in residential care to improve the psychological wellbeing of older adults by recognising that the need for emotional security continues throughout the lifespan. Bowlby proposed that early attachment experiences lead to the development of an internal working model, which shapes how individuals approach relationships later in life. This influences expectations of trust, and self-worth. As a result, older adults entering residential care may experience anxiety and insecurity, particularly </w:t>
      </w:r>
      <w:r w:rsidRPr="00A40FEA">
        <w:rPr>
          <w:rFonts w:ascii="Arial" w:hAnsi="Arial" w:cs="Arial"/>
          <w:sz w:val="22"/>
          <w:szCs w:val="22"/>
        </w:rPr>
        <w:lastRenderedPageBreak/>
        <w:t>when familiar attachment figures and environments are lost. Karantzas, Romano and Lee (2019</w:t>
      </w:r>
      <w:proofErr w:type="gramStart"/>
      <w:r w:rsidRPr="00A40FEA">
        <w:rPr>
          <w:rFonts w:ascii="Arial" w:hAnsi="Arial" w:cs="Arial"/>
          <w:sz w:val="22"/>
          <w:szCs w:val="22"/>
        </w:rPr>
        <w:t>)  support</w:t>
      </w:r>
      <w:proofErr w:type="gramEnd"/>
      <w:r w:rsidRPr="00A40FEA">
        <w:rPr>
          <w:rFonts w:ascii="Arial" w:hAnsi="Arial" w:cs="Arial"/>
          <w:sz w:val="22"/>
          <w:szCs w:val="22"/>
        </w:rPr>
        <w:t xml:space="preserve"> this by arguing that attachment processes remain active in later life, with older adults continuing to seek reassurance and emotional closeness during periods of vulnerability. Applying this theory in practice involves creating consistent and trusting relationships within care settings. One effective approach is the use of a key worker system, where a specific member of staff is assigned to an individual. This approach is also used in nursery settings, where key workers support young children in forming secure attachments. Similarly, in residential care, a consistent caregiver can act as a reliable attachment figure, helping to reduce anxiety, confusion and distress. This is particularly important for individuals with dementia, who may rely on familiar emotional cues to feel safe. By providing consistent, responsive care, key workers can promote a sense of security, which improves emotional regulation and reduces feelings of loneliness, therefore enhancing overall psychological wellbeing. The concept of the internal working model further explains why this approach is effective. Individuals who have developed a negative internal working model, for example due to abandonment in childhood, may find it more difficult to trust others and feel secure in relationships. This means they may require additional support in later life. A key worker can help address this by providing consistent and reliable care, gradually building trust and reshaping expectations of relationships. Over time, this can improve confidence, reduce anxiety and support more positive social interactions, which are all important aspects of psychological wellbeing. However, there are limitations to applying Bowlby’s monotropic attachment theory in residential care. The theory emphasises a single primary attachment figure, whereas care settings involve multiple staff members. This can make it difficult to replicate a single attachment bond. Despite this, the theory remains highly useful, as its core principle, consistent and emotionally responsive care, can still be applied through coordinated teamwork and key worker systems. Therefore, even though the original theory is not fully transferable, it can be adapted to suit modern care environments.</w:t>
      </w:r>
    </w:p>
    <w:p w14:paraId="670568AE" w14:textId="64437B78" w:rsidR="005F6C9F" w:rsidRDefault="00A40FEA" w:rsidP="004A263C">
      <w:pPr>
        <w:spacing w:line="360" w:lineRule="auto"/>
        <w:rPr>
          <w:rFonts w:ascii="Arial" w:hAnsi="Arial" w:cs="Arial"/>
          <w:sz w:val="22"/>
          <w:szCs w:val="22"/>
        </w:rPr>
      </w:pPr>
      <w:r w:rsidRPr="004A263C">
        <w:rPr>
          <w:rFonts w:ascii="Arial" w:hAnsi="Arial" w:cs="Arial"/>
          <w:sz w:val="22"/>
          <w:szCs w:val="22"/>
        </w:rPr>
        <w:t>In conclusion, Bowlby’s attachment theory provides a valuable framework for improving psychological wellbeing in older adults living in residential care. By applying its principles through consistent caregiving and key worker systems, it is possible to reduce anxiety, increase emotional security and improve overall wellbeing. This demonstrates the continued relevance of attachment theory and its practical importance in health and social care settings.</w:t>
      </w:r>
    </w:p>
    <w:p w14:paraId="16E49240" w14:textId="77777777" w:rsidR="00E40A72" w:rsidRDefault="00E40A72" w:rsidP="004A263C">
      <w:pPr>
        <w:spacing w:line="360" w:lineRule="auto"/>
        <w:rPr>
          <w:rFonts w:ascii="Arial" w:hAnsi="Arial" w:cs="Arial"/>
          <w:sz w:val="22"/>
          <w:szCs w:val="22"/>
        </w:rPr>
      </w:pPr>
    </w:p>
    <w:p w14:paraId="5116385C" w14:textId="77777777" w:rsidR="00E40A72" w:rsidRPr="00E40A72" w:rsidRDefault="00E40A72" w:rsidP="00E40A72">
      <w:pPr>
        <w:spacing w:line="360" w:lineRule="auto"/>
        <w:rPr>
          <w:rFonts w:ascii="Arial" w:hAnsi="Arial" w:cs="Arial"/>
          <w:b/>
          <w:bCs/>
          <w:sz w:val="22"/>
          <w:szCs w:val="22"/>
        </w:rPr>
      </w:pPr>
      <w:r w:rsidRPr="00E40A72">
        <w:rPr>
          <w:rFonts w:ascii="Arial" w:hAnsi="Arial" w:cs="Arial"/>
          <w:b/>
          <w:bCs/>
          <w:sz w:val="22"/>
          <w:szCs w:val="22"/>
        </w:rPr>
        <w:t>Reference list</w:t>
      </w:r>
    </w:p>
    <w:p w14:paraId="5C7D0C91" w14:textId="77777777" w:rsidR="00E40A72" w:rsidRPr="00E40A72" w:rsidRDefault="00E40A72" w:rsidP="00E40A72">
      <w:pPr>
        <w:spacing w:line="360" w:lineRule="auto"/>
        <w:rPr>
          <w:rFonts w:ascii="Arial" w:hAnsi="Arial" w:cs="Arial"/>
          <w:sz w:val="22"/>
          <w:szCs w:val="22"/>
        </w:rPr>
      </w:pPr>
      <w:r w:rsidRPr="00E40A72">
        <w:rPr>
          <w:rFonts w:ascii="Arial" w:hAnsi="Arial" w:cs="Arial"/>
          <w:sz w:val="22"/>
          <w:szCs w:val="22"/>
        </w:rPr>
        <w:lastRenderedPageBreak/>
        <w:t xml:space="preserve">Darling, P.J., Illum, D.B. and Ole Jakob Storebø (2024). The Critical Role of Attachment Theory in Child and Adolescent Mental Health Care. </w:t>
      </w:r>
      <w:r w:rsidRPr="00E40A72">
        <w:rPr>
          <w:rFonts w:ascii="Arial" w:hAnsi="Arial" w:cs="Arial"/>
          <w:i/>
          <w:iCs/>
          <w:sz w:val="22"/>
          <w:szCs w:val="22"/>
        </w:rPr>
        <w:t>Scandinavian Journal of Child and Adolescent Psychiatry and Psychology</w:t>
      </w:r>
      <w:r w:rsidRPr="00E40A72">
        <w:rPr>
          <w:rFonts w:ascii="Arial" w:hAnsi="Arial" w:cs="Arial"/>
          <w:sz w:val="22"/>
          <w:szCs w:val="22"/>
        </w:rPr>
        <w:t xml:space="preserve">, [online] 12(1), pp.47–49. </w:t>
      </w:r>
      <w:proofErr w:type="spellStart"/>
      <w:proofErr w:type="gramStart"/>
      <w:r w:rsidRPr="00E40A72">
        <w:rPr>
          <w:rFonts w:ascii="Arial" w:hAnsi="Arial" w:cs="Arial"/>
          <w:sz w:val="22"/>
          <w:szCs w:val="22"/>
        </w:rPr>
        <w:t>doi:https</w:t>
      </w:r>
      <w:proofErr w:type="spellEnd"/>
      <w:r w:rsidRPr="00E40A72">
        <w:rPr>
          <w:rFonts w:ascii="Arial" w:hAnsi="Arial" w:cs="Arial"/>
          <w:sz w:val="22"/>
          <w:szCs w:val="22"/>
        </w:rPr>
        <w:t>://doi.org/10.2478/sjcapp-2024-0005</w:t>
      </w:r>
      <w:proofErr w:type="gramEnd"/>
      <w:r w:rsidRPr="00E40A72">
        <w:rPr>
          <w:rFonts w:ascii="Arial" w:hAnsi="Arial" w:cs="Arial"/>
          <w:sz w:val="22"/>
          <w:szCs w:val="22"/>
        </w:rPr>
        <w:t>.</w:t>
      </w:r>
    </w:p>
    <w:p w14:paraId="44580D23" w14:textId="77777777" w:rsidR="00E40A72" w:rsidRPr="00E40A72" w:rsidRDefault="00E40A72" w:rsidP="00E40A72">
      <w:pPr>
        <w:spacing w:line="360" w:lineRule="auto"/>
        <w:rPr>
          <w:rFonts w:ascii="Arial" w:hAnsi="Arial" w:cs="Arial"/>
          <w:sz w:val="22"/>
          <w:szCs w:val="22"/>
        </w:rPr>
      </w:pPr>
      <w:r w:rsidRPr="00E40A72">
        <w:rPr>
          <w:rFonts w:ascii="Arial" w:hAnsi="Arial" w:cs="Arial"/>
          <w:sz w:val="22"/>
          <w:szCs w:val="22"/>
        </w:rPr>
        <w:t xml:space="preserve">Hendriks, T., Schotanus-Dijkstra, M., Hassankhan, A., de Jong, J. and </w:t>
      </w:r>
      <w:proofErr w:type="spellStart"/>
      <w:r w:rsidRPr="00E40A72">
        <w:rPr>
          <w:rFonts w:ascii="Arial" w:hAnsi="Arial" w:cs="Arial"/>
          <w:sz w:val="22"/>
          <w:szCs w:val="22"/>
        </w:rPr>
        <w:t>Bohlmeijer</w:t>
      </w:r>
      <w:proofErr w:type="spellEnd"/>
      <w:r w:rsidRPr="00E40A72">
        <w:rPr>
          <w:rFonts w:ascii="Arial" w:hAnsi="Arial" w:cs="Arial"/>
          <w:sz w:val="22"/>
          <w:szCs w:val="22"/>
        </w:rPr>
        <w:t xml:space="preserve">, E. (2019). The efficacy of multi-component positive psychology interventions: A systematic review and meta-analysis of randomized controlled trials. </w:t>
      </w:r>
      <w:r w:rsidRPr="00E40A72">
        <w:rPr>
          <w:rFonts w:ascii="Arial" w:hAnsi="Arial" w:cs="Arial"/>
          <w:i/>
          <w:iCs/>
          <w:sz w:val="22"/>
          <w:szCs w:val="22"/>
        </w:rPr>
        <w:t>Journal of Happiness Studies</w:t>
      </w:r>
      <w:r w:rsidRPr="00E40A72">
        <w:rPr>
          <w:rFonts w:ascii="Arial" w:hAnsi="Arial" w:cs="Arial"/>
          <w:sz w:val="22"/>
          <w:szCs w:val="22"/>
        </w:rPr>
        <w:t xml:space="preserve">, 21(1). </w:t>
      </w:r>
      <w:proofErr w:type="spellStart"/>
      <w:proofErr w:type="gramStart"/>
      <w:r w:rsidRPr="00E40A72">
        <w:rPr>
          <w:rFonts w:ascii="Arial" w:hAnsi="Arial" w:cs="Arial"/>
          <w:sz w:val="22"/>
          <w:szCs w:val="22"/>
        </w:rPr>
        <w:t>doi:https</w:t>
      </w:r>
      <w:proofErr w:type="spellEnd"/>
      <w:r w:rsidRPr="00E40A72">
        <w:rPr>
          <w:rFonts w:ascii="Arial" w:hAnsi="Arial" w:cs="Arial"/>
          <w:sz w:val="22"/>
          <w:szCs w:val="22"/>
        </w:rPr>
        <w:t>://doi.org/10.1007/s10902-019-00082-1</w:t>
      </w:r>
      <w:proofErr w:type="gramEnd"/>
      <w:r w:rsidRPr="00E40A72">
        <w:rPr>
          <w:rFonts w:ascii="Arial" w:hAnsi="Arial" w:cs="Arial"/>
          <w:sz w:val="22"/>
          <w:szCs w:val="22"/>
        </w:rPr>
        <w:t>.</w:t>
      </w:r>
    </w:p>
    <w:p w14:paraId="00FCD83A" w14:textId="77777777" w:rsidR="00E40A72" w:rsidRPr="00E40A72" w:rsidRDefault="00E40A72" w:rsidP="00E40A72">
      <w:pPr>
        <w:spacing w:line="360" w:lineRule="auto"/>
        <w:rPr>
          <w:rFonts w:ascii="Arial" w:hAnsi="Arial" w:cs="Arial"/>
          <w:sz w:val="22"/>
          <w:szCs w:val="22"/>
        </w:rPr>
      </w:pPr>
      <w:r w:rsidRPr="00E40A72">
        <w:rPr>
          <w:rFonts w:ascii="Arial" w:hAnsi="Arial" w:cs="Arial"/>
          <w:sz w:val="22"/>
          <w:szCs w:val="22"/>
        </w:rPr>
        <w:t xml:space="preserve">Karantzas, G.C., Romano, D. and Lee, J. (2019). Attachment and aged care: a systematic review of current research. </w:t>
      </w:r>
      <w:r w:rsidRPr="00E40A72">
        <w:rPr>
          <w:rFonts w:ascii="Arial" w:hAnsi="Arial" w:cs="Arial"/>
          <w:i/>
          <w:iCs/>
          <w:sz w:val="22"/>
          <w:szCs w:val="22"/>
        </w:rPr>
        <w:t>Current Opinion in Psychology</w:t>
      </w:r>
      <w:r w:rsidRPr="00E40A72">
        <w:rPr>
          <w:rFonts w:ascii="Arial" w:hAnsi="Arial" w:cs="Arial"/>
          <w:sz w:val="22"/>
          <w:szCs w:val="22"/>
        </w:rPr>
        <w:t xml:space="preserve">, 25, pp.37–46. </w:t>
      </w:r>
      <w:proofErr w:type="spellStart"/>
      <w:proofErr w:type="gramStart"/>
      <w:r w:rsidRPr="00E40A72">
        <w:rPr>
          <w:rFonts w:ascii="Arial" w:hAnsi="Arial" w:cs="Arial"/>
          <w:sz w:val="22"/>
          <w:szCs w:val="22"/>
        </w:rPr>
        <w:t>doi:https</w:t>
      </w:r>
      <w:proofErr w:type="spellEnd"/>
      <w:r w:rsidRPr="00E40A72">
        <w:rPr>
          <w:rFonts w:ascii="Arial" w:hAnsi="Arial" w:cs="Arial"/>
          <w:sz w:val="22"/>
          <w:szCs w:val="22"/>
        </w:rPr>
        <w:t>://doi.org/10.1016/j.copsyc.2018.02.016</w:t>
      </w:r>
      <w:proofErr w:type="gramEnd"/>
      <w:r w:rsidRPr="00E40A72">
        <w:rPr>
          <w:rFonts w:ascii="Arial" w:hAnsi="Arial" w:cs="Arial"/>
          <w:sz w:val="22"/>
          <w:szCs w:val="22"/>
        </w:rPr>
        <w:t>.</w:t>
      </w:r>
    </w:p>
    <w:p w14:paraId="694D2BEE" w14:textId="77777777" w:rsidR="00E40A72" w:rsidRPr="004A263C" w:rsidRDefault="00E40A72" w:rsidP="004A263C">
      <w:pPr>
        <w:spacing w:line="360" w:lineRule="auto"/>
        <w:rPr>
          <w:rFonts w:ascii="Arial" w:hAnsi="Arial" w:cs="Arial"/>
          <w:sz w:val="22"/>
          <w:szCs w:val="22"/>
        </w:rPr>
      </w:pPr>
    </w:p>
    <w:sectPr w:rsidR="00E40A72" w:rsidRPr="004A26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82C"/>
    <w:rsid w:val="00122BE4"/>
    <w:rsid w:val="001407DA"/>
    <w:rsid w:val="001D71E2"/>
    <w:rsid w:val="001D7FD8"/>
    <w:rsid w:val="00216CDA"/>
    <w:rsid w:val="002B4DCB"/>
    <w:rsid w:val="004A263C"/>
    <w:rsid w:val="00516B2C"/>
    <w:rsid w:val="0055708E"/>
    <w:rsid w:val="00561DD0"/>
    <w:rsid w:val="005652C3"/>
    <w:rsid w:val="005F6C9F"/>
    <w:rsid w:val="00686955"/>
    <w:rsid w:val="007769A1"/>
    <w:rsid w:val="007B3271"/>
    <w:rsid w:val="00805324"/>
    <w:rsid w:val="00866BC8"/>
    <w:rsid w:val="009D5F2D"/>
    <w:rsid w:val="00A34875"/>
    <w:rsid w:val="00A40FEA"/>
    <w:rsid w:val="00BF042F"/>
    <w:rsid w:val="00BF2B0D"/>
    <w:rsid w:val="00D23141"/>
    <w:rsid w:val="00D303F0"/>
    <w:rsid w:val="00DD650D"/>
    <w:rsid w:val="00E40A72"/>
    <w:rsid w:val="00EE2F7E"/>
    <w:rsid w:val="00F95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208DBD"/>
  <w15:chartTrackingRefBased/>
  <w15:docId w15:val="{E148764D-A024-1040-BF17-8B9F160DE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FEA"/>
  </w:style>
  <w:style w:type="paragraph" w:styleId="Heading1">
    <w:name w:val="heading 1"/>
    <w:basedOn w:val="Normal"/>
    <w:next w:val="Normal"/>
    <w:link w:val="Heading1Char"/>
    <w:uiPriority w:val="9"/>
    <w:qFormat/>
    <w:rsid w:val="00F958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58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58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58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8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8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8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8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8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8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58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58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8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8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8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8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8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82C"/>
    <w:rPr>
      <w:rFonts w:eastAsiaTheme="majorEastAsia" w:cstheme="majorBidi"/>
      <w:color w:val="272727" w:themeColor="text1" w:themeTint="D8"/>
    </w:rPr>
  </w:style>
  <w:style w:type="paragraph" w:styleId="Title">
    <w:name w:val="Title"/>
    <w:basedOn w:val="Normal"/>
    <w:next w:val="Normal"/>
    <w:link w:val="TitleChar"/>
    <w:uiPriority w:val="10"/>
    <w:qFormat/>
    <w:rsid w:val="00F958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8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8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58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82C"/>
    <w:pPr>
      <w:spacing w:before="160"/>
      <w:jc w:val="center"/>
    </w:pPr>
    <w:rPr>
      <w:i/>
      <w:iCs/>
      <w:color w:val="404040" w:themeColor="text1" w:themeTint="BF"/>
    </w:rPr>
  </w:style>
  <w:style w:type="character" w:customStyle="1" w:styleId="QuoteChar">
    <w:name w:val="Quote Char"/>
    <w:basedOn w:val="DefaultParagraphFont"/>
    <w:link w:val="Quote"/>
    <w:uiPriority w:val="29"/>
    <w:rsid w:val="00F9582C"/>
    <w:rPr>
      <w:i/>
      <w:iCs/>
      <w:color w:val="404040" w:themeColor="text1" w:themeTint="BF"/>
    </w:rPr>
  </w:style>
  <w:style w:type="paragraph" w:styleId="ListParagraph">
    <w:name w:val="List Paragraph"/>
    <w:basedOn w:val="Normal"/>
    <w:uiPriority w:val="34"/>
    <w:qFormat/>
    <w:rsid w:val="00F9582C"/>
    <w:pPr>
      <w:ind w:left="720"/>
      <w:contextualSpacing/>
    </w:pPr>
  </w:style>
  <w:style w:type="character" w:styleId="IntenseEmphasis">
    <w:name w:val="Intense Emphasis"/>
    <w:basedOn w:val="DefaultParagraphFont"/>
    <w:uiPriority w:val="21"/>
    <w:qFormat/>
    <w:rsid w:val="00F9582C"/>
    <w:rPr>
      <w:i/>
      <w:iCs/>
      <w:color w:val="0F4761" w:themeColor="accent1" w:themeShade="BF"/>
    </w:rPr>
  </w:style>
  <w:style w:type="paragraph" w:styleId="IntenseQuote">
    <w:name w:val="Intense Quote"/>
    <w:basedOn w:val="Normal"/>
    <w:next w:val="Normal"/>
    <w:link w:val="IntenseQuoteChar"/>
    <w:uiPriority w:val="30"/>
    <w:qFormat/>
    <w:rsid w:val="00F958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582C"/>
    <w:rPr>
      <w:i/>
      <w:iCs/>
      <w:color w:val="0F4761" w:themeColor="accent1" w:themeShade="BF"/>
    </w:rPr>
  </w:style>
  <w:style w:type="character" w:styleId="IntenseReference">
    <w:name w:val="Intense Reference"/>
    <w:basedOn w:val="DefaultParagraphFont"/>
    <w:uiPriority w:val="32"/>
    <w:qFormat/>
    <w:rsid w:val="00F9582C"/>
    <w:rPr>
      <w:b/>
      <w:bCs/>
      <w:smallCaps/>
      <w:color w:val="0F4761" w:themeColor="accent1" w:themeShade="BF"/>
      <w:spacing w:val="5"/>
    </w:rPr>
  </w:style>
  <w:style w:type="character" w:styleId="Hyperlink">
    <w:name w:val="Hyperlink"/>
    <w:basedOn w:val="DefaultParagraphFont"/>
    <w:uiPriority w:val="99"/>
    <w:unhideWhenUsed/>
    <w:rsid w:val="00EE2F7E"/>
    <w:rPr>
      <w:color w:val="467886" w:themeColor="hyperlink"/>
      <w:u w:val="single"/>
    </w:rPr>
  </w:style>
  <w:style w:type="character" w:styleId="UnresolvedMention">
    <w:name w:val="Unresolved Mention"/>
    <w:basedOn w:val="DefaultParagraphFont"/>
    <w:uiPriority w:val="99"/>
    <w:semiHidden/>
    <w:unhideWhenUsed/>
    <w:rsid w:val="00EE2F7E"/>
    <w:rPr>
      <w:color w:val="605E5C"/>
      <w:shd w:val="clear" w:color="auto" w:fill="E1DFDD"/>
    </w:rPr>
  </w:style>
  <w:style w:type="character" w:styleId="FollowedHyperlink">
    <w:name w:val="FollowedHyperlink"/>
    <w:basedOn w:val="DefaultParagraphFont"/>
    <w:uiPriority w:val="99"/>
    <w:semiHidden/>
    <w:unhideWhenUsed/>
    <w:rsid w:val="00EE2F7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58">
      <w:bodyDiv w:val="1"/>
      <w:marLeft w:val="0"/>
      <w:marRight w:val="0"/>
      <w:marTop w:val="0"/>
      <w:marBottom w:val="0"/>
      <w:divBdr>
        <w:top w:val="none" w:sz="0" w:space="0" w:color="auto"/>
        <w:left w:val="none" w:sz="0" w:space="0" w:color="auto"/>
        <w:bottom w:val="none" w:sz="0" w:space="0" w:color="auto"/>
        <w:right w:val="none" w:sz="0" w:space="0" w:color="auto"/>
      </w:divBdr>
      <w:divsChild>
        <w:div w:id="2145811968">
          <w:marLeft w:val="0"/>
          <w:marRight w:val="0"/>
          <w:marTop w:val="0"/>
          <w:marBottom w:val="0"/>
          <w:divBdr>
            <w:top w:val="none" w:sz="0" w:space="0" w:color="auto"/>
            <w:left w:val="none" w:sz="0" w:space="0" w:color="auto"/>
            <w:bottom w:val="none" w:sz="0" w:space="0" w:color="auto"/>
            <w:right w:val="none" w:sz="0" w:space="0" w:color="auto"/>
          </w:divBdr>
        </w:div>
      </w:divsChild>
    </w:div>
    <w:div w:id="359280922">
      <w:bodyDiv w:val="1"/>
      <w:marLeft w:val="0"/>
      <w:marRight w:val="0"/>
      <w:marTop w:val="0"/>
      <w:marBottom w:val="0"/>
      <w:divBdr>
        <w:top w:val="none" w:sz="0" w:space="0" w:color="auto"/>
        <w:left w:val="none" w:sz="0" w:space="0" w:color="auto"/>
        <w:bottom w:val="none" w:sz="0" w:space="0" w:color="auto"/>
        <w:right w:val="none" w:sz="0" w:space="0" w:color="auto"/>
      </w:divBdr>
      <w:divsChild>
        <w:div w:id="796026741">
          <w:marLeft w:val="0"/>
          <w:marRight w:val="0"/>
          <w:marTop w:val="0"/>
          <w:marBottom w:val="0"/>
          <w:divBdr>
            <w:top w:val="none" w:sz="0" w:space="0" w:color="auto"/>
            <w:left w:val="none" w:sz="0" w:space="0" w:color="auto"/>
            <w:bottom w:val="none" w:sz="0" w:space="0" w:color="auto"/>
            <w:right w:val="none" w:sz="0" w:space="0" w:color="auto"/>
          </w:divBdr>
          <w:divsChild>
            <w:div w:id="1137796501">
              <w:marLeft w:val="0"/>
              <w:marRight w:val="0"/>
              <w:marTop w:val="0"/>
              <w:marBottom w:val="0"/>
              <w:divBdr>
                <w:top w:val="none" w:sz="0" w:space="0" w:color="auto"/>
                <w:left w:val="none" w:sz="0" w:space="0" w:color="auto"/>
                <w:bottom w:val="none" w:sz="0" w:space="0" w:color="auto"/>
                <w:right w:val="none" w:sz="0" w:space="0" w:color="auto"/>
              </w:divBdr>
              <w:divsChild>
                <w:div w:id="367922332">
                  <w:marLeft w:val="0"/>
                  <w:marRight w:val="0"/>
                  <w:marTop w:val="0"/>
                  <w:marBottom w:val="0"/>
                  <w:divBdr>
                    <w:top w:val="none" w:sz="0" w:space="0" w:color="auto"/>
                    <w:left w:val="none" w:sz="0" w:space="0" w:color="auto"/>
                    <w:bottom w:val="none" w:sz="0" w:space="0" w:color="auto"/>
                    <w:right w:val="none" w:sz="0" w:space="0" w:color="auto"/>
                  </w:divBdr>
                  <w:divsChild>
                    <w:div w:id="1019311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1547091">
      <w:bodyDiv w:val="1"/>
      <w:marLeft w:val="0"/>
      <w:marRight w:val="0"/>
      <w:marTop w:val="0"/>
      <w:marBottom w:val="0"/>
      <w:divBdr>
        <w:top w:val="none" w:sz="0" w:space="0" w:color="auto"/>
        <w:left w:val="none" w:sz="0" w:space="0" w:color="auto"/>
        <w:bottom w:val="none" w:sz="0" w:space="0" w:color="auto"/>
        <w:right w:val="none" w:sz="0" w:space="0" w:color="auto"/>
      </w:divBdr>
      <w:divsChild>
        <w:div w:id="691881523">
          <w:marLeft w:val="0"/>
          <w:marRight w:val="0"/>
          <w:marTop w:val="0"/>
          <w:marBottom w:val="0"/>
          <w:divBdr>
            <w:top w:val="none" w:sz="0" w:space="0" w:color="auto"/>
            <w:left w:val="none" w:sz="0" w:space="0" w:color="auto"/>
            <w:bottom w:val="none" w:sz="0" w:space="0" w:color="auto"/>
            <w:right w:val="none" w:sz="0" w:space="0" w:color="auto"/>
          </w:divBdr>
          <w:divsChild>
            <w:div w:id="85927886">
              <w:marLeft w:val="0"/>
              <w:marRight w:val="0"/>
              <w:marTop w:val="0"/>
              <w:marBottom w:val="0"/>
              <w:divBdr>
                <w:top w:val="none" w:sz="0" w:space="0" w:color="auto"/>
                <w:left w:val="none" w:sz="0" w:space="0" w:color="auto"/>
                <w:bottom w:val="none" w:sz="0" w:space="0" w:color="auto"/>
                <w:right w:val="none" w:sz="0" w:space="0" w:color="auto"/>
              </w:divBdr>
              <w:divsChild>
                <w:div w:id="36010570">
                  <w:marLeft w:val="0"/>
                  <w:marRight w:val="0"/>
                  <w:marTop w:val="0"/>
                  <w:marBottom w:val="0"/>
                  <w:divBdr>
                    <w:top w:val="none" w:sz="0" w:space="0" w:color="auto"/>
                    <w:left w:val="none" w:sz="0" w:space="0" w:color="auto"/>
                    <w:bottom w:val="none" w:sz="0" w:space="0" w:color="auto"/>
                    <w:right w:val="none" w:sz="0" w:space="0" w:color="auto"/>
                  </w:divBdr>
                  <w:divsChild>
                    <w:div w:id="160592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291378">
      <w:bodyDiv w:val="1"/>
      <w:marLeft w:val="0"/>
      <w:marRight w:val="0"/>
      <w:marTop w:val="0"/>
      <w:marBottom w:val="0"/>
      <w:divBdr>
        <w:top w:val="none" w:sz="0" w:space="0" w:color="auto"/>
        <w:left w:val="none" w:sz="0" w:space="0" w:color="auto"/>
        <w:bottom w:val="none" w:sz="0" w:space="0" w:color="auto"/>
        <w:right w:val="none" w:sz="0" w:space="0" w:color="auto"/>
      </w:divBdr>
      <w:divsChild>
        <w:div w:id="578947901">
          <w:marLeft w:val="0"/>
          <w:marRight w:val="0"/>
          <w:marTop w:val="0"/>
          <w:marBottom w:val="0"/>
          <w:divBdr>
            <w:top w:val="none" w:sz="0" w:space="0" w:color="auto"/>
            <w:left w:val="none" w:sz="0" w:space="0" w:color="auto"/>
            <w:bottom w:val="none" w:sz="0" w:space="0" w:color="auto"/>
            <w:right w:val="none" w:sz="0" w:space="0" w:color="auto"/>
          </w:divBdr>
          <w:divsChild>
            <w:div w:id="220946216">
              <w:marLeft w:val="0"/>
              <w:marRight w:val="0"/>
              <w:marTop w:val="0"/>
              <w:marBottom w:val="0"/>
              <w:divBdr>
                <w:top w:val="none" w:sz="0" w:space="0" w:color="auto"/>
                <w:left w:val="none" w:sz="0" w:space="0" w:color="auto"/>
                <w:bottom w:val="none" w:sz="0" w:space="0" w:color="auto"/>
                <w:right w:val="none" w:sz="0" w:space="0" w:color="auto"/>
              </w:divBdr>
              <w:divsChild>
                <w:div w:id="922765337">
                  <w:marLeft w:val="0"/>
                  <w:marRight w:val="0"/>
                  <w:marTop w:val="0"/>
                  <w:marBottom w:val="0"/>
                  <w:divBdr>
                    <w:top w:val="none" w:sz="0" w:space="0" w:color="auto"/>
                    <w:left w:val="none" w:sz="0" w:space="0" w:color="auto"/>
                    <w:bottom w:val="none" w:sz="0" w:space="0" w:color="auto"/>
                    <w:right w:val="none" w:sz="0" w:space="0" w:color="auto"/>
                  </w:divBdr>
                  <w:divsChild>
                    <w:div w:id="1192570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3526870">
      <w:bodyDiv w:val="1"/>
      <w:marLeft w:val="0"/>
      <w:marRight w:val="0"/>
      <w:marTop w:val="0"/>
      <w:marBottom w:val="0"/>
      <w:divBdr>
        <w:top w:val="none" w:sz="0" w:space="0" w:color="auto"/>
        <w:left w:val="none" w:sz="0" w:space="0" w:color="auto"/>
        <w:bottom w:val="none" w:sz="0" w:space="0" w:color="auto"/>
        <w:right w:val="none" w:sz="0" w:space="0" w:color="auto"/>
      </w:divBdr>
      <w:divsChild>
        <w:div w:id="481970323">
          <w:marLeft w:val="0"/>
          <w:marRight w:val="0"/>
          <w:marTop w:val="0"/>
          <w:marBottom w:val="0"/>
          <w:divBdr>
            <w:top w:val="none" w:sz="0" w:space="0" w:color="auto"/>
            <w:left w:val="none" w:sz="0" w:space="0" w:color="auto"/>
            <w:bottom w:val="none" w:sz="0" w:space="0" w:color="auto"/>
            <w:right w:val="none" w:sz="0" w:space="0" w:color="auto"/>
          </w:divBdr>
          <w:divsChild>
            <w:div w:id="1216501850">
              <w:marLeft w:val="0"/>
              <w:marRight w:val="0"/>
              <w:marTop w:val="0"/>
              <w:marBottom w:val="0"/>
              <w:divBdr>
                <w:top w:val="none" w:sz="0" w:space="0" w:color="auto"/>
                <w:left w:val="none" w:sz="0" w:space="0" w:color="auto"/>
                <w:bottom w:val="none" w:sz="0" w:space="0" w:color="auto"/>
                <w:right w:val="none" w:sz="0" w:space="0" w:color="auto"/>
              </w:divBdr>
              <w:divsChild>
                <w:div w:id="1138377634">
                  <w:marLeft w:val="0"/>
                  <w:marRight w:val="0"/>
                  <w:marTop w:val="0"/>
                  <w:marBottom w:val="0"/>
                  <w:divBdr>
                    <w:top w:val="none" w:sz="0" w:space="0" w:color="auto"/>
                    <w:left w:val="none" w:sz="0" w:space="0" w:color="auto"/>
                    <w:bottom w:val="none" w:sz="0" w:space="0" w:color="auto"/>
                    <w:right w:val="none" w:sz="0" w:space="0" w:color="auto"/>
                  </w:divBdr>
                  <w:divsChild>
                    <w:div w:id="1893074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0684452">
      <w:bodyDiv w:val="1"/>
      <w:marLeft w:val="0"/>
      <w:marRight w:val="0"/>
      <w:marTop w:val="0"/>
      <w:marBottom w:val="0"/>
      <w:divBdr>
        <w:top w:val="none" w:sz="0" w:space="0" w:color="auto"/>
        <w:left w:val="none" w:sz="0" w:space="0" w:color="auto"/>
        <w:bottom w:val="none" w:sz="0" w:space="0" w:color="auto"/>
        <w:right w:val="none" w:sz="0" w:space="0" w:color="auto"/>
      </w:divBdr>
      <w:divsChild>
        <w:div w:id="491986868">
          <w:marLeft w:val="0"/>
          <w:marRight w:val="0"/>
          <w:marTop w:val="0"/>
          <w:marBottom w:val="0"/>
          <w:divBdr>
            <w:top w:val="none" w:sz="0" w:space="0" w:color="auto"/>
            <w:left w:val="none" w:sz="0" w:space="0" w:color="auto"/>
            <w:bottom w:val="none" w:sz="0" w:space="0" w:color="auto"/>
            <w:right w:val="none" w:sz="0" w:space="0" w:color="auto"/>
          </w:divBdr>
          <w:divsChild>
            <w:div w:id="17051562">
              <w:marLeft w:val="0"/>
              <w:marRight w:val="0"/>
              <w:marTop w:val="0"/>
              <w:marBottom w:val="0"/>
              <w:divBdr>
                <w:top w:val="none" w:sz="0" w:space="0" w:color="auto"/>
                <w:left w:val="none" w:sz="0" w:space="0" w:color="auto"/>
                <w:bottom w:val="none" w:sz="0" w:space="0" w:color="auto"/>
                <w:right w:val="none" w:sz="0" w:space="0" w:color="auto"/>
              </w:divBdr>
              <w:divsChild>
                <w:div w:id="1345397939">
                  <w:marLeft w:val="0"/>
                  <w:marRight w:val="0"/>
                  <w:marTop w:val="0"/>
                  <w:marBottom w:val="0"/>
                  <w:divBdr>
                    <w:top w:val="none" w:sz="0" w:space="0" w:color="auto"/>
                    <w:left w:val="none" w:sz="0" w:space="0" w:color="auto"/>
                    <w:bottom w:val="none" w:sz="0" w:space="0" w:color="auto"/>
                    <w:right w:val="none" w:sz="0" w:space="0" w:color="auto"/>
                  </w:divBdr>
                  <w:divsChild>
                    <w:div w:id="69396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8496148">
      <w:bodyDiv w:val="1"/>
      <w:marLeft w:val="0"/>
      <w:marRight w:val="0"/>
      <w:marTop w:val="0"/>
      <w:marBottom w:val="0"/>
      <w:divBdr>
        <w:top w:val="none" w:sz="0" w:space="0" w:color="auto"/>
        <w:left w:val="none" w:sz="0" w:space="0" w:color="auto"/>
        <w:bottom w:val="none" w:sz="0" w:space="0" w:color="auto"/>
        <w:right w:val="none" w:sz="0" w:space="0" w:color="auto"/>
      </w:divBdr>
      <w:divsChild>
        <w:div w:id="1151365530">
          <w:marLeft w:val="0"/>
          <w:marRight w:val="0"/>
          <w:marTop w:val="0"/>
          <w:marBottom w:val="0"/>
          <w:divBdr>
            <w:top w:val="none" w:sz="0" w:space="0" w:color="auto"/>
            <w:left w:val="none" w:sz="0" w:space="0" w:color="auto"/>
            <w:bottom w:val="none" w:sz="0" w:space="0" w:color="auto"/>
            <w:right w:val="none" w:sz="0" w:space="0" w:color="auto"/>
          </w:divBdr>
          <w:divsChild>
            <w:div w:id="2111243556">
              <w:marLeft w:val="0"/>
              <w:marRight w:val="0"/>
              <w:marTop w:val="0"/>
              <w:marBottom w:val="0"/>
              <w:divBdr>
                <w:top w:val="none" w:sz="0" w:space="0" w:color="auto"/>
                <w:left w:val="none" w:sz="0" w:space="0" w:color="auto"/>
                <w:bottom w:val="none" w:sz="0" w:space="0" w:color="auto"/>
                <w:right w:val="none" w:sz="0" w:space="0" w:color="auto"/>
              </w:divBdr>
              <w:divsChild>
                <w:div w:id="1668703045">
                  <w:marLeft w:val="0"/>
                  <w:marRight w:val="0"/>
                  <w:marTop w:val="0"/>
                  <w:marBottom w:val="0"/>
                  <w:divBdr>
                    <w:top w:val="none" w:sz="0" w:space="0" w:color="auto"/>
                    <w:left w:val="none" w:sz="0" w:space="0" w:color="auto"/>
                    <w:bottom w:val="none" w:sz="0" w:space="0" w:color="auto"/>
                    <w:right w:val="none" w:sz="0" w:space="0" w:color="auto"/>
                  </w:divBdr>
                  <w:divsChild>
                    <w:div w:id="117364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8979077">
      <w:bodyDiv w:val="1"/>
      <w:marLeft w:val="0"/>
      <w:marRight w:val="0"/>
      <w:marTop w:val="0"/>
      <w:marBottom w:val="0"/>
      <w:divBdr>
        <w:top w:val="none" w:sz="0" w:space="0" w:color="auto"/>
        <w:left w:val="none" w:sz="0" w:space="0" w:color="auto"/>
        <w:bottom w:val="none" w:sz="0" w:space="0" w:color="auto"/>
        <w:right w:val="none" w:sz="0" w:space="0" w:color="auto"/>
      </w:divBdr>
      <w:divsChild>
        <w:div w:id="499739657">
          <w:marLeft w:val="0"/>
          <w:marRight w:val="0"/>
          <w:marTop w:val="0"/>
          <w:marBottom w:val="0"/>
          <w:divBdr>
            <w:top w:val="none" w:sz="0" w:space="0" w:color="auto"/>
            <w:left w:val="none" w:sz="0" w:space="0" w:color="auto"/>
            <w:bottom w:val="none" w:sz="0" w:space="0" w:color="auto"/>
            <w:right w:val="none" w:sz="0" w:space="0" w:color="auto"/>
          </w:divBdr>
          <w:divsChild>
            <w:div w:id="819537490">
              <w:marLeft w:val="0"/>
              <w:marRight w:val="0"/>
              <w:marTop w:val="0"/>
              <w:marBottom w:val="0"/>
              <w:divBdr>
                <w:top w:val="none" w:sz="0" w:space="0" w:color="auto"/>
                <w:left w:val="none" w:sz="0" w:space="0" w:color="auto"/>
                <w:bottom w:val="none" w:sz="0" w:space="0" w:color="auto"/>
                <w:right w:val="none" w:sz="0" w:space="0" w:color="auto"/>
              </w:divBdr>
              <w:divsChild>
                <w:div w:id="2080782224">
                  <w:marLeft w:val="0"/>
                  <w:marRight w:val="0"/>
                  <w:marTop w:val="0"/>
                  <w:marBottom w:val="0"/>
                  <w:divBdr>
                    <w:top w:val="none" w:sz="0" w:space="0" w:color="auto"/>
                    <w:left w:val="none" w:sz="0" w:space="0" w:color="auto"/>
                    <w:bottom w:val="none" w:sz="0" w:space="0" w:color="auto"/>
                    <w:right w:val="none" w:sz="0" w:space="0" w:color="auto"/>
                  </w:divBdr>
                  <w:divsChild>
                    <w:div w:id="75012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051016">
      <w:bodyDiv w:val="1"/>
      <w:marLeft w:val="0"/>
      <w:marRight w:val="0"/>
      <w:marTop w:val="0"/>
      <w:marBottom w:val="0"/>
      <w:divBdr>
        <w:top w:val="none" w:sz="0" w:space="0" w:color="auto"/>
        <w:left w:val="none" w:sz="0" w:space="0" w:color="auto"/>
        <w:bottom w:val="none" w:sz="0" w:space="0" w:color="auto"/>
        <w:right w:val="none" w:sz="0" w:space="0" w:color="auto"/>
      </w:divBdr>
      <w:divsChild>
        <w:div w:id="367605983">
          <w:marLeft w:val="0"/>
          <w:marRight w:val="0"/>
          <w:marTop w:val="0"/>
          <w:marBottom w:val="0"/>
          <w:divBdr>
            <w:top w:val="none" w:sz="0" w:space="0" w:color="auto"/>
            <w:left w:val="none" w:sz="0" w:space="0" w:color="auto"/>
            <w:bottom w:val="none" w:sz="0" w:space="0" w:color="auto"/>
            <w:right w:val="none" w:sz="0" w:space="0" w:color="auto"/>
          </w:divBdr>
          <w:divsChild>
            <w:div w:id="175118188">
              <w:marLeft w:val="0"/>
              <w:marRight w:val="0"/>
              <w:marTop w:val="0"/>
              <w:marBottom w:val="0"/>
              <w:divBdr>
                <w:top w:val="none" w:sz="0" w:space="0" w:color="auto"/>
                <w:left w:val="none" w:sz="0" w:space="0" w:color="auto"/>
                <w:bottom w:val="none" w:sz="0" w:space="0" w:color="auto"/>
                <w:right w:val="none" w:sz="0" w:space="0" w:color="auto"/>
              </w:divBdr>
              <w:divsChild>
                <w:div w:id="1010718596">
                  <w:marLeft w:val="0"/>
                  <w:marRight w:val="0"/>
                  <w:marTop w:val="0"/>
                  <w:marBottom w:val="0"/>
                  <w:divBdr>
                    <w:top w:val="none" w:sz="0" w:space="0" w:color="auto"/>
                    <w:left w:val="none" w:sz="0" w:space="0" w:color="auto"/>
                    <w:bottom w:val="none" w:sz="0" w:space="0" w:color="auto"/>
                    <w:right w:val="none" w:sz="0" w:space="0" w:color="auto"/>
                  </w:divBdr>
                  <w:divsChild>
                    <w:div w:id="929394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016148">
      <w:bodyDiv w:val="1"/>
      <w:marLeft w:val="0"/>
      <w:marRight w:val="0"/>
      <w:marTop w:val="0"/>
      <w:marBottom w:val="0"/>
      <w:divBdr>
        <w:top w:val="none" w:sz="0" w:space="0" w:color="auto"/>
        <w:left w:val="none" w:sz="0" w:space="0" w:color="auto"/>
        <w:bottom w:val="none" w:sz="0" w:space="0" w:color="auto"/>
        <w:right w:val="none" w:sz="0" w:space="0" w:color="auto"/>
      </w:divBdr>
      <w:divsChild>
        <w:div w:id="1484588054">
          <w:marLeft w:val="0"/>
          <w:marRight w:val="0"/>
          <w:marTop w:val="0"/>
          <w:marBottom w:val="0"/>
          <w:divBdr>
            <w:top w:val="none" w:sz="0" w:space="0" w:color="auto"/>
            <w:left w:val="none" w:sz="0" w:space="0" w:color="auto"/>
            <w:bottom w:val="none" w:sz="0" w:space="0" w:color="auto"/>
            <w:right w:val="none" w:sz="0" w:space="0" w:color="auto"/>
          </w:divBdr>
          <w:divsChild>
            <w:div w:id="1615861163">
              <w:marLeft w:val="0"/>
              <w:marRight w:val="0"/>
              <w:marTop w:val="0"/>
              <w:marBottom w:val="0"/>
              <w:divBdr>
                <w:top w:val="none" w:sz="0" w:space="0" w:color="auto"/>
                <w:left w:val="none" w:sz="0" w:space="0" w:color="auto"/>
                <w:bottom w:val="none" w:sz="0" w:space="0" w:color="auto"/>
                <w:right w:val="none" w:sz="0" w:space="0" w:color="auto"/>
              </w:divBdr>
              <w:divsChild>
                <w:div w:id="1004288357">
                  <w:marLeft w:val="0"/>
                  <w:marRight w:val="0"/>
                  <w:marTop w:val="0"/>
                  <w:marBottom w:val="0"/>
                  <w:divBdr>
                    <w:top w:val="none" w:sz="0" w:space="0" w:color="auto"/>
                    <w:left w:val="none" w:sz="0" w:space="0" w:color="auto"/>
                    <w:bottom w:val="none" w:sz="0" w:space="0" w:color="auto"/>
                    <w:right w:val="none" w:sz="0" w:space="0" w:color="auto"/>
                  </w:divBdr>
                  <w:divsChild>
                    <w:div w:id="1155754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1477446">
      <w:bodyDiv w:val="1"/>
      <w:marLeft w:val="0"/>
      <w:marRight w:val="0"/>
      <w:marTop w:val="0"/>
      <w:marBottom w:val="0"/>
      <w:divBdr>
        <w:top w:val="none" w:sz="0" w:space="0" w:color="auto"/>
        <w:left w:val="none" w:sz="0" w:space="0" w:color="auto"/>
        <w:bottom w:val="none" w:sz="0" w:space="0" w:color="auto"/>
        <w:right w:val="none" w:sz="0" w:space="0" w:color="auto"/>
      </w:divBdr>
      <w:divsChild>
        <w:div w:id="683165974">
          <w:marLeft w:val="0"/>
          <w:marRight w:val="0"/>
          <w:marTop w:val="0"/>
          <w:marBottom w:val="0"/>
          <w:divBdr>
            <w:top w:val="none" w:sz="0" w:space="0" w:color="auto"/>
            <w:left w:val="none" w:sz="0" w:space="0" w:color="auto"/>
            <w:bottom w:val="none" w:sz="0" w:space="0" w:color="auto"/>
            <w:right w:val="none" w:sz="0" w:space="0" w:color="auto"/>
          </w:divBdr>
        </w:div>
      </w:divsChild>
    </w:div>
    <w:div w:id="1974559898">
      <w:bodyDiv w:val="1"/>
      <w:marLeft w:val="0"/>
      <w:marRight w:val="0"/>
      <w:marTop w:val="0"/>
      <w:marBottom w:val="0"/>
      <w:divBdr>
        <w:top w:val="none" w:sz="0" w:space="0" w:color="auto"/>
        <w:left w:val="none" w:sz="0" w:space="0" w:color="auto"/>
        <w:bottom w:val="none" w:sz="0" w:space="0" w:color="auto"/>
        <w:right w:val="none" w:sz="0" w:space="0" w:color="auto"/>
      </w:divBdr>
      <w:divsChild>
        <w:div w:id="167335044">
          <w:marLeft w:val="0"/>
          <w:marRight w:val="0"/>
          <w:marTop w:val="0"/>
          <w:marBottom w:val="0"/>
          <w:divBdr>
            <w:top w:val="none" w:sz="0" w:space="0" w:color="auto"/>
            <w:left w:val="none" w:sz="0" w:space="0" w:color="auto"/>
            <w:bottom w:val="none" w:sz="0" w:space="0" w:color="auto"/>
            <w:right w:val="none" w:sz="0" w:space="0" w:color="auto"/>
          </w:divBdr>
          <w:divsChild>
            <w:div w:id="1527870953">
              <w:marLeft w:val="0"/>
              <w:marRight w:val="0"/>
              <w:marTop w:val="0"/>
              <w:marBottom w:val="0"/>
              <w:divBdr>
                <w:top w:val="none" w:sz="0" w:space="0" w:color="auto"/>
                <w:left w:val="none" w:sz="0" w:space="0" w:color="auto"/>
                <w:bottom w:val="none" w:sz="0" w:space="0" w:color="auto"/>
                <w:right w:val="none" w:sz="0" w:space="0" w:color="auto"/>
              </w:divBdr>
              <w:divsChild>
                <w:div w:id="783304197">
                  <w:marLeft w:val="0"/>
                  <w:marRight w:val="0"/>
                  <w:marTop w:val="0"/>
                  <w:marBottom w:val="0"/>
                  <w:divBdr>
                    <w:top w:val="none" w:sz="0" w:space="0" w:color="auto"/>
                    <w:left w:val="none" w:sz="0" w:space="0" w:color="auto"/>
                    <w:bottom w:val="none" w:sz="0" w:space="0" w:color="auto"/>
                    <w:right w:val="none" w:sz="0" w:space="0" w:color="auto"/>
                  </w:divBdr>
                  <w:divsChild>
                    <w:div w:id="34282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569df091-b013-40e3-86ee-bd9cb9e25814}" enabled="0" method="" siteId="{569df091-b013-40e3-86ee-bd9cb9e25814}" removed="1"/>
</clbl:labelList>
</file>

<file path=docProps/app.xml><?xml version="1.0" encoding="utf-8"?>
<Properties xmlns="http://schemas.openxmlformats.org/officeDocument/2006/extended-properties" xmlns:vt="http://schemas.openxmlformats.org/officeDocument/2006/docPropsVTypes">
  <Template>Normal.dotm</Template>
  <TotalTime>0</TotalTime>
  <Pages>5</Pages>
  <Words>1414</Words>
  <Characters>8063</Characters>
  <Application>Microsoft Office Word</Application>
  <DocSecurity>0</DocSecurity>
  <Lines>67</Lines>
  <Paragraphs>18</Paragraphs>
  <ScaleCrop>false</ScaleCrop>
  <Company/>
  <LinksUpToDate>false</LinksUpToDate>
  <CharactersWithSpaces>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Mamaka Diabate</dc:creator>
  <cp:keywords/>
  <dc:description/>
  <cp:lastModifiedBy>Aissata Camara (2424904)</cp:lastModifiedBy>
  <cp:revision>2</cp:revision>
  <dcterms:created xsi:type="dcterms:W3CDTF">2026-04-30T09:32:00Z</dcterms:created>
  <dcterms:modified xsi:type="dcterms:W3CDTF">2026-04-30T09:32:00Z</dcterms:modified>
</cp:coreProperties>
</file>