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B9C188" w14:textId="77777777" w:rsidR="00067DAE" w:rsidRPr="00E46BF8" w:rsidRDefault="00067DAE" w:rsidP="00067DAE">
      <w:r>
        <w:rPr>
          <w:noProof/>
        </w:rPr>
        <w:drawing>
          <wp:inline distT="0" distB="0" distL="0" distR="0" wp14:anchorId="39E3CD7B" wp14:editId="734EBDEC">
            <wp:extent cx="2514600" cy="1006286"/>
            <wp:effectExtent l="0" t="0" r="0" b="3810"/>
            <wp:docPr id="1355616678" name="Picture 3"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go | Discover Dylan Thomas"/>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47190" cy="1019328"/>
                    </a:xfrm>
                    <a:prstGeom prst="rect">
                      <a:avLst/>
                    </a:prstGeom>
                    <a:noFill/>
                    <a:ln>
                      <a:noFill/>
                    </a:ln>
                  </pic:spPr>
                </pic:pic>
              </a:graphicData>
            </a:graphic>
          </wp:inline>
        </w:drawing>
      </w:r>
    </w:p>
    <w:p w14:paraId="3C4250D4" w14:textId="77777777" w:rsidR="00067DAE" w:rsidRPr="00C043AE" w:rsidRDefault="00067DAE" w:rsidP="00067DAE">
      <w:pPr>
        <w:spacing w:line="276" w:lineRule="auto"/>
        <w:jc w:val="center"/>
        <w:rPr>
          <w:rFonts w:cs="Arial"/>
          <w:b/>
          <w:bCs/>
          <w:color w:val="000000" w:themeColor="text1"/>
          <w:sz w:val="28"/>
          <w:szCs w:val="28"/>
        </w:rPr>
      </w:pPr>
    </w:p>
    <w:p w14:paraId="5723A75C" w14:textId="77777777" w:rsidR="00067DAE" w:rsidRPr="00C043AE" w:rsidRDefault="00067DAE" w:rsidP="00067DAE">
      <w:pPr>
        <w:jc w:val="center"/>
        <w:rPr>
          <w:rFonts w:cs="Arial"/>
          <w:color w:val="000000" w:themeColor="text1"/>
          <w:sz w:val="28"/>
          <w:szCs w:val="28"/>
        </w:rPr>
      </w:pPr>
      <w:r w:rsidRPr="00C043AE">
        <w:rPr>
          <w:rFonts w:cs="Arial"/>
          <w:b/>
          <w:bCs/>
          <w:color w:val="000000" w:themeColor="text1"/>
          <w:sz w:val="28"/>
          <w:szCs w:val="28"/>
        </w:rPr>
        <w:t xml:space="preserve">Programme: </w:t>
      </w:r>
      <w:r w:rsidRPr="00C043AE">
        <w:rPr>
          <w:rFonts w:cs="Arial"/>
          <w:color w:val="000000" w:themeColor="text1"/>
          <w:sz w:val="28"/>
          <w:szCs w:val="28"/>
        </w:rPr>
        <w:t>Master of Business Administration</w:t>
      </w:r>
    </w:p>
    <w:p w14:paraId="0DD8662B" w14:textId="77777777" w:rsidR="00067DAE" w:rsidRPr="00C043AE" w:rsidRDefault="00067DAE" w:rsidP="00067DAE">
      <w:pPr>
        <w:jc w:val="center"/>
        <w:rPr>
          <w:rFonts w:cs="Arial"/>
          <w:color w:val="000000" w:themeColor="text1"/>
          <w:sz w:val="28"/>
          <w:szCs w:val="28"/>
        </w:rPr>
      </w:pPr>
      <w:r w:rsidRPr="00C043AE">
        <w:rPr>
          <w:rFonts w:cs="Arial"/>
          <w:b/>
          <w:bCs/>
          <w:color w:val="000000" w:themeColor="text1"/>
          <w:sz w:val="28"/>
          <w:szCs w:val="28"/>
        </w:rPr>
        <w:t>Module:</w:t>
      </w:r>
      <w:r w:rsidRPr="00C043AE">
        <w:rPr>
          <w:rFonts w:cs="Arial"/>
          <w:color w:val="000000" w:themeColor="text1"/>
          <w:sz w:val="28"/>
          <w:szCs w:val="28"/>
        </w:rPr>
        <w:t xml:space="preserve"> Dissertation (LCMB7035)</w:t>
      </w:r>
    </w:p>
    <w:p w14:paraId="2A312D90" w14:textId="6962F73E" w:rsidR="00067DAE" w:rsidRPr="00C043AE" w:rsidRDefault="00067DAE" w:rsidP="00067DAE">
      <w:pPr>
        <w:jc w:val="center"/>
        <w:rPr>
          <w:rFonts w:cs="Arial"/>
          <w:color w:val="000000" w:themeColor="text1"/>
          <w:sz w:val="28"/>
          <w:szCs w:val="28"/>
        </w:rPr>
      </w:pPr>
      <w:r>
        <w:rPr>
          <w:rFonts w:cs="Arial"/>
          <w:b/>
          <w:bCs/>
          <w:color w:val="000000" w:themeColor="text1"/>
          <w:sz w:val="28"/>
          <w:szCs w:val="28"/>
        </w:rPr>
        <w:t>Supervisor Name</w:t>
      </w:r>
      <w:r w:rsidRPr="00C043AE">
        <w:rPr>
          <w:rFonts w:cs="Arial"/>
          <w:b/>
          <w:bCs/>
          <w:color w:val="000000" w:themeColor="text1"/>
          <w:sz w:val="28"/>
          <w:szCs w:val="28"/>
        </w:rPr>
        <w:t>:</w:t>
      </w:r>
      <w:r w:rsidRPr="00C043AE">
        <w:rPr>
          <w:rFonts w:cs="Arial"/>
          <w:color w:val="000000" w:themeColor="text1"/>
          <w:sz w:val="28"/>
          <w:szCs w:val="28"/>
        </w:rPr>
        <w:t xml:space="preserve"> </w:t>
      </w:r>
      <w:r w:rsidRPr="00067DAE">
        <w:rPr>
          <w:rFonts w:cs="Arial"/>
          <w:color w:val="000000" w:themeColor="text1"/>
          <w:sz w:val="28"/>
          <w:szCs w:val="28"/>
        </w:rPr>
        <w:t>Dr Abdi Rahman</w:t>
      </w:r>
    </w:p>
    <w:p w14:paraId="032C699B" w14:textId="1CECEC2A" w:rsidR="00067DAE" w:rsidRPr="00127A68" w:rsidRDefault="00067DAE" w:rsidP="00067DAE">
      <w:pPr>
        <w:jc w:val="center"/>
        <w:rPr>
          <w:rFonts w:cs="Arial"/>
          <w:b/>
          <w:bCs/>
          <w:color w:val="000000" w:themeColor="text1"/>
          <w:sz w:val="28"/>
          <w:szCs w:val="28"/>
        </w:rPr>
      </w:pPr>
      <w:r>
        <w:rPr>
          <w:rFonts w:cs="Arial"/>
          <w:b/>
          <w:bCs/>
          <w:color w:val="000000" w:themeColor="text1"/>
          <w:sz w:val="28"/>
          <w:szCs w:val="28"/>
        </w:rPr>
        <w:t xml:space="preserve">Dissertation </w:t>
      </w:r>
      <w:r w:rsidRPr="00C043AE">
        <w:rPr>
          <w:rFonts w:cs="Arial"/>
          <w:b/>
          <w:bCs/>
          <w:color w:val="000000" w:themeColor="text1"/>
          <w:sz w:val="28"/>
          <w:szCs w:val="28"/>
        </w:rPr>
        <w:t>Title:</w:t>
      </w:r>
      <w:r w:rsidRPr="00C043AE">
        <w:rPr>
          <w:rFonts w:cs="Arial"/>
          <w:i/>
          <w:iCs/>
          <w:color w:val="000000" w:themeColor="text1"/>
          <w:sz w:val="28"/>
          <w:szCs w:val="28"/>
        </w:rPr>
        <w:t xml:space="preserve"> </w:t>
      </w:r>
      <w:r w:rsidRPr="00067DAE">
        <w:rPr>
          <w:rFonts w:cs="Arial"/>
          <w:color w:val="000000" w:themeColor="text1"/>
          <w:sz w:val="28"/>
          <w:szCs w:val="28"/>
        </w:rPr>
        <w:t xml:space="preserve">The Role </w:t>
      </w:r>
      <w:r>
        <w:rPr>
          <w:rFonts w:cs="Arial"/>
          <w:color w:val="000000" w:themeColor="text1"/>
          <w:sz w:val="28"/>
          <w:szCs w:val="28"/>
        </w:rPr>
        <w:t>o</w:t>
      </w:r>
      <w:r w:rsidRPr="00067DAE">
        <w:rPr>
          <w:rFonts w:cs="Arial"/>
          <w:color w:val="000000" w:themeColor="text1"/>
          <w:sz w:val="28"/>
          <w:szCs w:val="28"/>
        </w:rPr>
        <w:t xml:space="preserve">f Digital Platforms </w:t>
      </w:r>
      <w:r>
        <w:rPr>
          <w:rFonts w:cs="Arial"/>
          <w:color w:val="000000" w:themeColor="text1"/>
          <w:sz w:val="28"/>
          <w:szCs w:val="28"/>
        </w:rPr>
        <w:t>i</w:t>
      </w:r>
      <w:r w:rsidRPr="00067DAE">
        <w:rPr>
          <w:rFonts w:cs="Arial"/>
          <w:color w:val="000000" w:themeColor="text1"/>
          <w:sz w:val="28"/>
          <w:szCs w:val="28"/>
        </w:rPr>
        <w:t>n Enabling Uk S</w:t>
      </w:r>
      <w:r>
        <w:rPr>
          <w:rFonts w:cs="Arial"/>
          <w:color w:val="000000" w:themeColor="text1"/>
          <w:sz w:val="28"/>
          <w:szCs w:val="28"/>
        </w:rPr>
        <w:t>MEs</w:t>
      </w:r>
      <w:r w:rsidRPr="00067DAE">
        <w:rPr>
          <w:rFonts w:cs="Arial"/>
          <w:color w:val="000000" w:themeColor="text1"/>
          <w:sz w:val="28"/>
          <w:szCs w:val="28"/>
        </w:rPr>
        <w:t xml:space="preserve"> </w:t>
      </w:r>
      <w:r>
        <w:rPr>
          <w:rFonts w:cs="Arial"/>
          <w:color w:val="000000" w:themeColor="text1"/>
          <w:sz w:val="28"/>
          <w:szCs w:val="28"/>
        </w:rPr>
        <w:t>t</w:t>
      </w:r>
      <w:r w:rsidRPr="00067DAE">
        <w:rPr>
          <w:rFonts w:cs="Arial"/>
          <w:color w:val="000000" w:themeColor="text1"/>
          <w:sz w:val="28"/>
          <w:szCs w:val="28"/>
        </w:rPr>
        <w:t xml:space="preserve">o Expand </w:t>
      </w:r>
      <w:r>
        <w:rPr>
          <w:rFonts w:cs="Arial"/>
          <w:color w:val="000000" w:themeColor="text1"/>
          <w:sz w:val="28"/>
          <w:szCs w:val="28"/>
        </w:rPr>
        <w:t>i</w:t>
      </w:r>
      <w:r w:rsidRPr="00067DAE">
        <w:rPr>
          <w:rFonts w:cs="Arial"/>
          <w:color w:val="000000" w:themeColor="text1"/>
          <w:sz w:val="28"/>
          <w:szCs w:val="28"/>
        </w:rPr>
        <w:t>nto International Markets Post-Brexit</w:t>
      </w:r>
    </w:p>
    <w:p w14:paraId="59DC0B97" w14:textId="11FA45A7" w:rsidR="00067DAE" w:rsidRPr="00C043AE" w:rsidRDefault="00067DAE" w:rsidP="00067DAE">
      <w:pPr>
        <w:jc w:val="center"/>
        <w:rPr>
          <w:rFonts w:cs="Arial"/>
          <w:b/>
          <w:bCs/>
          <w:color w:val="000000" w:themeColor="text1"/>
          <w:sz w:val="28"/>
          <w:szCs w:val="28"/>
        </w:rPr>
      </w:pPr>
      <w:r w:rsidRPr="00C043AE">
        <w:rPr>
          <w:rFonts w:cs="Arial"/>
          <w:b/>
          <w:bCs/>
          <w:color w:val="000000" w:themeColor="text1"/>
          <w:sz w:val="28"/>
          <w:szCs w:val="28"/>
        </w:rPr>
        <w:t xml:space="preserve">Student Name: </w:t>
      </w:r>
      <w:r w:rsidRPr="00067DAE">
        <w:rPr>
          <w:rFonts w:cs="Arial"/>
          <w:color w:val="000000" w:themeColor="text1"/>
          <w:sz w:val="28"/>
          <w:szCs w:val="28"/>
        </w:rPr>
        <w:t>Ammar Patel</w:t>
      </w:r>
    </w:p>
    <w:p w14:paraId="69B5871B" w14:textId="77777777" w:rsidR="00067DAE" w:rsidRDefault="00067DAE" w:rsidP="00067DAE">
      <w:pPr>
        <w:jc w:val="center"/>
        <w:rPr>
          <w:rFonts w:cs="Arial"/>
          <w:color w:val="000000" w:themeColor="text1"/>
          <w:sz w:val="28"/>
          <w:szCs w:val="28"/>
        </w:rPr>
      </w:pPr>
      <w:r w:rsidRPr="00C043AE">
        <w:rPr>
          <w:rFonts w:cs="Arial"/>
          <w:b/>
          <w:bCs/>
          <w:color w:val="000000" w:themeColor="text1"/>
          <w:sz w:val="28"/>
          <w:szCs w:val="28"/>
        </w:rPr>
        <w:t xml:space="preserve">Student Number: </w:t>
      </w:r>
      <w:r w:rsidRPr="00037B3C">
        <w:rPr>
          <w:rFonts w:cs="Arial"/>
          <w:color w:val="000000" w:themeColor="text1"/>
          <w:sz w:val="28"/>
          <w:szCs w:val="28"/>
        </w:rPr>
        <w:t>2414887</w:t>
      </w:r>
    </w:p>
    <w:p w14:paraId="740D1330" w14:textId="52E56280" w:rsidR="00067DAE" w:rsidRPr="00127A68" w:rsidRDefault="00067DAE" w:rsidP="00067DAE">
      <w:pPr>
        <w:jc w:val="center"/>
        <w:rPr>
          <w:rFonts w:cs="Arial"/>
          <w:b/>
          <w:bCs/>
          <w:color w:val="000000" w:themeColor="text1"/>
          <w:sz w:val="28"/>
          <w:szCs w:val="28"/>
        </w:rPr>
      </w:pPr>
      <w:r w:rsidRPr="00127A68">
        <w:rPr>
          <w:rFonts w:cs="Arial"/>
          <w:b/>
          <w:bCs/>
          <w:color w:val="000000" w:themeColor="text1"/>
          <w:sz w:val="28"/>
          <w:szCs w:val="28"/>
        </w:rPr>
        <w:t>Word Count:</w:t>
      </w:r>
      <w:r>
        <w:rPr>
          <w:rFonts w:cs="Arial"/>
          <w:b/>
          <w:bCs/>
          <w:color w:val="000000" w:themeColor="text1"/>
          <w:sz w:val="28"/>
          <w:szCs w:val="28"/>
        </w:rPr>
        <w:t xml:space="preserve"> </w:t>
      </w:r>
      <w:r w:rsidR="00884F2F" w:rsidRPr="00884F2F">
        <w:rPr>
          <w:rFonts w:cs="Arial"/>
          <w:color w:val="000000" w:themeColor="text1"/>
          <w:sz w:val="28"/>
          <w:szCs w:val="28"/>
        </w:rPr>
        <w:t>15972</w:t>
      </w:r>
    </w:p>
    <w:p w14:paraId="34A6065C" w14:textId="77777777" w:rsidR="00067DAE" w:rsidRPr="00C043AE" w:rsidRDefault="00067DAE" w:rsidP="00067DAE">
      <w:pPr>
        <w:rPr>
          <w:rFonts w:cs="Arial"/>
          <w:color w:val="000000" w:themeColor="text1"/>
          <w:sz w:val="28"/>
          <w:szCs w:val="28"/>
          <w:lang w:val="en-US"/>
        </w:rPr>
      </w:pPr>
    </w:p>
    <w:p w14:paraId="604EBCE1" w14:textId="77777777" w:rsidR="00067DAE" w:rsidRPr="00C043AE" w:rsidRDefault="00067DAE" w:rsidP="00067DAE">
      <w:pPr>
        <w:rPr>
          <w:rFonts w:cs="Arial"/>
          <w:b/>
          <w:bCs/>
          <w:color w:val="000000" w:themeColor="text1"/>
          <w:sz w:val="28"/>
          <w:szCs w:val="28"/>
        </w:rPr>
      </w:pPr>
      <w:r w:rsidRPr="00C043AE">
        <w:rPr>
          <w:rFonts w:cs="Arial"/>
          <w:b/>
          <w:bCs/>
          <w:color w:val="000000" w:themeColor="text1"/>
          <w:sz w:val="28"/>
          <w:szCs w:val="28"/>
        </w:rPr>
        <w:t xml:space="preserve">DECLARATATION </w:t>
      </w:r>
    </w:p>
    <w:p w14:paraId="47B0EC30" w14:textId="409D1F9F" w:rsidR="00067DAE" w:rsidRPr="00B1575F" w:rsidRDefault="00067DAE" w:rsidP="00067DAE">
      <w:pPr>
        <w:pStyle w:val="paragraph"/>
        <w:spacing w:before="0" w:beforeAutospacing="0" w:after="0" w:afterAutospacing="0" w:line="360" w:lineRule="auto"/>
        <w:textAlignment w:val="baseline"/>
        <w:rPr>
          <w:rFonts w:ascii="Arial" w:hAnsi="Arial" w:cs="Arial"/>
          <w:i/>
          <w:iCs/>
          <w:color w:val="000000" w:themeColor="text1"/>
        </w:rPr>
      </w:pPr>
      <w:r w:rsidRPr="00B1575F">
        <w:rPr>
          <w:rStyle w:val="normaltextrun"/>
          <w:rFonts w:ascii="Arial" w:hAnsi="Arial" w:cs="Arial"/>
          <w:i/>
          <w:iCs/>
          <w:color w:val="000000" w:themeColor="text1"/>
        </w:rPr>
        <w:t xml:space="preserve">I, </w:t>
      </w:r>
      <w:r w:rsidRPr="00067DAE">
        <w:rPr>
          <w:rStyle w:val="normaltextrun"/>
          <w:rFonts w:ascii="Arial" w:hAnsi="Arial" w:cs="Arial"/>
          <w:i/>
          <w:iCs/>
          <w:color w:val="000000" w:themeColor="text1"/>
        </w:rPr>
        <w:t>Ammar Patel</w:t>
      </w:r>
      <w:r w:rsidRPr="00B1575F">
        <w:rPr>
          <w:rStyle w:val="normaltextrun"/>
          <w:rFonts w:ascii="Arial" w:hAnsi="Arial" w:cs="Arial"/>
          <w:i/>
          <w:iCs/>
          <w:color w:val="000000" w:themeColor="text1"/>
        </w:rPr>
        <w:t>, 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w:t>
      </w:r>
      <w:r w:rsidRPr="00B1575F">
        <w:rPr>
          <w:rStyle w:val="eop"/>
          <w:rFonts w:ascii="Arial" w:hAnsi="Arial" w:cs="Arial"/>
          <w:i/>
          <w:iCs/>
          <w:color w:val="000000" w:themeColor="text1"/>
        </w:rPr>
        <w:t> </w:t>
      </w:r>
    </w:p>
    <w:p w14:paraId="6961CF37" w14:textId="77777777" w:rsidR="00067DAE" w:rsidRPr="00C043AE" w:rsidRDefault="00067DAE" w:rsidP="00067DAE">
      <w:pPr>
        <w:pStyle w:val="paragraph"/>
        <w:spacing w:before="0" w:beforeAutospacing="0" w:after="0" w:afterAutospacing="0" w:line="360" w:lineRule="auto"/>
        <w:textAlignment w:val="baseline"/>
        <w:rPr>
          <w:rFonts w:ascii="Arial" w:hAnsi="Arial" w:cs="Arial"/>
          <w:color w:val="000000" w:themeColor="text1"/>
          <w:sz w:val="28"/>
          <w:szCs w:val="28"/>
        </w:rPr>
      </w:pPr>
      <w:r w:rsidRPr="00C043AE">
        <w:rPr>
          <w:rStyle w:val="eop"/>
          <w:rFonts w:ascii="Arial" w:hAnsi="Arial" w:cs="Arial"/>
          <w:color w:val="000000" w:themeColor="text1"/>
          <w:sz w:val="28"/>
          <w:szCs w:val="28"/>
        </w:rPr>
        <w:t> </w:t>
      </w:r>
    </w:p>
    <w:p w14:paraId="685772C1" w14:textId="0DA50F66" w:rsidR="00067DAE" w:rsidRPr="00C043AE" w:rsidRDefault="00067DAE" w:rsidP="00067DAE">
      <w:pPr>
        <w:pStyle w:val="paragraph"/>
        <w:spacing w:before="0" w:beforeAutospacing="0" w:after="0" w:afterAutospacing="0" w:line="360" w:lineRule="auto"/>
        <w:textAlignment w:val="baseline"/>
        <w:rPr>
          <w:rFonts w:ascii="Arial" w:hAnsi="Arial" w:cs="Arial"/>
          <w:color w:val="000000" w:themeColor="text1"/>
          <w:sz w:val="28"/>
          <w:szCs w:val="28"/>
        </w:rPr>
      </w:pPr>
      <w:r w:rsidRPr="001F1805">
        <w:rPr>
          <w:rStyle w:val="normaltextrun"/>
          <w:rFonts w:ascii="Arial" w:hAnsi="Arial" w:cs="Arial"/>
          <w:b/>
          <w:bCs/>
          <w:color w:val="000000" w:themeColor="text1"/>
          <w:sz w:val="28"/>
          <w:szCs w:val="28"/>
        </w:rPr>
        <w:t>Signature:</w:t>
      </w:r>
      <w:r>
        <w:rPr>
          <w:rStyle w:val="normaltextrun"/>
          <w:rFonts w:ascii="Arial" w:hAnsi="Arial" w:cs="Arial"/>
          <w:color w:val="000000" w:themeColor="text1"/>
          <w:sz w:val="28"/>
          <w:szCs w:val="28"/>
        </w:rPr>
        <w:t xml:space="preserve"> </w:t>
      </w:r>
      <w:r w:rsidRPr="00067DAE">
        <w:rPr>
          <w:rStyle w:val="normaltextrun"/>
          <w:rFonts w:ascii="Arial" w:hAnsi="Arial" w:cs="Arial"/>
          <w:i/>
          <w:iCs/>
          <w:color w:val="000000" w:themeColor="text1"/>
          <w:sz w:val="28"/>
          <w:szCs w:val="28"/>
        </w:rPr>
        <w:t>Ammar Patel</w:t>
      </w:r>
    </w:p>
    <w:p w14:paraId="7DDA4707" w14:textId="769E5516" w:rsidR="00067DAE" w:rsidRDefault="00067DAE" w:rsidP="00067DAE">
      <w:pPr>
        <w:pStyle w:val="paragraph"/>
        <w:spacing w:before="0" w:beforeAutospacing="0" w:after="0" w:afterAutospacing="0" w:line="360" w:lineRule="auto"/>
        <w:textAlignment w:val="baseline"/>
        <w:rPr>
          <w:rStyle w:val="normaltextrun"/>
          <w:rFonts w:ascii="Arial" w:hAnsi="Arial" w:cs="Arial"/>
          <w:color w:val="000000" w:themeColor="text1"/>
          <w:sz w:val="28"/>
          <w:szCs w:val="28"/>
        </w:rPr>
      </w:pPr>
      <w:r w:rsidRPr="001F1805">
        <w:rPr>
          <w:rStyle w:val="normaltextrun"/>
          <w:rFonts w:ascii="Arial" w:hAnsi="Arial" w:cs="Arial"/>
          <w:b/>
          <w:bCs/>
          <w:color w:val="000000" w:themeColor="text1"/>
          <w:sz w:val="28"/>
          <w:szCs w:val="28"/>
        </w:rPr>
        <w:t>Date:</w:t>
      </w:r>
      <w:r>
        <w:rPr>
          <w:rStyle w:val="normaltextrun"/>
          <w:rFonts w:ascii="Arial" w:hAnsi="Arial" w:cs="Arial"/>
          <w:color w:val="000000" w:themeColor="text1"/>
          <w:sz w:val="28"/>
          <w:szCs w:val="28"/>
        </w:rPr>
        <w:t xml:space="preserve"> 7</w:t>
      </w:r>
      <w:r w:rsidRPr="00037B3C">
        <w:rPr>
          <w:rStyle w:val="normaltextrun"/>
          <w:rFonts w:ascii="Arial" w:hAnsi="Arial" w:cs="Arial"/>
          <w:color w:val="000000" w:themeColor="text1"/>
          <w:sz w:val="28"/>
          <w:szCs w:val="28"/>
          <w:vertAlign w:val="superscript"/>
        </w:rPr>
        <w:t>th</w:t>
      </w:r>
      <w:r>
        <w:rPr>
          <w:rStyle w:val="normaltextrun"/>
          <w:rFonts w:ascii="Arial" w:hAnsi="Arial" w:cs="Arial"/>
          <w:color w:val="000000" w:themeColor="text1"/>
          <w:sz w:val="28"/>
          <w:szCs w:val="28"/>
        </w:rPr>
        <w:t xml:space="preserve"> January 2026</w:t>
      </w:r>
    </w:p>
    <w:p w14:paraId="33599C3F" w14:textId="4962F6A3" w:rsidR="00600FB5" w:rsidRPr="00067DAE" w:rsidRDefault="00067DAE" w:rsidP="00067DAE">
      <w:pPr>
        <w:spacing w:before="0" w:after="0"/>
        <w:rPr>
          <w:rFonts w:cs="Arial"/>
          <w:color w:val="000000" w:themeColor="text1"/>
          <w:sz w:val="28"/>
          <w:szCs w:val="28"/>
          <w:lang w:val="en-GB" w:eastAsia="zh-CN"/>
        </w:rPr>
      </w:pPr>
      <w:r>
        <w:rPr>
          <w:rStyle w:val="normaltextrun"/>
          <w:rFonts w:cs="Arial"/>
          <w:color w:val="000000" w:themeColor="text1"/>
          <w:sz w:val="28"/>
          <w:szCs w:val="28"/>
        </w:rPr>
        <w:br w:type="page"/>
      </w:r>
    </w:p>
    <w:p w14:paraId="6103055A" w14:textId="44200FA1" w:rsidR="003228BD" w:rsidRDefault="00067DAE" w:rsidP="00067DAE">
      <w:pPr>
        <w:pStyle w:val="Heading1"/>
        <w:rPr>
          <w:highlight w:val="white"/>
          <w:lang w:val="en-US"/>
        </w:rPr>
      </w:pPr>
      <w:bookmarkStart w:id="0" w:name="_Toc218707729"/>
      <w:r>
        <w:rPr>
          <w:highlight w:val="white"/>
          <w:lang w:val="en-US"/>
        </w:rPr>
        <w:lastRenderedPageBreak/>
        <w:t>Acknowledgement</w:t>
      </w:r>
      <w:bookmarkEnd w:id="0"/>
    </w:p>
    <w:p w14:paraId="3A0469C8" w14:textId="17989054" w:rsidR="00067DAE" w:rsidRPr="00067DAE" w:rsidRDefault="00507BB8" w:rsidP="00067DAE">
      <w:pPr>
        <w:rPr>
          <w:highlight w:val="white"/>
          <w:lang w:val="en-US"/>
        </w:rPr>
      </w:pPr>
      <w:r w:rsidRPr="00507BB8">
        <w:rPr>
          <w:lang w:val="en-US"/>
        </w:rPr>
        <w:t xml:space="preserve">I would like to take this opportunity to thank my supervisor, Dr Abdi Rahman, whose guidance, constructive feedback and encouragement during the entire process of doing this dissertation are invaluable. His scholarly wisdom and support played a significant role in determining the course and the excellence of this study. I also want to acknowledge the academic faculty of the Master of Business Administration </w:t>
      </w:r>
      <w:proofErr w:type="spellStart"/>
      <w:r w:rsidRPr="00507BB8">
        <w:rPr>
          <w:lang w:val="en-US"/>
        </w:rPr>
        <w:t>programme</w:t>
      </w:r>
      <w:proofErr w:type="spellEnd"/>
      <w:r w:rsidRPr="00507BB8">
        <w:rPr>
          <w:lang w:val="en-US"/>
        </w:rPr>
        <w:t xml:space="preserve"> that helped me to do this study by giving me the knowledge and resources. Lastly, I would like to thank my family and friends because they were patient, motivating, and supportive of me throughout the research process.</w:t>
      </w:r>
    </w:p>
    <w:p w14:paraId="4C56EB2D" w14:textId="77777777" w:rsidR="00067DAE" w:rsidRPr="00067DAE" w:rsidRDefault="00067DAE" w:rsidP="00067DAE">
      <w:pPr>
        <w:rPr>
          <w:highlight w:val="white"/>
          <w:lang w:val="en-US"/>
        </w:rPr>
      </w:pPr>
    </w:p>
    <w:p w14:paraId="7EDF74EB" w14:textId="77777777" w:rsidR="003228BD" w:rsidRDefault="003228BD" w:rsidP="00C44E80">
      <w:pPr>
        <w:pStyle w:val="Title"/>
        <w:jc w:val="center"/>
        <w:rPr>
          <w:rFonts w:cs="Arial"/>
          <w:color w:val="000000" w:themeColor="text1"/>
          <w:sz w:val="36"/>
          <w:szCs w:val="36"/>
          <w:highlight w:val="white"/>
          <w:lang w:val="en-GB"/>
        </w:rPr>
      </w:pPr>
    </w:p>
    <w:p w14:paraId="4676A1AF" w14:textId="77777777" w:rsidR="003228BD" w:rsidRDefault="003228BD" w:rsidP="00C44E80">
      <w:pPr>
        <w:pStyle w:val="Title"/>
        <w:jc w:val="center"/>
        <w:rPr>
          <w:rFonts w:cs="Arial"/>
          <w:color w:val="000000" w:themeColor="text1"/>
          <w:sz w:val="36"/>
          <w:szCs w:val="36"/>
          <w:highlight w:val="white"/>
          <w:lang w:val="en-US"/>
        </w:rPr>
      </w:pPr>
    </w:p>
    <w:p w14:paraId="4AF9F180" w14:textId="77777777" w:rsidR="003228BD" w:rsidRDefault="003228BD" w:rsidP="00C44E80">
      <w:pPr>
        <w:pStyle w:val="Title"/>
        <w:jc w:val="center"/>
        <w:rPr>
          <w:rFonts w:cs="Arial"/>
          <w:color w:val="000000" w:themeColor="text1"/>
          <w:sz w:val="36"/>
          <w:szCs w:val="36"/>
          <w:highlight w:val="white"/>
          <w:lang w:val="en-GB"/>
        </w:rPr>
      </w:pPr>
    </w:p>
    <w:p w14:paraId="6350ECB4" w14:textId="77777777" w:rsidR="000D2118" w:rsidRPr="00C44E80" w:rsidRDefault="00000000">
      <w:pPr>
        <w:spacing w:line="276" w:lineRule="auto"/>
        <w:jc w:val="left"/>
        <w:rPr>
          <w:rFonts w:cs="Arial"/>
          <w:b/>
          <w:color w:val="151515"/>
          <w:sz w:val="32"/>
          <w:szCs w:val="32"/>
          <w:highlight w:val="white"/>
          <w:lang w:val="en-GB"/>
        </w:rPr>
      </w:pPr>
      <w:r w:rsidRPr="00C44E80">
        <w:rPr>
          <w:rFonts w:cs="Arial"/>
          <w:lang w:val="en-GB"/>
        </w:rPr>
        <w:br w:type="page"/>
      </w:r>
    </w:p>
    <w:p w14:paraId="3295A58F" w14:textId="77777777" w:rsidR="000D2118" w:rsidRPr="00C44E80" w:rsidRDefault="00000000" w:rsidP="00D21E15">
      <w:pPr>
        <w:pStyle w:val="Heading1"/>
        <w:rPr>
          <w:lang w:val="en-GB"/>
        </w:rPr>
      </w:pPr>
      <w:bookmarkStart w:id="1" w:name="_Toc218707730"/>
      <w:r w:rsidRPr="00C44E80">
        <w:rPr>
          <w:lang w:val="en-GB"/>
        </w:rPr>
        <w:lastRenderedPageBreak/>
        <w:t>Table of Contents</w:t>
      </w:r>
      <w:bookmarkEnd w:id="1"/>
    </w:p>
    <w:sdt>
      <w:sdtPr>
        <w:rPr>
          <w:rFonts w:cs="Arial"/>
          <w:lang w:val="en-GB"/>
        </w:rPr>
        <w:id w:val="761706029"/>
        <w:docPartObj>
          <w:docPartGallery w:val="Table of Contents"/>
          <w:docPartUnique/>
        </w:docPartObj>
      </w:sdtPr>
      <w:sdtContent>
        <w:p w14:paraId="6AFB0D7B" w14:textId="68DBF861" w:rsidR="00884F2F" w:rsidRDefault="00000000">
          <w:pPr>
            <w:pStyle w:val="TOC1"/>
            <w:rPr>
              <w:rFonts w:asciiTheme="minorHAnsi" w:eastAsiaTheme="minorEastAsia" w:hAnsiTheme="minorHAnsi" w:cstheme="minorBidi"/>
              <w:noProof/>
              <w:kern w:val="2"/>
              <w:szCs w:val="30"/>
              <w:lang w:val="en-US" w:eastAsia="zh-CN" w:bidi="bn-IN"/>
              <w14:ligatures w14:val="standardContextual"/>
            </w:rPr>
          </w:pPr>
          <w:r w:rsidRPr="00C44E80">
            <w:rPr>
              <w:rFonts w:cs="Arial"/>
              <w:lang w:val="en-GB"/>
            </w:rPr>
            <w:fldChar w:fldCharType="begin"/>
          </w:r>
          <w:r w:rsidRPr="00C44E80">
            <w:rPr>
              <w:rFonts w:cs="Arial"/>
              <w:lang w:val="en-GB"/>
            </w:rPr>
            <w:instrText xml:space="preserve"> TOC \h \u \z \t "Heading 1,1,Heading 2,2,Heading 3,3,"</w:instrText>
          </w:r>
          <w:r w:rsidRPr="00C44E80">
            <w:rPr>
              <w:rFonts w:cs="Arial"/>
              <w:lang w:val="en-GB"/>
            </w:rPr>
            <w:fldChar w:fldCharType="separate"/>
          </w:r>
          <w:hyperlink w:anchor="_Toc218707729" w:history="1">
            <w:r w:rsidR="00884F2F" w:rsidRPr="00264BFB">
              <w:rPr>
                <w:rStyle w:val="Hyperlink"/>
                <w:noProof/>
                <w:highlight w:val="white"/>
                <w:lang w:val="en-US"/>
              </w:rPr>
              <w:t>Acknowledgement</w:t>
            </w:r>
            <w:r w:rsidR="00884F2F">
              <w:rPr>
                <w:noProof/>
                <w:webHidden/>
              </w:rPr>
              <w:tab/>
            </w:r>
            <w:r w:rsidR="00884F2F">
              <w:rPr>
                <w:noProof/>
                <w:webHidden/>
              </w:rPr>
              <w:fldChar w:fldCharType="begin"/>
            </w:r>
            <w:r w:rsidR="00884F2F">
              <w:rPr>
                <w:noProof/>
                <w:webHidden/>
              </w:rPr>
              <w:instrText xml:space="preserve"> PAGEREF _Toc218707729 \h </w:instrText>
            </w:r>
            <w:r w:rsidR="00884F2F">
              <w:rPr>
                <w:noProof/>
                <w:webHidden/>
              </w:rPr>
            </w:r>
            <w:r w:rsidR="00884F2F">
              <w:rPr>
                <w:noProof/>
                <w:webHidden/>
              </w:rPr>
              <w:fldChar w:fldCharType="separate"/>
            </w:r>
            <w:r w:rsidR="00884F2F">
              <w:rPr>
                <w:noProof/>
                <w:webHidden/>
              </w:rPr>
              <w:t>2</w:t>
            </w:r>
            <w:r w:rsidR="00884F2F">
              <w:rPr>
                <w:noProof/>
                <w:webHidden/>
              </w:rPr>
              <w:fldChar w:fldCharType="end"/>
            </w:r>
          </w:hyperlink>
        </w:p>
        <w:p w14:paraId="3C410D83" w14:textId="4B651331" w:rsidR="00884F2F" w:rsidRDefault="00884F2F">
          <w:pPr>
            <w:pStyle w:val="TOC1"/>
            <w:rPr>
              <w:rFonts w:asciiTheme="minorHAnsi" w:eastAsiaTheme="minorEastAsia" w:hAnsiTheme="minorHAnsi" w:cstheme="minorBidi"/>
              <w:noProof/>
              <w:kern w:val="2"/>
              <w:szCs w:val="30"/>
              <w:lang w:val="en-US" w:eastAsia="zh-CN" w:bidi="bn-IN"/>
              <w14:ligatures w14:val="standardContextual"/>
            </w:rPr>
          </w:pPr>
          <w:hyperlink w:anchor="_Toc218707730" w:history="1">
            <w:r w:rsidRPr="00264BFB">
              <w:rPr>
                <w:rStyle w:val="Hyperlink"/>
                <w:noProof/>
                <w:lang w:val="en-GB"/>
              </w:rPr>
              <w:t>Table of Contents</w:t>
            </w:r>
            <w:r>
              <w:rPr>
                <w:noProof/>
                <w:webHidden/>
              </w:rPr>
              <w:tab/>
            </w:r>
            <w:r>
              <w:rPr>
                <w:noProof/>
                <w:webHidden/>
              </w:rPr>
              <w:fldChar w:fldCharType="begin"/>
            </w:r>
            <w:r>
              <w:rPr>
                <w:noProof/>
                <w:webHidden/>
              </w:rPr>
              <w:instrText xml:space="preserve"> PAGEREF _Toc218707730 \h </w:instrText>
            </w:r>
            <w:r>
              <w:rPr>
                <w:noProof/>
                <w:webHidden/>
              </w:rPr>
            </w:r>
            <w:r>
              <w:rPr>
                <w:noProof/>
                <w:webHidden/>
              </w:rPr>
              <w:fldChar w:fldCharType="separate"/>
            </w:r>
            <w:r>
              <w:rPr>
                <w:noProof/>
                <w:webHidden/>
              </w:rPr>
              <w:t>3</w:t>
            </w:r>
            <w:r>
              <w:rPr>
                <w:noProof/>
                <w:webHidden/>
              </w:rPr>
              <w:fldChar w:fldCharType="end"/>
            </w:r>
          </w:hyperlink>
        </w:p>
        <w:p w14:paraId="26B02EBC" w14:textId="6E1BA925" w:rsidR="00884F2F" w:rsidRDefault="00884F2F">
          <w:pPr>
            <w:pStyle w:val="TOC1"/>
            <w:rPr>
              <w:rFonts w:asciiTheme="minorHAnsi" w:eastAsiaTheme="minorEastAsia" w:hAnsiTheme="minorHAnsi" w:cstheme="minorBidi"/>
              <w:noProof/>
              <w:kern w:val="2"/>
              <w:szCs w:val="30"/>
              <w:lang w:val="en-US" w:eastAsia="zh-CN" w:bidi="bn-IN"/>
              <w14:ligatures w14:val="standardContextual"/>
            </w:rPr>
          </w:pPr>
          <w:hyperlink w:anchor="_Toc218707731" w:history="1">
            <w:r w:rsidRPr="00264BFB">
              <w:rPr>
                <w:rStyle w:val="Hyperlink"/>
                <w:noProof/>
                <w:lang w:val="en-GB"/>
              </w:rPr>
              <w:t>List of Figures</w:t>
            </w:r>
            <w:r>
              <w:rPr>
                <w:noProof/>
                <w:webHidden/>
              </w:rPr>
              <w:tab/>
            </w:r>
            <w:r>
              <w:rPr>
                <w:noProof/>
                <w:webHidden/>
              </w:rPr>
              <w:fldChar w:fldCharType="begin"/>
            </w:r>
            <w:r>
              <w:rPr>
                <w:noProof/>
                <w:webHidden/>
              </w:rPr>
              <w:instrText xml:space="preserve"> PAGEREF _Toc218707731 \h </w:instrText>
            </w:r>
            <w:r>
              <w:rPr>
                <w:noProof/>
                <w:webHidden/>
              </w:rPr>
            </w:r>
            <w:r>
              <w:rPr>
                <w:noProof/>
                <w:webHidden/>
              </w:rPr>
              <w:fldChar w:fldCharType="separate"/>
            </w:r>
            <w:r>
              <w:rPr>
                <w:noProof/>
                <w:webHidden/>
              </w:rPr>
              <w:t>6</w:t>
            </w:r>
            <w:r>
              <w:rPr>
                <w:noProof/>
                <w:webHidden/>
              </w:rPr>
              <w:fldChar w:fldCharType="end"/>
            </w:r>
          </w:hyperlink>
        </w:p>
        <w:p w14:paraId="4FFDBB76" w14:textId="2748C3F8" w:rsidR="00884F2F" w:rsidRDefault="00884F2F">
          <w:pPr>
            <w:pStyle w:val="TOC1"/>
            <w:rPr>
              <w:rFonts w:asciiTheme="minorHAnsi" w:eastAsiaTheme="minorEastAsia" w:hAnsiTheme="minorHAnsi" w:cstheme="minorBidi"/>
              <w:noProof/>
              <w:kern w:val="2"/>
              <w:szCs w:val="30"/>
              <w:lang w:val="en-US" w:eastAsia="zh-CN" w:bidi="bn-IN"/>
              <w14:ligatures w14:val="standardContextual"/>
            </w:rPr>
          </w:pPr>
          <w:hyperlink w:anchor="_Toc218707732" w:history="1">
            <w:r w:rsidRPr="00264BFB">
              <w:rPr>
                <w:rStyle w:val="Hyperlink"/>
                <w:noProof/>
                <w:lang w:val="en-GB"/>
              </w:rPr>
              <w:t>List of Table</w:t>
            </w:r>
            <w:r>
              <w:rPr>
                <w:noProof/>
                <w:webHidden/>
              </w:rPr>
              <w:tab/>
            </w:r>
            <w:r>
              <w:rPr>
                <w:noProof/>
                <w:webHidden/>
              </w:rPr>
              <w:fldChar w:fldCharType="begin"/>
            </w:r>
            <w:r>
              <w:rPr>
                <w:noProof/>
                <w:webHidden/>
              </w:rPr>
              <w:instrText xml:space="preserve"> PAGEREF _Toc218707732 \h </w:instrText>
            </w:r>
            <w:r>
              <w:rPr>
                <w:noProof/>
                <w:webHidden/>
              </w:rPr>
            </w:r>
            <w:r>
              <w:rPr>
                <w:noProof/>
                <w:webHidden/>
              </w:rPr>
              <w:fldChar w:fldCharType="separate"/>
            </w:r>
            <w:r>
              <w:rPr>
                <w:noProof/>
                <w:webHidden/>
              </w:rPr>
              <w:t>6</w:t>
            </w:r>
            <w:r>
              <w:rPr>
                <w:noProof/>
                <w:webHidden/>
              </w:rPr>
              <w:fldChar w:fldCharType="end"/>
            </w:r>
          </w:hyperlink>
        </w:p>
        <w:p w14:paraId="540D7D8D" w14:textId="706833BC" w:rsidR="00884F2F" w:rsidRDefault="00884F2F">
          <w:pPr>
            <w:pStyle w:val="TOC1"/>
            <w:rPr>
              <w:rFonts w:asciiTheme="minorHAnsi" w:eastAsiaTheme="minorEastAsia" w:hAnsiTheme="minorHAnsi" w:cstheme="minorBidi"/>
              <w:noProof/>
              <w:kern w:val="2"/>
              <w:szCs w:val="30"/>
              <w:lang w:val="en-US" w:eastAsia="zh-CN" w:bidi="bn-IN"/>
              <w14:ligatures w14:val="standardContextual"/>
            </w:rPr>
          </w:pPr>
          <w:hyperlink w:anchor="_Toc218707733" w:history="1">
            <w:r w:rsidRPr="00264BFB">
              <w:rPr>
                <w:rStyle w:val="Hyperlink"/>
                <w:noProof/>
              </w:rPr>
              <w:t>Chapter 1: Introduction</w:t>
            </w:r>
            <w:r>
              <w:rPr>
                <w:noProof/>
                <w:webHidden/>
              </w:rPr>
              <w:tab/>
            </w:r>
            <w:r>
              <w:rPr>
                <w:noProof/>
                <w:webHidden/>
              </w:rPr>
              <w:fldChar w:fldCharType="begin"/>
            </w:r>
            <w:r>
              <w:rPr>
                <w:noProof/>
                <w:webHidden/>
              </w:rPr>
              <w:instrText xml:space="preserve"> PAGEREF _Toc218707733 \h </w:instrText>
            </w:r>
            <w:r>
              <w:rPr>
                <w:noProof/>
                <w:webHidden/>
              </w:rPr>
            </w:r>
            <w:r>
              <w:rPr>
                <w:noProof/>
                <w:webHidden/>
              </w:rPr>
              <w:fldChar w:fldCharType="separate"/>
            </w:r>
            <w:r>
              <w:rPr>
                <w:noProof/>
                <w:webHidden/>
              </w:rPr>
              <w:t>7</w:t>
            </w:r>
            <w:r>
              <w:rPr>
                <w:noProof/>
                <w:webHidden/>
              </w:rPr>
              <w:fldChar w:fldCharType="end"/>
            </w:r>
          </w:hyperlink>
        </w:p>
        <w:p w14:paraId="24966257" w14:textId="4F4E071D"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34" w:history="1">
            <w:r w:rsidRPr="00264BFB">
              <w:rPr>
                <w:rStyle w:val="Hyperlink"/>
                <w:noProof/>
                <w:lang w:val="en-GB"/>
              </w:rPr>
              <w:t xml:space="preserve">1.1. </w:t>
            </w:r>
            <w:r w:rsidRPr="00264BFB">
              <w:rPr>
                <w:rStyle w:val="Hyperlink"/>
                <w:noProof/>
              </w:rPr>
              <w:t>Introduction</w:t>
            </w:r>
            <w:r>
              <w:rPr>
                <w:noProof/>
                <w:webHidden/>
              </w:rPr>
              <w:tab/>
            </w:r>
            <w:r>
              <w:rPr>
                <w:noProof/>
                <w:webHidden/>
              </w:rPr>
              <w:fldChar w:fldCharType="begin"/>
            </w:r>
            <w:r>
              <w:rPr>
                <w:noProof/>
                <w:webHidden/>
              </w:rPr>
              <w:instrText xml:space="preserve"> PAGEREF _Toc218707734 \h </w:instrText>
            </w:r>
            <w:r>
              <w:rPr>
                <w:noProof/>
                <w:webHidden/>
              </w:rPr>
            </w:r>
            <w:r>
              <w:rPr>
                <w:noProof/>
                <w:webHidden/>
              </w:rPr>
              <w:fldChar w:fldCharType="separate"/>
            </w:r>
            <w:r>
              <w:rPr>
                <w:noProof/>
                <w:webHidden/>
              </w:rPr>
              <w:t>7</w:t>
            </w:r>
            <w:r>
              <w:rPr>
                <w:noProof/>
                <w:webHidden/>
              </w:rPr>
              <w:fldChar w:fldCharType="end"/>
            </w:r>
          </w:hyperlink>
        </w:p>
        <w:p w14:paraId="38476E76" w14:textId="19345B05"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35" w:history="1">
            <w:r w:rsidRPr="00264BFB">
              <w:rPr>
                <w:rStyle w:val="Hyperlink"/>
                <w:noProof/>
                <w:lang w:val="en-GB"/>
              </w:rPr>
              <w:t xml:space="preserve">1.2. </w:t>
            </w:r>
            <w:r w:rsidRPr="00264BFB">
              <w:rPr>
                <w:rStyle w:val="Hyperlink"/>
                <w:noProof/>
              </w:rPr>
              <w:t>Background</w:t>
            </w:r>
            <w:r>
              <w:rPr>
                <w:noProof/>
                <w:webHidden/>
              </w:rPr>
              <w:tab/>
            </w:r>
            <w:r>
              <w:rPr>
                <w:noProof/>
                <w:webHidden/>
              </w:rPr>
              <w:fldChar w:fldCharType="begin"/>
            </w:r>
            <w:r>
              <w:rPr>
                <w:noProof/>
                <w:webHidden/>
              </w:rPr>
              <w:instrText xml:space="preserve"> PAGEREF _Toc218707735 \h </w:instrText>
            </w:r>
            <w:r>
              <w:rPr>
                <w:noProof/>
                <w:webHidden/>
              </w:rPr>
            </w:r>
            <w:r>
              <w:rPr>
                <w:noProof/>
                <w:webHidden/>
              </w:rPr>
              <w:fldChar w:fldCharType="separate"/>
            </w:r>
            <w:r>
              <w:rPr>
                <w:noProof/>
                <w:webHidden/>
              </w:rPr>
              <w:t>7</w:t>
            </w:r>
            <w:r>
              <w:rPr>
                <w:noProof/>
                <w:webHidden/>
              </w:rPr>
              <w:fldChar w:fldCharType="end"/>
            </w:r>
          </w:hyperlink>
        </w:p>
        <w:p w14:paraId="276569F4" w14:textId="461D747C"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36" w:history="1">
            <w:r w:rsidRPr="00264BFB">
              <w:rPr>
                <w:rStyle w:val="Hyperlink"/>
                <w:noProof/>
                <w:lang w:val="en-GB"/>
              </w:rPr>
              <w:t xml:space="preserve">1.3. Research </w:t>
            </w:r>
            <w:r w:rsidRPr="00264BFB">
              <w:rPr>
                <w:rStyle w:val="Hyperlink"/>
                <w:noProof/>
              </w:rPr>
              <w:t>Problem</w:t>
            </w:r>
            <w:r>
              <w:rPr>
                <w:noProof/>
                <w:webHidden/>
              </w:rPr>
              <w:tab/>
            </w:r>
            <w:r>
              <w:rPr>
                <w:noProof/>
                <w:webHidden/>
              </w:rPr>
              <w:fldChar w:fldCharType="begin"/>
            </w:r>
            <w:r>
              <w:rPr>
                <w:noProof/>
                <w:webHidden/>
              </w:rPr>
              <w:instrText xml:space="preserve"> PAGEREF _Toc218707736 \h </w:instrText>
            </w:r>
            <w:r>
              <w:rPr>
                <w:noProof/>
                <w:webHidden/>
              </w:rPr>
            </w:r>
            <w:r>
              <w:rPr>
                <w:noProof/>
                <w:webHidden/>
              </w:rPr>
              <w:fldChar w:fldCharType="separate"/>
            </w:r>
            <w:r>
              <w:rPr>
                <w:noProof/>
                <w:webHidden/>
              </w:rPr>
              <w:t>8</w:t>
            </w:r>
            <w:r>
              <w:rPr>
                <w:noProof/>
                <w:webHidden/>
              </w:rPr>
              <w:fldChar w:fldCharType="end"/>
            </w:r>
          </w:hyperlink>
        </w:p>
        <w:p w14:paraId="789E7B3F" w14:textId="77C8DF19"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37" w:history="1">
            <w:r w:rsidRPr="00264BFB">
              <w:rPr>
                <w:rStyle w:val="Hyperlink"/>
                <w:rFonts w:cs="Arial"/>
                <w:noProof/>
                <w:lang w:val="en-GB"/>
              </w:rPr>
              <w:t>1.4 Research Aim</w:t>
            </w:r>
            <w:r>
              <w:rPr>
                <w:noProof/>
                <w:webHidden/>
              </w:rPr>
              <w:tab/>
            </w:r>
            <w:r>
              <w:rPr>
                <w:noProof/>
                <w:webHidden/>
              </w:rPr>
              <w:fldChar w:fldCharType="begin"/>
            </w:r>
            <w:r>
              <w:rPr>
                <w:noProof/>
                <w:webHidden/>
              </w:rPr>
              <w:instrText xml:space="preserve"> PAGEREF _Toc218707737 \h </w:instrText>
            </w:r>
            <w:r>
              <w:rPr>
                <w:noProof/>
                <w:webHidden/>
              </w:rPr>
            </w:r>
            <w:r>
              <w:rPr>
                <w:noProof/>
                <w:webHidden/>
              </w:rPr>
              <w:fldChar w:fldCharType="separate"/>
            </w:r>
            <w:r>
              <w:rPr>
                <w:noProof/>
                <w:webHidden/>
              </w:rPr>
              <w:t>8</w:t>
            </w:r>
            <w:r>
              <w:rPr>
                <w:noProof/>
                <w:webHidden/>
              </w:rPr>
              <w:fldChar w:fldCharType="end"/>
            </w:r>
          </w:hyperlink>
        </w:p>
        <w:p w14:paraId="72EB1645" w14:textId="27A4B379"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38" w:history="1">
            <w:r w:rsidRPr="00264BFB">
              <w:rPr>
                <w:rStyle w:val="Hyperlink"/>
                <w:noProof/>
                <w:lang w:val="en-GB"/>
              </w:rPr>
              <w:t xml:space="preserve">1.5 Research </w:t>
            </w:r>
            <w:r w:rsidRPr="00264BFB">
              <w:rPr>
                <w:rStyle w:val="Hyperlink"/>
                <w:noProof/>
              </w:rPr>
              <w:t>Objectives</w:t>
            </w:r>
            <w:r>
              <w:rPr>
                <w:noProof/>
                <w:webHidden/>
              </w:rPr>
              <w:tab/>
            </w:r>
            <w:r>
              <w:rPr>
                <w:noProof/>
                <w:webHidden/>
              </w:rPr>
              <w:fldChar w:fldCharType="begin"/>
            </w:r>
            <w:r>
              <w:rPr>
                <w:noProof/>
                <w:webHidden/>
              </w:rPr>
              <w:instrText xml:space="preserve"> PAGEREF _Toc218707738 \h </w:instrText>
            </w:r>
            <w:r>
              <w:rPr>
                <w:noProof/>
                <w:webHidden/>
              </w:rPr>
            </w:r>
            <w:r>
              <w:rPr>
                <w:noProof/>
                <w:webHidden/>
              </w:rPr>
              <w:fldChar w:fldCharType="separate"/>
            </w:r>
            <w:r>
              <w:rPr>
                <w:noProof/>
                <w:webHidden/>
              </w:rPr>
              <w:t>8</w:t>
            </w:r>
            <w:r>
              <w:rPr>
                <w:noProof/>
                <w:webHidden/>
              </w:rPr>
              <w:fldChar w:fldCharType="end"/>
            </w:r>
          </w:hyperlink>
        </w:p>
        <w:p w14:paraId="3FC254F8" w14:textId="5362A693"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39" w:history="1">
            <w:r w:rsidRPr="00264BFB">
              <w:rPr>
                <w:rStyle w:val="Hyperlink"/>
                <w:rFonts w:cs="Arial"/>
                <w:noProof/>
                <w:lang w:val="en-GB"/>
              </w:rPr>
              <w:t>1.6 Research Questions</w:t>
            </w:r>
            <w:r>
              <w:rPr>
                <w:noProof/>
                <w:webHidden/>
              </w:rPr>
              <w:tab/>
            </w:r>
            <w:r>
              <w:rPr>
                <w:noProof/>
                <w:webHidden/>
              </w:rPr>
              <w:fldChar w:fldCharType="begin"/>
            </w:r>
            <w:r>
              <w:rPr>
                <w:noProof/>
                <w:webHidden/>
              </w:rPr>
              <w:instrText xml:space="preserve"> PAGEREF _Toc218707739 \h </w:instrText>
            </w:r>
            <w:r>
              <w:rPr>
                <w:noProof/>
                <w:webHidden/>
              </w:rPr>
            </w:r>
            <w:r>
              <w:rPr>
                <w:noProof/>
                <w:webHidden/>
              </w:rPr>
              <w:fldChar w:fldCharType="separate"/>
            </w:r>
            <w:r>
              <w:rPr>
                <w:noProof/>
                <w:webHidden/>
              </w:rPr>
              <w:t>9</w:t>
            </w:r>
            <w:r>
              <w:rPr>
                <w:noProof/>
                <w:webHidden/>
              </w:rPr>
              <w:fldChar w:fldCharType="end"/>
            </w:r>
          </w:hyperlink>
        </w:p>
        <w:p w14:paraId="1D428A55" w14:textId="4CDF1B8A"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40" w:history="1">
            <w:r w:rsidRPr="00264BFB">
              <w:rPr>
                <w:rStyle w:val="Hyperlink"/>
                <w:noProof/>
                <w:lang w:val="en-GB"/>
              </w:rPr>
              <w:t>1.7 Overview of the Research Methodology</w:t>
            </w:r>
            <w:r>
              <w:rPr>
                <w:noProof/>
                <w:webHidden/>
              </w:rPr>
              <w:tab/>
            </w:r>
            <w:r>
              <w:rPr>
                <w:noProof/>
                <w:webHidden/>
              </w:rPr>
              <w:fldChar w:fldCharType="begin"/>
            </w:r>
            <w:r>
              <w:rPr>
                <w:noProof/>
                <w:webHidden/>
              </w:rPr>
              <w:instrText xml:space="preserve"> PAGEREF _Toc218707740 \h </w:instrText>
            </w:r>
            <w:r>
              <w:rPr>
                <w:noProof/>
                <w:webHidden/>
              </w:rPr>
            </w:r>
            <w:r>
              <w:rPr>
                <w:noProof/>
                <w:webHidden/>
              </w:rPr>
              <w:fldChar w:fldCharType="separate"/>
            </w:r>
            <w:r>
              <w:rPr>
                <w:noProof/>
                <w:webHidden/>
              </w:rPr>
              <w:t>9</w:t>
            </w:r>
            <w:r>
              <w:rPr>
                <w:noProof/>
                <w:webHidden/>
              </w:rPr>
              <w:fldChar w:fldCharType="end"/>
            </w:r>
          </w:hyperlink>
        </w:p>
        <w:p w14:paraId="1CC1A95C" w14:textId="259136A2"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41" w:history="1">
            <w:r w:rsidRPr="00264BFB">
              <w:rPr>
                <w:rStyle w:val="Hyperlink"/>
                <w:noProof/>
                <w:lang w:val="en-US"/>
              </w:rPr>
              <w:t>1.8 Rationale of the Study</w:t>
            </w:r>
            <w:r>
              <w:rPr>
                <w:noProof/>
                <w:webHidden/>
              </w:rPr>
              <w:tab/>
            </w:r>
            <w:r>
              <w:rPr>
                <w:noProof/>
                <w:webHidden/>
              </w:rPr>
              <w:fldChar w:fldCharType="begin"/>
            </w:r>
            <w:r>
              <w:rPr>
                <w:noProof/>
                <w:webHidden/>
              </w:rPr>
              <w:instrText xml:space="preserve"> PAGEREF _Toc218707741 \h </w:instrText>
            </w:r>
            <w:r>
              <w:rPr>
                <w:noProof/>
                <w:webHidden/>
              </w:rPr>
            </w:r>
            <w:r>
              <w:rPr>
                <w:noProof/>
                <w:webHidden/>
              </w:rPr>
              <w:fldChar w:fldCharType="separate"/>
            </w:r>
            <w:r>
              <w:rPr>
                <w:noProof/>
                <w:webHidden/>
              </w:rPr>
              <w:t>10</w:t>
            </w:r>
            <w:r>
              <w:rPr>
                <w:noProof/>
                <w:webHidden/>
              </w:rPr>
              <w:fldChar w:fldCharType="end"/>
            </w:r>
          </w:hyperlink>
        </w:p>
        <w:p w14:paraId="4C8AF707" w14:textId="766DF32E"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42" w:history="1">
            <w:r w:rsidRPr="00264BFB">
              <w:rPr>
                <w:rStyle w:val="Hyperlink"/>
                <w:noProof/>
                <w:lang w:val="en-US"/>
              </w:rPr>
              <w:t>1.9 Chapter Summary</w:t>
            </w:r>
            <w:r>
              <w:rPr>
                <w:noProof/>
                <w:webHidden/>
              </w:rPr>
              <w:tab/>
            </w:r>
            <w:r>
              <w:rPr>
                <w:noProof/>
                <w:webHidden/>
              </w:rPr>
              <w:fldChar w:fldCharType="begin"/>
            </w:r>
            <w:r>
              <w:rPr>
                <w:noProof/>
                <w:webHidden/>
              </w:rPr>
              <w:instrText xml:space="preserve"> PAGEREF _Toc218707742 \h </w:instrText>
            </w:r>
            <w:r>
              <w:rPr>
                <w:noProof/>
                <w:webHidden/>
              </w:rPr>
            </w:r>
            <w:r>
              <w:rPr>
                <w:noProof/>
                <w:webHidden/>
              </w:rPr>
              <w:fldChar w:fldCharType="separate"/>
            </w:r>
            <w:r>
              <w:rPr>
                <w:noProof/>
                <w:webHidden/>
              </w:rPr>
              <w:t>10</w:t>
            </w:r>
            <w:r>
              <w:rPr>
                <w:noProof/>
                <w:webHidden/>
              </w:rPr>
              <w:fldChar w:fldCharType="end"/>
            </w:r>
          </w:hyperlink>
        </w:p>
        <w:p w14:paraId="0A33A1C3" w14:textId="58B7DBE1" w:rsidR="00884F2F" w:rsidRDefault="00884F2F">
          <w:pPr>
            <w:pStyle w:val="TOC1"/>
            <w:rPr>
              <w:rFonts w:asciiTheme="minorHAnsi" w:eastAsiaTheme="minorEastAsia" w:hAnsiTheme="minorHAnsi" w:cstheme="minorBidi"/>
              <w:noProof/>
              <w:kern w:val="2"/>
              <w:szCs w:val="30"/>
              <w:lang w:val="en-US" w:eastAsia="zh-CN" w:bidi="bn-IN"/>
              <w14:ligatures w14:val="standardContextual"/>
            </w:rPr>
          </w:pPr>
          <w:hyperlink w:anchor="_Toc218707743" w:history="1">
            <w:r w:rsidRPr="00264BFB">
              <w:rPr>
                <w:rStyle w:val="Hyperlink"/>
                <w:noProof/>
                <w:lang w:val="en-US"/>
              </w:rPr>
              <w:t>Chapter 2: Literature Review</w:t>
            </w:r>
            <w:r>
              <w:rPr>
                <w:noProof/>
                <w:webHidden/>
              </w:rPr>
              <w:tab/>
            </w:r>
            <w:r>
              <w:rPr>
                <w:noProof/>
                <w:webHidden/>
              </w:rPr>
              <w:fldChar w:fldCharType="begin"/>
            </w:r>
            <w:r>
              <w:rPr>
                <w:noProof/>
                <w:webHidden/>
              </w:rPr>
              <w:instrText xml:space="preserve"> PAGEREF _Toc218707743 \h </w:instrText>
            </w:r>
            <w:r>
              <w:rPr>
                <w:noProof/>
                <w:webHidden/>
              </w:rPr>
            </w:r>
            <w:r>
              <w:rPr>
                <w:noProof/>
                <w:webHidden/>
              </w:rPr>
              <w:fldChar w:fldCharType="separate"/>
            </w:r>
            <w:r>
              <w:rPr>
                <w:noProof/>
                <w:webHidden/>
              </w:rPr>
              <w:t>11</w:t>
            </w:r>
            <w:r>
              <w:rPr>
                <w:noProof/>
                <w:webHidden/>
              </w:rPr>
              <w:fldChar w:fldCharType="end"/>
            </w:r>
          </w:hyperlink>
        </w:p>
        <w:p w14:paraId="79D15DA0" w14:textId="2DDFE7F9"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44" w:history="1">
            <w:r w:rsidRPr="00264BFB">
              <w:rPr>
                <w:rStyle w:val="Hyperlink"/>
                <w:noProof/>
                <w:lang w:val="en-US"/>
              </w:rPr>
              <w:t>2.1 Introduction</w:t>
            </w:r>
            <w:r>
              <w:rPr>
                <w:noProof/>
                <w:webHidden/>
              </w:rPr>
              <w:tab/>
            </w:r>
            <w:r>
              <w:rPr>
                <w:noProof/>
                <w:webHidden/>
              </w:rPr>
              <w:fldChar w:fldCharType="begin"/>
            </w:r>
            <w:r>
              <w:rPr>
                <w:noProof/>
                <w:webHidden/>
              </w:rPr>
              <w:instrText xml:space="preserve"> PAGEREF _Toc218707744 \h </w:instrText>
            </w:r>
            <w:r>
              <w:rPr>
                <w:noProof/>
                <w:webHidden/>
              </w:rPr>
            </w:r>
            <w:r>
              <w:rPr>
                <w:noProof/>
                <w:webHidden/>
              </w:rPr>
              <w:fldChar w:fldCharType="separate"/>
            </w:r>
            <w:r>
              <w:rPr>
                <w:noProof/>
                <w:webHidden/>
              </w:rPr>
              <w:t>11</w:t>
            </w:r>
            <w:r>
              <w:rPr>
                <w:noProof/>
                <w:webHidden/>
              </w:rPr>
              <w:fldChar w:fldCharType="end"/>
            </w:r>
          </w:hyperlink>
        </w:p>
        <w:p w14:paraId="7001AE45" w14:textId="1A57D11C"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45" w:history="1">
            <w:r w:rsidRPr="00264BFB">
              <w:rPr>
                <w:rStyle w:val="Hyperlink"/>
                <w:noProof/>
                <w:lang w:val="en-US"/>
              </w:rPr>
              <w:t>2.2 Definition of the Key Concepts</w:t>
            </w:r>
            <w:r>
              <w:rPr>
                <w:noProof/>
                <w:webHidden/>
              </w:rPr>
              <w:tab/>
            </w:r>
            <w:r>
              <w:rPr>
                <w:noProof/>
                <w:webHidden/>
              </w:rPr>
              <w:fldChar w:fldCharType="begin"/>
            </w:r>
            <w:r>
              <w:rPr>
                <w:noProof/>
                <w:webHidden/>
              </w:rPr>
              <w:instrText xml:space="preserve"> PAGEREF _Toc218707745 \h </w:instrText>
            </w:r>
            <w:r>
              <w:rPr>
                <w:noProof/>
                <w:webHidden/>
              </w:rPr>
            </w:r>
            <w:r>
              <w:rPr>
                <w:noProof/>
                <w:webHidden/>
              </w:rPr>
              <w:fldChar w:fldCharType="separate"/>
            </w:r>
            <w:r>
              <w:rPr>
                <w:noProof/>
                <w:webHidden/>
              </w:rPr>
              <w:t>11</w:t>
            </w:r>
            <w:r>
              <w:rPr>
                <w:noProof/>
                <w:webHidden/>
              </w:rPr>
              <w:fldChar w:fldCharType="end"/>
            </w:r>
          </w:hyperlink>
        </w:p>
        <w:p w14:paraId="0B8783AE" w14:textId="6980A532"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46" w:history="1">
            <w:r w:rsidRPr="00264BFB">
              <w:rPr>
                <w:rStyle w:val="Hyperlink"/>
                <w:noProof/>
                <w:lang w:val="en-US"/>
              </w:rPr>
              <w:t>2.3 Theoretical Frameworks</w:t>
            </w:r>
            <w:r>
              <w:rPr>
                <w:noProof/>
                <w:webHidden/>
              </w:rPr>
              <w:tab/>
            </w:r>
            <w:r>
              <w:rPr>
                <w:noProof/>
                <w:webHidden/>
              </w:rPr>
              <w:fldChar w:fldCharType="begin"/>
            </w:r>
            <w:r>
              <w:rPr>
                <w:noProof/>
                <w:webHidden/>
              </w:rPr>
              <w:instrText xml:space="preserve"> PAGEREF _Toc218707746 \h </w:instrText>
            </w:r>
            <w:r>
              <w:rPr>
                <w:noProof/>
                <w:webHidden/>
              </w:rPr>
            </w:r>
            <w:r>
              <w:rPr>
                <w:noProof/>
                <w:webHidden/>
              </w:rPr>
              <w:fldChar w:fldCharType="separate"/>
            </w:r>
            <w:r>
              <w:rPr>
                <w:noProof/>
                <w:webHidden/>
              </w:rPr>
              <w:t>12</w:t>
            </w:r>
            <w:r>
              <w:rPr>
                <w:noProof/>
                <w:webHidden/>
              </w:rPr>
              <w:fldChar w:fldCharType="end"/>
            </w:r>
          </w:hyperlink>
        </w:p>
        <w:p w14:paraId="68D3725D" w14:textId="657DED0E"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47" w:history="1">
            <w:r w:rsidRPr="00264BFB">
              <w:rPr>
                <w:rStyle w:val="Hyperlink"/>
                <w:noProof/>
              </w:rPr>
              <w:t>2.4 Digital Platforms in SME Internationalisation</w:t>
            </w:r>
            <w:r>
              <w:rPr>
                <w:noProof/>
                <w:webHidden/>
              </w:rPr>
              <w:tab/>
            </w:r>
            <w:r>
              <w:rPr>
                <w:noProof/>
                <w:webHidden/>
              </w:rPr>
              <w:fldChar w:fldCharType="begin"/>
            </w:r>
            <w:r>
              <w:rPr>
                <w:noProof/>
                <w:webHidden/>
              </w:rPr>
              <w:instrText xml:space="preserve"> PAGEREF _Toc218707747 \h </w:instrText>
            </w:r>
            <w:r>
              <w:rPr>
                <w:noProof/>
                <w:webHidden/>
              </w:rPr>
            </w:r>
            <w:r>
              <w:rPr>
                <w:noProof/>
                <w:webHidden/>
              </w:rPr>
              <w:fldChar w:fldCharType="separate"/>
            </w:r>
            <w:r>
              <w:rPr>
                <w:noProof/>
                <w:webHidden/>
              </w:rPr>
              <w:t>15</w:t>
            </w:r>
            <w:r>
              <w:rPr>
                <w:noProof/>
                <w:webHidden/>
              </w:rPr>
              <w:fldChar w:fldCharType="end"/>
            </w:r>
          </w:hyperlink>
        </w:p>
        <w:p w14:paraId="12D756EB" w14:textId="2328ABD9"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48" w:history="1">
            <w:r w:rsidRPr="00264BFB">
              <w:rPr>
                <w:rStyle w:val="Hyperlink"/>
                <w:noProof/>
              </w:rPr>
              <w:t>2.5 Post-Brexit Challenges in SME Internationalisation</w:t>
            </w:r>
            <w:r>
              <w:rPr>
                <w:noProof/>
                <w:webHidden/>
              </w:rPr>
              <w:tab/>
            </w:r>
            <w:r>
              <w:rPr>
                <w:noProof/>
                <w:webHidden/>
              </w:rPr>
              <w:fldChar w:fldCharType="begin"/>
            </w:r>
            <w:r>
              <w:rPr>
                <w:noProof/>
                <w:webHidden/>
              </w:rPr>
              <w:instrText xml:space="preserve"> PAGEREF _Toc218707748 \h </w:instrText>
            </w:r>
            <w:r>
              <w:rPr>
                <w:noProof/>
                <w:webHidden/>
              </w:rPr>
            </w:r>
            <w:r>
              <w:rPr>
                <w:noProof/>
                <w:webHidden/>
              </w:rPr>
              <w:fldChar w:fldCharType="separate"/>
            </w:r>
            <w:r>
              <w:rPr>
                <w:noProof/>
                <w:webHidden/>
              </w:rPr>
              <w:t>16</w:t>
            </w:r>
            <w:r>
              <w:rPr>
                <w:noProof/>
                <w:webHidden/>
              </w:rPr>
              <w:fldChar w:fldCharType="end"/>
            </w:r>
          </w:hyperlink>
        </w:p>
        <w:p w14:paraId="6A2E35E2" w14:textId="6A533D38"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49" w:history="1">
            <w:r w:rsidRPr="00264BFB">
              <w:rPr>
                <w:rStyle w:val="Hyperlink"/>
                <w:noProof/>
                <w:lang w:val="en-US"/>
              </w:rPr>
              <w:t>2.6 Post-Brexit Opportunities for UK SMEs in Global Expansion</w:t>
            </w:r>
            <w:r>
              <w:rPr>
                <w:noProof/>
                <w:webHidden/>
              </w:rPr>
              <w:tab/>
            </w:r>
            <w:r>
              <w:rPr>
                <w:noProof/>
                <w:webHidden/>
              </w:rPr>
              <w:fldChar w:fldCharType="begin"/>
            </w:r>
            <w:r>
              <w:rPr>
                <w:noProof/>
                <w:webHidden/>
              </w:rPr>
              <w:instrText xml:space="preserve"> PAGEREF _Toc218707749 \h </w:instrText>
            </w:r>
            <w:r>
              <w:rPr>
                <w:noProof/>
                <w:webHidden/>
              </w:rPr>
            </w:r>
            <w:r>
              <w:rPr>
                <w:noProof/>
                <w:webHidden/>
              </w:rPr>
              <w:fldChar w:fldCharType="separate"/>
            </w:r>
            <w:r>
              <w:rPr>
                <w:noProof/>
                <w:webHidden/>
              </w:rPr>
              <w:t>18</w:t>
            </w:r>
            <w:r>
              <w:rPr>
                <w:noProof/>
                <w:webHidden/>
              </w:rPr>
              <w:fldChar w:fldCharType="end"/>
            </w:r>
          </w:hyperlink>
        </w:p>
        <w:p w14:paraId="09D60801" w14:textId="0D1B13F6"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50" w:history="1">
            <w:r w:rsidRPr="00264BFB">
              <w:rPr>
                <w:rStyle w:val="Hyperlink"/>
                <w:noProof/>
                <w:lang w:val="en-US"/>
              </w:rPr>
              <w:t>2.7 Strategies for International Expansion through Digital Platforms</w:t>
            </w:r>
            <w:r>
              <w:rPr>
                <w:noProof/>
                <w:webHidden/>
              </w:rPr>
              <w:tab/>
            </w:r>
            <w:r>
              <w:rPr>
                <w:noProof/>
                <w:webHidden/>
              </w:rPr>
              <w:fldChar w:fldCharType="begin"/>
            </w:r>
            <w:r>
              <w:rPr>
                <w:noProof/>
                <w:webHidden/>
              </w:rPr>
              <w:instrText xml:space="preserve"> PAGEREF _Toc218707750 \h </w:instrText>
            </w:r>
            <w:r>
              <w:rPr>
                <w:noProof/>
                <w:webHidden/>
              </w:rPr>
            </w:r>
            <w:r>
              <w:rPr>
                <w:noProof/>
                <w:webHidden/>
              </w:rPr>
              <w:fldChar w:fldCharType="separate"/>
            </w:r>
            <w:r>
              <w:rPr>
                <w:noProof/>
                <w:webHidden/>
              </w:rPr>
              <w:t>19</w:t>
            </w:r>
            <w:r>
              <w:rPr>
                <w:noProof/>
                <w:webHidden/>
              </w:rPr>
              <w:fldChar w:fldCharType="end"/>
            </w:r>
          </w:hyperlink>
        </w:p>
        <w:p w14:paraId="72FDCD3A" w14:textId="4F04E68A"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51" w:history="1">
            <w:r w:rsidRPr="00264BFB">
              <w:rPr>
                <w:rStyle w:val="Hyperlink"/>
                <w:noProof/>
                <w:lang w:val="en-US"/>
              </w:rPr>
              <w:t>2.8 Conceptual Framework</w:t>
            </w:r>
            <w:r>
              <w:rPr>
                <w:noProof/>
                <w:webHidden/>
              </w:rPr>
              <w:tab/>
            </w:r>
            <w:r>
              <w:rPr>
                <w:noProof/>
                <w:webHidden/>
              </w:rPr>
              <w:fldChar w:fldCharType="begin"/>
            </w:r>
            <w:r>
              <w:rPr>
                <w:noProof/>
                <w:webHidden/>
              </w:rPr>
              <w:instrText xml:space="preserve"> PAGEREF _Toc218707751 \h </w:instrText>
            </w:r>
            <w:r>
              <w:rPr>
                <w:noProof/>
                <w:webHidden/>
              </w:rPr>
            </w:r>
            <w:r>
              <w:rPr>
                <w:noProof/>
                <w:webHidden/>
              </w:rPr>
              <w:fldChar w:fldCharType="separate"/>
            </w:r>
            <w:r>
              <w:rPr>
                <w:noProof/>
                <w:webHidden/>
              </w:rPr>
              <w:t>21</w:t>
            </w:r>
            <w:r>
              <w:rPr>
                <w:noProof/>
                <w:webHidden/>
              </w:rPr>
              <w:fldChar w:fldCharType="end"/>
            </w:r>
          </w:hyperlink>
        </w:p>
        <w:p w14:paraId="0DB71320" w14:textId="3671FC34"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52" w:history="1">
            <w:r w:rsidRPr="00264BFB">
              <w:rPr>
                <w:rStyle w:val="Hyperlink"/>
                <w:noProof/>
                <w:lang w:val="en-US"/>
              </w:rPr>
              <w:t>2.9 Conclusion</w:t>
            </w:r>
            <w:r>
              <w:rPr>
                <w:noProof/>
                <w:webHidden/>
              </w:rPr>
              <w:tab/>
            </w:r>
            <w:r>
              <w:rPr>
                <w:noProof/>
                <w:webHidden/>
              </w:rPr>
              <w:fldChar w:fldCharType="begin"/>
            </w:r>
            <w:r>
              <w:rPr>
                <w:noProof/>
                <w:webHidden/>
              </w:rPr>
              <w:instrText xml:space="preserve"> PAGEREF _Toc218707752 \h </w:instrText>
            </w:r>
            <w:r>
              <w:rPr>
                <w:noProof/>
                <w:webHidden/>
              </w:rPr>
            </w:r>
            <w:r>
              <w:rPr>
                <w:noProof/>
                <w:webHidden/>
              </w:rPr>
              <w:fldChar w:fldCharType="separate"/>
            </w:r>
            <w:r>
              <w:rPr>
                <w:noProof/>
                <w:webHidden/>
              </w:rPr>
              <w:t>21</w:t>
            </w:r>
            <w:r>
              <w:rPr>
                <w:noProof/>
                <w:webHidden/>
              </w:rPr>
              <w:fldChar w:fldCharType="end"/>
            </w:r>
          </w:hyperlink>
        </w:p>
        <w:p w14:paraId="43655937" w14:textId="6A8E7E7E" w:rsidR="00884F2F" w:rsidRDefault="00884F2F">
          <w:pPr>
            <w:pStyle w:val="TOC1"/>
            <w:rPr>
              <w:rFonts w:asciiTheme="minorHAnsi" w:eastAsiaTheme="minorEastAsia" w:hAnsiTheme="minorHAnsi" w:cstheme="minorBidi"/>
              <w:noProof/>
              <w:kern w:val="2"/>
              <w:szCs w:val="30"/>
              <w:lang w:val="en-US" w:eastAsia="zh-CN" w:bidi="bn-IN"/>
              <w14:ligatures w14:val="standardContextual"/>
            </w:rPr>
          </w:pPr>
          <w:hyperlink w:anchor="_Toc218707753" w:history="1">
            <w:r w:rsidRPr="00264BFB">
              <w:rPr>
                <w:rStyle w:val="Hyperlink"/>
                <w:noProof/>
                <w:lang w:val="en-GB"/>
              </w:rPr>
              <w:t>CHAPTER 3: RESEARCH METHODOLOGY</w:t>
            </w:r>
            <w:r>
              <w:rPr>
                <w:noProof/>
                <w:webHidden/>
              </w:rPr>
              <w:tab/>
            </w:r>
            <w:r>
              <w:rPr>
                <w:noProof/>
                <w:webHidden/>
              </w:rPr>
              <w:fldChar w:fldCharType="begin"/>
            </w:r>
            <w:r>
              <w:rPr>
                <w:noProof/>
                <w:webHidden/>
              </w:rPr>
              <w:instrText xml:space="preserve"> PAGEREF _Toc218707753 \h </w:instrText>
            </w:r>
            <w:r>
              <w:rPr>
                <w:noProof/>
                <w:webHidden/>
              </w:rPr>
            </w:r>
            <w:r>
              <w:rPr>
                <w:noProof/>
                <w:webHidden/>
              </w:rPr>
              <w:fldChar w:fldCharType="separate"/>
            </w:r>
            <w:r>
              <w:rPr>
                <w:noProof/>
                <w:webHidden/>
              </w:rPr>
              <w:t>23</w:t>
            </w:r>
            <w:r>
              <w:rPr>
                <w:noProof/>
                <w:webHidden/>
              </w:rPr>
              <w:fldChar w:fldCharType="end"/>
            </w:r>
          </w:hyperlink>
        </w:p>
        <w:p w14:paraId="221C5B5D" w14:textId="1016D35E"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54" w:history="1">
            <w:r w:rsidRPr="00264BFB">
              <w:rPr>
                <w:rStyle w:val="Hyperlink"/>
                <w:noProof/>
              </w:rPr>
              <w:t>3.1Introduction</w:t>
            </w:r>
            <w:r>
              <w:rPr>
                <w:noProof/>
                <w:webHidden/>
              </w:rPr>
              <w:tab/>
            </w:r>
            <w:r>
              <w:rPr>
                <w:noProof/>
                <w:webHidden/>
              </w:rPr>
              <w:fldChar w:fldCharType="begin"/>
            </w:r>
            <w:r>
              <w:rPr>
                <w:noProof/>
                <w:webHidden/>
              </w:rPr>
              <w:instrText xml:space="preserve"> PAGEREF _Toc218707754 \h </w:instrText>
            </w:r>
            <w:r>
              <w:rPr>
                <w:noProof/>
                <w:webHidden/>
              </w:rPr>
            </w:r>
            <w:r>
              <w:rPr>
                <w:noProof/>
                <w:webHidden/>
              </w:rPr>
              <w:fldChar w:fldCharType="separate"/>
            </w:r>
            <w:r>
              <w:rPr>
                <w:noProof/>
                <w:webHidden/>
              </w:rPr>
              <w:t>23</w:t>
            </w:r>
            <w:r>
              <w:rPr>
                <w:noProof/>
                <w:webHidden/>
              </w:rPr>
              <w:fldChar w:fldCharType="end"/>
            </w:r>
          </w:hyperlink>
        </w:p>
        <w:p w14:paraId="34E9C418" w14:textId="55BC038E"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55" w:history="1">
            <w:r w:rsidRPr="00264BFB">
              <w:rPr>
                <w:rStyle w:val="Hyperlink"/>
                <w:noProof/>
              </w:rPr>
              <w:t>3.2Research Philosophies and Assumptions</w:t>
            </w:r>
            <w:r>
              <w:rPr>
                <w:noProof/>
                <w:webHidden/>
              </w:rPr>
              <w:tab/>
            </w:r>
            <w:r>
              <w:rPr>
                <w:noProof/>
                <w:webHidden/>
              </w:rPr>
              <w:fldChar w:fldCharType="begin"/>
            </w:r>
            <w:r>
              <w:rPr>
                <w:noProof/>
                <w:webHidden/>
              </w:rPr>
              <w:instrText xml:space="preserve"> PAGEREF _Toc218707755 \h </w:instrText>
            </w:r>
            <w:r>
              <w:rPr>
                <w:noProof/>
                <w:webHidden/>
              </w:rPr>
            </w:r>
            <w:r>
              <w:rPr>
                <w:noProof/>
                <w:webHidden/>
              </w:rPr>
              <w:fldChar w:fldCharType="separate"/>
            </w:r>
            <w:r>
              <w:rPr>
                <w:noProof/>
                <w:webHidden/>
              </w:rPr>
              <w:t>23</w:t>
            </w:r>
            <w:r>
              <w:rPr>
                <w:noProof/>
                <w:webHidden/>
              </w:rPr>
              <w:fldChar w:fldCharType="end"/>
            </w:r>
          </w:hyperlink>
        </w:p>
        <w:p w14:paraId="0714A73C" w14:textId="65BCA28F"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56" w:history="1">
            <w:r w:rsidRPr="00264BFB">
              <w:rPr>
                <w:rStyle w:val="Hyperlink"/>
                <w:noProof/>
              </w:rPr>
              <w:t>3.3Research Design</w:t>
            </w:r>
            <w:r>
              <w:rPr>
                <w:noProof/>
                <w:webHidden/>
              </w:rPr>
              <w:tab/>
            </w:r>
            <w:r>
              <w:rPr>
                <w:noProof/>
                <w:webHidden/>
              </w:rPr>
              <w:fldChar w:fldCharType="begin"/>
            </w:r>
            <w:r>
              <w:rPr>
                <w:noProof/>
                <w:webHidden/>
              </w:rPr>
              <w:instrText xml:space="preserve"> PAGEREF _Toc218707756 \h </w:instrText>
            </w:r>
            <w:r>
              <w:rPr>
                <w:noProof/>
                <w:webHidden/>
              </w:rPr>
            </w:r>
            <w:r>
              <w:rPr>
                <w:noProof/>
                <w:webHidden/>
              </w:rPr>
              <w:fldChar w:fldCharType="separate"/>
            </w:r>
            <w:r>
              <w:rPr>
                <w:noProof/>
                <w:webHidden/>
              </w:rPr>
              <w:t>24</w:t>
            </w:r>
            <w:r>
              <w:rPr>
                <w:noProof/>
                <w:webHidden/>
              </w:rPr>
              <w:fldChar w:fldCharType="end"/>
            </w:r>
          </w:hyperlink>
        </w:p>
        <w:p w14:paraId="3E606C75" w14:textId="10AD0ABF"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57" w:history="1">
            <w:r w:rsidRPr="00264BFB">
              <w:rPr>
                <w:rStyle w:val="Hyperlink"/>
                <w:noProof/>
              </w:rPr>
              <w:t>3.4Research Approaches</w:t>
            </w:r>
            <w:r>
              <w:rPr>
                <w:noProof/>
                <w:webHidden/>
              </w:rPr>
              <w:tab/>
            </w:r>
            <w:r>
              <w:rPr>
                <w:noProof/>
                <w:webHidden/>
              </w:rPr>
              <w:fldChar w:fldCharType="begin"/>
            </w:r>
            <w:r>
              <w:rPr>
                <w:noProof/>
                <w:webHidden/>
              </w:rPr>
              <w:instrText xml:space="preserve"> PAGEREF _Toc218707757 \h </w:instrText>
            </w:r>
            <w:r>
              <w:rPr>
                <w:noProof/>
                <w:webHidden/>
              </w:rPr>
            </w:r>
            <w:r>
              <w:rPr>
                <w:noProof/>
                <w:webHidden/>
              </w:rPr>
              <w:fldChar w:fldCharType="separate"/>
            </w:r>
            <w:r>
              <w:rPr>
                <w:noProof/>
                <w:webHidden/>
              </w:rPr>
              <w:t>26</w:t>
            </w:r>
            <w:r>
              <w:rPr>
                <w:noProof/>
                <w:webHidden/>
              </w:rPr>
              <w:fldChar w:fldCharType="end"/>
            </w:r>
          </w:hyperlink>
        </w:p>
        <w:p w14:paraId="142D9F2C" w14:textId="6B114324"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58" w:history="1">
            <w:r w:rsidRPr="00264BFB">
              <w:rPr>
                <w:rStyle w:val="Hyperlink"/>
                <w:noProof/>
              </w:rPr>
              <w:t>3.5Data Collection Methods</w:t>
            </w:r>
            <w:r>
              <w:rPr>
                <w:noProof/>
                <w:webHidden/>
              </w:rPr>
              <w:tab/>
            </w:r>
            <w:r>
              <w:rPr>
                <w:noProof/>
                <w:webHidden/>
              </w:rPr>
              <w:fldChar w:fldCharType="begin"/>
            </w:r>
            <w:r>
              <w:rPr>
                <w:noProof/>
                <w:webHidden/>
              </w:rPr>
              <w:instrText xml:space="preserve"> PAGEREF _Toc218707758 \h </w:instrText>
            </w:r>
            <w:r>
              <w:rPr>
                <w:noProof/>
                <w:webHidden/>
              </w:rPr>
            </w:r>
            <w:r>
              <w:rPr>
                <w:noProof/>
                <w:webHidden/>
              </w:rPr>
              <w:fldChar w:fldCharType="separate"/>
            </w:r>
            <w:r>
              <w:rPr>
                <w:noProof/>
                <w:webHidden/>
              </w:rPr>
              <w:t>27</w:t>
            </w:r>
            <w:r>
              <w:rPr>
                <w:noProof/>
                <w:webHidden/>
              </w:rPr>
              <w:fldChar w:fldCharType="end"/>
            </w:r>
          </w:hyperlink>
        </w:p>
        <w:p w14:paraId="35400638" w14:textId="77EB6659"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59" w:history="1">
            <w:r w:rsidRPr="00264BFB">
              <w:rPr>
                <w:rStyle w:val="Hyperlink"/>
                <w:noProof/>
              </w:rPr>
              <w:t>3.5.1Information Sources and Search Strategy</w:t>
            </w:r>
            <w:r>
              <w:rPr>
                <w:noProof/>
                <w:webHidden/>
              </w:rPr>
              <w:tab/>
            </w:r>
            <w:r>
              <w:rPr>
                <w:noProof/>
                <w:webHidden/>
              </w:rPr>
              <w:fldChar w:fldCharType="begin"/>
            </w:r>
            <w:r>
              <w:rPr>
                <w:noProof/>
                <w:webHidden/>
              </w:rPr>
              <w:instrText xml:space="preserve"> PAGEREF _Toc218707759 \h </w:instrText>
            </w:r>
            <w:r>
              <w:rPr>
                <w:noProof/>
                <w:webHidden/>
              </w:rPr>
            </w:r>
            <w:r>
              <w:rPr>
                <w:noProof/>
                <w:webHidden/>
              </w:rPr>
              <w:fldChar w:fldCharType="separate"/>
            </w:r>
            <w:r>
              <w:rPr>
                <w:noProof/>
                <w:webHidden/>
              </w:rPr>
              <w:t>27</w:t>
            </w:r>
            <w:r>
              <w:rPr>
                <w:noProof/>
                <w:webHidden/>
              </w:rPr>
              <w:fldChar w:fldCharType="end"/>
            </w:r>
          </w:hyperlink>
        </w:p>
        <w:p w14:paraId="743B64C3" w14:textId="67E8557A"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60" w:history="1">
            <w:r w:rsidRPr="00264BFB">
              <w:rPr>
                <w:rStyle w:val="Hyperlink"/>
                <w:noProof/>
              </w:rPr>
              <w:t>3.5.2Eligibility Criteria</w:t>
            </w:r>
            <w:r>
              <w:rPr>
                <w:noProof/>
                <w:webHidden/>
              </w:rPr>
              <w:tab/>
            </w:r>
            <w:r>
              <w:rPr>
                <w:noProof/>
                <w:webHidden/>
              </w:rPr>
              <w:fldChar w:fldCharType="begin"/>
            </w:r>
            <w:r>
              <w:rPr>
                <w:noProof/>
                <w:webHidden/>
              </w:rPr>
              <w:instrText xml:space="preserve"> PAGEREF _Toc218707760 \h </w:instrText>
            </w:r>
            <w:r>
              <w:rPr>
                <w:noProof/>
                <w:webHidden/>
              </w:rPr>
            </w:r>
            <w:r>
              <w:rPr>
                <w:noProof/>
                <w:webHidden/>
              </w:rPr>
              <w:fldChar w:fldCharType="separate"/>
            </w:r>
            <w:r>
              <w:rPr>
                <w:noProof/>
                <w:webHidden/>
              </w:rPr>
              <w:t>28</w:t>
            </w:r>
            <w:r>
              <w:rPr>
                <w:noProof/>
                <w:webHidden/>
              </w:rPr>
              <w:fldChar w:fldCharType="end"/>
            </w:r>
          </w:hyperlink>
        </w:p>
        <w:p w14:paraId="2595858D" w14:textId="20CCF1B1"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61" w:history="1">
            <w:r w:rsidRPr="00264BFB">
              <w:rPr>
                <w:rStyle w:val="Hyperlink"/>
                <w:noProof/>
              </w:rPr>
              <w:t>3.5.3Study Selection and Data Extraction</w:t>
            </w:r>
            <w:r>
              <w:rPr>
                <w:noProof/>
                <w:webHidden/>
              </w:rPr>
              <w:tab/>
            </w:r>
            <w:r>
              <w:rPr>
                <w:noProof/>
                <w:webHidden/>
              </w:rPr>
              <w:fldChar w:fldCharType="begin"/>
            </w:r>
            <w:r>
              <w:rPr>
                <w:noProof/>
                <w:webHidden/>
              </w:rPr>
              <w:instrText xml:space="preserve"> PAGEREF _Toc218707761 \h </w:instrText>
            </w:r>
            <w:r>
              <w:rPr>
                <w:noProof/>
                <w:webHidden/>
              </w:rPr>
            </w:r>
            <w:r>
              <w:rPr>
                <w:noProof/>
                <w:webHidden/>
              </w:rPr>
              <w:fldChar w:fldCharType="separate"/>
            </w:r>
            <w:r>
              <w:rPr>
                <w:noProof/>
                <w:webHidden/>
              </w:rPr>
              <w:t>29</w:t>
            </w:r>
            <w:r>
              <w:rPr>
                <w:noProof/>
                <w:webHidden/>
              </w:rPr>
              <w:fldChar w:fldCharType="end"/>
            </w:r>
          </w:hyperlink>
        </w:p>
        <w:p w14:paraId="74313DAC" w14:textId="2A296149"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62" w:history="1">
            <w:r w:rsidRPr="00264BFB">
              <w:rPr>
                <w:rStyle w:val="Hyperlink"/>
                <w:noProof/>
              </w:rPr>
              <w:t>3.5.4Quality Assessment and Risk of Bias</w:t>
            </w:r>
            <w:r>
              <w:rPr>
                <w:noProof/>
                <w:webHidden/>
              </w:rPr>
              <w:tab/>
            </w:r>
            <w:r>
              <w:rPr>
                <w:noProof/>
                <w:webHidden/>
              </w:rPr>
              <w:fldChar w:fldCharType="begin"/>
            </w:r>
            <w:r>
              <w:rPr>
                <w:noProof/>
                <w:webHidden/>
              </w:rPr>
              <w:instrText xml:space="preserve"> PAGEREF _Toc218707762 \h </w:instrText>
            </w:r>
            <w:r>
              <w:rPr>
                <w:noProof/>
                <w:webHidden/>
              </w:rPr>
            </w:r>
            <w:r>
              <w:rPr>
                <w:noProof/>
                <w:webHidden/>
              </w:rPr>
              <w:fldChar w:fldCharType="separate"/>
            </w:r>
            <w:r>
              <w:rPr>
                <w:noProof/>
                <w:webHidden/>
              </w:rPr>
              <w:t>29</w:t>
            </w:r>
            <w:r>
              <w:rPr>
                <w:noProof/>
                <w:webHidden/>
              </w:rPr>
              <w:fldChar w:fldCharType="end"/>
            </w:r>
          </w:hyperlink>
        </w:p>
        <w:p w14:paraId="2017EC51" w14:textId="7BD8DF83"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63" w:history="1">
            <w:r w:rsidRPr="00264BFB">
              <w:rPr>
                <w:rStyle w:val="Hyperlink"/>
                <w:noProof/>
              </w:rPr>
              <w:t>3.5.5Data Synthesis</w:t>
            </w:r>
            <w:r>
              <w:rPr>
                <w:noProof/>
                <w:webHidden/>
              </w:rPr>
              <w:tab/>
            </w:r>
            <w:r>
              <w:rPr>
                <w:noProof/>
                <w:webHidden/>
              </w:rPr>
              <w:fldChar w:fldCharType="begin"/>
            </w:r>
            <w:r>
              <w:rPr>
                <w:noProof/>
                <w:webHidden/>
              </w:rPr>
              <w:instrText xml:space="preserve"> PAGEREF _Toc218707763 \h </w:instrText>
            </w:r>
            <w:r>
              <w:rPr>
                <w:noProof/>
                <w:webHidden/>
              </w:rPr>
            </w:r>
            <w:r>
              <w:rPr>
                <w:noProof/>
                <w:webHidden/>
              </w:rPr>
              <w:fldChar w:fldCharType="separate"/>
            </w:r>
            <w:r>
              <w:rPr>
                <w:noProof/>
                <w:webHidden/>
              </w:rPr>
              <w:t>30</w:t>
            </w:r>
            <w:r>
              <w:rPr>
                <w:noProof/>
                <w:webHidden/>
              </w:rPr>
              <w:fldChar w:fldCharType="end"/>
            </w:r>
          </w:hyperlink>
        </w:p>
        <w:p w14:paraId="50D1AA94" w14:textId="07042673"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64" w:history="1">
            <w:r w:rsidRPr="00264BFB">
              <w:rPr>
                <w:rStyle w:val="Hyperlink"/>
                <w:noProof/>
              </w:rPr>
              <w:t>3.6Ethical Implications and Constraints</w:t>
            </w:r>
            <w:r>
              <w:rPr>
                <w:noProof/>
                <w:webHidden/>
              </w:rPr>
              <w:tab/>
            </w:r>
            <w:r>
              <w:rPr>
                <w:noProof/>
                <w:webHidden/>
              </w:rPr>
              <w:fldChar w:fldCharType="begin"/>
            </w:r>
            <w:r>
              <w:rPr>
                <w:noProof/>
                <w:webHidden/>
              </w:rPr>
              <w:instrText xml:space="preserve"> PAGEREF _Toc218707764 \h </w:instrText>
            </w:r>
            <w:r>
              <w:rPr>
                <w:noProof/>
                <w:webHidden/>
              </w:rPr>
            </w:r>
            <w:r>
              <w:rPr>
                <w:noProof/>
                <w:webHidden/>
              </w:rPr>
              <w:fldChar w:fldCharType="separate"/>
            </w:r>
            <w:r>
              <w:rPr>
                <w:noProof/>
                <w:webHidden/>
              </w:rPr>
              <w:t>31</w:t>
            </w:r>
            <w:r>
              <w:rPr>
                <w:noProof/>
                <w:webHidden/>
              </w:rPr>
              <w:fldChar w:fldCharType="end"/>
            </w:r>
          </w:hyperlink>
        </w:p>
        <w:p w14:paraId="1689D0BA" w14:textId="504AB49B"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65" w:history="1">
            <w:r w:rsidRPr="00264BFB">
              <w:rPr>
                <w:rStyle w:val="Hyperlink"/>
                <w:noProof/>
              </w:rPr>
              <w:t>3.7Conclusion</w:t>
            </w:r>
            <w:r>
              <w:rPr>
                <w:noProof/>
                <w:webHidden/>
              </w:rPr>
              <w:tab/>
            </w:r>
            <w:r>
              <w:rPr>
                <w:noProof/>
                <w:webHidden/>
              </w:rPr>
              <w:fldChar w:fldCharType="begin"/>
            </w:r>
            <w:r>
              <w:rPr>
                <w:noProof/>
                <w:webHidden/>
              </w:rPr>
              <w:instrText xml:space="preserve"> PAGEREF _Toc218707765 \h </w:instrText>
            </w:r>
            <w:r>
              <w:rPr>
                <w:noProof/>
                <w:webHidden/>
              </w:rPr>
            </w:r>
            <w:r>
              <w:rPr>
                <w:noProof/>
                <w:webHidden/>
              </w:rPr>
              <w:fldChar w:fldCharType="separate"/>
            </w:r>
            <w:r>
              <w:rPr>
                <w:noProof/>
                <w:webHidden/>
              </w:rPr>
              <w:t>32</w:t>
            </w:r>
            <w:r>
              <w:rPr>
                <w:noProof/>
                <w:webHidden/>
              </w:rPr>
              <w:fldChar w:fldCharType="end"/>
            </w:r>
          </w:hyperlink>
        </w:p>
        <w:p w14:paraId="401924B2" w14:textId="52A51977" w:rsidR="00884F2F" w:rsidRDefault="00884F2F">
          <w:pPr>
            <w:pStyle w:val="TOC1"/>
            <w:rPr>
              <w:rFonts w:asciiTheme="minorHAnsi" w:eastAsiaTheme="minorEastAsia" w:hAnsiTheme="minorHAnsi" w:cstheme="minorBidi"/>
              <w:noProof/>
              <w:kern w:val="2"/>
              <w:szCs w:val="30"/>
              <w:lang w:val="en-US" w:eastAsia="zh-CN" w:bidi="bn-IN"/>
              <w14:ligatures w14:val="standardContextual"/>
            </w:rPr>
          </w:pPr>
          <w:hyperlink w:anchor="_Toc218707766" w:history="1">
            <w:r w:rsidRPr="00264BFB">
              <w:rPr>
                <w:rStyle w:val="Hyperlink"/>
                <w:noProof/>
                <w:lang w:val="en-US"/>
              </w:rPr>
              <w:t>Chapter 4: Findings</w:t>
            </w:r>
            <w:r>
              <w:rPr>
                <w:noProof/>
                <w:webHidden/>
              </w:rPr>
              <w:tab/>
            </w:r>
            <w:r>
              <w:rPr>
                <w:noProof/>
                <w:webHidden/>
              </w:rPr>
              <w:fldChar w:fldCharType="begin"/>
            </w:r>
            <w:r>
              <w:rPr>
                <w:noProof/>
                <w:webHidden/>
              </w:rPr>
              <w:instrText xml:space="preserve"> PAGEREF _Toc218707766 \h </w:instrText>
            </w:r>
            <w:r>
              <w:rPr>
                <w:noProof/>
                <w:webHidden/>
              </w:rPr>
            </w:r>
            <w:r>
              <w:rPr>
                <w:noProof/>
                <w:webHidden/>
              </w:rPr>
              <w:fldChar w:fldCharType="separate"/>
            </w:r>
            <w:r>
              <w:rPr>
                <w:noProof/>
                <w:webHidden/>
              </w:rPr>
              <w:t>33</w:t>
            </w:r>
            <w:r>
              <w:rPr>
                <w:noProof/>
                <w:webHidden/>
              </w:rPr>
              <w:fldChar w:fldCharType="end"/>
            </w:r>
          </w:hyperlink>
        </w:p>
        <w:p w14:paraId="1FA19230" w14:textId="6FC0A9AB"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67" w:history="1">
            <w:r w:rsidRPr="00264BFB">
              <w:rPr>
                <w:rStyle w:val="Hyperlink"/>
                <w:noProof/>
              </w:rPr>
              <w:t>4.1 Introduction</w:t>
            </w:r>
            <w:r>
              <w:rPr>
                <w:noProof/>
                <w:webHidden/>
              </w:rPr>
              <w:tab/>
            </w:r>
            <w:r>
              <w:rPr>
                <w:noProof/>
                <w:webHidden/>
              </w:rPr>
              <w:fldChar w:fldCharType="begin"/>
            </w:r>
            <w:r>
              <w:rPr>
                <w:noProof/>
                <w:webHidden/>
              </w:rPr>
              <w:instrText xml:space="preserve"> PAGEREF _Toc218707767 \h </w:instrText>
            </w:r>
            <w:r>
              <w:rPr>
                <w:noProof/>
                <w:webHidden/>
              </w:rPr>
            </w:r>
            <w:r>
              <w:rPr>
                <w:noProof/>
                <w:webHidden/>
              </w:rPr>
              <w:fldChar w:fldCharType="separate"/>
            </w:r>
            <w:r>
              <w:rPr>
                <w:noProof/>
                <w:webHidden/>
              </w:rPr>
              <w:t>33</w:t>
            </w:r>
            <w:r>
              <w:rPr>
                <w:noProof/>
                <w:webHidden/>
              </w:rPr>
              <w:fldChar w:fldCharType="end"/>
            </w:r>
          </w:hyperlink>
        </w:p>
        <w:p w14:paraId="147206E5" w14:textId="42FCD4BA"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68" w:history="1">
            <w:r w:rsidRPr="00264BFB">
              <w:rPr>
                <w:rStyle w:val="Hyperlink"/>
                <w:noProof/>
                <w:lang w:val="en-US"/>
              </w:rPr>
              <w:t>4.2 PRISMA Flow Diagram and Quality Assessment Summary</w:t>
            </w:r>
            <w:r>
              <w:rPr>
                <w:noProof/>
                <w:webHidden/>
              </w:rPr>
              <w:tab/>
            </w:r>
            <w:r>
              <w:rPr>
                <w:noProof/>
                <w:webHidden/>
              </w:rPr>
              <w:fldChar w:fldCharType="begin"/>
            </w:r>
            <w:r>
              <w:rPr>
                <w:noProof/>
                <w:webHidden/>
              </w:rPr>
              <w:instrText xml:space="preserve"> PAGEREF _Toc218707768 \h </w:instrText>
            </w:r>
            <w:r>
              <w:rPr>
                <w:noProof/>
                <w:webHidden/>
              </w:rPr>
            </w:r>
            <w:r>
              <w:rPr>
                <w:noProof/>
                <w:webHidden/>
              </w:rPr>
              <w:fldChar w:fldCharType="separate"/>
            </w:r>
            <w:r>
              <w:rPr>
                <w:noProof/>
                <w:webHidden/>
              </w:rPr>
              <w:t>33</w:t>
            </w:r>
            <w:r>
              <w:rPr>
                <w:noProof/>
                <w:webHidden/>
              </w:rPr>
              <w:fldChar w:fldCharType="end"/>
            </w:r>
          </w:hyperlink>
        </w:p>
        <w:p w14:paraId="757F2F4B" w14:textId="73A03D14"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69" w:history="1">
            <w:r w:rsidRPr="00264BFB">
              <w:rPr>
                <w:rStyle w:val="Hyperlink"/>
                <w:noProof/>
                <w:lang w:val="en-US"/>
              </w:rPr>
              <w:t>4.3 Key Summary of the Included Articles (N = 50)</w:t>
            </w:r>
            <w:r>
              <w:rPr>
                <w:noProof/>
                <w:webHidden/>
              </w:rPr>
              <w:tab/>
            </w:r>
            <w:r>
              <w:rPr>
                <w:noProof/>
                <w:webHidden/>
              </w:rPr>
              <w:fldChar w:fldCharType="begin"/>
            </w:r>
            <w:r>
              <w:rPr>
                <w:noProof/>
                <w:webHidden/>
              </w:rPr>
              <w:instrText xml:space="preserve"> PAGEREF _Toc218707769 \h </w:instrText>
            </w:r>
            <w:r>
              <w:rPr>
                <w:noProof/>
                <w:webHidden/>
              </w:rPr>
            </w:r>
            <w:r>
              <w:rPr>
                <w:noProof/>
                <w:webHidden/>
              </w:rPr>
              <w:fldChar w:fldCharType="separate"/>
            </w:r>
            <w:r>
              <w:rPr>
                <w:noProof/>
                <w:webHidden/>
              </w:rPr>
              <w:t>33</w:t>
            </w:r>
            <w:r>
              <w:rPr>
                <w:noProof/>
                <w:webHidden/>
              </w:rPr>
              <w:fldChar w:fldCharType="end"/>
            </w:r>
          </w:hyperlink>
        </w:p>
        <w:p w14:paraId="2B46419D" w14:textId="66682EF2"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70" w:history="1">
            <w:r w:rsidRPr="00264BFB">
              <w:rPr>
                <w:rStyle w:val="Hyperlink"/>
                <w:noProof/>
              </w:rPr>
              <w:t>4.4 Analysis of Findings</w:t>
            </w:r>
            <w:r>
              <w:rPr>
                <w:noProof/>
                <w:webHidden/>
              </w:rPr>
              <w:tab/>
            </w:r>
            <w:r>
              <w:rPr>
                <w:noProof/>
                <w:webHidden/>
              </w:rPr>
              <w:fldChar w:fldCharType="begin"/>
            </w:r>
            <w:r>
              <w:rPr>
                <w:noProof/>
                <w:webHidden/>
              </w:rPr>
              <w:instrText xml:space="preserve"> PAGEREF _Toc218707770 \h </w:instrText>
            </w:r>
            <w:r>
              <w:rPr>
                <w:noProof/>
                <w:webHidden/>
              </w:rPr>
            </w:r>
            <w:r>
              <w:rPr>
                <w:noProof/>
                <w:webHidden/>
              </w:rPr>
              <w:fldChar w:fldCharType="separate"/>
            </w:r>
            <w:r>
              <w:rPr>
                <w:noProof/>
                <w:webHidden/>
              </w:rPr>
              <w:t>49</w:t>
            </w:r>
            <w:r>
              <w:rPr>
                <w:noProof/>
                <w:webHidden/>
              </w:rPr>
              <w:fldChar w:fldCharType="end"/>
            </w:r>
          </w:hyperlink>
        </w:p>
        <w:p w14:paraId="414FF722" w14:textId="6C9827AF" w:rsidR="00884F2F" w:rsidRDefault="00884F2F">
          <w:pPr>
            <w:pStyle w:val="TOC3"/>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71" w:history="1">
            <w:r w:rsidRPr="00264BFB">
              <w:rPr>
                <w:rStyle w:val="Hyperlink"/>
                <w:noProof/>
                <w:lang w:val="en-US"/>
              </w:rPr>
              <w:t>4.4.1 Role of Digital Platforms in Facilitating International Expansion of UK SMEs Post-Brexit (RQ1)</w:t>
            </w:r>
            <w:r>
              <w:rPr>
                <w:noProof/>
                <w:webHidden/>
              </w:rPr>
              <w:tab/>
            </w:r>
            <w:r>
              <w:rPr>
                <w:noProof/>
                <w:webHidden/>
              </w:rPr>
              <w:fldChar w:fldCharType="begin"/>
            </w:r>
            <w:r>
              <w:rPr>
                <w:noProof/>
                <w:webHidden/>
              </w:rPr>
              <w:instrText xml:space="preserve"> PAGEREF _Toc218707771 \h </w:instrText>
            </w:r>
            <w:r>
              <w:rPr>
                <w:noProof/>
                <w:webHidden/>
              </w:rPr>
            </w:r>
            <w:r>
              <w:rPr>
                <w:noProof/>
                <w:webHidden/>
              </w:rPr>
              <w:fldChar w:fldCharType="separate"/>
            </w:r>
            <w:r>
              <w:rPr>
                <w:noProof/>
                <w:webHidden/>
              </w:rPr>
              <w:t>49</w:t>
            </w:r>
            <w:r>
              <w:rPr>
                <w:noProof/>
                <w:webHidden/>
              </w:rPr>
              <w:fldChar w:fldCharType="end"/>
            </w:r>
          </w:hyperlink>
        </w:p>
        <w:p w14:paraId="33C897B0" w14:textId="7B16A424" w:rsidR="00884F2F" w:rsidRDefault="00884F2F">
          <w:pPr>
            <w:pStyle w:val="TOC3"/>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72" w:history="1">
            <w:r w:rsidRPr="00264BFB">
              <w:rPr>
                <w:rStyle w:val="Hyperlink"/>
                <w:noProof/>
                <w:lang w:val="en-US"/>
              </w:rPr>
              <w:t>4.4.2 Challenges and Opportunities for UK SMEs Using Digital Platforms in a Post-Brexit Context (RQ2)</w:t>
            </w:r>
            <w:r>
              <w:rPr>
                <w:noProof/>
                <w:webHidden/>
              </w:rPr>
              <w:tab/>
            </w:r>
            <w:r>
              <w:rPr>
                <w:noProof/>
                <w:webHidden/>
              </w:rPr>
              <w:fldChar w:fldCharType="begin"/>
            </w:r>
            <w:r>
              <w:rPr>
                <w:noProof/>
                <w:webHidden/>
              </w:rPr>
              <w:instrText xml:space="preserve"> PAGEREF _Toc218707772 \h </w:instrText>
            </w:r>
            <w:r>
              <w:rPr>
                <w:noProof/>
                <w:webHidden/>
              </w:rPr>
            </w:r>
            <w:r>
              <w:rPr>
                <w:noProof/>
                <w:webHidden/>
              </w:rPr>
              <w:fldChar w:fldCharType="separate"/>
            </w:r>
            <w:r>
              <w:rPr>
                <w:noProof/>
                <w:webHidden/>
              </w:rPr>
              <w:t>51</w:t>
            </w:r>
            <w:r>
              <w:rPr>
                <w:noProof/>
                <w:webHidden/>
              </w:rPr>
              <w:fldChar w:fldCharType="end"/>
            </w:r>
          </w:hyperlink>
        </w:p>
        <w:p w14:paraId="31700797" w14:textId="5FD65C8F" w:rsidR="00884F2F" w:rsidRDefault="00884F2F">
          <w:pPr>
            <w:pStyle w:val="TOC3"/>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73" w:history="1">
            <w:r w:rsidRPr="00264BFB">
              <w:rPr>
                <w:rStyle w:val="Hyperlink"/>
                <w:noProof/>
                <w:lang w:val="en-US"/>
              </w:rPr>
              <w:t xml:space="preserve">4.4.3 </w:t>
            </w:r>
            <w:r w:rsidRPr="00264BFB">
              <w:rPr>
                <w:rStyle w:val="Hyperlink"/>
                <w:noProof/>
              </w:rPr>
              <w:t>Practices</w:t>
            </w:r>
            <w:r w:rsidRPr="00264BFB">
              <w:rPr>
                <w:rStyle w:val="Hyperlink"/>
                <w:noProof/>
                <w:lang w:val="en-US"/>
              </w:rPr>
              <w:t xml:space="preserve"> and Strategies Adopted by UK SMEs for Effective International Expansion via Digital Platforms (RQ3)</w:t>
            </w:r>
            <w:r>
              <w:rPr>
                <w:noProof/>
                <w:webHidden/>
              </w:rPr>
              <w:tab/>
            </w:r>
            <w:r>
              <w:rPr>
                <w:noProof/>
                <w:webHidden/>
              </w:rPr>
              <w:fldChar w:fldCharType="begin"/>
            </w:r>
            <w:r>
              <w:rPr>
                <w:noProof/>
                <w:webHidden/>
              </w:rPr>
              <w:instrText xml:space="preserve"> PAGEREF _Toc218707773 \h </w:instrText>
            </w:r>
            <w:r>
              <w:rPr>
                <w:noProof/>
                <w:webHidden/>
              </w:rPr>
            </w:r>
            <w:r>
              <w:rPr>
                <w:noProof/>
                <w:webHidden/>
              </w:rPr>
              <w:fldChar w:fldCharType="separate"/>
            </w:r>
            <w:r>
              <w:rPr>
                <w:noProof/>
                <w:webHidden/>
              </w:rPr>
              <w:t>53</w:t>
            </w:r>
            <w:r>
              <w:rPr>
                <w:noProof/>
                <w:webHidden/>
              </w:rPr>
              <w:fldChar w:fldCharType="end"/>
            </w:r>
          </w:hyperlink>
        </w:p>
        <w:p w14:paraId="31DFFEBA" w14:textId="35909975"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74" w:history="1">
            <w:r w:rsidRPr="00264BFB">
              <w:rPr>
                <w:rStyle w:val="Hyperlink"/>
                <w:noProof/>
                <w:lang w:val="en-US"/>
              </w:rPr>
              <w:t>4.5 Discussion: Linking Findings to Theoretical Frameworks</w:t>
            </w:r>
            <w:r>
              <w:rPr>
                <w:noProof/>
                <w:webHidden/>
              </w:rPr>
              <w:tab/>
            </w:r>
            <w:r>
              <w:rPr>
                <w:noProof/>
                <w:webHidden/>
              </w:rPr>
              <w:fldChar w:fldCharType="begin"/>
            </w:r>
            <w:r>
              <w:rPr>
                <w:noProof/>
                <w:webHidden/>
              </w:rPr>
              <w:instrText xml:space="preserve"> PAGEREF _Toc218707774 \h </w:instrText>
            </w:r>
            <w:r>
              <w:rPr>
                <w:noProof/>
                <w:webHidden/>
              </w:rPr>
            </w:r>
            <w:r>
              <w:rPr>
                <w:noProof/>
                <w:webHidden/>
              </w:rPr>
              <w:fldChar w:fldCharType="separate"/>
            </w:r>
            <w:r>
              <w:rPr>
                <w:noProof/>
                <w:webHidden/>
              </w:rPr>
              <w:t>55</w:t>
            </w:r>
            <w:r>
              <w:rPr>
                <w:noProof/>
                <w:webHidden/>
              </w:rPr>
              <w:fldChar w:fldCharType="end"/>
            </w:r>
          </w:hyperlink>
        </w:p>
        <w:p w14:paraId="793BFB5C" w14:textId="6BCE37ED"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75" w:history="1">
            <w:r w:rsidRPr="00264BFB">
              <w:rPr>
                <w:rStyle w:val="Hyperlink"/>
                <w:noProof/>
                <w:lang w:val="en-US"/>
              </w:rPr>
              <w:t>4.6 Chapter Summary</w:t>
            </w:r>
            <w:r>
              <w:rPr>
                <w:noProof/>
                <w:webHidden/>
              </w:rPr>
              <w:tab/>
            </w:r>
            <w:r>
              <w:rPr>
                <w:noProof/>
                <w:webHidden/>
              </w:rPr>
              <w:fldChar w:fldCharType="begin"/>
            </w:r>
            <w:r>
              <w:rPr>
                <w:noProof/>
                <w:webHidden/>
              </w:rPr>
              <w:instrText xml:space="preserve"> PAGEREF _Toc218707775 \h </w:instrText>
            </w:r>
            <w:r>
              <w:rPr>
                <w:noProof/>
                <w:webHidden/>
              </w:rPr>
            </w:r>
            <w:r>
              <w:rPr>
                <w:noProof/>
                <w:webHidden/>
              </w:rPr>
              <w:fldChar w:fldCharType="separate"/>
            </w:r>
            <w:r>
              <w:rPr>
                <w:noProof/>
                <w:webHidden/>
              </w:rPr>
              <w:t>57</w:t>
            </w:r>
            <w:r>
              <w:rPr>
                <w:noProof/>
                <w:webHidden/>
              </w:rPr>
              <w:fldChar w:fldCharType="end"/>
            </w:r>
          </w:hyperlink>
        </w:p>
        <w:p w14:paraId="0D26F7CE" w14:textId="19D7B5B0" w:rsidR="00884F2F" w:rsidRDefault="00884F2F">
          <w:pPr>
            <w:pStyle w:val="TOC1"/>
            <w:rPr>
              <w:rFonts w:asciiTheme="minorHAnsi" w:eastAsiaTheme="minorEastAsia" w:hAnsiTheme="minorHAnsi" w:cstheme="minorBidi"/>
              <w:noProof/>
              <w:kern w:val="2"/>
              <w:szCs w:val="30"/>
              <w:lang w:val="en-US" w:eastAsia="zh-CN" w:bidi="bn-IN"/>
              <w14:ligatures w14:val="standardContextual"/>
            </w:rPr>
          </w:pPr>
          <w:hyperlink w:anchor="_Toc218707776" w:history="1">
            <w:r w:rsidRPr="00264BFB">
              <w:rPr>
                <w:rStyle w:val="Hyperlink"/>
                <w:noProof/>
                <w:lang w:val="en-US"/>
              </w:rPr>
              <w:t>Chapter 5: Conclusions and Recommendations</w:t>
            </w:r>
            <w:r>
              <w:rPr>
                <w:noProof/>
                <w:webHidden/>
              </w:rPr>
              <w:tab/>
            </w:r>
            <w:r>
              <w:rPr>
                <w:noProof/>
                <w:webHidden/>
              </w:rPr>
              <w:fldChar w:fldCharType="begin"/>
            </w:r>
            <w:r>
              <w:rPr>
                <w:noProof/>
                <w:webHidden/>
              </w:rPr>
              <w:instrText xml:space="preserve"> PAGEREF _Toc218707776 \h </w:instrText>
            </w:r>
            <w:r>
              <w:rPr>
                <w:noProof/>
                <w:webHidden/>
              </w:rPr>
            </w:r>
            <w:r>
              <w:rPr>
                <w:noProof/>
                <w:webHidden/>
              </w:rPr>
              <w:fldChar w:fldCharType="separate"/>
            </w:r>
            <w:r>
              <w:rPr>
                <w:noProof/>
                <w:webHidden/>
              </w:rPr>
              <w:t>58</w:t>
            </w:r>
            <w:r>
              <w:rPr>
                <w:noProof/>
                <w:webHidden/>
              </w:rPr>
              <w:fldChar w:fldCharType="end"/>
            </w:r>
          </w:hyperlink>
        </w:p>
        <w:p w14:paraId="2AFD4539" w14:textId="5D383FFF"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77" w:history="1">
            <w:r w:rsidRPr="00264BFB">
              <w:rPr>
                <w:rStyle w:val="Hyperlink"/>
                <w:noProof/>
                <w:lang w:val="en-US"/>
              </w:rPr>
              <w:t>5.1 Summary of Main Findings</w:t>
            </w:r>
            <w:r>
              <w:rPr>
                <w:noProof/>
                <w:webHidden/>
              </w:rPr>
              <w:tab/>
            </w:r>
            <w:r>
              <w:rPr>
                <w:noProof/>
                <w:webHidden/>
              </w:rPr>
              <w:fldChar w:fldCharType="begin"/>
            </w:r>
            <w:r>
              <w:rPr>
                <w:noProof/>
                <w:webHidden/>
              </w:rPr>
              <w:instrText xml:space="preserve"> PAGEREF _Toc218707777 \h </w:instrText>
            </w:r>
            <w:r>
              <w:rPr>
                <w:noProof/>
                <w:webHidden/>
              </w:rPr>
            </w:r>
            <w:r>
              <w:rPr>
                <w:noProof/>
                <w:webHidden/>
              </w:rPr>
              <w:fldChar w:fldCharType="separate"/>
            </w:r>
            <w:r>
              <w:rPr>
                <w:noProof/>
                <w:webHidden/>
              </w:rPr>
              <w:t>58</w:t>
            </w:r>
            <w:r>
              <w:rPr>
                <w:noProof/>
                <w:webHidden/>
              </w:rPr>
              <w:fldChar w:fldCharType="end"/>
            </w:r>
          </w:hyperlink>
        </w:p>
        <w:p w14:paraId="515555B3" w14:textId="4925C796"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78" w:history="1">
            <w:r w:rsidRPr="00264BFB">
              <w:rPr>
                <w:rStyle w:val="Hyperlink"/>
                <w:noProof/>
                <w:lang w:val="en-US"/>
              </w:rPr>
              <w:t>5.2 Conclusion Based on the Research Questions</w:t>
            </w:r>
            <w:r>
              <w:rPr>
                <w:noProof/>
                <w:webHidden/>
              </w:rPr>
              <w:tab/>
            </w:r>
            <w:r>
              <w:rPr>
                <w:noProof/>
                <w:webHidden/>
              </w:rPr>
              <w:fldChar w:fldCharType="begin"/>
            </w:r>
            <w:r>
              <w:rPr>
                <w:noProof/>
                <w:webHidden/>
              </w:rPr>
              <w:instrText xml:space="preserve"> PAGEREF _Toc218707778 \h </w:instrText>
            </w:r>
            <w:r>
              <w:rPr>
                <w:noProof/>
                <w:webHidden/>
              </w:rPr>
            </w:r>
            <w:r>
              <w:rPr>
                <w:noProof/>
                <w:webHidden/>
              </w:rPr>
              <w:fldChar w:fldCharType="separate"/>
            </w:r>
            <w:r>
              <w:rPr>
                <w:noProof/>
                <w:webHidden/>
              </w:rPr>
              <w:t>59</w:t>
            </w:r>
            <w:r>
              <w:rPr>
                <w:noProof/>
                <w:webHidden/>
              </w:rPr>
              <w:fldChar w:fldCharType="end"/>
            </w:r>
          </w:hyperlink>
        </w:p>
        <w:p w14:paraId="51C5A47E" w14:textId="03AA52A5"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79" w:history="1">
            <w:r w:rsidRPr="00264BFB">
              <w:rPr>
                <w:rStyle w:val="Hyperlink"/>
                <w:noProof/>
                <w:lang w:val="en-US"/>
              </w:rPr>
              <w:t>5.3 Recommendations</w:t>
            </w:r>
            <w:r>
              <w:rPr>
                <w:noProof/>
                <w:webHidden/>
              </w:rPr>
              <w:tab/>
            </w:r>
            <w:r>
              <w:rPr>
                <w:noProof/>
                <w:webHidden/>
              </w:rPr>
              <w:fldChar w:fldCharType="begin"/>
            </w:r>
            <w:r>
              <w:rPr>
                <w:noProof/>
                <w:webHidden/>
              </w:rPr>
              <w:instrText xml:space="preserve"> PAGEREF _Toc218707779 \h </w:instrText>
            </w:r>
            <w:r>
              <w:rPr>
                <w:noProof/>
                <w:webHidden/>
              </w:rPr>
            </w:r>
            <w:r>
              <w:rPr>
                <w:noProof/>
                <w:webHidden/>
              </w:rPr>
              <w:fldChar w:fldCharType="separate"/>
            </w:r>
            <w:r>
              <w:rPr>
                <w:noProof/>
                <w:webHidden/>
              </w:rPr>
              <w:t>60</w:t>
            </w:r>
            <w:r>
              <w:rPr>
                <w:noProof/>
                <w:webHidden/>
              </w:rPr>
              <w:fldChar w:fldCharType="end"/>
            </w:r>
          </w:hyperlink>
        </w:p>
        <w:p w14:paraId="26446844" w14:textId="54F6A0B8"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80" w:history="1">
            <w:r w:rsidRPr="00264BFB">
              <w:rPr>
                <w:rStyle w:val="Hyperlink"/>
                <w:noProof/>
                <w:lang w:val="en-US"/>
              </w:rPr>
              <w:t>5.4 Limitation of Research</w:t>
            </w:r>
            <w:r>
              <w:rPr>
                <w:noProof/>
                <w:webHidden/>
              </w:rPr>
              <w:tab/>
            </w:r>
            <w:r>
              <w:rPr>
                <w:noProof/>
                <w:webHidden/>
              </w:rPr>
              <w:fldChar w:fldCharType="begin"/>
            </w:r>
            <w:r>
              <w:rPr>
                <w:noProof/>
                <w:webHidden/>
              </w:rPr>
              <w:instrText xml:space="preserve"> PAGEREF _Toc218707780 \h </w:instrText>
            </w:r>
            <w:r>
              <w:rPr>
                <w:noProof/>
                <w:webHidden/>
              </w:rPr>
            </w:r>
            <w:r>
              <w:rPr>
                <w:noProof/>
                <w:webHidden/>
              </w:rPr>
              <w:fldChar w:fldCharType="separate"/>
            </w:r>
            <w:r>
              <w:rPr>
                <w:noProof/>
                <w:webHidden/>
              </w:rPr>
              <w:t>60</w:t>
            </w:r>
            <w:r>
              <w:rPr>
                <w:noProof/>
                <w:webHidden/>
              </w:rPr>
              <w:fldChar w:fldCharType="end"/>
            </w:r>
          </w:hyperlink>
        </w:p>
        <w:p w14:paraId="2960C129" w14:textId="269E5956" w:rsidR="00884F2F" w:rsidRDefault="00884F2F">
          <w:pPr>
            <w:pStyle w:val="TOC2"/>
            <w:tabs>
              <w:tab w:val="right" w:leader="dot" w:pos="9016"/>
            </w:tabs>
            <w:rPr>
              <w:rFonts w:asciiTheme="minorHAnsi" w:eastAsiaTheme="minorEastAsia" w:hAnsiTheme="minorHAnsi" w:cstheme="minorBidi"/>
              <w:noProof/>
              <w:kern w:val="2"/>
              <w:szCs w:val="30"/>
              <w:lang w:val="en-US" w:eastAsia="zh-CN" w:bidi="bn-IN"/>
              <w14:ligatures w14:val="standardContextual"/>
            </w:rPr>
          </w:pPr>
          <w:hyperlink w:anchor="_Toc218707781" w:history="1">
            <w:r w:rsidRPr="00264BFB">
              <w:rPr>
                <w:rStyle w:val="Hyperlink"/>
                <w:noProof/>
                <w:lang w:val="en-US"/>
              </w:rPr>
              <w:t>5.5 Recommendation for Future Work</w:t>
            </w:r>
            <w:r>
              <w:rPr>
                <w:noProof/>
                <w:webHidden/>
              </w:rPr>
              <w:tab/>
            </w:r>
            <w:r>
              <w:rPr>
                <w:noProof/>
                <w:webHidden/>
              </w:rPr>
              <w:fldChar w:fldCharType="begin"/>
            </w:r>
            <w:r>
              <w:rPr>
                <w:noProof/>
                <w:webHidden/>
              </w:rPr>
              <w:instrText xml:space="preserve"> PAGEREF _Toc218707781 \h </w:instrText>
            </w:r>
            <w:r>
              <w:rPr>
                <w:noProof/>
                <w:webHidden/>
              </w:rPr>
            </w:r>
            <w:r>
              <w:rPr>
                <w:noProof/>
                <w:webHidden/>
              </w:rPr>
              <w:fldChar w:fldCharType="separate"/>
            </w:r>
            <w:r>
              <w:rPr>
                <w:noProof/>
                <w:webHidden/>
              </w:rPr>
              <w:t>61</w:t>
            </w:r>
            <w:r>
              <w:rPr>
                <w:noProof/>
                <w:webHidden/>
              </w:rPr>
              <w:fldChar w:fldCharType="end"/>
            </w:r>
          </w:hyperlink>
        </w:p>
        <w:p w14:paraId="7FDF0E2B" w14:textId="65A8EB00" w:rsidR="00884F2F" w:rsidRDefault="00884F2F">
          <w:pPr>
            <w:pStyle w:val="TOC1"/>
            <w:rPr>
              <w:rFonts w:asciiTheme="minorHAnsi" w:eastAsiaTheme="minorEastAsia" w:hAnsiTheme="minorHAnsi" w:cstheme="minorBidi"/>
              <w:noProof/>
              <w:kern w:val="2"/>
              <w:szCs w:val="30"/>
              <w:lang w:val="en-US" w:eastAsia="zh-CN" w:bidi="bn-IN"/>
              <w14:ligatures w14:val="standardContextual"/>
            </w:rPr>
          </w:pPr>
          <w:hyperlink w:anchor="_Toc218707782" w:history="1">
            <w:r w:rsidRPr="00264BFB">
              <w:rPr>
                <w:rStyle w:val="Hyperlink"/>
                <w:noProof/>
                <w:lang w:val="en-GB"/>
              </w:rPr>
              <w:t>6. References</w:t>
            </w:r>
            <w:r>
              <w:rPr>
                <w:noProof/>
                <w:webHidden/>
              </w:rPr>
              <w:tab/>
            </w:r>
            <w:r>
              <w:rPr>
                <w:noProof/>
                <w:webHidden/>
              </w:rPr>
              <w:fldChar w:fldCharType="begin"/>
            </w:r>
            <w:r>
              <w:rPr>
                <w:noProof/>
                <w:webHidden/>
              </w:rPr>
              <w:instrText xml:space="preserve"> PAGEREF _Toc218707782 \h </w:instrText>
            </w:r>
            <w:r>
              <w:rPr>
                <w:noProof/>
                <w:webHidden/>
              </w:rPr>
            </w:r>
            <w:r>
              <w:rPr>
                <w:noProof/>
                <w:webHidden/>
              </w:rPr>
              <w:fldChar w:fldCharType="separate"/>
            </w:r>
            <w:r>
              <w:rPr>
                <w:noProof/>
                <w:webHidden/>
              </w:rPr>
              <w:t>62</w:t>
            </w:r>
            <w:r>
              <w:rPr>
                <w:noProof/>
                <w:webHidden/>
              </w:rPr>
              <w:fldChar w:fldCharType="end"/>
            </w:r>
          </w:hyperlink>
        </w:p>
        <w:p w14:paraId="2B2F8461" w14:textId="336F7ECE" w:rsidR="00884F2F" w:rsidRDefault="00884F2F">
          <w:pPr>
            <w:pStyle w:val="TOC1"/>
            <w:rPr>
              <w:rFonts w:asciiTheme="minorHAnsi" w:eastAsiaTheme="minorEastAsia" w:hAnsiTheme="minorHAnsi" w:cstheme="minorBidi"/>
              <w:noProof/>
              <w:kern w:val="2"/>
              <w:szCs w:val="30"/>
              <w:lang w:val="en-US" w:eastAsia="zh-CN" w:bidi="bn-IN"/>
              <w14:ligatures w14:val="standardContextual"/>
            </w:rPr>
          </w:pPr>
          <w:hyperlink w:anchor="_Toc218707783" w:history="1">
            <w:r w:rsidRPr="00264BFB">
              <w:rPr>
                <w:rStyle w:val="Hyperlink"/>
                <w:noProof/>
              </w:rPr>
              <w:t>6. Appendices</w:t>
            </w:r>
            <w:r>
              <w:rPr>
                <w:noProof/>
                <w:webHidden/>
              </w:rPr>
              <w:tab/>
            </w:r>
            <w:r>
              <w:rPr>
                <w:noProof/>
                <w:webHidden/>
              </w:rPr>
              <w:fldChar w:fldCharType="begin"/>
            </w:r>
            <w:r>
              <w:rPr>
                <w:noProof/>
                <w:webHidden/>
              </w:rPr>
              <w:instrText xml:space="preserve"> PAGEREF _Toc218707783 \h </w:instrText>
            </w:r>
            <w:r>
              <w:rPr>
                <w:noProof/>
                <w:webHidden/>
              </w:rPr>
            </w:r>
            <w:r>
              <w:rPr>
                <w:noProof/>
                <w:webHidden/>
              </w:rPr>
              <w:fldChar w:fldCharType="separate"/>
            </w:r>
            <w:r>
              <w:rPr>
                <w:noProof/>
                <w:webHidden/>
              </w:rPr>
              <w:t>71</w:t>
            </w:r>
            <w:r>
              <w:rPr>
                <w:noProof/>
                <w:webHidden/>
              </w:rPr>
              <w:fldChar w:fldCharType="end"/>
            </w:r>
          </w:hyperlink>
        </w:p>
        <w:p w14:paraId="0119652F" w14:textId="58F64159" w:rsidR="000D2118" w:rsidRPr="00C44E80" w:rsidRDefault="00000000">
          <w:pPr>
            <w:rPr>
              <w:rFonts w:cs="Arial"/>
              <w:lang w:val="en-GB"/>
            </w:rPr>
          </w:pPr>
          <w:r w:rsidRPr="00C44E80">
            <w:rPr>
              <w:rFonts w:cs="Arial"/>
              <w:lang w:val="en-GB"/>
            </w:rPr>
            <w:fldChar w:fldCharType="end"/>
          </w:r>
        </w:p>
      </w:sdtContent>
    </w:sdt>
    <w:p w14:paraId="4557EA28" w14:textId="77777777" w:rsidR="00884F2F" w:rsidRDefault="00884F2F">
      <w:pPr>
        <w:spacing w:before="0" w:after="0"/>
        <w:rPr>
          <w:rFonts w:cs="Arial"/>
          <w:lang w:val="en-GB"/>
        </w:rPr>
      </w:pPr>
      <w:r>
        <w:rPr>
          <w:rFonts w:cs="Arial"/>
          <w:lang w:val="en-GB"/>
        </w:rPr>
        <w:br w:type="page"/>
      </w:r>
    </w:p>
    <w:p w14:paraId="2C744313" w14:textId="3E828E0B" w:rsidR="00884F2F" w:rsidRDefault="00884F2F" w:rsidP="00884F2F">
      <w:pPr>
        <w:pStyle w:val="Heading1"/>
        <w:jc w:val="left"/>
        <w:rPr>
          <w:lang w:val="en-GB"/>
        </w:rPr>
      </w:pPr>
      <w:bookmarkStart w:id="2" w:name="_Toc218707731"/>
      <w:r>
        <w:rPr>
          <w:lang w:val="en-GB"/>
        </w:rPr>
        <w:lastRenderedPageBreak/>
        <w:t>List of Figures</w:t>
      </w:r>
      <w:bookmarkEnd w:id="2"/>
    </w:p>
    <w:p w14:paraId="3644A706" w14:textId="4E044936" w:rsidR="00884F2F" w:rsidRPr="00884F2F" w:rsidRDefault="00884F2F" w:rsidP="00884F2F">
      <w:pPr>
        <w:pStyle w:val="TableofFigures"/>
        <w:tabs>
          <w:tab w:val="right" w:leader="dot" w:pos="9016"/>
        </w:tabs>
        <w:spacing w:line="480" w:lineRule="auto"/>
        <w:rPr>
          <w:noProof/>
          <w:sz w:val="22"/>
          <w:szCs w:val="22"/>
        </w:rPr>
      </w:pPr>
      <w:r w:rsidRPr="00884F2F">
        <w:rPr>
          <w:sz w:val="22"/>
          <w:szCs w:val="22"/>
          <w:lang w:val="en-GB"/>
        </w:rPr>
        <w:fldChar w:fldCharType="begin"/>
      </w:r>
      <w:r w:rsidRPr="00884F2F">
        <w:rPr>
          <w:sz w:val="22"/>
          <w:szCs w:val="22"/>
          <w:lang w:val="en-GB"/>
        </w:rPr>
        <w:instrText xml:space="preserve"> TOC \h \z \c "Figure" </w:instrText>
      </w:r>
      <w:r w:rsidRPr="00884F2F">
        <w:rPr>
          <w:sz w:val="22"/>
          <w:szCs w:val="22"/>
          <w:lang w:val="en-GB"/>
        </w:rPr>
        <w:fldChar w:fldCharType="separate"/>
      </w:r>
      <w:hyperlink w:anchor="_Toc218707664" w:history="1">
        <w:r w:rsidRPr="00884F2F">
          <w:rPr>
            <w:rStyle w:val="Hyperlink"/>
            <w:noProof/>
            <w:sz w:val="22"/>
            <w:szCs w:val="22"/>
          </w:rPr>
          <w:t xml:space="preserve">Figure 1 </w:t>
        </w:r>
        <w:r w:rsidRPr="00884F2F">
          <w:rPr>
            <w:rStyle w:val="Hyperlink"/>
            <w:noProof/>
            <w:sz w:val="22"/>
            <w:szCs w:val="22"/>
            <w:lang w:val="en-US"/>
          </w:rPr>
          <w:t>Uppsala Internationalisation Model (Johanson and Vahlne, 1977)</w:t>
        </w:r>
        <w:r w:rsidRPr="00884F2F">
          <w:rPr>
            <w:noProof/>
            <w:webHidden/>
            <w:sz w:val="22"/>
            <w:szCs w:val="22"/>
          </w:rPr>
          <w:tab/>
        </w:r>
        <w:r w:rsidRPr="00884F2F">
          <w:rPr>
            <w:noProof/>
            <w:webHidden/>
            <w:sz w:val="22"/>
            <w:szCs w:val="22"/>
          </w:rPr>
          <w:fldChar w:fldCharType="begin"/>
        </w:r>
        <w:r w:rsidRPr="00884F2F">
          <w:rPr>
            <w:noProof/>
            <w:webHidden/>
            <w:sz w:val="22"/>
            <w:szCs w:val="22"/>
          </w:rPr>
          <w:instrText xml:space="preserve"> PAGEREF _Toc218707664 \h </w:instrText>
        </w:r>
        <w:r w:rsidRPr="00884F2F">
          <w:rPr>
            <w:noProof/>
            <w:webHidden/>
            <w:sz w:val="22"/>
            <w:szCs w:val="22"/>
          </w:rPr>
        </w:r>
        <w:r w:rsidRPr="00884F2F">
          <w:rPr>
            <w:noProof/>
            <w:webHidden/>
            <w:sz w:val="22"/>
            <w:szCs w:val="22"/>
          </w:rPr>
          <w:fldChar w:fldCharType="separate"/>
        </w:r>
        <w:r w:rsidRPr="00884F2F">
          <w:rPr>
            <w:noProof/>
            <w:webHidden/>
            <w:sz w:val="22"/>
            <w:szCs w:val="22"/>
          </w:rPr>
          <w:t>12</w:t>
        </w:r>
        <w:r w:rsidRPr="00884F2F">
          <w:rPr>
            <w:noProof/>
            <w:webHidden/>
            <w:sz w:val="22"/>
            <w:szCs w:val="22"/>
          </w:rPr>
          <w:fldChar w:fldCharType="end"/>
        </w:r>
      </w:hyperlink>
    </w:p>
    <w:p w14:paraId="02C86BD9" w14:textId="6FB3D8D2" w:rsidR="00884F2F" w:rsidRPr="00884F2F" w:rsidRDefault="00884F2F" w:rsidP="00884F2F">
      <w:pPr>
        <w:pStyle w:val="TableofFigures"/>
        <w:tabs>
          <w:tab w:val="right" w:leader="dot" w:pos="9016"/>
        </w:tabs>
        <w:spacing w:line="480" w:lineRule="auto"/>
        <w:rPr>
          <w:noProof/>
          <w:sz w:val="22"/>
          <w:szCs w:val="22"/>
        </w:rPr>
      </w:pPr>
      <w:hyperlink w:anchor="_Toc218707665" w:history="1">
        <w:r w:rsidRPr="00884F2F">
          <w:rPr>
            <w:rStyle w:val="Hyperlink"/>
            <w:noProof/>
            <w:sz w:val="22"/>
            <w:szCs w:val="22"/>
          </w:rPr>
          <w:t xml:space="preserve">Figure 2 </w:t>
        </w:r>
        <w:r w:rsidRPr="00884F2F">
          <w:rPr>
            <w:rStyle w:val="Hyperlink"/>
            <w:noProof/>
            <w:sz w:val="22"/>
            <w:szCs w:val="22"/>
            <w:lang w:val="en-US"/>
          </w:rPr>
          <w:t>Resource-Based View (Barney, 1991)</w:t>
        </w:r>
        <w:r w:rsidRPr="00884F2F">
          <w:rPr>
            <w:noProof/>
            <w:webHidden/>
            <w:sz w:val="22"/>
            <w:szCs w:val="22"/>
          </w:rPr>
          <w:tab/>
        </w:r>
        <w:r w:rsidRPr="00884F2F">
          <w:rPr>
            <w:noProof/>
            <w:webHidden/>
            <w:sz w:val="22"/>
            <w:szCs w:val="22"/>
          </w:rPr>
          <w:fldChar w:fldCharType="begin"/>
        </w:r>
        <w:r w:rsidRPr="00884F2F">
          <w:rPr>
            <w:noProof/>
            <w:webHidden/>
            <w:sz w:val="22"/>
            <w:szCs w:val="22"/>
          </w:rPr>
          <w:instrText xml:space="preserve"> PAGEREF _Toc218707665 \h </w:instrText>
        </w:r>
        <w:r w:rsidRPr="00884F2F">
          <w:rPr>
            <w:noProof/>
            <w:webHidden/>
            <w:sz w:val="22"/>
            <w:szCs w:val="22"/>
          </w:rPr>
        </w:r>
        <w:r w:rsidRPr="00884F2F">
          <w:rPr>
            <w:noProof/>
            <w:webHidden/>
            <w:sz w:val="22"/>
            <w:szCs w:val="22"/>
          </w:rPr>
          <w:fldChar w:fldCharType="separate"/>
        </w:r>
        <w:r w:rsidRPr="00884F2F">
          <w:rPr>
            <w:noProof/>
            <w:webHidden/>
            <w:sz w:val="22"/>
            <w:szCs w:val="22"/>
          </w:rPr>
          <w:t>13</w:t>
        </w:r>
        <w:r w:rsidRPr="00884F2F">
          <w:rPr>
            <w:noProof/>
            <w:webHidden/>
            <w:sz w:val="22"/>
            <w:szCs w:val="22"/>
          </w:rPr>
          <w:fldChar w:fldCharType="end"/>
        </w:r>
      </w:hyperlink>
    </w:p>
    <w:p w14:paraId="5DDE0F10" w14:textId="340962DF" w:rsidR="00884F2F" w:rsidRPr="00884F2F" w:rsidRDefault="00884F2F" w:rsidP="00884F2F">
      <w:pPr>
        <w:pStyle w:val="TableofFigures"/>
        <w:tabs>
          <w:tab w:val="right" w:leader="dot" w:pos="9016"/>
        </w:tabs>
        <w:spacing w:line="480" w:lineRule="auto"/>
        <w:rPr>
          <w:noProof/>
          <w:sz w:val="22"/>
          <w:szCs w:val="22"/>
        </w:rPr>
      </w:pPr>
      <w:hyperlink w:anchor="_Toc218707666" w:history="1">
        <w:r w:rsidRPr="00884F2F">
          <w:rPr>
            <w:rStyle w:val="Hyperlink"/>
            <w:noProof/>
            <w:sz w:val="22"/>
            <w:szCs w:val="22"/>
          </w:rPr>
          <w:t>Figure 3 Technology Acceptance Model (Davis, 1989)</w:t>
        </w:r>
        <w:r w:rsidRPr="00884F2F">
          <w:rPr>
            <w:noProof/>
            <w:webHidden/>
            <w:sz w:val="22"/>
            <w:szCs w:val="22"/>
          </w:rPr>
          <w:tab/>
        </w:r>
        <w:r w:rsidRPr="00884F2F">
          <w:rPr>
            <w:noProof/>
            <w:webHidden/>
            <w:sz w:val="22"/>
            <w:szCs w:val="22"/>
          </w:rPr>
          <w:fldChar w:fldCharType="begin"/>
        </w:r>
        <w:r w:rsidRPr="00884F2F">
          <w:rPr>
            <w:noProof/>
            <w:webHidden/>
            <w:sz w:val="22"/>
            <w:szCs w:val="22"/>
          </w:rPr>
          <w:instrText xml:space="preserve"> PAGEREF _Toc218707666 \h </w:instrText>
        </w:r>
        <w:r w:rsidRPr="00884F2F">
          <w:rPr>
            <w:noProof/>
            <w:webHidden/>
            <w:sz w:val="22"/>
            <w:szCs w:val="22"/>
          </w:rPr>
        </w:r>
        <w:r w:rsidRPr="00884F2F">
          <w:rPr>
            <w:noProof/>
            <w:webHidden/>
            <w:sz w:val="22"/>
            <w:szCs w:val="22"/>
          </w:rPr>
          <w:fldChar w:fldCharType="separate"/>
        </w:r>
        <w:r w:rsidRPr="00884F2F">
          <w:rPr>
            <w:noProof/>
            <w:webHidden/>
            <w:sz w:val="22"/>
            <w:szCs w:val="22"/>
          </w:rPr>
          <w:t>14</w:t>
        </w:r>
        <w:r w:rsidRPr="00884F2F">
          <w:rPr>
            <w:noProof/>
            <w:webHidden/>
            <w:sz w:val="22"/>
            <w:szCs w:val="22"/>
          </w:rPr>
          <w:fldChar w:fldCharType="end"/>
        </w:r>
      </w:hyperlink>
    </w:p>
    <w:p w14:paraId="2AF4D19A" w14:textId="40533CCA" w:rsidR="00884F2F" w:rsidRPr="00884F2F" w:rsidRDefault="00884F2F" w:rsidP="00884F2F">
      <w:pPr>
        <w:pStyle w:val="TableofFigures"/>
        <w:tabs>
          <w:tab w:val="right" w:leader="dot" w:pos="9016"/>
        </w:tabs>
        <w:spacing w:line="480" w:lineRule="auto"/>
        <w:rPr>
          <w:noProof/>
          <w:sz w:val="22"/>
          <w:szCs w:val="22"/>
        </w:rPr>
      </w:pPr>
      <w:hyperlink w:anchor="_Toc218707667" w:history="1">
        <w:r w:rsidRPr="00884F2F">
          <w:rPr>
            <w:rStyle w:val="Hyperlink"/>
            <w:noProof/>
            <w:sz w:val="22"/>
            <w:szCs w:val="22"/>
          </w:rPr>
          <w:t>Figure 4 Conceptual Framework (Author)</w:t>
        </w:r>
        <w:r w:rsidRPr="00884F2F">
          <w:rPr>
            <w:noProof/>
            <w:webHidden/>
            <w:sz w:val="22"/>
            <w:szCs w:val="22"/>
          </w:rPr>
          <w:tab/>
        </w:r>
        <w:r w:rsidRPr="00884F2F">
          <w:rPr>
            <w:noProof/>
            <w:webHidden/>
            <w:sz w:val="22"/>
            <w:szCs w:val="22"/>
          </w:rPr>
          <w:fldChar w:fldCharType="begin"/>
        </w:r>
        <w:r w:rsidRPr="00884F2F">
          <w:rPr>
            <w:noProof/>
            <w:webHidden/>
            <w:sz w:val="22"/>
            <w:szCs w:val="22"/>
          </w:rPr>
          <w:instrText xml:space="preserve"> PAGEREF _Toc218707667 \h </w:instrText>
        </w:r>
        <w:r w:rsidRPr="00884F2F">
          <w:rPr>
            <w:noProof/>
            <w:webHidden/>
            <w:sz w:val="22"/>
            <w:szCs w:val="22"/>
          </w:rPr>
        </w:r>
        <w:r w:rsidRPr="00884F2F">
          <w:rPr>
            <w:noProof/>
            <w:webHidden/>
            <w:sz w:val="22"/>
            <w:szCs w:val="22"/>
          </w:rPr>
          <w:fldChar w:fldCharType="separate"/>
        </w:r>
        <w:r w:rsidRPr="00884F2F">
          <w:rPr>
            <w:noProof/>
            <w:webHidden/>
            <w:sz w:val="22"/>
            <w:szCs w:val="22"/>
          </w:rPr>
          <w:t>21</w:t>
        </w:r>
        <w:r w:rsidRPr="00884F2F">
          <w:rPr>
            <w:noProof/>
            <w:webHidden/>
            <w:sz w:val="22"/>
            <w:szCs w:val="22"/>
          </w:rPr>
          <w:fldChar w:fldCharType="end"/>
        </w:r>
      </w:hyperlink>
    </w:p>
    <w:p w14:paraId="0D19C3EF" w14:textId="18A69F64" w:rsidR="00884F2F" w:rsidRPr="00884F2F" w:rsidRDefault="00884F2F" w:rsidP="00884F2F">
      <w:pPr>
        <w:pStyle w:val="TableofFigures"/>
        <w:tabs>
          <w:tab w:val="right" w:leader="dot" w:pos="9016"/>
        </w:tabs>
        <w:spacing w:line="480" w:lineRule="auto"/>
        <w:rPr>
          <w:noProof/>
          <w:sz w:val="22"/>
          <w:szCs w:val="22"/>
        </w:rPr>
      </w:pPr>
      <w:hyperlink w:anchor="_Toc218707668" w:history="1">
        <w:r w:rsidRPr="00884F2F">
          <w:rPr>
            <w:rStyle w:val="Hyperlink"/>
            <w:noProof/>
            <w:sz w:val="22"/>
            <w:szCs w:val="22"/>
          </w:rPr>
          <w:t>Figure 5 PRISMA Flow Diagram of Study Selection for the Review (Page et al., 2021)</w:t>
        </w:r>
        <w:r w:rsidRPr="00884F2F">
          <w:rPr>
            <w:noProof/>
            <w:webHidden/>
            <w:sz w:val="22"/>
            <w:szCs w:val="22"/>
          </w:rPr>
          <w:tab/>
        </w:r>
        <w:r w:rsidRPr="00884F2F">
          <w:rPr>
            <w:noProof/>
            <w:webHidden/>
            <w:sz w:val="22"/>
            <w:szCs w:val="22"/>
          </w:rPr>
          <w:fldChar w:fldCharType="begin"/>
        </w:r>
        <w:r w:rsidRPr="00884F2F">
          <w:rPr>
            <w:noProof/>
            <w:webHidden/>
            <w:sz w:val="22"/>
            <w:szCs w:val="22"/>
          </w:rPr>
          <w:instrText xml:space="preserve"> PAGEREF _Toc218707668 \h </w:instrText>
        </w:r>
        <w:r w:rsidRPr="00884F2F">
          <w:rPr>
            <w:noProof/>
            <w:webHidden/>
            <w:sz w:val="22"/>
            <w:szCs w:val="22"/>
          </w:rPr>
        </w:r>
        <w:r w:rsidRPr="00884F2F">
          <w:rPr>
            <w:noProof/>
            <w:webHidden/>
            <w:sz w:val="22"/>
            <w:szCs w:val="22"/>
          </w:rPr>
          <w:fldChar w:fldCharType="separate"/>
        </w:r>
        <w:r w:rsidRPr="00884F2F">
          <w:rPr>
            <w:noProof/>
            <w:webHidden/>
            <w:sz w:val="22"/>
            <w:szCs w:val="22"/>
          </w:rPr>
          <w:t>33</w:t>
        </w:r>
        <w:r w:rsidRPr="00884F2F">
          <w:rPr>
            <w:noProof/>
            <w:webHidden/>
            <w:sz w:val="22"/>
            <w:szCs w:val="22"/>
          </w:rPr>
          <w:fldChar w:fldCharType="end"/>
        </w:r>
      </w:hyperlink>
    </w:p>
    <w:p w14:paraId="40EE1FFD" w14:textId="307E6A23" w:rsidR="00884F2F" w:rsidRPr="00884F2F" w:rsidRDefault="00884F2F" w:rsidP="00884F2F">
      <w:pPr>
        <w:spacing w:line="480" w:lineRule="auto"/>
        <w:rPr>
          <w:lang w:val="en-GB"/>
        </w:rPr>
      </w:pPr>
      <w:r w:rsidRPr="00884F2F">
        <w:rPr>
          <w:sz w:val="22"/>
          <w:szCs w:val="22"/>
          <w:lang w:val="en-GB"/>
        </w:rPr>
        <w:fldChar w:fldCharType="end"/>
      </w:r>
    </w:p>
    <w:p w14:paraId="6BF041BE" w14:textId="211B66B4" w:rsidR="00884F2F" w:rsidRDefault="00884F2F" w:rsidP="00884F2F">
      <w:pPr>
        <w:pStyle w:val="Heading1"/>
        <w:jc w:val="left"/>
        <w:rPr>
          <w:lang w:val="en-GB"/>
        </w:rPr>
      </w:pPr>
      <w:bookmarkStart w:id="3" w:name="_Toc218707732"/>
      <w:r>
        <w:rPr>
          <w:lang w:val="en-GB"/>
        </w:rPr>
        <w:t>List of Table</w:t>
      </w:r>
      <w:bookmarkEnd w:id="3"/>
    </w:p>
    <w:p w14:paraId="7BECFDBC" w14:textId="7B0C026C" w:rsidR="00884F2F" w:rsidRPr="00884F2F" w:rsidRDefault="00884F2F" w:rsidP="00884F2F">
      <w:pPr>
        <w:pStyle w:val="TableofFigures"/>
        <w:tabs>
          <w:tab w:val="right" w:leader="dot" w:pos="9016"/>
        </w:tabs>
        <w:spacing w:line="480" w:lineRule="auto"/>
        <w:rPr>
          <w:rFonts w:asciiTheme="minorHAnsi" w:eastAsiaTheme="minorEastAsia" w:hAnsiTheme="minorHAnsi" w:cstheme="minorBidi"/>
          <w:noProof/>
          <w:kern w:val="2"/>
          <w:sz w:val="22"/>
          <w:szCs w:val="28"/>
          <w:lang w:val="en-US" w:eastAsia="zh-CN" w:bidi="bn-IN"/>
          <w14:ligatures w14:val="standardContextual"/>
        </w:rPr>
      </w:pPr>
      <w:r w:rsidRPr="00884F2F">
        <w:rPr>
          <w:sz w:val="22"/>
          <w:szCs w:val="22"/>
          <w:lang w:val="en-GB"/>
        </w:rPr>
        <w:fldChar w:fldCharType="begin"/>
      </w:r>
      <w:r w:rsidRPr="00884F2F">
        <w:rPr>
          <w:sz w:val="22"/>
          <w:szCs w:val="22"/>
          <w:lang w:val="en-GB"/>
        </w:rPr>
        <w:instrText xml:space="preserve"> TOC \h \z \c "Table" </w:instrText>
      </w:r>
      <w:r w:rsidRPr="00884F2F">
        <w:rPr>
          <w:sz w:val="22"/>
          <w:szCs w:val="22"/>
          <w:lang w:val="en-GB"/>
        </w:rPr>
        <w:fldChar w:fldCharType="separate"/>
      </w:r>
      <w:hyperlink w:anchor="_Toc218707712" w:history="1">
        <w:r w:rsidRPr="00884F2F">
          <w:rPr>
            <w:rStyle w:val="Hyperlink"/>
            <w:noProof/>
            <w:sz w:val="22"/>
            <w:szCs w:val="22"/>
          </w:rPr>
          <w:t>Table 1 Eligibility Criteria for Article Selection</w:t>
        </w:r>
        <w:r w:rsidRPr="00884F2F">
          <w:rPr>
            <w:noProof/>
            <w:webHidden/>
            <w:sz w:val="22"/>
            <w:szCs w:val="22"/>
          </w:rPr>
          <w:tab/>
        </w:r>
        <w:r w:rsidRPr="00884F2F">
          <w:rPr>
            <w:noProof/>
            <w:webHidden/>
            <w:sz w:val="22"/>
            <w:szCs w:val="22"/>
          </w:rPr>
          <w:fldChar w:fldCharType="begin"/>
        </w:r>
        <w:r w:rsidRPr="00884F2F">
          <w:rPr>
            <w:noProof/>
            <w:webHidden/>
            <w:sz w:val="22"/>
            <w:szCs w:val="22"/>
          </w:rPr>
          <w:instrText xml:space="preserve"> PAGEREF _Toc218707712 \h </w:instrText>
        </w:r>
        <w:r w:rsidRPr="00884F2F">
          <w:rPr>
            <w:noProof/>
            <w:webHidden/>
            <w:sz w:val="22"/>
            <w:szCs w:val="22"/>
          </w:rPr>
        </w:r>
        <w:r w:rsidRPr="00884F2F">
          <w:rPr>
            <w:noProof/>
            <w:webHidden/>
            <w:sz w:val="22"/>
            <w:szCs w:val="22"/>
          </w:rPr>
          <w:fldChar w:fldCharType="separate"/>
        </w:r>
        <w:r w:rsidRPr="00884F2F">
          <w:rPr>
            <w:noProof/>
            <w:webHidden/>
            <w:sz w:val="22"/>
            <w:szCs w:val="22"/>
          </w:rPr>
          <w:t>28</w:t>
        </w:r>
        <w:r w:rsidRPr="00884F2F">
          <w:rPr>
            <w:noProof/>
            <w:webHidden/>
            <w:sz w:val="22"/>
            <w:szCs w:val="22"/>
          </w:rPr>
          <w:fldChar w:fldCharType="end"/>
        </w:r>
      </w:hyperlink>
    </w:p>
    <w:p w14:paraId="4DCF110A" w14:textId="3E57A4F0" w:rsidR="00884F2F" w:rsidRPr="00884F2F" w:rsidRDefault="00884F2F" w:rsidP="00884F2F">
      <w:pPr>
        <w:pStyle w:val="TableofFigures"/>
        <w:tabs>
          <w:tab w:val="right" w:leader="dot" w:pos="9016"/>
        </w:tabs>
        <w:spacing w:line="480" w:lineRule="auto"/>
        <w:rPr>
          <w:rFonts w:asciiTheme="minorHAnsi" w:eastAsiaTheme="minorEastAsia" w:hAnsiTheme="minorHAnsi" w:cstheme="minorBidi"/>
          <w:noProof/>
          <w:kern w:val="2"/>
          <w:sz w:val="22"/>
          <w:szCs w:val="28"/>
          <w:lang w:val="en-US" w:eastAsia="zh-CN" w:bidi="bn-IN"/>
          <w14:ligatures w14:val="standardContextual"/>
        </w:rPr>
      </w:pPr>
      <w:hyperlink w:anchor="_Toc218707713" w:history="1">
        <w:r w:rsidRPr="00884F2F">
          <w:rPr>
            <w:rStyle w:val="Hyperlink"/>
            <w:noProof/>
            <w:sz w:val="22"/>
            <w:szCs w:val="22"/>
          </w:rPr>
          <w:t xml:space="preserve">Table 2 </w:t>
        </w:r>
        <w:r w:rsidRPr="00884F2F">
          <w:rPr>
            <w:rStyle w:val="Hyperlink"/>
            <w:noProof/>
            <w:sz w:val="22"/>
            <w:szCs w:val="22"/>
            <w:lang w:val="en-US"/>
          </w:rPr>
          <w:t>Key Information and Theme Identified in the Reviewed Articles</w:t>
        </w:r>
        <w:r w:rsidRPr="00884F2F">
          <w:rPr>
            <w:noProof/>
            <w:webHidden/>
            <w:sz w:val="22"/>
            <w:szCs w:val="22"/>
          </w:rPr>
          <w:tab/>
        </w:r>
        <w:r w:rsidRPr="00884F2F">
          <w:rPr>
            <w:noProof/>
            <w:webHidden/>
            <w:sz w:val="22"/>
            <w:szCs w:val="22"/>
          </w:rPr>
          <w:fldChar w:fldCharType="begin"/>
        </w:r>
        <w:r w:rsidRPr="00884F2F">
          <w:rPr>
            <w:noProof/>
            <w:webHidden/>
            <w:sz w:val="22"/>
            <w:szCs w:val="22"/>
          </w:rPr>
          <w:instrText xml:space="preserve"> PAGEREF _Toc218707713 \h </w:instrText>
        </w:r>
        <w:r w:rsidRPr="00884F2F">
          <w:rPr>
            <w:noProof/>
            <w:webHidden/>
            <w:sz w:val="22"/>
            <w:szCs w:val="22"/>
          </w:rPr>
        </w:r>
        <w:r w:rsidRPr="00884F2F">
          <w:rPr>
            <w:noProof/>
            <w:webHidden/>
            <w:sz w:val="22"/>
            <w:szCs w:val="22"/>
          </w:rPr>
          <w:fldChar w:fldCharType="separate"/>
        </w:r>
        <w:r w:rsidRPr="00884F2F">
          <w:rPr>
            <w:noProof/>
            <w:webHidden/>
            <w:sz w:val="22"/>
            <w:szCs w:val="22"/>
          </w:rPr>
          <w:t>33</w:t>
        </w:r>
        <w:r w:rsidRPr="00884F2F">
          <w:rPr>
            <w:noProof/>
            <w:webHidden/>
            <w:sz w:val="22"/>
            <w:szCs w:val="22"/>
          </w:rPr>
          <w:fldChar w:fldCharType="end"/>
        </w:r>
      </w:hyperlink>
    </w:p>
    <w:p w14:paraId="1BCD98E8" w14:textId="3F8DD9E0" w:rsidR="00884F2F" w:rsidRPr="00884F2F" w:rsidRDefault="00884F2F" w:rsidP="00884F2F">
      <w:pPr>
        <w:pStyle w:val="TableofFigures"/>
        <w:tabs>
          <w:tab w:val="right" w:leader="dot" w:pos="9016"/>
        </w:tabs>
        <w:spacing w:line="480" w:lineRule="auto"/>
        <w:rPr>
          <w:rFonts w:asciiTheme="minorHAnsi" w:eastAsiaTheme="minorEastAsia" w:hAnsiTheme="minorHAnsi" w:cstheme="minorBidi"/>
          <w:noProof/>
          <w:kern w:val="2"/>
          <w:sz w:val="22"/>
          <w:szCs w:val="28"/>
          <w:lang w:val="en-US" w:eastAsia="zh-CN" w:bidi="bn-IN"/>
          <w14:ligatures w14:val="standardContextual"/>
        </w:rPr>
      </w:pPr>
      <w:hyperlink w:anchor="_Toc218707714" w:history="1">
        <w:r w:rsidRPr="00884F2F">
          <w:rPr>
            <w:rStyle w:val="Hyperlink"/>
            <w:noProof/>
            <w:sz w:val="22"/>
            <w:szCs w:val="22"/>
          </w:rPr>
          <w:t>Table 3 Critical Appraisal Skills Programme (CASP) Quality Assessment of Included Studies</w:t>
        </w:r>
        <w:r w:rsidRPr="00884F2F">
          <w:rPr>
            <w:noProof/>
            <w:webHidden/>
            <w:sz w:val="22"/>
            <w:szCs w:val="22"/>
          </w:rPr>
          <w:tab/>
        </w:r>
        <w:r w:rsidRPr="00884F2F">
          <w:rPr>
            <w:noProof/>
            <w:webHidden/>
            <w:sz w:val="22"/>
            <w:szCs w:val="22"/>
          </w:rPr>
          <w:fldChar w:fldCharType="begin"/>
        </w:r>
        <w:r w:rsidRPr="00884F2F">
          <w:rPr>
            <w:noProof/>
            <w:webHidden/>
            <w:sz w:val="22"/>
            <w:szCs w:val="22"/>
          </w:rPr>
          <w:instrText xml:space="preserve"> PAGEREF _Toc218707714 \h </w:instrText>
        </w:r>
        <w:r w:rsidRPr="00884F2F">
          <w:rPr>
            <w:noProof/>
            <w:webHidden/>
            <w:sz w:val="22"/>
            <w:szCs w:val="22"/>
          </w:rPr>
        </w:r>
        <w:r w:rsidRPr="00884F2F">
          <w:rPr>
            <w:noProof/>
            <w:webHidden/>
            <w:sz w:val="22"/>
            <w:szCs w:val="22"/>
          </w:rPr>
          <w:fldChar w:fldCharType="separate"/>
        </w:r>
        <w:r w:rsidRPr="00884F2F">
          <w:rPr>
            <w:noProof/>
            <w:webHidden/>
            <w:sz w:val="22"/>
            <w:szCs w:val="22"/>
          </w:rPr>
          <w:t>71</w:t>
        </w:r>
        <w:r w:rsidRPr="00884F2F">
          <w:rPr>
            <w:noProof/>
            <w:webHidden/>
            <w:sz w:val="22"/>
            <w:szCs w:val="22"/>
          </w:rPr>
          <w:fldChar w:fldCharType="end"/>
        </w:r>
      </w:hyperlink>
    </w:p>
    <w:p w14:paraId="33FB4E41" w14:textId="396FC1D1" w:rsidR="00884F2F" w:rsidRPr="00884F2F" w:rsidRDefault="00884F2F" w:rsidP="00884F2F">
      <w:pPr>
        <w:spacing w:line="480" w:lineRule="auto"/>
        <w:rPr>
          <w:lang w:val="en-GB"/>
        </w:rPr>
      </w:pPr>
      <w:r w:rsidRPr="00884F2F">
        <w:rPr>
          <w:sz w:val="22"/>
          <w:szCs w:val="22"/>
          <w:lang w:val="en-GB"/>
        </w:rPr>
        <w:fldChar w:fldCharType="end"/>
      </w:r>
    </w:p>
    <w:p w14:paraId="464B59BF" w14:textId="0A4DF658" w:rsidR="000D2118" w:rsidRPr="00C44E80" w:rsidRDefault="00000000" w:rsidP="00884F2F">
      <w:pPr>
        <w:rPr>
          <w:szCs w:val="32"/>
          <w:lang w:val="en-GB"/>
        </w:rPr>
      </w:pPr>
      <w:r w:rsidRPr="00C44E80">
        <w:rPr>
          <w:lang w:val="en-GB"/>
        </w:rPr>
        <w:br w:type="page"/>
      </w:r>
    </w:p>
    <w:p w14:paraId="53BECB87" w14:textId="0C18A0C4" w:rsidR="000D2118" w:rsidRPr="003228BD" w:rsidRDefault="003228BD" w:rsidP="003228BD">
      <w:pPr>
        <w:pStyle w:val="Heading1"/>
      </w:pPr>
      <w:bookmarkStart w:id="4" w:name="_Toc218707733"/>
      <w:r w:rsidRPr="003228BD">
        <w:lastRenderedPageBreak/>
        <w:t>Chapter 1: Introduction</w:t>
      </w:r>
      <w:bookmarkEnd w:id="4"/>
    </w:p>
    <w:p w14:paraId="5992E8DC" w14:textId="77777777" w:rsidR="000D2118" w:rsidRPr="00C44E80" w:rsidRDefault="00000000" w:rsidP="00C44E80">
      <w:pPr>
        <w:pStyle w:val="Heading2"/>
        <w:rPr>
          <w:lang w:val="en-GB"/>
        </w:rPr>
      </w:pPr>
      <w:bookmarkStart w:id="5" w:name="_Toc218707734"/>
      <w:r w:rsidRPr="00C44E80">
        <w:rPr>
          <w:lang w:val="en-GB"/>
        </w:rPr>
        <w:t xml:space="preserve">1.1. </w:t>
      </w:r>
      <w:r w:rsidRPr="00C44E80">
        <w:t>Introduction</w:t>
      </w:r>
      <w:bookmarkEnd w:id="5"/>
      <w:r w:rsidRPr="00C44E80">
        <w:rPr>
          <w:lang w:val="en-GB"/>
        </w:rPr>
        <w:t xml:space="preserve"> </w:t>
      </w:r>
    </w:p>
    <w:p w14:paraId="73FC328F" w14:textId="77381E05" w:rsidR="000D2118" w:rsidRPr="003228BD" w:rsidRDefault="003B5FDC" w:rsidP="00C44E80">
      <w:pPr>
        <w:rPr>
          <w:lang w:val="en-US"/>
        </w:rPr>
      </w:pPr>
      <w:r w:rsidRPr="003B5FDC">
        <w:rPr>
          <w:lang w:val="en-US"/>
        </w:rPr>
        <w:t xml:space="preserve">The exit of the United Kingdom of the European Union has dramatically changed the trend of the business environment, forcing the small and medium-sized enterprises (SMEs) to lay more emphasis on strategies that may be viewed as key to successful </w:t>
      </w:r>
      <w:r w:rsidR="005E5095">
        <w:rPr>
          <w:lang w:val="en-US"/>
        </w:rPr>
        <w:t xml:space="preserve">internationalization </w:t>
      </w:r>
      <w:r w:rsidR="005E5095" w:rsidRPr="005E5095">
        <w:rPr>
          <w:lang w:val="en-US"/>
        </w:rPr>
        <w:t xml:space="preserve">(Barron and </w:t>
      </w:r>
      <w:proofErr w:type="spellStart"/>
      <w:r w:rsidR="005E5095" w:rsidRPr="005E5095">
        <w:rPr>
          <w:lang w:val="en-US"/>
        </w:rPr>
        <w:t>Boutary</w:t>
      </w:r>
      <w:proofErr w:type="spellEnd"/>
      <w:r w:rsidR="005E5095" w:rsidRPr="005E5095">
        <w:rPr>
          <w:lang w:val="en-US"/>
        </w:rPr>
        <w:t>, 2020)</w:t>
      </w:r>
      <w:r w:rsidRPr="003B5FDC">
        <w:rPr>
          <w:lang w:val="en-US"/>
        </w:rPr>
        <w:t xml:space="preserve">. In this regard, digital mediums, including online markets, web-based business solutions, and electronic platforms of trade facilitation, have become vital facilitators. These platforms enable SMEs to overcome geopolitical restrictions, enter different markets, and fulfill different international trade demands. The UK government programs, such as the UK Digital Strategy (2022), the Export Strategy, etc. continue to emphasize </w:t>
      </w:r>
      <w:proofErr w:type="spellStart"/>
      <w:r w:rsidRPr="003B5FDC">
        <w:rPr>
          <w:lang w:val="en-US"/>
        </w:rPr>
        <w:t>digitalisation</w:t>
      </w:r>
      <w:proofErr w:type="spellEnd"/>
      <w:r w:rsidRPr="003B5FDC">
        <w:rPr>
          <w:lang w:val="en-US"/>
        </w:rPr>
        <w:t xml:space="preserve"> as a major medium through which global trade can be expanded outside the EU (</w:t>
      </w:r>
      <w:proofErr w:type="spellStart"/>
      <w:r w:rsidRPr="003B5FDC">
        <w:rPr>
          <w:lang w:val="en-US"/>
        </w:rPr>
        <w:t>Mirzaye</w:t>
      </w:r>
      <w:proofErr w:type="spellEnd"/>
      <w:r w:rsidRPr="003B5FDC">
        <w:rPr>
          <w:lang w:val="en-US"/>
        </w:rPr>
        <w:t xml:space="preserve"> and Mohiuddin, 2025). The paper is dedicated to the need of digital platforms to facilitate the </w:t>
      </w:r>
      <w:proofErr w:type="spellStart"/>
      <w:r w:rsidRPr="003B5FDC">
        <w:rPr>
          <w:lang w:val="en-US"/>
        </w:rPr>
        <w:t>internationalisation</w:t>
      </w:r>
      <w:proofErr w:type="spellEnd"/>
      <w:r w:rsidRPr="003B5FDC">
        <w:rPr>
          <w:lang w:val="en-US"/>
        </w:rPr>
        <w:t xml:space="preserve"> of UK SMEs after Brexit and the analysis of the impact of digital uptake on overall competitiveness and economic resilience</w:t>
      </w:r>
      <w:r w:rsidR="003228BD" w:rsidRPr="003228BD">
        <w:rPr>
          <w:lang w:val="en-US"/>
        </w:rPr>
        <w:t>.</w:t>
      </w:r>
    </w:p>
    <w:p w14:paraId="2D2C94B5" w14:textId="77777777" w:rsidR="000D2118" w:rsidRPr="00C44E80" w:rsidRDefault="00000000" w:rsidP="00C44E80">
      <w:pPr>
        <w:pStyle w:val="Heading2"/>
        <w:rPr>
          <w:lang w:val="en-GB"/>
        </w:rPr>
      </w:pPr>
      <w:bookmarkStart w:id="6" w:name="_Toc218707735"/>
      <w:r w:rsidRPr="00C44E80">
        <w:rPr>
          <w:lang w:val="en-GB"/>
        </w:rPr>
        <w:t xml:space="preserve">1.2. </w:t>
      </w:r>
      <w:r w:rsidRPr="00C44E80">
        <w:t>Background</w:t>
      </w:r>
      <w:bookmarkEnd w:id="6"/>
      <w:r w:rsidRPr="00C44E80">
        <w:rPr>
          <w:lang w:val="en-GB"/>
        </w:rPr>
        <w:t xml:space="preserve"> </w:t>
      </w:r>
    </w:p>
    <w:p w14:paraId="5CCAB1B5" w14:textId="73329204" w:rsidR="003B5FDC" w:rsidRDefault="003B5FDC" w:rsidP="003B5FDC">
      <w:r>
        <w:t xml:space="preserve">Online technologies can be characterized as digital platform that enables businesses to be able to connect, communicate and transact with the global consumers at an efficient level (Yang </w:t>
      </w:r>
      <w:r w:rsidR="00067DAE" w:rsidRPr="00067DAE">
        <w:rPr>
          <w:i/>
          <w:iCs/>
        </w:rPr>
        <w:t>et al</w:t>
      </w:r>
      <w:r>
        <w:t>. 2023). These are business to business or B2B, e-commerce marketplace like Alibaba and Amazon, SMEs can sell products, take payments, optimize logistics and process all regulatory documents electronically. They reduce the cost of transactions, enhance visibility in the foreign markets as well as facilitate the use of data in making decisions. Nonetheless, digital platforms serve as the facilitators of internationalization through the integration of marketing, supply chain, and compliance processes in an appropriate ecosystem that facilitates the trades across borders.</w:t>
      </w:r>
    </w:p>
    <w:p w14:paraId="227DA447" w14:textId="2876AAC9" w:rsidR="008D1069" w:rsidRPr="00C44E80" w:rsidRDefault="003B5FDC" w:rsidP="003B5FDC">
      <w:pPr>
        <w:rPr>
          <w:lang w:val="en-GB"/>
        </w:rPr>
      </w:pPr>
      <w:r>
        <w:t xml:space="preserve">In the post-Brexit UK, SMEs face certain issues and opportunities to evaluate foreign markets (Barron and Boutary, 2021). Due to the loss of the frictionless trade with the EU, there are certain complications in the tariffs, checks on customs, and compliance with regulations. Thus, the policies such as UK Export Finance Scheme and Free Trade Agreements (FTAs) with the non-European countries such as Japan, Australia, and the other CPTPP countries are aimed at promoting the diversification of the SMEs </w:t>
      </w:r>
      <w:r>
        <w:lastRenderedPageBreak/>
        <w:t xml:space="preserve">(Armillei </w:t>
      </w:r>
      <w:r w:rsidR="00067DAE" w:rsidRPr="00067DAE">
        <w:rPr>
          <w:i/>
          <w:iCs/>
        </w:rPr>
        <w:t>et al</w:t>
      </w:r>
      <w:r>
        <w:t>. 2023). The digital platforms also contribute significantly by offering low cost avenues to reach the international consumers, streamline logistics and also by wearing the regulatory compliance aspect due to the digital documentation. The positive aspect also spreads to other stakeholders as the UK SMEs gain competitive advantages and new sources of revenue, the government of the UK gains more advantages by gaining access to high quality services and goods in the UK, the partner countries also benefit of having access to high quality services and products in the UK</w:t>
      </w:r>
      <w:r w:rsidRPr="00C44E80">
        <w:rPr>
          <w:lang w:val="en-GB"/>
        </w:rPr>
        <w:t xml:space="preserve">. </w:t>
      </w:r>
    </w:p>
    <w:p w14:paraId="31A1A765" w14:textId="77777777" w:rsidR="000D2118" w:rsidRPr="00C44E80" w:rsidRDefault="00000000" w:rsidP="00C44E80">
      <w:pPr>
        <w:pStyle w:val="Heading2"/>
        <w:rPr>
          <w:lang w:val="en-GB"/>
        </w:rPr>
      </w:pPr>
      <w:bookmarkStart w:id="7" w:name="_Toc218707736"/>
      <w:r w:rsidRPr="00C44E80">
        <w:rPr>
          <w:lang w:val="en-GB"/>
        </w:rPr>
        <w:t xml:space="preserve">1.3. Research </w:t>
      </w:r>
      <w:r w:rsidRPr="00C44E80">
        <w:t>Problem</w:t>
      </w:r>
      <w:bookmarkEnd w:id="7"/>
      <w:r w:rsidRPr="00C44E80">
        <w:rPr>
          <w:lang w:val="en-GB"/>
        </w:rPr>
        <w:t xml:space="preserve"> </w:t>
      </w:r>
    </w:p>
    <w:p w14:paraId="219FACED" w14:textId="7DD47378" w:rsidR="000D2118" w:rsidRPr="005E5095" w:rsidRDefault="003B5FDC" w:rsidP="00C44E80">
      <w:pPr>
        <w:rPr>
          <w:lang w:val="en-US"/>
        </w:rPr>
      </w:pPr>
      <w:r w:rsidRPr="003B5FDC">
        <w:rPr>
          <w:lang w:val="en-GB"/>
        </w:rPr>
        <w:t>The UK SMEs are now facing greater financial and logistical and even regulatory pressures due to post Brexit, which makes their cross</w:t>
      </w:r>
      <w:r w:rsidR="005E5095">
        <w:rPr>
          <w:lang w:val="en-GB"/>
        </w:rPr>
        <w:t>-</w:t>
      </w:r>
      <w:r w:rsidRPr="003B5FDC">
        <w:rPr>
          <w:lang w:val="en-GB"/>
        </w:rPr>
        <w:t xml:space="preserve">border explanation more difficult among the resource-based companies (Du </w:t>
      </w:r>
      <w:r w:rsidR="00067DAE" w:rsidRPr="00067DAE">
        <w:rPr>
          <w:i/>
          <w:iCs/>
          <w:lang w:val="en-GB"/>
        </w:rPr>
        <w:t>et al</w:t>
      </w:r>
      <w:r w:rsidRPr="003B5FDC">
        <w:rPr>
          <w:lang w:val="en-GB"/>
        </w:rPr>
        <w:t>. 2025). Along with these limitations, digital platforms also brought significant opportunities as they enabled SMEs to enter into the foreign markets, communicate with the global consumers as well as enable cross-border transitions effectively</w:t>
      </w:r>
      <w:r w:rsidR="005E5095">
        <w:rPr>
          <w:lang w:val="en-GB"/>
        </w:rPr>
        <w:t xml:space="preserve"> </w:t>
      </w:r>
      <w:r w:rsidR="005E5095" w:rsidRPr="005E5095">
        <w:rPr>
          <w:lang w:val="en-US"/>
        </w:rPr>
        <w:t xml:space="preserve">(Barron and </w:t>
      </w:r>
      <w:proofErr w:type="spellStart"/>
      <w:r w:rsidR="005E5095" w:rsidRPr="005E5095">
        <w:rPr>
          <w:lang w:val="en-US"/>
        </w:rPr>
        <w:t>Boutary</w:t>
      </w:r>
      <w:proofErr w:type="spellEnd"/>
      <w:r w:rsidR="005E5095" w:rsidRPr="005E5095">
        <w:rPr>
          <w:lang w:val="en-US"/>
        </w:rPr>
        <w:t>, 2020)</w:t>
      </w:r>
      <w:r w:rsidRPr="003B5FDC">
        <w:rPr>
          <w:lang w:val="en-GB"/>
        </w:rPr>
        <w:t>. There is also a paucity of understanding as to how the UK SMEs can make use of the digital tools, within the post Brexit environment, as they still contend with factors such as compliance challenges, issues of mistrust, logistical challenges, and cultural differences in global trade.</w:t>
      </w:r>
    </w:p>
    <w:p w14:paraId="452446C8" w14:textId="7426466E" w:rsidR="000D2118" w:rsidRPr="00C44E80" w:rsidRDefault="003228BD" w:rsidP="00F868EE">
      <w:pPr>
        <w:pStyle w:val="Heading2"/>
        <w:spacing w:before="240" w:after="240"/>
        <w:rPr>
          <w:rFonts w:cs="Arial"/>
          <w:lang w:val="en-GB"/>
        </w:rPr>
      </w:pPr>
      <w:bookmarkStart w:id="8" w:name="_Toc218707737"/>
      <w:r>
        <w:rPr>
          <w:rFonts w:cs="Arial"/>
          <w:lang w:val="en-GB"/>
        </w:rPr>
        <w:t xml:space="preserve">1.4 </w:t>
      </w:r>
      <w:r w:rsidRPr="00C44E80">
        <w:rPr>
          <w:rFonts w:cs="Arial"/>
          <w:lang w:val="en-GB"/>
        </w:rPr>
        <w:t>Research Aim</w:t>
      </w:r>
      <w:bookmarkEnd w:id="8"/>
    </w:p>
    <w:p w14:paraId="1BBC4FDC" w14:textId="77777777" w:rsidR="000D2118" w:rsidRPr="00C44E80" w:rsidRDefault="00000000" w:rsidP="00C44E80">
      <w:pPr>
        <w:rPr>
          <w:lang w:val="en-GB"/>
        </w:rPr>
      </w:pPr>
      <w:r w:rsidRPr="00C44E80">
        <w:rPr>
          <w:lang w:val="en-GB"/>
        </w:rPr>
        <w:t>The aim of this research is to assess the role of digital platforms in international expansion of UK SMEs in post-Brexit and to find challenges and strategies used by these organisations.</w:t>
      </w:r>
    </w:p>
    <w:p w14:paraId="22505F4D" w14:textId="6BC55952" w:rsidR="000D2118" w:rsidRPr="00C44E80" w:rsidRDefault="003228BD" w:rsidP="00C44E80">
      <w:pPr>
        <w:pStyle w:val="Heading2"/>
        <w:rPr>
          <w:lang w:val="en-GB"/>
        </w:rPr>
      </w:pPr>
      <w:bookmarkStart w:id="9" w:name="_Toc218707738"/>
      <w:r>
        <w:rPr>
          <w:lang w:val="en-GB"/>
        </w:rPr>
        <w:t>1</w:t>
      </w:r>
      <w:r w:rsidRPr="00C44E80">
        <w:rPr>
          <w:lang w:val="en-GB"/>
        </w:rPr>
        <w:t>.</w:t>
      </w:r>
      <w:r>
        <w:rPr>
          <w:lang w:val="en-GB"/>
        </w:rPr>
        <w:t>5</w:t>
      </w:r>
      <w:r w:rsidRPr="00C44E80">
        <w:rPr>
          <w:lang w:val="en-GB"/>
        </w:rPr>
        <w:t xml:space="preserve"> Research </w:t>
      </w:r>
      <w:r w:rsidRPr="00C44E80">
        <w:t>Objectives</w:t>
      </w:r>
      <w:bookmarkEnd w:id="9"/>
    </w:p>
    <w:p w14:paraId="0064BF2E" w14:textId="7933B258" w:rsidR="000D2118" w:rsidRPr="00C44E80" w:rsidRDefault="00000000" w:rsidP="00C44E80">
      <w:pPr>
        <w:pStyle w:val="ListParagraph"/>
        <w:numPr>
          <w:ilvl w:val="0"/>
          <w:numId w:val="2"/>
        </w:numPr>
        <w:spacing w:before="240" w:after="240"/>
        <w:rPr>
          <w:rFonts w:cs="Arial"/>
          <w:lang w:val="en-GB"/>
        </w:rPr>
      </w:pPr>
      <w:r w:rsidRPr="00C44E80">
        <w:rPr>
          <w:rFonts w:cs="Arial"/>
          <w:lang w:val="en-GB"/>
        </w:rPr>
        <w:t>To assess the role of different digital platforms in smooth international expansion of UK SMEs post-Brexit.</w:t>
      </w:r>
    </w:p>
    <w:p w14:paraId="3406EFA6" w14:textId="56236231" w:rsidR="000D2118" w:rsidRPr="00C44E80" w:rsidRDefault="00000000" w:rsidP="00C44E80">
      <w:pPr>
        <w:pStyle w:val="ListParagraph"/>
        <w:numPr>
          <w:ilvl w:val="0"/>
          <w:numId w:val="2"/>
        </w:numPr>
        <w:spacing w:before="240" w:after="240"/>
        <w:rPr>
          <w:rFonts w:cs="Arial"/>
          <w:lang w:val="en-GB"/>
        </w:rPr>
      </w:pPr>
      <w:r w:rsidRPr="00C44E80">
        <w:rPr>
          <w:rFonts w:cs="Arial"/>
          <w:lang w:val="en-GB"/>
        </w:rPr>
        <w:t>To analyse challenges &amp; Opportunities UK SMEs face during international expansion using digital platforms in a post-Brexit environment.</w:t>
      </w:r>
    </w:p>
    <w:p w14:paraId="09248608" w14:textId="7F71B332" w:rsidR="000D2118" w:rsidRPr="00C44E80" w:rsidRDefault="00000000" w:rsidP="00C44E80">
      <w:pPr>
        <w:pStyle w:val="ListParagraph"/>
        <w:numPr>
          <w:ilvl w:val="0"/>
          <w:numId w:val="2"/>
        </w:numPr>
        <w:spacing w:before="240" w:after="240"/>
        <w:rPr>
          <w:rFonts w:cs="Arial"/>
          <w:lang w:val="en-GB"/>
        </w:rPr>
      </w:pPr>
      <w:r w:rsidRPr="00C44E80">
        <w:rPr>
          <w:rFonts w:cs="Arial"/>
          <w:lang w:val="en-GB"/>
        </w:rPr>
        <w:t>To find the practices &amp; strategies used by UK SMEs in digital platforms for smooth international expansion and business growth.</w:t>
      </w:r>
    </w:p>
    <w:p w14:paraId="593690C9" w14:textId="5C85F8F8" w:rsidR="000D2118" w:rsidRPr="00C44E80" w:rsidRDefault="003228BD" w:rsidP="00F868EE">
      <w:pPr>
        <w:pStyle w:val="Heading2"/>
        <w:spacing w:before="240" w:after="240"/>
        <w:rPr>
          <w:rFonts w:cs="Arial"/>
          <w:lang w:val="en-GB"/>
        </w:rPr>
      </w:pPr>
      <w:bookmarkStart w:id="10" w:name="_Toc218707739"/>
      <w:r>
        <w:rPr>
          <w:rFonts w:cs="Arial"/>
          <w:lang w:val="en-GB"/>
        </w:rPr>
        <w:lastRenderedPageBreak/>
        <w:t>1.6</w:t>
      </w:r>
      <w:r w:rsidRPr="00C44E80">
        <w:rPr>
          <w:rFonts w:cs="Arial"/>
          <w:lang w:val="en-GB"/>
        </w:rPr>
        <w:t xml:space="preserve"> Research Questions</w:t>
      </w:r>
      <w:bookmarkEnd w:id="10"/>
    </w:p>
    <w:p w14:paraId="1D5D4B7C" w14:textId="567C6C29" w:rsidR="000D2118" w:rsidRPr="00C44E80" w:rsidRDefault="00000000" w:rsidP="00C44E80">
      <w:pPr>
        <w:pStyle w:val="ListParagraph"/>
        <w:numPr>
          <w:ilvl w:val="0"/>
          <w:numId w:val="3"/>
        </w:numPr>
        <w:rPr>
          <w:lang w:val="en-GB"/>
        </w:rPr>
      </w:pPr>
      <w:r w:rsidRPr="00C44E80">
        <w:rPr>
          <w:lang w:val="en-GB"/>
        </w:rPr>
        <w:t>What is the role of different digital platforms in smooth international expansion of UK SMEs post-Brexit?</w:t>
      </w:r>
    </w:p>
    <w:p w14:paraId="1F258D12" w14:textId="665AA3F2" w:rsidR="000D2118" w:rsidRPr="00C44E80" w:rsidRDefault="00000000" w:rsidP="00C44E80">
      <w:pPr>
        <w:pStyle w:val="ListParagraph"/>
        <w:numPr>
          <w:ilvl w:val="0"/>
          <w:numId w:val="3"/>
        </w:numPr>
        <w:rPr>
          <w:lang w:val="en-GB"/>
        </w:rPr>
      </w:pPr>
      <w:r w:rsidRPr="00C44E80">
        <w:rPr>
          <w:lang w:val="en-GB"/>
        </w:rPr>
        <w:t>What challenges &amp; opportunities do UK SMEs face during international expansion using digital platforms in a post-Brexit environment?</w:t>
      </w:r>
    </w:p>
    <w:p w14:paraId="7EA1A7C7" w14:textId="259C9B28" w:rsidR="000D2118" w:rsidRPr="00C44E80" w:rsidRDefault="00000000" w:rsidP="00C44E80">
      <w:pPr>
        <w:pStyle w:val="ListParagraph"/>
        <w:numPr>
          <w:ilvl w:val="0"/>
          <w:numId w:val="3"/>
        </w:numPr>
        <w:rPr>
          <w:lang w:val="en-GB"/>
        </w:rPr>
      </w:pPr>
      <w:r w:rsidRPr="00C44E80">
        <w:rPr>
          <w:lang w:val="en-GB"/>
        </w:rPr>
        <w:t xml:space="preserve">What practices &amp; strategies are used by UK SMEs in digital platforms for smooth international expansion and business growth? </w:t>
      </w:r>
    </w:p>
    <w:p w14:paraId="1AAE7EFF" w14:textId="1B3663FA" w:rsidR="003228BD" w:rsidRDefault="003228BD" w:rsidP="003228BD">
      <w:pPr>
        <w:pStyle w:val="Heading2"/>
        <w:rPr>
          <w:lang w:val="en-GB"/>
        </w:rPr>
      </w:pPr>
      <w:bookmarkStart w:id="11" w:name="_Toc218707740"/>
      <w:r>
        <w:rPr>
          <w:lang w:val="en-GB"/>
        </w:rPr>
        <w:t>1.7 Overview of the Research Methodology</w:t>
      </w:r>
      <w:bookmarkEnd w:id="11"/>
    </w:p>
    <w:p w14:paraId="0B67DBF7" w14:textId="5398CF26" w:rsidR="003228BD" w:rsidRDefault="003B5FDC" w:rsidP="003228BD">
      <w:pPr>
        <w:rPr>
          <w:lang w:val="en-US"/>
        </w:rPr>
      </w:pPr>
      <w:r w:rsidRPr="003B5FDC">
        <w:rPr>
          <w:lang w:val="en-US"/>
        </w:rPr>
        <w:t xml:space="preserve">The study utilized a systematic review research approach to study the impact of digital platforms in facilitating the </w:t>
      </w:r>
      <w:proofErr w:type="spellStart"/>
      <w:r w:rsidRPr="003B5FDC">
        <w:rPr>
          <w:lang w:val="en-US"/>
        </w:rPr>
        <w:t>internationalisation</w:t>
      </w:r>
      <w:proofErr w:type="spellEnd"/>
      <w:r w:rsidRPr="003B5FDC">
        <w:rPr>
          <w:lang w:val="en-US"/>
        </w:rPr>
        <w:t xml:space="preserve"> of UK SMEs in the aftermath of Brexit. Inclusion criteria were limited to English-language, peer-reviewed articles published between </w:t>
      </w:r>
      <w:r w:rsidR="005E5095">
        <w:rPr>
          <w:lang w:val="en-US"/>
        </w:rPr>
        <w:t>2020</w:t>
      </w:r>
      <w:r w:rsidRPr="003B5FDC">
        <w:rPr>
          <w:lang w:val="en-US"/>
        </w:rPr>
        <w:t xml:space="preserve"> and 2025 that covered the topic of digital platforms, e-commerce, and </w:t>
      </w:r>
      <w:proofErr w:type="spellStart"/>
      <w:r w:rsidRPr="003B5FDC">
        <w:rPr>
          <w:lang w:val="en-US"/>
        </w:rPr>
        <w:t>internationalisation</w:t>
      </w:r>
      <w:proofErr w:type="spellEnd"/>
      <w:r w:rsidRPr="003B5FDC">
        <w:rPr>
          <w:lang w:val="en-US"/>
        </w:rPr>
        <w:t xml:space="preserve"> strategies of SMEs and obtained a non-English language to eliminate non-empirical studies and papers that were not related to the SME or international business setting. The Scopus and Google Scholar were the primary sources of data, and the search strategies involved the combination of the terms connected to digital platforms such as e-commerce platforms, digital marketplaces, and online tools and the terms in the search strategy, such as </w:t>
      </w:r>
      <w:proofErr w:type="spellStart"/>
      <w:r w:rsidRPr="003B5FDC">
        <w:rPr>
          <w:lang w:val="en-US"/>
        </w:rPr>
        <w:t>internationalisation</w:t>
      </w:r>
      <w:proofErr w:type="spellEnd"/>
      <w:r w:rsidRPr="003B5FDC">
        <w:rPr>
          <w:lang w:val="en-US"/>
        </w:rPr>
        <w:t xml:space="preserve"> (SME </w:t>
      </w:r>
      <w:proofErr w:type="spellStart"/>
      <w:r w:rsidRPr="003B5FDC">
        <w:rPr>
          <w:lang w:val="en-US"/>
        </w:rPr>
        <w:t>internationalisation</w:t>
      </w:r>
      <w:proofErr w:type="spellEnd"/>
      <w:r w:rsidRPr="003B5FDC">
        <w:rPr>
          <w:lang w:val="en-US"/>
        </w:rPr>
        <w:t xml:space="preserve">, cross-border trade, global market entry). Based on PRISMA guidelines, titles, abstracts, and full texts were filtered and reference management and duplicate elimination were conducted with the help of EndNote. An information template used a </w:t>
      </w:r>
      <w:proofErr w:type="spellStart"/>
      <w:r w:rsidRPr="003B5FDC">
        <w:rPr>
          <w:lang w:val="en-US"/>
        </w:rPr>
        <w:t>standardised</w:t>
      </w:r>
      <w:proofErr w:type="spellEnd"/>
      <w:r w:rsidRPr="003B5FDC">
        <w:rPr>
          <w:lang w:val="en-US"/>
        </w:rPr>
        <w:t xml:space="preserve"> method of extracting publication data, research design, types of digital platforms, </w:t>
      </w:r>
      <w:proofErr w:type="spellStart"/>
      <w:r w:rsidRPr="003B5FDC">
        <w:rPr>
          <w:lang w:val="en-US"/>
        </w:rPr>
        <w:t>internationalisation</w:t>
      </w:r>
      <w:proofErr w:type="spellEnd"/>
      <w:r w:rsidRPr="003B5FDC">
        <w:rPr>
          <w:lang w:val="en-US"/>
        </w:rPr>
        <w:t xml:space="preserve"> techniques used, barriers to implementation, and reported results. Quality The Critical Appraisal Skills </w:t>
      </w:r>
      <w:proofErr w:type="spellStart"/>
      <w:r w:rsidRPr="003B5FDC">
        <w:rPr>
          <w:lang w:val="en-US"/>
        </w:rPr>
        <w:t>Programme</w:t>
      </w:r>
      <w:proofErr w:type="spellEnd"/>
      <w:r w:rsidRPr="003B5FDC">
        <w:rPr>
          <w:lang w:val="en-US"/>
        </w:rPr>
        <w:t xml:space="preserve"> (CASP) was used to assess the methodological </w:t>
      </w:r>
      <w:proofErr w:type="spellStart"/>
      <w:r w:rsidRPr="003B5FDC">
        <w:rPr>
          <w:lang w:val="en-US"/>
        </w:rPr>
        <w:t>rigour</w:t>
      </w:r>
      <w:proofErr w:type="spellEnd"/>
      <w:r w:rsidRPr="003B5FDC">
        <w:rPr>
          <w:lang w:val="en-US"/>
        </w:rPr>
        <w:t xml:space="preserve">, validity, and risk of bias, with the studies classified as high, medium, and low quality. Since the reviewed studies were varied in their study designs, contexts, and the tools used in digital research, the synthesis of findings was performed in the form of a qualitative narrative, structured around three topics: the nature and uses of digital platforms, their influence on international market growth and the problems faced by SMEs after Brexit. The most ethical concerns were tackled by eligible citation and clear reporting, and the drawbacks were possible publication bias, language barrier, and inconsistent study </w:t>
      </w:r>
      <w:r w:rsidRPr="003B5FDC">
        <w:rPr>
          <w:lang w:val="en-US"/>
        </w:rPr>
        <w:lastRenderedPageBreak/>
        <w:t>quality. The methodology guaranteed sound, empirical understanding of the way digital platforms will help UK SMEs enter and become successful in the international markets following Brexit</w:t>
      </w:r>
      <w:r w:rsidR="003228BD" w:rsidRPr="003228BD">
        <w:rPr>
          <w:lang w:val="en-US"/>
        </w:rPr>
        <w:t>.</w:t>
      </w:r>
    </w:p>
    <w:p w14:paraId="617468D9" w14:textId="36D3677D" w:rsidR="003228BD" w:rsidRDefault="003228BD" w:rsidP="003228BD">
      <w:pPr>
        <w:pStyle w:val="Heading2"/>
        <w:rPr>
          <w:lang w:val="en-US"/>
        </w:rPr>
      </w:pPr>
      <w:bookmarkStart w:id="12" w:name="_Toc218707741"/>
      <w:r>
        <w:rPr>
          <w:lang w:val="en-US"/>
        </w:rPr>
        <w:t>1.8 Rationale of the Study</w:t>
      </w:r>
      <w:bookmarkEnd w:id="12"/>
    </w:p>
    <w:p w14:paraId="3CA30EB7" w14:textId="23CB1B00" w:rsidR="003228BD" w:rsidRPr="003228BD" w:rsidRDefault="003B5FDC" w:rsidP="003228BD">
      <w:pPr>
        <w:rPr>
          <w:lang w:val="en-US"/>
        </w:rPr>
      </w:pPr>
      <w:r w:rsidRPr="003B5FDC">
        <w:rPr>
          <w:lang w:val="en-US"/>
        </w:rPr>
        <w:t xml:space="preserve">The logic to this research is based on the growing importance of digital platforms to support </w:t>
      </w:r>
      <w:proofErr w:type="spellStart"/>
      <w:r w:rsidRPr="003B5FDC">
        <w:rPr>
          <w:lang w:val="en-US"/>
        </w:rPr>
        <w:t>internationalisation</w:t>
      </w:r>
      <w:proofErr w:type="spellEnd"/>
      <w:r w:rsidRPr="003B5FDC">
        <w:rPr>
          <w:lang w:val="en-US"/>
        </w:rPr>
        <w:t xml:space="preserve"> of SMEs, especially in the post-Brexit generation in which traditional trade relations and marketability have been shattered. The UK SMEs are experiencing additional strain in handling regulatory developments, tariffs, and cross-border logistics, which is why digital platforms would be a vital means to enter the market and grow. Although the use of e-commerce and online marketplaces is increasing, the consolidated evidence on the specific support that these platforms provide to international growth of SMEs, which strategies are most effective and what are the barriers that these enterprises face is still little. This study will obtain an evidenced-based comprehension of how digital platforms can support UK SMEs to face post-Brexit problems, improve their competitiveness, and be connected to the global markets with the goal of filling the gaps and informing future research and policy making</w:t>
      </w:r>
      <w:r w:rsidR="003228BD" w:rsidRPr="003228BD">
        <w:rPr>
          <w:lang w:val="en-US"/>
        </w:rPr>
        <w:t>.</w:t>
      </w:r>
    </w:p>
    <w:p w14:paraId="7F1C3369" w14:textId="582415FE" w:rsidR="003228BD" w:rsidRDefault="003228BD" w:rsidP="003228BD">
      <w:pPr>
        <w:pStyle w:val="Heading2"/>
        <w:rPr>
          <w:lang w:val="en-US"/>
        </w:rPr>
      </w:pPr>
      <w:bookmarkStart w:id="13" w:name="_Toc218707742"/>
      <w:r>
        <w:rPr>
          <w:lang w:val="en-US"/>
        </w:rPr>
        <w:t>1.9 Chapter Summary</w:t>
      </w:r>
      <w:bookmarkEnd w:id="13"/>
    </w:p>
    <w:p w14:paraId="1ABE71F9" w14:textId="6A414360" w:rsidR="008443E7" w:rsidRDefault="003B5FDC" w:rsidP="003228BD">
      <w:pPr>
        <w:rPr>
          <w:lang w:val="en-US"/>
        </w:rPr>
      </w:pPr>
      <w:r w:rsidRPr="003B5FDC">
        <w:rPr>
          <w:lang w:val="en-US"/>
        </w:rPr>
        <w:t xml:space="preserve">The initial chapter presented the research regarding the contribution of digital platforms to the UK SMEs to expand to foreign markets after Brexit, providing the context of the research, the problem statement, and the rationale. It has </w:t>
      </w:r>
      <w:proofErr w:type="spellStart"/>
      <w:r w:rsidRPr="003B5FDC">
        <w:rPr>
          <w:lang w:val="en-US"/>
        </w:rPr>
        <w:t>emphasised</w:t>
      </w:r>
      <w:proofErr w:type="spellEnd"/>
      <w:r w:rsidRPr="003B5FDC">
        <w:rPr>
          <w:lang w:val="en-US"/>
        </w:rPr>
        <w:t xml:space="preserve"> problems of SMEs presented by Brexit, such as regulatory changes, trade barriers, and market uncertainties, as well as opportunities of digital platforms as the means of entering the international market and expanding. The chapter introduced the research aim, objectives and key questions and centered on the way digital platforms help in </w:t>
      </w:r>
      <w:proofErr w:type="spellStart"/>
      <w:r w:rsidRPr="003B5FDC">
        <w:rPr>
          <w:lang w:val="en-US"/>
        </w:rPr>
        <w:t>internationalisation</w:t>
      </w:r>
      <w:proofErr w:type="spellEnd"/>
      <w:r w:rsidRPr="003B5FDC">
        <w:rPr>
          <w:lang w:val="en-US"/>
        </w:rPr>
        <w:t>, strategies used by SMEs and challenges faced. It also explained the relevance of the study to the practitioners, policymakers, and researchers and gave a summary of the scope, limitations, and organization of the dissertation. Altogether, the chapter was a preparatory phase of the study, as it defined the rationality, background, and target of the study</w:t>
      </w:r>
      <w:r w:rsidR="003228BD" w:rsidRPr="003228BD">
        <w:rPr>
          <w:lang w:val="en-US"/>
        </w:rPr>
        <w:t>.</w:t>
      </w:r>
    </w:p>
    <w:p w14:paraId="13F77BC1" w14:textId="77777777" w:rsidR="008443E7" w:rsidRDefault="008443E7">
      <w:pPr>
        <w:rPr>
          <w:lang w:val="en-US"/>
        </w:rPr>
      </w:pPr>
      <w:r>
        <w:rPr>
          <w:lang w:val="en-US"/>
        </w:rPr>
        <w:br w:type="page"/>
      </w:r>
    </w:p>
    <w:p w14:paraId="3C69B9A6" w14:textId="4A07047E" w:rsidR="003228BD" w:rsidRDefault="008443E7" w:rsidP="008443E7">
      <w:pPr>
        <w:pStyle w:val="Heading1"/>
        <w:rPr>
          <w:lang w:val="en-US"/>
        </w:rPr>
      </w:pPr>
      <w:bookmarkStart w:id="14" w:name="_Toc218707743"/>
      <w:r>
        <w:rPr>
          <w:lang w:val="en-US"/>
        </w:rPr>
        <w:lastRenderedPageBreak/>
        <w:t>Chapter 2: Literature Review</w:t>
      </w:r>
      <w:bookmarkEnd w:id="14"/>
    </w:p>
    <w:p w14:paraId="54BFB047" w14:textId="444E1982" w:rsidR="008443E7" w:rsidRDefault="002F7832" w:rsidP="008443E7">
      <w:pPr>
        <w:pStyle w:val="Heading2"/>
        <w:rPr>
          <w:lang w:val="en-US"/>
        </w:rPr>
      </w:pPr>
      <w:bookmarkStart w:id="15" w:name="_Toc218707744"/>
      <w:r>
        <w:rPr>
          <w:lang w:val="en-US"/>
        </w:rPr>
        <w:t xml:space="preserve">2.1 </w:t>
      </w:r>
      <w:r w:rsidR="008443E7">
        <w:rPr>
          <w:lang w:val="en-US"/>
        </w:rPr>
        <w:t>Introduction</w:t>
      </w:r>
      <w:bookmarkEnd w:id="15"/>
    </w:p>
    <w:p w14:paraId="220DED52" w14:textId="4459E1C3" w:rsidR="008443E7" w:rsidRDefault="003B5FDC" w:rsidP="008443E7">
      <w:pPr>
        <w:rPr>
          <w:lang w:val="en-US"/>
        </w:rPr>
      </w:pPr>
      <w:r w:rsidRPr="003B5FDC">
        <w:rPr>
          <w:lang w:val="en-US"/>
        </w:rPr>
        <w:t>The chapter provides a critical analysis of the literature on the importance of digital platforms in the promotion of international expansion of UK SMEs in the post-Brexit environment.</w:t>
      </w:r>
      <w:r w:rsidR="00D21E15">
        <w:rPr>
          <w:lang w:val="en-US"/>
        </w:rPr>
        <w:t xml:space="preserve"> </w:t>
      </w:r>
      <w:r w:rsidRPr="003B5FDC">
        <w:rPr>
          <w:lang w:val="en-US"/>
        </w:rPr>
        <w:t>The chapter has determined the main themes, discussions and knowledge gaps of empirical research, theoretical, and best practices through a methodical review of these empirical studies, theoretical and gaps in knowledge, which has offered a structure to the conceptual framework which can be used in this research</w:t>
      </w:r>
      <w:r w:rsidR="008443E7" w:rsidRPr="008443E7">
        <w:rPr>
          <w:lang w:val="en-US"/>
        </w:rPr>
        <w:t>.</w:t>
      </w:r>
    </w:p>
    <w:p w14:paraId="5D6C0BA1" w14:textId="1862D8B3" w:rsidR="008443E7" w:rsidRDefault="002F7832" w:rsidP="008443E7">
      <w:pPr>
        <w:pStyle w:val="Heading2"/>
        <w:rPr>
          <w:lang w:val="en-US"/>
        </w:rPr>
      </w:pPr>
      <w:bookmarkStart w:id="16" w:name="_Toc218707745"/>
      <w:r>
        <w:rPr>
          <w:lang w:val="en-US"/>
        </w:rPr>
        <w:t xml:space="preserve">2.2 </w:t>
      </w:r>
      <w:r w:rsidR="008443E7">
        <w:rPr>
          <w:lang w:val="en-US"/>
        </w:rPr>
        <w:t>Definition of the Key Concepts</w:t>
      </w:r>
      <w:bookmarkEnd w:id="16"/>
    </w:p>
    <w:p w14:paraId="6043E3AA" w14:textId="7A03CF7D" w:rsidR="008443E7" w:rsidRPr="003B5FDC" w:rsidRDefault="008443E7" w:rsidP="00D21E15">
      <w:pPr>
        <w:spacing w:before="240"/>
      </w:pPr>
      <w:r w:rsidRPr="008443E7">
        <w:rPr>
          <w:b/>
          <w:bCs/>
          <w:lang w:val="en-US"/>
        </w:rPr>
        <w:t>Digital Platforms</w:t>
      </w:r>
      <w:r>
        <w:rPr>
          <w:lang w:val="en-US"/>
        </w:rPr>
        <w:t xml:space="preserve">: </w:t>
      </w:r>
      <w:r w:rsidR="003B5FDC">
        <w:t xml:space="preserve">Digital platforms are internet-based infrastructures or technologies which enable interactions, transactions, and value creation among users, businesses, and markets (Abbate, </w:t>
      </w:r>
      <w:proofErr w:type="spellStart"/>
      <w:r w:rsidR="003B5FDC">
        <w:t>Codini</w:t>
      </w:r>
      <w:proofErr w:type="spellEnd"/>
      <w:r w:rsidR="003B5FDC">
        <w:t xml:space="preserve"> and Aquilani, 2019). They consist of e-commerce marketplace, social media network, cloud services and B2B platforms, and allow organisations to reach customers, suppliers, and partners geographically.</w:t>
      </w:r>
    </w:p>
    <w:p w14:paraId="5C7C6004" w14:textId="79AC1EE0" w:rsidR="003B5FDC" w:rsidRDefault="008443E7" w:rsidP="003B5FDC">
      <w:r w:rsidRPr="008443E7">
        <w:rPr>
          <w:b/>
          <w:bCs/>
          <w:lang w:val="en-US"/>
        </w:rPr>
        <w:t>SMEs (Small and Medium-sized Enterprises)</w:t>
      </w:r>
      <w:r>
        <w:rPr>
          <w:lang w:val="en-US"/>
        </w:rPr>
        <w:t xml:space="preserve">: </w:t>
      </w:r>
      <w:r w:rsidR="003B5FDC">
        <w:t>SMEs are organisations which are defined in terms of small scale of operations, number of workers as well as income. Under the UK context, SMEs refer to firms that employ less than 250 workers and experience an annual turnover below or equal to 50</w:t>
      </w:r>
      <w:r w:rsidR="00D21E15">
        <w:t>-</w:t>
      </w:r>
      <w:r w:rsidR="003B5FDC">
        <w:t>million</w:t>
      </w:r>
      <w:r w:rsidR="00D21E15">
        <w:t>-</w:t>
      </w:r>
      <w:r w:rsidR="003B5FDC">
        <w:t xml:space="preserve">pound sterling or have a balance sheet amount that is below or equal to 43 million sterling </w:t>
      </w:r>
      <w:r w:rsidR="005E5095">
        <w:t>pounds</w:t>
      </w:r>
      <w:r w:rsidR="003B5FDC">
        <w:t>. They are highly involved in innovation, employment, and economic growth (Government Commercial Function, 2024).</w:t>
      </w:r>
    </w:p>
    <w:p w14:paraId="529C9663" w14:textId="77777777" w:rsidR="003B5FDC" w:rsidRDefault="008443E7" w:rsidP="003B5FDC">
      <w:r w:rsidRPr="008443E7">
        <w:rPr>
          <w:b/>
          <w:bCs/>
          <w:lang w:val="en-US"/>
        </w:rPr>
        <w:t>International Market Expansion</w:t>
      </w:r>
      <w:r>
        <w:rPr>
          <w:lang w:val="en-US"/>
        </w:rPr>
        <w:t xml:space="preserve">: </w:t>
      </w:r>
      <w:r w:rsidR="003B5FDC">
        <w:t>International market expansion is a procedure through which a company will expand its operations, products, or services to new foreign markets outside its domestic markets (</w:t>
      </w:r>
      <w:proofErr w:type="spellStart"/>
      <w:r w:rsidR="003B5FDC">
        <w:t>Nosike</w:t>
      </w:r>
      <w:proofErr w:type="spellEnd"/>
      <w:r w:rsidR="003B5FDC">
        <w:t xml:space="preserve">, </w:t>
      </w:r>
      <w:proofErr w:type="spellStart"/>
      <w:r w:rsidR="003B5FDC">
        <w:t>Nosike</w:t>
      </w:r>
      <w:proofErr w:type="spellEnd"/>
      <w:r w:rsidR="003B5FDC">
        <w:t xml:space="preserve"> and Nwosu, 2024). These include strategic planning, market entry mode, compliance with the host country regulations and utilization of instruments like online platforms to break barriers and reach as many as possible worldwide.</w:t>
      </w:r>
    </w:p>
    <w:p w14:paraId="0EC27229" w14:textId="6B80AADB" w:rsidR="008443E7" w:rsidRDefault="008443E7" w:rsidP="008443E7">
      <w:pPr>
        <w:rPr>
          <w:lang w:val="en-US"/>
        </w:rPr>
      </w:pPr>
      <w:r w:rsidRPr="008443E7">
        <w:rPr>
          <w:b/>
          <w:bCs/>
          <w:lang w:val="en-US"/>
        </w:rPr>
        <w:t>Post-Brexit</w:t>
      </w:r>
      <w:r>
        <w:rPr>
          <w:lang w:val="en-US"/>
        </w:rPr>
        <w:t xml:space="preserve">: </w:t>
      </w:r>
      <w:r w:rsidR="003B5FDC" w:rsidRPr="003B5FDC">
        <w:rPr>
          <w:lang w:val="en-US"/>
        </w:rPr>
        <w:t xml:space="preserve">Post-Brexit can be said to be the period after the official exit of the United Kingdom of the European Union, which is </w:t>
      </w:r>
      <w:proofErr w:type="spellStart"/>
      <w:r w:rsidR="003B5FDC" w:rsidRPr="003B5FDC">
        <w:rPr>
          <w:lang w:val="en-US"/>
        </w:rPr>
        <w:t>characterised</w:t>
      </w:r>
      <w:proofErr w:type="spellEnd"/>
      <w:r w:rsidR="003B5FDC" w:rsidRPr="003B5FDC">
        <w:rPr>
          <w:lang w:val="en-US"/>
        </w:rPr>
        <w:t xml:space="preserve"> by alterations in trade relations, regulations, process of customs, and market entry (Fontanelli, 2023). In the </w:t>
      </w:r>
      <w:r w:rsidR="003B5FDC" w:rsidRPr="003B5FDC">
        <w:rPr>
          <w:lang w:val="en-US"/>
        </w:rPr>
        <w:lastRenderedPageBreak/>
        <w:t>case of the UK SMEs, it is a context that has offered challenges and opportunities to the fact of seeking international expansion, especially in the sense of adjusting digital strategies to overcome emerging barriers.</w:t>
      </w:r>
    </w:p>
    <w:p w14:paraId="1C4DDA05" w14:textId="4EFC939F" w:rsidR="008443E7" w:rsidRDefault="002F7832" w:rsidP="00D15394">
      <w:pPr>
        <w:pStyle w:val="Heading2"/>
        <w:rPr>
          <w:lang w:val="en-US"/>
        </w:rPr>
      </w:pPr>
      <w:bookmarkStart w:id="17" w:name="_Toc218707746"/>
      <w:r>
        <w:rPr>
          <w:lang w:val="en-US"/>
        </w:rPr>
        <w:t xml:space="preserve">2.3 </w:t>
      </w:r>
      <w:r w:rsidR="008443E7">
        <w:rPr>
          <w:lang w:val="en-US"/>
        </w:rPr>
        <w:t>Theoretical Frameworks</w:t>
      </w:r>
      <w:bookmarkEnd w:id="17"/>
    </w:p>
    <w:p w14:paraId="58DAF33F" w14:textId="77777777" w:rsidR="00D21E15" w:rsidRDefault="003B5FDC" w:rsidP="00D21E15">
      <w:pPr>
        <w:rPr>
          <w:lang w:val="en-US"/>
        </w:rPr>
      </w:pPr>
      <w:r w:rsidRPr="003B5FDC">
        <w:rPr>
          <w:lang w:val="en-US"/>
        </w:rPr>
        <w:t xml:space="preserve">The mechanisms and strategies by which the digital platforms can help UK SMEs to go global after Brexit can be supported based on multiple theoretical frameworks that provide a unique perspective on the process. These strategic frameworks give us an understanding of the processes, capabilities, and relationships that shape </w:t>
      </w:r>
      <w:proofErr w:type="spellStart"/>
      <w:r w:rsidRPr="003B5FDC">
        <w:rPr>
          <w:lang w:val="en-US"/>
        </w:rPr>
        <w:t>internationalisation</w:t>
      </w:r>
      <w:proofErr w:type="spellEnd"/>
      <w:r w:rsidRPr="003B5FDC">
        <w:rPr>
          <w:lang w:val="en-US"/>
        </w:rPr>
        <w:t xml:space="preserve"> in the modern digital and post Brexit content.</w:t>
      </w:r>
    </w:p>
    <w:p w14:paraId="629034FE" w14:textId="2D7AB89B" w:rsidR="00884F2F" w:rsidRDefault="00884F2F" w:rsidP="00884F2F">
      <w:pPr>
        <w:jc w:val="center"/>
        <w:rPr>
          <w:lang w:val="en-US"/>
        </w:rPr>
      </w:pPr>
      <w:r>
        <w:rPr>
          <w:noProof/>
        </w:rPr>
        <w:drawing>
          <wp:inline distT="0" distB="0" distL="0" distR="0" wp14:anchorId="0562C925" wp14:editId="15F50293">
            <wp:extent cx="4846418" cy="2344279"/>
            <wp:effectExtent l="0" t="0" r="0" b="0"/>
            <wp:docPr id="530942413" name="Picture 3" descr="Original Uppsala model of 1977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Original Uppsala model of 1977 | Download Scientific Diagram"/>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854797" cy="2348332"/>
                    </a:xfrm>
                    <a:prstGeom prst="rect">
                      <a:avLst/>
                    </a:prstGeom>
                    <a:noFill/>
                    <a:ln>
                      <a:noFill/>
                    </a:ln>
                  </pic:spPr>
                </pic:pic>
              </a:graphicData>
            </a:graphic>
          </wp:inline>
        </w:drawing>
      </w:r>
    </w:p>
    <w:p w14:paraId="3CB0C85E" w14:textId="7F8197F8" w:rsidR="00884F2F" w:rsidRDefault="00884F2F" w:rsidP="00884F2F">
      <w:pPr>
        <w:pStyle w:val="NoSpacing"/>
        <w:spacing w:line="480" w:lineRule="auto"/>
        <w:jc w:val="center"/>
        <w:rPr>
          <w:lang w:val="en-US"/>
        </w:rPr>
      </w:pPr>
      <w:bookmarkStart w:id="18" w:name="_Toc218707664"/>
      <w:r>
        <w:t xml:space="preserve">Figure </w:t>
      </w:r>
      <w:r>
        <w:fldChar w:fldCharType="begin"/>
      </w:r>
      <w:r>
        <w:instrText xml:space="preserve"> SEQ Figure \* ARABIC </w:instrText>
      </w:r>
      <w:r>
        <w:fldChar w:fldCharType="separate"/>
      </w:r>
      <w:r>
        <w:rPr>
          <w:noProof/>
        </w:rPr>
        <w:t>1</w:t>
      </w:r>
      <w:r>
        <w:fldChar w:fldCharType="end"/>
      </w:r>
      <w:r>
        <w:t xml:space="preserve"> </w:t>
      </w:r>
      <w:r w:rsidRPr="00884F2F">
        <w:rPr>
          <w:lang w:val="en-US"/>
        </w:rPr>
        <w:t xml:space="preserve">Uppsala </w:t>
      </w:r>
      <w:proofErr w:type="spellStart"/>
      <w:r w:rsidRPr="00884F2F">
        <w:rPr>
          <w:lang w:val="en-US"/>
        </w:rPr>
        <w:t>Internationalisation</w:t>
      </w:r>
      <w:proofErr w:type="spellEnd"/>
      <w:r w:rsidRPr="00884F2F">
        <w:rPr>
          <w:lang w:val="en-US"/>
        </w:rPr>
        <w:t xml:space="preserve"> Model (Johanson and Vahlne, 1977)</w:t>
      </w:r>
      <w:bookmarkEnd w:id="18"/>
    </w:p>
    <w:p w14:paraId="3A40F5AC" w14:textId="4178F850" w:rsidR="003B5FDC" w:rsidRDefault="003B5FDC" w:rsidP="003B5FDC">
      <w:pPr>
        <w:spacing w:before="0" w:after="0"/>
        <w:rPr>
          <w:lang w:val="en-US"/>
        </w:rPr>
      </w:pPr>
      <w:r w:rsidRPr="003B5FDC">
        <w:rPr>
          <w:lang w:val="en-US"/>
        </w:rPr>
        <w:t xml:space="preserve">The Uppsala </w:t>
      </w:r>
      <w:proofErr w:type="spellStart"/>
      <w:r w:rsidRPr="003B5FDC">
        <w:rPr>
          <w:lang w:val="en-US"/>
        </w:rPr>
        <w:t>Internationalisation</w:t>
      </w:r>
      <w:proofErr w:type="spellEnd"/>
      <w:r w:rsidRPr="003B5FDC">
        <w:rPr>
          <w:lang w:val="en-US"/>
        </w:rPr>
        <w:t xml:space="preserve"> Model provides a conceptual framework to the slowness and experience-based approach to international expansion (Vahlne, 2020). Traditionally, the model assumes that firms would enter into foreign markets gradually by initially entering into culturally and geographically closer markets and gradually towards more distant or difficult markets with increase in knowledge and experience. The post-Brexit environment allows UK SME to alter this incremental strategy by offering them instant access to global customer bases, market awareness, and transacting capacities without them having to be physically present. The online marketplaces, social media and e-commerce platforms enable the SMEs to test products, </w:t>
      </w:r>
      <w:proofErr w:type="spellStart"/>
      <w:r w:rsidRPr="003B5FDC">
        <w:rPr>
          <w:lang w:val="en-US"/>
        </w:rPr>
        <w:t>familiarisation</w:t>
      </w:r>
      <w:proofErr w:type="spellEnd"/>
      <w:r w:rsidRPr="003B5FDC">
        <w:rPr>
          <w:lang w:val="en-US"/>
        </w:rPr>
        <w:t xml:space="preserve"> of a brand and acquire experiential knowledge effectively thus further expediting the </w:t>
      </w:r>
      <w:proofErr w:type="spellStart"/>
      <w:r w:rsidRPr="003B5FDC">
        <w:rPr>
          <w:lang w:val="en-US"/>
        </w:rPr>
        <w:t>internationalisation</w:t>
      </w:r>
      <w:proofErr w:type="spellEnd"/>
      <w:r w:rsidRPr="003B5FDC">
        <w:rPr>
          <w:lang w:val="en-US"/>
        </w:rPr>
        <w:t xml:space="preserve"> process and reducing the uncertainty and resource constraints highlighted in the Uppsala model.</w:t>
      </w:r>
    </w:p>
    <w:p w14:paraId="18B8F466" w14:textId="35D1B97A" w:rsidR="00884F2F" w:rsidRDefault="00884F2F" w:rsidP="00884F2F">
      <w:pPr>
        <w:spacing w:before="0" w:after="0"/>
        <w:jc w:val="center"/>
        <w:rPr>
          <w:lang w:val="en-US"/>
        </w:rPr>
      </w:pPr>
      <w:r>
        <w:rPr>
          <w:noProof/>
        </w:rPr>
        <w:lastRenderedPageBreak/>
        <w:drawing>
          <wp:inline distT="0" distB="0" distL="0" distR="0" wp14:anchorId="28303625" wp14:editId="6B5EFB0B">
            <wp:extent cx="3897630" cy="3592830"/>
            <wp:effectExtent l="0" t="0" r="7620" b="7620"/>
            <wp:docPr id="557725194" name="Picture 2" descr="The Resource-Based View (RBV) theory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Resource-Based View (RBV) theory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897630" cy="3592830"/>
                    </a:xfrm>
                    <a:prstGeom prst="rect">
                      <a:avLst/>
                    </a:prstGeom>
                    <a:noFill/>
                    <a:ln>
                      <a:noFill/>
                    </a:ln>
                  </pic:spPr>
                </pic:pic>
              </a:graphicData>
            </a:graphic>
          </wp:inline>
        </w:drawing>
      </w:r>
    </w:p>
    <w:p w14:paraId="30466D3E" w14:textId="4157D13C" w:rsidR="00884F2F" w:rsidRPr="003B5FDC" w:rsidRDefault="00884F2F" w:rsidP="00884F2F">
      <w:pPr>
        <w:pStyle w:val="NoSpacing"/>
        <w:jc w:val="center"/>
        <w:rPr>
          <w:lang w:val="en-US"/>
        </w:rPr>
      </w:pPr>
      <w:bookmarkStart w:id="19" w:name="_Toc218707665"/>
      <w:r>
        <w:t xml:space="preserve">Figure </w:t>
      </w:r>
      <w:r>
        <w:fldChar w:fldCharType="begin"/>
      </w:r>
      <w:r>
        <w:instrText xml:space="preserve"> SEQ Figure \* ARABIC </w:instrText>
      </w:r>
      <w:r>
        <w:fldChar w:fldCharType="separate"/>
      </w:r>
      <w:r>
        <w:rPr>
          <w:noProof/>
        </w:rPr>
        <w:t>2</w:t>
      </w:r>
      <w:r>
        <w:fldChar w:fldCharType="end"/>
      </w:r>
      <w:r>
        <w:t xml:space="preserve"> </w:t>
      </w:r>
      <w:r w:rsidRPr="00884F2F">
        <w:rPr>
          <w:lang w:val="en-US"/>
        </w:rPr>
        <w:t>Resource-Based View (Barney, 1991)</w:t>
      </w:r>
      <w:bookmarkEnd w:id="19"/>
    </w:p>
    <w:p w14:paraId="691D9FE6" w14:textId="18C04DBC" w:rsidR="003B5FDC" w:rsidRPr="003B5FDC" w:rsidRDefault="003B5FDC" w:rsidP="00D21E15">
      <w:pPr>
        <w:rPr>
          <w:lang w:val="en-US"/>
        </w:rPr>
      </w:pPr>
      <w:r w:rsidRPr="003B5FDC">
        <w:rPr>
          <w:lang w:val="en-US"/>
        </w:rPr>
        <w:t xml:space="preserve">Resource-Based View (RBV) emphasizes the strategic value of the firm-specific resources and capabilities to the attainment of sustainable competitive advantage (El </w:t>
      </w:r>
      <w:proofErr w:type="spellStart"/>
      <w:r w:rsidRPr="003B5FDC">
        <w:rPr>
          <w:lang w:val="en-US"/>
        </w:rPr>
        <w:t>Nemar</w:t>
      </w:r>
      <w:proofErr w:type="spellEnd"/>
      <w:r w:rsidRPr="003B5FDC">
        <w:rPr>
          <w:lang w:val="en-US"/>
        </w:rPr>
        <w:t xml:space="preserve"> </w:t>
      </w:r>
      <w:r w:rsidR="00067DAE" w:rsidRPr="00067DAE">
        <w:rPr>
          <w:i/>
          <w:iCs/>
          <w:lang w:val="en-US"/>
        </w:rPr>
        <w:t>et al</w:t>
      </w:r>
      <w:r w:rsidRPr="003B5FDC">
        <w:rPr>
          <w:lang w:val="en-US"/>
        </w:rPr>
        <w:t>., 2022). Digital platforms are an essential resource that can be used in the case of UK SMEs to enter international markets after Brexit to expand the market reach, efficiency in operations and customer relationships. Through digital tools embedded in their business models, SMEs can take advantage of such distinctive opportunities as data analytics, digital marketing expertise, and logistics based on platforms to cross trade boundaries, lower transaction expenses, and make a difference in the context of very competitive international markets. The RBV framework then places digital platforms not as an instrument of operation of the company but rather as a strategic resource that aids in becoming competitive in the long-term and able to withstand the unpredictability of regulations and markets.</w:t>
      </w:r>
    </w:p>
    <w:p w14:paraId="308C2148" w14:textId="647A3B08" w:rsidR="003B5FDC" w:rsidRDefault="003B5FDC" w:rsidP="003B5FDC">
      <w:pPr>
        <w:spacing w:before="0" w:after="0"/>
        <w:rPr>
          <w:lang w:val="en-US"/>
        </w:rPr>
      </w:pPr>
      <w:r w:rsidRPr="003B5FDC">
        <w:rPr>
          <w:lang w:val="en-US"/>
        </w:rPr>
        <w:t xml:space="preserve">Another beneficial perspective is the idea of network theory, which highlights the importance of relations based on social and business in international expansion (Cuypers </w:t>
      </w:r>
      <w:r w:rsidR="00067DAE" w:rsidRPr="00067DAE">
        <w:rPr>
          <w:i/>
          <w:iCs/>
          <w:lang w:val="en-US"/>
        </w:rPr>
        <w:t>et al</w:t>
      </w:r>
      <w:r w:rsidRPr="003B5FDC">
        <w:rPr>
          <w:lang w:val="en-US"/>
        </w:rPr>
        <w:t xml:space="preserve">., 2020). SMEs tend to go through the network of partners, suppliers, distributors and customers when venturing into foreign markets and digital platforms act as facilitators of such relationships. Connections: Linked In, Business to Business marketplaces and company specific forums enable SMEs to create and sustain </w:t>
      </w:r>
      <w:r w:rsidRPr="003B5FDC">
        <w:rPr>
          <w:lang w:val="en-US"/>
        </w:rPr>
        <w:lastRenderedPageBreak/>
        <w:t>international networks that were once limited by physical and geographic constraints. Due to the post-Brexit environment where existing EU-grounded trading relations are supposed to be disrupted, digital networks will provide alternative channels to collaborate, exchange knowledge, and penetrate the market, allowing SMEs to find opportunities, resources, partnerships that will help it grow sustainably in new countries.</w:t>
      </w:r>
    </w:p>
    <w:p w14:paraId="2258CE2A" w14:textId="2AB7FE70" w:rsidR="005E5095" w:rsidRDefault="005E5095" w:rsidP="003B5FDC">
      <w:pPr>
        <w:spacing w:before="0" w:after="0"/>
        <w:rPr>
          <w:lang w:val="en-US"/>
        </w:rPr>
      </w:pPr>
      <w:r>
        <w:rPr>
          <w:noProof/>
        </w:rPr>
        <w:drawing>
          <wp:inline distT="0" distB="0" distL="0" distR="0" wp14:anchorId="2B732375" wp14:editId="152E1B1A">
            <wp:extent cx="5731510" cy="1472565"/>
            <wp:effectExtent l="0" t="0" r="2540" b="0"/>
            <wp:docPr id="142790537" name="Picture 1" descr="Applying the Technology Acceptance Model (TAM) in Information Technology  System to Evaluate the Adoption of Decision Support Syste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ying the Technology Acceptance Model (TAM) in Information Technology  System to Evaluate the Adoption of Decision Support System"/>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1472565"/>
                    </a:xfrm>
                    <a:prstGeom prst="rect">
                      <a:avLst/>
                    </a:prstGeom>
                    <a:noFill/>
                    <a:ln>
                      <a:noFill/>
                    </a:ln>
                  </pic:spPr>
                </pic:pic>
              </a:graphicData>
            </a:graphic>
          </wp:inline>
        </w:drawing>
      </w:r>
    </w:p>
    <w:p w14:paraId="520A8300" w14:textId="732AA91A" w:rsidR="005E5095" w:rsidRPr="003B5FDC" w:rsidRDefault="005E5095" w:rsidP="005E5095">
      <w:pPr>
        <w:pStyle w:val="NoSpacing"/>
        <w:jc w:val="center"/>
        <w:rPr>
          <w:lang w:val="en-US"/>
        </w:rPr>
      </w:pPr>
      <w:bookmarkStart w:id="20" w:name="_Toc218707666"/>
      <w:r>
        <w:t xml:space="preserve">Figure </w:t>
      </w:r>
      <w:r>
        <w:fldChar w:fldCharType="begin"/>
      </w:r>
      <w:r>
        <w:instrText xml:space="preserve"> SEQ Figure \* ARABIC </w:instrText>
      </w:r>
      <w:r>
        <w:fldChar w:fldCharType="separate"/>
      </w:r>
      <w:r w:rsidR="00884F2F">
        <w:rPr>
          <w:noProof/>
        </w:rPr>
        <w:t>3</w:t>
      </w:r>
      <w:r>
        <w:fldChar w:fldCharType="end"/>
      </w:r>
      <w:r>
        <w:t xml:space="preserve"> Technology Acceptance Model (Davis, </w:t>
      </w:r>
      <w:r w:rsidR="00884F2F">
        <w:t>1989)</w:t>
      </w:r>
      <w:bookmarkEnd w:id="20"/>
    </w:p>
    <w:p w14:paraId="7DA0FD44" w14:textId="2E72FEF4" w:rsidR="005214EB" w:rsidRDefault="003B5FDC" w:rsidP="00D21E15">
      <w:pPr>
        <w:rPr>
          <w:lang w:val="en-US"/>
        </w:rPr>
      </w:pPr>
      <w:r w:rsidRPr="003B5FDC">
        <w:rPr>
          <w:lang w:val="en-US"/>
        </w:rPr>
        <w:t xml:space="preserve">Lastly, the Technology Acceptance Model (TAM) may be used to comprehend the adoption of digital platforms in internationalization by SMEs (Rahman </w:t>
      </w:r>
      <w:r w:rsidR="00067DAE" w:rsidRPr="00067DAE">
        <w:rPr>
          <w:i/>
          <w:iCs/>
          <w:lang w:val="en-US"/>
        </w:rPr>
        <w:t>et al</w:t>
      </w:r>
      <w:r w:rsidRPr="003B5FDC">
        <w:rPr>
          <w:lang w:val="en-US"/>
        </w:rPr>
        <w:t xml:space="preserve">., 2019). TAM states that the perceived usefulness and perceived ease of use are some of the factors that influence the probability of an organisation adopting new technologies. The platforms that are intuitive, reliable, and proved to be of greater benefit have higher chances of being incorporated in the business operation of the UK SMEs that deal with the dual challenge of post-Brexit regulatory changes and the necessity to remain competitive in the international market. The model sheds light on the </w:t>
      </w:r>
      <w:proofErr w:type="spellStart"/>
      <w:r w:rsidRPr="003B5FDC">
        <w:rPr>
          <w:lang w:val="en-US"/>
        </w:rPr>
        <w:t>behavioural</w:t>
      </w:r>
      <w:proofErr w:type="spellEnd"/>
      <w:r w:rsidRPr="003B5FDC">
        <w:rPr>
          <w:lang w:val="en-US"/>
        </w:rPr>
        <w:t xml:space="preserve"> and </w:t>
      </w:r>
      <w:proofErr w:type="spellStart"/>
      <w:r w:rsidRPr="003B5FDC">
        <w:rPr>
          <w:lang w:val="en-US"/>
        </w:rPr>
        <w:t>organisational</w:t>
      </w:r>
      <w:proofErr w:type="spellEnd"/>
      <w:r w:rsidRPr="003B5FDC">
        <w:rPr>
          <w:lang w:val="en-US"/>
        </w:rPr>
        <w:t xml:space="preserve"> antecedents of adoption of digital platform explaining why some SMEs have succeeded in </w:t>
      </w:r>
      <w:proofErr w:type="spellStart"/>
      <w:r w:rsidRPr="003B5FDC">
        <w:rPr>
          <w:lang w:val="en-US"/>
        </w:rPr>
        <w:t>utilising</w:t>
      </w:r>
      <w:proofErr w:type="spellEnd"/>
      <w:r w:rsidRPr="003B5FDC">
        <w:rPr>
          <w:lang w:val="en-US"/>
        </w:rPr>
        <w:t xml:space="preserve"> online instruments to expand internationally and others are facing setbacks. TAM supplements the other frameworks by taking into account adoption dynamics, as well as the strategic considerations and network considerations that provide a comprehensive knowledge on </w:t>
      </w:r>
      <w:proofErr w:type="spellStart"/>
      <w:r w:rsidRPr="003B5FDC">
        <w:rPr>
          <w:lang w:val="en-US"/>
        </w:rPr>
        <w:t>internationalisation</w:t>
      </w:r>
      <w:proofErr w:type="spellEnd"/>
      <w:r w:rsidRPr="003B5FDC">
        <w:rPr>
          <w:lang w:val="en-US"/>
        </w:rPr>
        <w:t xml:space="preserve"> through digital platforms enablement</w:t>
      </w:r>
      <w:r w:rsidR="00D15394" w:rsidRPr="00D15394">
        <w:rPr>
          <w:lang w:val="en-US"/>
        </w:rPr>
        <w:t>.</w:t>
      </w:r>
    </w:p>
    <w:p w14:paraId="327A1F0B" w14:textId="77777777" w:rsidR="005214EB" w:rsidRDefault="005214EB">
      <w:pPr>
        <w:spacing w:before="0" w:after="0"/>
        <w:rPr>
          <w:lang w:val="en-US"/>
        </w:rPr>
      </w:pPr>
      <w:r>
        <w:rPr>
          <w:lang w:val="en-US"/>
        </w:rPr>
        <w:br w:type="page"/>
      </w:r>
    </w:p>
    <w:p w14:paraId="1A588F45" w14:textId="19ED8750" w:rsidR="008C6D93" w:rsidRPr="008C6D93" w:rsidRDefault="002F7832" w:rsidP="00A26F4D">
      <w:pPr>
        <w:pStyle w:val="Heading2"/>
        <w:rPr>
          <w:lang w:val="en-US"/>
        </w:rPr>
      </w:pPr>
      <w:bookmarkStart w:id="21" w:name="_Toc218707747"/>
      <w:r>
        <w:lastRenderedPageBreak/>
        <w:t xml:space="preserve">2.4 </w:t>
      </w:r>
      <w:r w:rsidR="005214EB" w:rsidRPr="005214EB">
        <w:t>Digital Platforms in SME Internationalisation</w:t>
      </w:r>
      <w:bookmarkEnd w:id="21"/>
    </w:p>
    <w:p w14:paraId="527D0D6D" w14:textId="77777777" w:rsidR="008C6D93" w:rsidRPr="008C6D93" w:rsidRDefault="008C6D93" w:rsidP="008C6D93">
      <w:pPr>
        <w:rPr>
          <w:lang w:val="en-US"/>
        </w:rPr>
      </w:pPr>
      <w:r w:rsidRPr="008C6D93">
        <w:rPr>
          <w:lang w:val="en-US"/>
        </w:rPr>
        <w:t xml:space="preserve">Electronic platforms have become enabling factors in SME </w:t>
      </w:r>
      <w:proofErr w:type="spellStart"/>
      <w:r w:rsidRPr="008C6D93">
        <w:rPr>
          <w:lang w:val="en-US"/>
        </w:rPr>
        <w:t>internationalisation</w:t>
      </w:r>
      <w:proofErr w:type="spellEnd"/>
      <w:r w:rsidRPr="008C6D93">
        <w:rPr>
          <w:lang w:val="en-US"/>
        </w:rPr>
        <w:t>, especially in the post-Brexit trade environment, where more traditional barriers and market uncertainties require creative solutions to be able to gain entry into the global markets (Driffield, Surdu and Yuan, 2024). The e-commerce platforms, social media, and B2B marketplaces are considered to be among the most powerful forms of digital platforms, where they offer various channels through which SMEs can circumvent geographic and operational constraints and boost their cross-border expansion.</w:t>
      </w:r>
    </w:p>
    <w:p w14:paraId="2278F3C1" w14:textId="77777777" w:rsidR="008C6D93" w:rsidRPr="008C6D93" w:rsidRDefault="008C6D93" w:rsidP="008C6D93">
      <w:pPr>
        <w:rPr>
          <w:lang w:val="en-US"/>
        </w:rPr>
      </w:pPr>
      <w:r w:rsidRPr="008C6D93">
        <w:rPr>
          <w:lang w:val="en-US"/>
        </w:rPr>
        <w:t xml:space="preserve">Shopify, Amazon, and Etsy provide e-commerce platforms to SMEs through which they can sell products directly to the global market without significant initial capital expenditure on physical infrastructure (Sassi, 2024). Such platforms have fully developed payment platforms, logistics management, and marketing platforms that help to reduce the intricacies related to exportation, custom compliance, and foreign currency dealings. Their most important advantage is that they are able to reach the global customer base instantly, gather the market information, and adjust the offerings according to the analytics of the consumer behaviour. Nevertheless, the use of e-commerce can be a constraint as well and some of them are high platform charges, reliance on platform policies, strong competition with other vendors, and lack of control in branding and customer information. These constraints may lower the margins and </w:t>
      </w:r>
      <w:proofErr w:type="spellStart"/>
      <w:r w:rsidRPr="008C6D93">
        <w:rPr>
          <w:lang w:val="en-US"/>
        </w:rPr>
        <w:t>manoeuvre</w:t>
      </w:r>
      <w:proofErr w:type="spellEnd"/>
      <w:r w:rsidRPr="008C6D93">
        <w:rPr>
          <w:lang w:val="en-US"/>
        </w:rPr>
        <w:t xml:space="preserve"> of profits of SMEs aiming to distinguish themselves.</w:t>
      </w:r>
    </w:p>
    <w:p w14:paraId="152BEED6" w14:textId="2EAD123D" w:rsidR="008C6D93" w:rsidRPr="008C6D93" w:rsidRDefault="008C6D93" w:rsidP="008C6D93">
      <w:pPr>
        <w:rPr>
          <w:lang w:val="en-US"/>
        </w:rPr>
      </w:pPr>
      <w:r w:rsidRPr="008C6D93">
        <w:rPr>
          <w:lang w:val="en-US"/>
        </w:rPr>
        <w:t>The use of social media, such as Instagram, Facebook, Tik Tok, and LinkedIn has become a key channel of connecting with the international market through building brand awareness, communication with potential customer, and developing loyalty across the borders (</w:t>
      </w:r>
      <w:proofErr w:type="spellStart"/>
      <w:r w:rsidRPr="008C6D93">
        <w:rPr>
          <w:lang w:val="en-US"/>
        </w:rPr>
        <w:t>Sharabati</w:t>
      </w:r>
      <w:proofErr w:type="spellEnd"/>
      <w:r w:rsidRPr="008C6D93">
        <w:rPr>
          <w:lang w:val="en-US"/>
        </w:rPr>
        <w:t xml:space="preserve"> </w:t>
      </w:r>
      <w:r w:rsidR="00067DAE" w:rsidRPr="00067DAE">
        <w:rPr>
          <w:i/>
          <w:iCs/>
          <w:lang w:val="en-US"/>
        </w:rPr>
        <w:t>et al</w:t>
      </w:r>
      <w:r w:rsidRPr="008C6D93">
        <w:rPr>
          <w:lang w:val="en-US"/>
        </w:rPr>
        <w:t xml:space="preserve">., 2024). Social media enables targeted marketing campaigns, real time interaction and </w:t>
      </w:r>
      <w:proofErr w:type="gramStart"/>
      <w:r w:rsidRPr="008C6D93">
        <w:rPr>
          <w:lang w:val="en-US"/>
        </w:rPr>
        <w:t>content based</w:t>
      </w:r>
      <w:proofErr w:type="gramEnd"/>
      <w:r w:rsidRPr="008C6D93">
        <w:rPr>
          <w:lang w:val="en-US"/>
        </w:rPr>
        <w:t xml:space="preserve"> </w:t>
      </w:r>
      <w:proofErr w:type="spellStart"/>
      <w:r w:rsidRPr="008C6D93">
        <w:rPr>
          <w:lang w:val="en-US"/>
        </w:rPr>
        <w:t>story telling</w:t>
      </w:r>
      <w:proofErr w:type="spellEnd"/>
      <w:r w:rsidRPr="008C6D93">
        <w:rPr>
          <w:lang w:val="en-US"/>
        </w:rPr>
        <w:t>, which is quite effective in the case of SMEs with limited marketing budgets. It also gives SMEs an opportunity to find out consumer insights, track trends and use influencers to build credibility in new markets via the platforms. However, the presence on social media involves regular production of content, experience with the particular platform, and attention to the perception of the audience. Furthermore, algorithm-based visibility may generate erratic changes in visibility and interest, which may be a challenge to SMEs who want to gain consistent international momentum.</w:t>
      </w:r>
    </w:p>
    <w:p w14:paraId="5176324D" w14:textId="77777777" w:rsidR="008C6D93" w:rsidRPr="008C6D93" w:rsidRDefault="008C6D93" w:rsidP="008C6D93">
      <w:pPr>
        <w:rPr>
          <w:lang w:val="en-US"/>
        </w:rPr>
      </w:pPr>
      <w:r w:rsidRPr="008C6D93">
        <w:rPr>
          <w:lang w:val="en-US"/>
        </w:rPr>
        <w:lastRenderedPageBreak/>
        <w:t>B2B markets, like Alibaba, Global Sources and Made-in-China.com are tailored-made to allow businesses to interact with suppliers, distributors, and partners in the global markets (Casagranda, 2024). Through these platforms, SMEs are able to source materials, establish partnerships and can also obtain bulk orders without necessarily engaging in a lot of physical networking or trade missions. The advantages of B2B marketplaces are optimized supplier vetting process, access to a wider range of business partners and lower transaction costs with the help of digital negotiation and contracting platforms. Nevertheless, these platforms may also imply some constraints including the threat of fraud, lack of quality control, and differences in culture and regulations, as well as a high level of rivalry between suppliers and buyers. Strategic due diligence requires SMEs to make sure that the relationships with partners that are located abroad are sustainable and reliable.</w:t>
      </w:r>
    </w:p>
    <w:p w14:paraId="14E96DA9" w14:textId="196E2ADB" w:rsidR="005214EB" w:rsidRDefault="008C6D93" w:rsidP="008C6D93">
      <w:pPr>
        <w:rPr>
          <w:lang w:val="en-US"/>
        </w:rPr>
      </w:pPr>
      <w:r w:rsidRPr="008C6D93">
        <w:rPr>
          <w:lang w:val="en-US"/>
        </w:rPr>
        <w:t xml:space="preserve">In comparison, e-commerce platforms are the most successful when it comes to direct-to-consumer international sales, social media is better in brand building and customer interaction, and B2B marketplaces are the best at establishing business alliances and supply chains. All the types of platforms have their opportunities and limitations, which implies that the SMEs should adopt a multi-platform approach, including direct sales, marketing outreach, and business networking. Such coordinated online strategy in a post Brexit world, where regulatory hurdles and trade restrictions have risen, enables the SMEs to reduce the risks, </w:t>
      </w:r>
      <w:proofErr w:type="spellStart"/>
      <w:r w:rsidRPr="008C6D93">
        <w:rPr>
          <w:lang w:val="en-US"/>
        </w:rPr>
        <w:t>optimise</w:t>
      </w:r>
      <w:proofErr w:type="spellEnd"/>
      <w:r w:rsidRPr="008C6D93">
        <w:rPr>
          <w:lang w:val="en-US"/>
        </w:rPr>
        <w:t xml:space="preserve"> the allocation of resources and continue international growth with uncertainties of conventional market paths</w:t>
      </w:r>
      <w:r w:rsidR="005214EB" w:rsidRPr="005214EB">
        <w:rPr>
          <w:lang w:val="en-US"/>
        </w:rPr>
        <w:t>.</w:t>
      </w:r>
    </w:p>
    <w:p w14:paraId="2F828C9E" w14:textId="3ACE1FBC" w:rsidR="005214EB" w:rsidRDefault="002F7832" w:rsidP="005214EB">
      <w:pPr>
        <w:pStyle w:val="Heading2"/>
        <w:rPr>
          <w:lang w:val="en-US"/>
        </w:rPr>
      </w:pPr>
      <w:bookmarkStart w:id="22" w:name="_Toc218707748"/>
      <w:r>
        <w:t xml:space="preserve">2.5 </w:t>
      </w:r>
      <w:r w:rsidR="005214EB" w:rsidRPr="005214EB">
        <w:t>Post-Brexit Challenges in SME Internationalisation</w:t>
      </w:r>
      <w:bookmarkEnd w:id="22"/>
    </w:p>
    <w:p w14:paraId="43068F94" w14:textId="77777777" w:rsidR="008C6D93" w:rsidRPr="008C6D93" w:rsidRDefault="008C6D93" w:rsidP="008C6D93">
      <w:pPr>
        <w:rPr>
          <w:lang w:val="en-US"/>
        </w:rPr>
      </w:pPr>
      <w:r w:rsidRPr="008C6D93">
        <w:rPr>
          <w:lang w:val="en-US"/>
        </w:rPr>
        <w:t xml:space="preserve">The post-Brexit landscape has brought major obstacles to the UK SMEs in their efforts to entering the international markets, which has transformed the conventional trade relationship fundamentally and made them have to adopt a strategic orientation (Du, </w:t>
      </w:r>
      <w:proofErr w:type="spellStart"/>
      <w:r w:rsidRPr="008C6D93">
        <w:rPr>
          <w:lang w:val="en-US"/>
        </w:rPr>
        <w:t>Shepotylo</w:t>
      </w:r>
      <w:proofErr w:type="spellEnd"/>
      <w:r w:rsidRPr="008C6D93">
        <w:rPr>
          <w:lang w:val="en-US"/>
        </w:rPr>
        <w:t xml:space="preserve"> and Yuan, 2025). The variation of regulatory changes on the </w:t>
      </w:r>
      <w:proofErr w:type="gramStart"/>
      <w:r w:rsidRPr="008C6D93">
        <w:rPr>
          <w:lang w:val="en-US"/>
        </w:rPr>
        <w:t>cross border</w:t>
      </w:r>
      <w:proofErr w:type="gramEnd"/>
      <w:r w:rsidRPr="008C6D93">
        <w:rPr>
          <w:lang w:val="en-US"/>
        </w:rPr>
        <w:t xml:space="preserve"> operations is one of the major challenges. Post-Brexit, SMEs will have a more challenging regulatory environment, such as different product standards, legal regulations, and reporting in EU and non-EU markets. The changes add burden on the administration, need extra compliance skills, and bring confusion in decision-making concerning entry in the market. On the same note, emerging tariffs and trade barriers have influenced the cost structures of the SMEs especially those that export </w:t>
      </w:r>
      <w:r w:rsidRPr="008C6D93">
        <w:rPr>
          <w:lang w:val="en-US"/>
        </w:rPr>
        <w:lastRenderedPageBreak/>
        <w:t>physical goods to the EU countries. Heightened responsibilities and unstable exchange rates as well as increased paperwork have intensified the cost of conducting business, decreased profit margins and made the pricing decisions critical to ensure competitiveness on the global scene.</w:t>
      </w:r>
    </w:p>
    <w:p w14:paraId="6DBEEF5D" w14:textId="0CB33981" w:rsidR="008C6D93" w:rsidRPr="008C6D93" w:rsidRDefault="008C6D93" w:rsidP="008C6D93">
      <w:pPr>
        <w:rPr>
          <w:lang w:val="en-US"/>
        </w:rPr>
      </w:pPr>
      <w:r w:rsidRPr="008C6D93">
        <w:rPr>
          <w:lang w:val="en-US"/>
        </w:rPr>
        <w:t>These challenges are also compounded by the customs procedures and supply chain disruptions. Increased border clearing, delays in transportation and unforeseeable delivery times now confront SMEs, potentially harming customer satisfaction and the reliability of the contract (</w:t>
      </w:r>
      <w:proofErr w:type="spellStart"/>
      <w:r w:rsidR="00D21E15" w:rsidRPr="008C6D93">
        <w:rPr>
          <w:lang w:val="en-US"/>
        </w:rPr>
        <w:t>Jara</w:t>
      </w:r>
      <w:r w:rsidR="00D21E15">
        <w:rPr>
          <w:lang w:val="en-US"/>
        </w:rPr>
        <w:t>su</w:t>
      </w:r>
      <w:r w:rsidR="00D21E15" w:rsidRPr="008C6D93">
        <w:rPr>
          <w:lang w:val="en-US"/>
        </w:rPr>
        <w:t>nien</w:t>
      </w:r>
      <w:r w:rsidR="00D21E15">
        <w:rPr>
          <w:lang w:val="en-US"/>
        </w:rPr>
        <w:t>e</w:t>
      </w:r>
      <w:proofErr w:type="spellEnd"/>
      <w:r w:rsidR="00D21E15" w:rsidRPr="008C6D93">
        <w:rPr>
          <w:lang w:val="en-US"/>
        </w:rPr>
        <w:t xml:space="preserve"> </w:t>
      </w:r>
      <w:r w:rsidRPr="008C6D93">
        <w:rPr>
          <w:lang w:val="en-US"/>
        </w:rPr>
        <w:t>and Gel</w:t>
      </w:r>
      <w:r w:rsidR="00D21E15">
        <w:rPr>
          <w:lang w:val="en-US"/>
        </w:rPr>
        <w:t>z</w:t>
      </w:r>
      <w:r w:rsidRPr="008C6D93">
        <w:rPr>
          <w:lang w:val="en-US"/>
        </w:rPr>
        <w:t xml:space="preserve">inis, 2025). Smaller companies that might have limited logistical capabilities are </w:t>
      </w:r>
      <w:proofErr w:type="spellStart"/>
      <w:r w:rsidRPr="008C6D93">
        <w:rPr>
          <w:lang w:val="en-US"/>
        </w:rPr>
        <w:t>overproportionately</w:t>
      </w:r>
      <w:proofErr w:type="spellEnd"/>
      <w:r w:rsidRPr="008C6D93">
        <w:rPr>
          <w:lang w:val="en-US"/>
        </w:rPr>
        <w:t xml:space="preserve"> impacted as they might not have the ability to incur the extra expenses or may not have the wherewithal to handle the complicated international shipping operations. Supply chain uncertainty has also shown a weakness in sourcing strategies where SMEs must diversify suppliers and come up with contingency plans that can reduce the disruptions.</w:t>
      </w:r>
    </w:p>
    <w:p w14:paraId="50F1B161" w14:textId="77777777" w:rsidR="008C6D93" w:rsidRPr="008C6D93" w:rsidRDefault="008C6D93" w:rsidP="008C6D93">
      <w:pPr>
        <w:rPr>
          <w:lang w:val="en-US"/>
        </w:rPr>
      </w:pPr>
      <w:r w:rsidRPr="008C6D93">
        <w:rPr>
          <w:lang w:val="en-US"/>
        </w:rPr>
        <w:t>As a reaction, the digital adaptation has come up as a strategic weapon that is important to overcome the post-Brexit challenges (</w:t>
      </w:r>
      <w:proofErr w:type="spellStart"/>
      <w:r w:rsidRPr="008C6D93">
        <w:rPr>
          <w:lang w:val="en-US"/>
        </w:rPr>
        <w:t>Mirzaye</w:t>
      </w:r>
      <w:proofErr w:type="spellEnd"/>
      <w:r w:rsidRPr="008C6D93">
        <w:rPr>
          <w:lang w:val="en-US"/>
        </w:rPr>
        <w:t xml:space="preserve"> and Mohiuddin, 2025). The digital logistics solutions and B2B marketplaces along with e-commerce allow the SMEs to comply with the market, track deliveries, and enter into alternative markets easily. Online technologies will enable the real-time tracking of tariffs, customs, and other regulatory changes to enable the SMEs to act proactively and not reactive. Digital marketing platforms and social media offer opportunities to keep the customers interested even after the delays or uncertainties in the market, and analytics tools facilitate the development of the data-driven decisions concerning pricing, sourcing, and inventory. Other strategic responses are to incorporate hybrid forms of operations, capitalize on partnerships in the foreign markets and incorporation of digital platforms with the supply chain management systems to increase resiliency.</w:t>
      </w:r>
    </w:p>
    <w:p w14:paraId="0F7C09EE" w14:textId="11BB3A37" w:rsidR="005214EB" w:rsidRDefault="008C6D93" w:rsidP="008C6D93">
      <w:pPr>
        <w:rPr>
          <w:lang w:val="en-US"/>
        </w:rPr>
      </w:pPr>
      <w:r w:rsidRPr="008C6D93">
        <w:rPr>
          <w:lang w:val="en-US"/>
        </w:rPr>
        <w:t xml:space="preserve">Altogether, the UK SMEs confronted with post-Brexit challenges need to reconsider their traditional ways of </w:t>
      </w:r>
      <w:proofErr w:type="spellStart"/>
      <w:r w:rsidRPr="008C6D93">
        <w:rPr>
          <w:lang w:val="en-US"/>
        </w:rPr>
        <w:t>internationalisation</w:t>
      </w:r>
      <w:proofErr w:type="spellEnd"/>
      <w:r w:rsidRPr="008C6D93">
        <w:rPr>
          <w:lang w:val="en-US"/>
        </w:rPr>
        <w:t xml:space="preserve"> and, therefore, underline the importance of digital tools in overcoming the complexity of regulations, reducing the risks of trade, and advancing the growth at the market. Digital platforms when combined with adaptive strategic practices, not only assist SMEs to get over the immediate obstacles, but also offer long term ability to have flexibility, expandability, and resilience in international operations</w:t>
      </w:r>
      <w:r w:rsidR="005214EB" w:rsidRPr="005214EB">
        <w:rPr>
          <w:lang w:val="en-US"/>
        </w:rPr>
        <w:t>.</w:t>
      </w:r>
    </w:p>
    <w:p w14:paraId="62149EBF" w14:textId="3F91444F" w:rsidR="005214EB" w:rsidRPr="005214EB" w:rsidRDefault="002F7832" w:rsidP="005214EB">
      <w:pPr>
        <w:pStyle w:val="Heading2"/>
        <w:rPr>
          <w:lang w:val="en-US"/>
        </w:rPr>
      </w:pPr>
      <w:bookmarkStart w:id="23" w:name="_Toc218707749"/>
      <w:r>
        <w:rPr>
          <w:lang w:val="en-US"/>
        </w:rPr>
        <w:lastRenderedPageBreak/>
        <w:t xml:space="preserve">2.6 </w:t>
      </w:r>
      <w:r w:rsidR="005214EB" w:rsidRPr="005214EB">
        <w:rPr>
          <w:lang w:val="en-US"/>
        </w:rPr>
        <w:t>Post-Brexit Opportunities for UK SMEs in Global Expansion</w:t>
      </w:r>
      <w:bookmarkEnd w:id="23"/>
    </w:p>
    <w:p w14:paraId="76CF7F94" w14:textId="0ACA40FA" w:rsidR="008C6D93" w:rsidRPr="008C6D93" w:rsidRDefault="008C6D93" w:rsidP="008C6D93">
      <w:pPr>
        <w:rPr>
          <w:lang w:val="en-US"/>
        </w:rPr>
      </w:pPr>
      <w:r w:rsidRPr="008C6D93">
        <w:rPr>
          <w:lang w:val="en-US"/>
        </w:rPr>
        <w:t xml:space="preserve">Besides the Brexit challenges, the digital platforms provided great opportunities to UK SMEs to embark on </w:t>
      </w:r>
      <w:proofErr w:type="spellStart"/>
      <w:r w:rsidRPr="008C6D93">
        <w:rPr>
          <w:lang w:val="en-US"/>
        </w:rPr>
        <w:t>internationalisation</w:t>
      </w:r>
      <w:proofErr w:type="spellEnd"/>
      <w:r w:rsidRPr="008C6D93">
        <w:rPr>
          <w:lang w:val="en-US"/>
        </w:rPr>
        <w:t>, allowing them to overcome the traditional impediments and exploit the new market opportunities (Li</w:t>
      </w:r>
      <w:r w:rsidR="00D21E15">
        <w:rPr>
          <w:lang w:val="en-US"/>
        </w:rPr>
        <w:t>n</w:t>
      </w:r>
      <w:r w:rsidRPr="008C6D93">
        <w:rPr>
          <w:lang w:val="en-US"/>
        </w:rPr>
        <w:t>ares-Zegarra and Wilson, 2023). The widened market reach that is offered by digital platforms is one of the most salient benefits. E-commerce market, social media and B2B sites enable SMEs to reach customers, suppliers, and partners outside their locality without having to spend on the expensive physical presence. This connectivity around the world makes smaller businesses more entry friendly in that they can access niche markets, experimental products with different customer segments and find high potential areas to reach with relative speed and flexibility.</w:t>
      </w:r>
    </w:p>
    <w:p w14:paraId="115E4B94" w14:textId="10AEB0E2" w:rsidR="008C6D93" w:rsidRPr="008C6D93" w:rsidRDefault="008C6D93" w:rsidP="008C6D93">
      <w:pPr>
        <w:rPr>
          <w:lang w:val="en-US"/>
        </w:rPr>
      </w:pPr>
      <w:r w:rsidRPr="008C6D93">
        <w:rPr>
          <w:lang w:val="en-US"/>
        </w:rPr>
        <w:t xml:space="preserve">The second advantage of the digital platforms is cost efficiency. </w:t>
      </w:r>
      <w:proofErr w:type="spellStart"/>
      <w:r w:rsidRPr="008C6D93">
        <w:rPr>
          <w:lang w:val="en-US"/>
        </w:rPr>
        <w:t>Digitisation</w:t>
      </w:r>
      <w:proofErr w:type="spellEnd"/>
      <w:r w:rsidRPr="008C6D93">
        <w:rPr>
          <w:lang w:val="en-US"/>
        </w:rPr>
        <w:t xml:space="preserve"> of sales, marketing and operational processes can allow the SMEs to cut the costs incurred in global trade such as logistics, marketing and overhead incurred in setting physical operations in other countries (</w:t>
      </w:r>
      <w:proofErr w:type="spellStart"/>
      <w:r w:rsidRPr="008C6D93">
        <w:rPr>
          <w:lang w:val="en-US"/>
        </w:rPr>
        <w:t>Sharabati</w:t>
      </w:r>
      <w:proofErr w:type="spellEnd"/>
      <w:r w:rsidRPr="008C6D93">
        <w:rPr>
          <w:lang w:val="en-US"/>
        </w:rPr>
        <w:t xml:space="preserve"> </w:t>
      </w:r>
      <w:r w:rsidR="00067DAE" w:rsidRPr="00067DAE">
        <w:rPr>
          <w:i/>
          <w:iCs/>
          <w:lang w:val="en-US"/>
        </w:rPr>
        <w:t>et al</w:t>
      </w:r>
      <w:r w:rsidRPr="008C6D93">
        <w:rPr>
          <w:lang w:val="en-US"/>
        </w:rPr>
        <w:t>., 2024). Online applications like automated payment systems, online supply chain management, and online marketing campaigns can ensure that SMEs run leaner without reducing operational efficiency. These efficiencies would be especially vital in the post-Brexit environment, where new tariffs, customs operations, and regulatory compliance would otherwise add to the cost of the international expansion.</w:t>
      </w:r>
    </w:p>
    <w:p w14:paraId="69861526" w14:textId="77777777" w:rsidR="008C6D93" w:rsidRPr="008C6D93" w:rsidRDefault="008C6D93" w:rsidP="008C6D93">
      <w:pPr>
        <w:rPr>
          <w:lang w:val="en-US"/>
        </w:rPr>
      </w:pPr>
      <w:r w:rsidRPr="008C6D93">
        <w:rPr>
          <w:lang w:val="en-US"/>
        </w:rPr>
        <w:t>Digital channels also contribute to improving customer interaction and SMEs get access to the possibility to communicate directly with clients abroad, receive feedback and diversify their offerings to meet the needs of a particular market segment (</w:t>
      </w:r>
      <w:proofErr w:type="spellStart"/>
      <w:r w:rsidRPr="008C6D93">
        <w:rPr>
          <w:lang w:val="en-US"/>
        </w:rPr>
        <w:t>Fatorachian</w:t>
      </w:r>
      <w:proofErr w:type="spellEnd"/>
      <w:r w:rsidRPr="008C6D93">
        <w:rPr>
          <w:lang w:val="en-US"/>
        </w:rPr>
        <w:t xml:space="preserve">, Arboleda and Linh, 2025). Trust and loyalty in the foreign markets are created via social media, online communities and interactive e-commerce functions, which allow real-time communication, marketing </w:t>
      </w:r>
      <w:proofErr w:type="spellStart"/>
      <w:r w:rsidRPr="008C6D93">
        <w:rPr>
          <w:lang w:val="en-US"/>
        </w:rPr>
        <w:t>personalisation</w:t>
      </w:r>
      <w:proofErr w:type="spellEnd"/>
      <w:r w:rsidRPr="008C6D93">
        <w:rPr>
          <w:lang w:val="en-US"/>
        </w:rPr>
        <w:t xml:space="preserve"> and customer relationship management. Such competencies enable the SMEs to stand out of the crowd and create strong brand awareness in the world despite having minimal resources.</w:t>
      </w:r>
    </w:p>
    <w:p w14:paraId="57E64F56" w14:textId="77777777" w:rsidR="008C6D93" w:rsidRPr="008C6D93" w:rsidRDefault="008C6D93" w:rsidP="008C6D93">
      <w:pPr>
        <w:rPr>
          <w:lang w:val="en-US"/>
        </w:rPr>
      </w:pPr>
      <w:r w:rsidRPr="008C6D93">
        <w:rPr>
          <w:lang w:val="en-US"/>
        </w:rPr>
        <w:t>Moreover, the post-Brexit world has fostered the innovativeness of digital business models (Murphy, 2018). Platforms have been used to create sales channels; however, SMEs are also using platforms as full-service delivery environments, sources of data-</w:t>
      </w:r>
      <w:r w:rsidRPr="008C6D93">
        <w:rPr>
          <w:lang w:val="en-US"/>
        </w:rPr>
        <w:lastRenderedPageBreak/>
        <w:t xml:space="preserve">driven decisions, and value-added products and services. One of the non-traditional methods is the subscription services, virtual consultations, online </w:t>
      </w:r>
      <w:proofErr w:type="spellStart"/>
      <w:r w:rsidRPr="008C6D93">
        <w:rPr>
          <w:lang w:val="en-US"/>
        </w:rPr>
        <w:t>customisation</w:t>
      </w:r>
      <w:proofErr w:type="spellEnd"/>
      <w:r w:rsidRPr="008C6D93">
        <w:rPr>
          <w:lang w:val="en-US"/>
        </w:rPr>
        <w:t xml:space="preserve"> of products, and platform-based collaborations which improve the level of competitiveness and adaptation in the dynamic international markets. When redesigning the old paradigms of business and taking advantage of the pliability of online technologies, SMEs would be able to develop sustainable growth strategies that are not susceptible to regulatory shifts and market fluctuations.</w:t>
      </w:r>
    </w:p>
    <w:p w14:paraId="4C1916FC" w14:textId="5B3AA840" w:rsidR="005214EB" w:rsidRPr="005214EB" w:rsidRDefault="008C6D93" w:rsidP="008C6D93">
      <w:pPr>
        <w:rPr>
          <w:lang w:val="en-US"/>
        </w:rPr>
      </w:pPr>
      <w:r w:rsidRPr="008C6D93">
        <w:rPr>
          <w:lang w:val="en-US"/>
        </w:rPr>
        <w:t xml:space="preserve">Generally, the digital platforms provide UK SMEs with a mix of market reach, efficiency of operations, improved customer interaction, and novel business models all of which enable </w:t>
      </w:r>
      <w:proofErr w:type="spellStart"/>
      <w:r w:rsidRPr="008C6D93">
        <w:rPr>
          <w:lang w:val="en-US"/>
        </w:rPr>
        <w:t>internationalisation</w:t>
      </w:r>
      <w:proofErr w:type="spellEnd"/>
      <w:r w:rsidRPr="008C6D93">
        <w:rPr>
          <w:lang w:val="en-US"/>
        </w:rPr>
        <w:t xml:space="preserve">. These opportunities do not only </w:t>
      </w:r>
      <w:proofErr w:type="spellStart"/>
      <w:r w:rsidRPr="008C6D93">
        <w:rPr>
          <w:lang w:val="en-US"/>
        </w:rPr>
        <w:t>neutralise</w:t>
      </w:r>
      <w:proofErr w:type="spellEnd"/>
      <w:r w:rsidRPr="008C6D93">
        <w:rPr>
          <w:lang w:val="en-US"/>
        </w:rPr>
        <w:t xml:space="preserve"> some of the threats that the SMEs have to deal with in the post-Brexit environment, they also open strategic opportunities towards future global expansion and competitive advantage</w:t>
      </w:r>
      <w:r>
        <w:rPr>
          <w:lang w:val="en-US"/>
        </w:rPr>
        <w:t>.</w:t>
      </w:r>
    </w:p>
    <w:p w14:paraId="76FA20F0" w14:textId="00B57B0A" w:rsidR="005214EB" w:rsidRPr="005214EB" w:rsidRDefault="002F7832" w:rsidP="002F7832">
      <w:pPr>
        <w:pStyle w:val="Heading2"/>
        <w:rPr>
          <w:lang w:val="en-US"/>
        </w:rPr>
      </w:pPr>
      <w:bookmarkStart w:id="24" w:name="_Toc218707750"/>
      <w:r>
        <w:rPr>
          <w:lang w:val="en-US"/>
        </w:rPr>
        <w:t xml:space="preserve">2.7 </w:t>
      </w:r>
      <w:r w:rsidRPr="002F7832">
        <w:rPr>
          <w:lang w:val="en-US"/>
        </w:rPr>
        <w:t>Strategies for International Expansion through Digital Platforms</w:t>
      </w:r>
      <w:bookmarkEnd w:id="24"/>
    </w:p>
    <w:p w14:paraId="565903FC" w14:textId="43DA3163" w:rsidR="008C6D93" w:rsidRPr="008C6D93" w:rsidRDefault="008C6D93" w:rsidP="008C6D93">
      <w:pPr>
        <w:rPr>
          <w:lang w:val="en-US"/>
        </w:rPr>
      </w:pPr>
      <w:r w:rsidRPr="008C6D93">
        <w:rPr>
          <w:lang w:val="en-US"/>
        </w:rPr>
        <w:t xml:space="preserve">The study of SME strategies involving international expansion using digital platforms has indicated various arguments and opposing results, especially as to the best strategy to use in ensuring long-term growth. The discussion of one area is the digital marketing strategies. Although various studies indicate the success of specific social media campaigns, search engine </w:t>
      </w:r>
      <w:proofErr w:type="spellStart"/>
      <w:r w:rsidRPr="008C6D93">
        <w:rPr>
          <w:lang w:val="en-US"/>
        </w:rPr>
        <w:t>optimisation</w:t>
      </w:r>
      <w:proofErr w:type="spellEnd"/>
      <w:r w:rsidRPr="008C6D93">
        <w:rPr>
          <w:lang w:val="en-US"/>
        </w:rPr>
        <w:t xml:space="preserve">, and content-based engagement in the process of attracting international customers, other studies indicate that SMEs tend to overrate the immediate effect of online marketing, stating that cultural differences, platform algorithms, and no brand recognition may restrict returns (Zhang </w:t>
      </w:r>
      <w:r w:rsidR="00067DAE" w:rsidRPr="00067DAE">
        <w:rPr>
          <w:i/>
          <w:iCs/>
          <w:lang w:val="en-US"/>
        </w:rPr>
        <w:t>et al</w:t>
      </w:r>
      <w:r w:rsidRPr="008C6D93">
        <w:rPr>
          <w:lang w:val="en-US"/>
        </w:rPr>
        <w:t>., 2023). Such a difference demonstrates that though digital marketing is indispensable, its success would be extremely context-specific and would have to be adjusted to the specifics of local markets.</w:t>
      </w:r>
    </w:p>
    <w:p w14:paraId="2FFAC386" w14:textId="77777777" w:rsidR="008C6D93" w:rsidRPr="008C6D93" w:rsidRDefault="008C6D93" w:rsidP="008C6D93">
      <w:pPr>
        <w:rPr>
          <w:lang w:val="en-US"/>
        </w:rPr>
      </w:pPr>
      <w:r w:rsidRPr="008C6D93">
        <w:rPr>
          <w:lang w:val="en-US"/>
        </w:rPr>
        <w:t xml:space="preserve">Alliance approaches also create opposite points of view. Other researchers highlight the advantages of cross-boundary partnerships, joint venture and platform-based partnerships as a way of entering into new markets, sharing and reducing risk. The B2B oriented SMEs experience confirms that strategic alliances could help speed up the process of market entry due to logistical support, local expertise and credibility they offer. Other researchers on the other side claim that partnerships may be a difficult experience in SMEs because of the asymmetry of power, divergence of goals and the problem in terms of upholding trust and alignment across borders (Jin, Park </w:t>
      </w:r>
      <w:r w:rsidRPr="008C6D93">
        <w:rPr>
          <w:lang w:val="en-US"/>
        </w:rPr>
        <w:lastRenderedPageBreak/>
        <w:t xml:space="preserve">and Lee, 2020). These contradictory results point to the fact that partnerships may become an effective driver of </w:t>
      </w:r>
      <w:proofErr w:type="spellStart"/>
      <w:r w:rsidRPr="008C6D93">
        <w:rPr>
          <w:lang w:val="en-US"/>
        </w:rPr>
        <w:t>internationalisation</w:t>
      </w:r>
      <w:proofErr w:type="spellEnd"/>
      <w:r w:rsidRPr="008C6D93">
        <w:rPr>
          <w:lang w:val="en-US"/>
        </w:rPr>
        <w:t>, but have to be carefully selected, managed, and combined with digital operations.</w:t>
      </w:r>
    </w:p>
    <w:p w14:paraId="422BB183" w14:textId="7DF0A2A4" w:rsidR="008C6D93" w:rsidRPr="008C6D93" w:rsidRDefault="008C6D93" w:rsidP="008C6D93">
      <w:pPr>
        <w:rPr>
          <w:lang w:val="en-US"/>
        </w:rPr>
      </w:pPr>
      <w:r w:rsidRPr="008C6D93">
        <w:rPr>
          <w:lang w:val="en-US"/>
        </w:rPr>
        <w:t xml:space="preserve">Integration of platforms, which involves the adoption and integration of various digital resources, including e-commerce platforms, CRM software, and logistics software, are also controversial. Certain studies have shown that SMEs who incorporate platforms successfully can manage international activities, improve customer experience, and gain economies of scale. Nonetheless, it has been noted through other studies that integration needs high levels of technical ability, investment, and continuous management, which might not be feasible in small businesses. Also, the high dependence on certain platforms may lead to vulnerability when the platforms would alter their policies, algorithms, or fees, which may disrupt the operations of SME (Muhammad </w:t>
      </w:r>
      <w:r w:rsidR="00067DAE" w:rsidRPr="00067DAE">
        <w:rPr>
          <w:i/>
          <w:iCs/>
          <w:lang w:val="en-US"/>
        </w:rPr>
        <w:t>et al</w:t>
      </w:r>
      <w:r w:rsidRPr="008C6D93">
        <w:rPr>
          <w:lang w:val="en-US"/>
        </w:rPr>
        <w:t>., 2025).</w:t>
      </w:r>
    </w:p>
    <w:p w14:paraId="79DB054B" w14:textId="6B5F590F" w:rsidR="002F7832" w:rsidRDefault="008C6D93" w:rsidP="008C6D93">
      <w:pPr>
        <w:rPr>
          <w:lang w:val="en-US"/>
        </w:rPr>
      </w:pPr>
      <w:r w:rsidRPr="008C6D93">
        <w:rPr>
          <w:lang w:val="en-US"/>
        </w:rPr>
        <w:t xml:space="preserve">Altogether, there is empirical research, which indicates a subtle image: not one particular strategy ensures the success in </w:t>
      </w:r>
      <w:proofErr w:type="spellStart"/>
      <w:r w:rsidRPr="008C6D93">
        <w:rPr>
          <w:lang w:val="en-US"/>
        </w:rPr>
        <w:t>internationalisation</w:t>
      </w:r>
      <w:proofErr w:type="spellEnd"/>
      <w:r w:rsidRPr="008C6D93">
        <w:rPr>
          <w:lang w:val="en-US"/>
        </w:rPr>
        <w:t xml:space="preserve"> of SMEs, and the best practice is usually created with a flexible mix of digital marketing, strategic alliances, and integration of platforms. The success of international expansion also seems to be based on how SMEs can match digital strategies with </w:t>
      </w:r>
      <w:proofErr w:type="spellStart"/>
      <w:r w:rsidRPr="008C6D93">
        <w:rPr>
          <w:lang w:val="en-US"/>
        </w:rPr>
        <w:t>organisational</w:t>
      </w:r>
      <w:proofErr w:type="spellEnd"/>
      <w:r w:rsidRPr="008C6D93">
        <w:rPr>
          <w:lang w:val="en-US"/>
        </w:rPr>
        <w:t xml:space="preserve"> strengths, market-based needs, and the post-Brexit regulatory landscape, and the balance of growth opportunities and operational and strategic risks.</w:t>
      </w:r>
    </w:p>
    <w:p w14:paraId="60EC48A4" w14:textId="041BC498" w:rsidR="002F7832" w:rsidRDefault="002F7832" w:rsidP="002F7832">
      <w:pPr>
        <w:pStyle w:val="Heading2"/>
        <w:rPr>
          <w:lang w:val="en-US"/>
        </w:rPr>
      </w:pPr>
      <w:bookmarkStart w:id="25" w:name="_Toc218707751"/>
      <w:r>
        <w:rPr>
          <w:lang w:val="en-US"/>
        </w:rPr>
        <w:lastRenderedPageBreak/>
        <w:t>2.8 Conceptual Framework</w:t>
      </w:r>
      <w:bookmarkEnd w:id="25"/>
    </w:p>
    <w:p w14:paraId="79A1FBAA" w14:textId="2DDEA0DF" w:rsidR="002F7832" w:rsidRDefault="002F7832" w:rsidP="00D21E15">
      <w:pPr>
        <w:jc w:val="center"/>
        <w:rPr>
          <w:lang w:val="en-US"/>
        </w:rPr>
      </w:pPr>
      <w:r w:rsidRPr="002F7832">
        <w:rPr>
          <w:noProof/>
          <w:lang w:val="en-US"/>
        </w:rPr>
        <w:drawing>
          <wp:inline distT="0" distB="0" distL="0" distR="0" wp14:anchorId="4576CCF7" wp14:editId="0C630AFA">
            <wp:extent cx="5092700" cy="3394945"/>
            <wp:effectExtent l="0" t="0" r="0" b="0"/>
            <wp:docPr id="1448629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096961" cy="3397785"/>
                    </a:xfrm>
                    <a:prstGeom prst="rect">
                      <a:avLst/>
                    </a:prstGeom>
                    <a:noFill/>
                    <a:ln>
                      <a:noFill/>
                    </a:ln>
                  </pic:spPr>
                </pic:pic>
              </a:graphicData>
            </a:graphic>
          </wp:inline>
        </w:drawing>
      </w:r>
    </w:p>
    <w:p w14:paraId="64E8AD58" w14:textId="1CE4F18D" w:rsidR="00D21E15" w:rsidRPr="00D21E15" w:rsidRDefault="00D21E15" w:rsidP="00D21E15">
      <w:pPr>
        <w:pStyle w:val="Caption"/>
        <w:jc w:val="center"/>
        <w:rPr>
          <w:sz w:val="22"/>
          <w:szCs w:val="22"/>
          <w:lang w:val="en-US"/>
        </w:rPr>
      </w:pPr>
      <w:bookmarkStart w:id="26" w:name="_Toc218707667"/>
      <w:r w:rsidRPr="00D21E15">
        <w:rPr>
          <w:sz w:val="22"/>
          <w:szCs w:val="22"/>
        </w:rPr>
        <w:t xml:space="preserve">Figure </w:t>
      </w:r>
      <w:r w:rsidRPr="00D21E15">
        <w:rPr>
          <w:sz w:val="22"/>
          <w:szCs w:val="22"/>
        </w:rPr>
        <w:fldChar w:fldCharType="begin"/>
      </w:r>
      <w:r w:rsidRPr="00D21E15">
        <w:rPr>
          <w:sz w:val="22"/>
          <w:szCs w:val="22"/>
        </w:rPr>
        <w:instrText xml:space="preserve"> SEQ Figure \* ARABIC </w:instrText>
      </w:r>
      <w:r w:rsidRPr="00D21E15">
        <w:rPr>
          <w:sz w:val="22"/>
          <w:szCs w:val="22"/>
        </w:rPr>
        <w:fldChar w:fldCharType="separate"/>
      </w:r>
      <w:r w:rsidR="00884F2F">
        <w:rPr>
          <w:noProof/>
          <w:sz w:val="22"/>
          <w:szCs w:val="22"/>
        </w:rPr>
        <w:t>4</w:t>
      </w:r>
      <w:r w:rsidRPr="00D21E15">
        <w:rPr>
          <w:sz w:val="22"/>
          <w:szCs w:val="22"/>
        </w:rPr>
        <w:fldChar w:fldCharType="end"/>
      </w:r>
      <w:r w:rsidRPr="00D21E15">
        <w:rPr>
          <w:sz w:val="22"/>
          <w:szCs w:val="22"/>
        </w:rPr>
        <w:t xml:space="preserve"> Conceptual Framework (Author)</w:t>
      </w:r>
      <w:bookmarkEnd w:id="26"/>
    </w:p>
    <w:p w14:paraId="2D62F9FE" w14:textId="60464D0A" w:rsidR="002F7832" w:rsidRDefault="008C6D93" w:rsidP="002F7832">
      <w:pPr>
        <w:rPr>
          <w:lang w:val="en-US"/>
        </w:rPr>
      </w:pPr>
      <w:r w:rsidRPr="008C6D93">
        <w:rPr>
          <w:lang w:val="en-US"/>
        </w:rPr>
        <w:t xml:space="preserve">The conceptual framework shows how the use of digital platforms and strategic practices affect each other to affect SME </w:t>
      </w:r>
      <w:proofErr w:type="spellStart"/>
      <w:r w:rsidRPr="008C6D93">
        <w:rPr>
          <w:lang w:val="en-US"/>
        </w:rPr>
        <w:t>internationalisation</w:t>
      </w:r>
      <w:proofErr w:type="spellEnd"/>
      <w:r w:rsidRPr="008C6D93">
        <w:rPr>
          <w:lang w:val="en-US"/>
        </w:rPr>
        <w:t xml:space="preserve"> in the post-Brexit environment. One of the enablers that create an extended market reach, lower business operational expenses, and improve customer interaction across borders is digital platforms (e-commerce websites, social media, and B2B markets). The effectiveness of SMEs in the </w:t>
      </w:r>
      <w:proofErr w:type="spellStart"/>
      <w:r w:rsidRPr="008C6D93">
        <w:rPr>
          <w:lang w:val="en-US"/>
        </w:rPr>
        <w:t>utilisation</w:t>
      </w:r>
      <w:proofErr w:type="spellEnd"/>
      <w:r w:rsidRPr="008C6D93">
        <w:rPr>
          <w:lang w:val="en-US"/>
        </w:rPr>
        <w:t xml:space="preserve"> of these digital tools to ensure sustainable growth internationally depends on strategic approaches, such as digital marketing, partnership, and integrating the platform. The regulatory change, tariffs and supply chain disruption as post Brexit challenges are moderating factors that determine the strength and direction of these relationships because they force SMEs to change and become digital. Finally, the framework implies that by integrating digital platforms with strategic practices successfully, SMEs may remove post-Brexit obstacles to realise a better market coverage, cost-effectiveness, and global customer connectivity</w:t>
      </w:r>
      <w:r w:rsidR="002F7832" w:rsidRPr="002F7832">
        <w:rPr>
          <w:lang w:val="en-US"/>
        </w:rPr>
        <w:t>.</w:t>
      </w:r>
    </w:p>
    <w:p w14:paraId="780CDF29" w14:textId="5194C88B" w:rsidR="002F7832" w:rsidRDefault="002F7832" w:rsidP="002F7832">
      <w:pPr>
        <w:pStyle w:val="Heading2"/>
        <w:rPr>
          <w:lang w:val="en-US"/>
        </w:rPr>
      </w:pPr>
      <w:bookmarkStart w:id="27" w:name="_Toc218707752"/>
      <w:r>
        <w:rPr>
          <w:lang w:val="en-US"/>
        </w:rPr>
        <w:t>2.9 Conclusion</w:t>
      </w:r>
      <w:bookmarkEnd w:id="27"/>
    </w:p>
    <w:p w14:paraId="50E291C0" w14:textId="03752A78" w:rsidR="006F173A" w:rsidRDefault="00067DAE">
      <w:pPr>
        <w:spacing w:before="0" w:after="0"/>
        <w:rPr>
          <w:lang w:val="en-US"/>
        </w:rPr>
      </w:pPr>
      <w:r w:rsidRPr="00067DAE">
        <w:t>Overall, the literature suggests that in the post-Brexit environment SME internationalisation relies on digital platforms as they allow reaching the market, being cost-efficient, engaging with customers, and innovating business models via e-</w:t>
      </w:r>
      <w:r w:rsidRPr="00067DAE">
        <w:lastRenderedPageBreak/>
        <w:t xml:space="preserve">commerce, social media, and B2B marketplaces. The digital marketing, partnering and platform integration are other strategic practises that support international expansion, and the frameworks that describe the interaction between digital capabilities and organisational resources to support expansion include the Uppsala model, the Resource-Based View, the network theory and the Technology Acceptance Model. Nevertheless, there is still no empirical data on the specific ways in which UK SMEs utilise digital platforms to address post-Brexit regulatory and trade barriers, and comparative evaluations of various platforms and strategies. The shortage of integrated studies that can combine contextual factors after Brexit and the results of digital adoption and internationalisation highlights the necessity of a systematic synthesis to inform theory and practise. </w:t>
      </w:r>
      <w:r w:rsidR="006F173A">
        <w:rPr>
          <w:lang w:val="en-US"/>
        </w:rPr>
        <w:br w:type="page"/>
      </w:r>
    </w:p>
    <w:p w14:paraId="5626730E" w14:textId="77777777" w:rsidR="004E5AB8" w:rsidRDefault="004E5AB8" w:rsidP="004E5AB8">
      <w:pPr>
        <w:pStyle w:val="Heading1"/>
        <w:rPr>
          <w:lang w:val="en-GB"/>
        </w:rPr>
      </w:pPr>
      <w:bookmarkStart w:id="28" w:name="_Toc218707753"/>
      <w:r>
        <w:rPr>
          <w:lang w:val="en-GB"/>
        </w:rPr>
        <w:lastRenderedPageBreak/>
        <w:t>CHAPTER 3: RESEARCH METHODOLOGY</w:t>
      </w:r>
      <w:bookmarkEnd w:id="28"/>
    </w:p>
    <w:p w14:paraId="095D84B8" w14:textId="77777777" w:rsidR="00C52467" w:rsidRDefault="00C52467" w:rsidP="00C52467">
      <w:pPr>
        <w:pStyle w:val="Heading2"/>
        <w:spacing w:line="360" w:lineRule="auto"/>
        <w:jc w:val="left"/>
      </w:pPr>
      <w:bookmarkStart w:id="29" w:name="_Toc218707754"/>
      <w:r w:rsidRPr="00C52467">
        <w:t>3.1</w:t>
      </w:r>
      <w:r w:rsidRPr="00C52467">
        <w:t> </w:t>
      </w:r>
      <w:r w:rsidRPr="00C52467">
        <w:t>Introduction</w:t>
      </w:r>
      <w:bookmarkEnd w:id="29"/>
    </w:p>
    <w:p w14:paraId="457B1357" w14:textId="0E493774" w:rsidR="00C52467" w:rsidRDefault="008C6D93" w:rsidP="00C52467">
      <w:pPr>
        <w:rPr>
          <w:lang w:val="en-US"/>
        </w:rPr>
      </w:pPr>
      <w:r w:rsidRPr="008C6D93">
        <w:rPr>
          <w:lang w:val="en-US"/>
        </w:rPr>
        <w:t xml:space="preserve">Research methodology is the systematic design that regulates the manner in which a study is designed and carried and assessed. It describes philosophical assumptions, research design, approaches and procedures on which the investigation is based. The chapter provides the methodological basis of the research by outlining the research philosophy, its general structure, and the approach used. It also describes the data gathering procedures that were used in the systematic review such as data sources, search methods, eligibility, selection of studies, data extraction, quality evaluation and data synthesis. Ethical and methodological issues are also considered to guarantee transparency, </w:t>
      </w:r>
      <w:proofErr w:type="spellStart"/>
      <w:r w:rsidRPr="008C6D93">
        <w:rPr>
          <w:lang w:val="en-US"/>
        </w:rPr>
        <w:t>rigour</w:t>
      </w:r>
      <w:proofErr w:type="spellEnd"/>
      <w:r w:rsidRPr="008C6D93">
        <w:rPr>
          <w:lang w:val="en-US"/>
        </w:rPr>
        <w:t xml:space="preserve"> and credibility of the research process</w:t>
      </w:r>
      <w:r w:rsidR="00C52467" w:rsidRPr="004E5AB8">
        <w:rPr>
          <w:lang w:val="en-US"/>
        </w:rPr>
        <w:t>.</w:t>
      </w:r>
    </w:p>
    <w:p w14:paraId="4010796A" w14:textId="0034B15B" w:rsidR="00C52467" w:rsidRDefault="00C52467" w:rsidP="00C52467">
      <w:pPr>
        <w:pStyle w:val="Heading2"/>
      </w:pPr>
      <w:bookmarkStart w:id="30" w:name="_Toc218707755"/>
      <w:r w:rsidRPr="00C52467">
        <w:t>3.2</w:t>
      </w:r>
      <w:r w:rsidRPr="00C52467">
        <w:t> </w:t>
      </w:r>
      <w:r w:rsidRPr="00C52467">
        <w:t>Research Philosophies and Assumptions</w:t>
      </w:r>
      <w:bookmarkEnd w:id="30"/>
    </w:p>
    <w:p w14:paraId="609D3534" w14:textId="77777777" w:rsidR="008C6D93" w:rsidRPr="008C6D93" w:rsidRDefault="008C6D93" w:rsidP="008C6D93">
      <w:pPr>
        <w:rPr>
          <w:lang w:val="en-US"/>
        </w:rPr>
      </w:pPr>
      <w:r w:rsidRPr="008C6D93">
        <w:rPr>
          <w:lang w:val="en-US"/>
        </w:rPr>
        <w:t xml:space="preserve">Research philosophy is a collection of beliefs and assumptions that determine the manner in which knowledge is produced, understood, and confirmed in a research (Tsang, 2016). It defines the questioning methodology, which influences the choice of research methods, methods of data collection and analysis. In this study, where the authors investigate the contribution of digital platforms to the </w:t>
      </w:r>
      <w:proofErr w:type="spellStart"/>
      <w:r w:rsidRPr="008C6D93">
        <w:rPr>
          <w:lang w:val="en-US"/>
        </w:rPr>
        <w:t>internationalisation</w:t>
      </w:r>
      <w:proofErr w:type="spellEnd"/>
      <w:r w:rsidRPr="008C6D93">
        <w:rPr>
          <w:lang w:val="en-US"/>
        </w:rPr>
        <w:t xml:space="preserve"> of UK SMEs after Brexit, a pragmatic research philosophy has been chosen. Pragmatism is concerned with viable solutions to the problems of the real world, when the results and the utility of knowledge are </w:t>
      </w:r>
      <w:proofErr w:type="spellStart"/>
      <w:r w:rsidRPr="008C6D93">
        <w:rPr>
          <w:lang w:val="en-US"/>
        </w:rPr>
        <w:t>prioritised</w:t>
      </w:r>
      <w:proofErr w:type="spellEnd"/>
      <w:r w:rsidRPr="008C6D93">
        <w:rPr>
          <w:lang w:val="en-US"/>
        </w:rPr>
        <w:t xml:space="preserve"> over the merely theoretical or positive thinking (Tsang, 2016; Boland, Cherry and Dickson, 2017). The method enables the incorporation of differentiating evidence, which comes in various sources, quantitative and qualitative intuition that are used to formulate an all-encompassing view of the phenomena in the study area.</w:t>
      </w:r>
    </w:p>
    <w:p w14:paraId="0A0EEAFA" w14:textId="77777777" w:rsidR="008C6D93" w:rsidRPr="008C6D93" w:rsidRDefault="008C6D93" w:rsidP="008C6D93">
      <w:pPr>
        <w:rPr>
          <w:lang w:val="en-US"/>
        </w:rPr>
      </w:pPr>
      <w:r w:rsidRPr="008C6D93">
        <w:rPr>
          <w:lang w:val="en-US"/>
        </w:rPr>
        <w:t xml:space="preserve">The research is made under the ontological premise that context-specific and multifaceted reality the experiences of SMEs with digital platforms are determined by the post-Brexit regulatory, economic, and technological environments. As a result, there are numerous views on the potential, obstacles, and plans that relate to digital platforms on </w:t>
      </w:r>
      <w:proofErr w:type="spellStart"/>
      <w:r w:rsidRPr="008C6D93">
        <w:rPr>
          <w:lang w:val="en-US"/>
        </w:rPr>
        <w:t>internationalisation</w:t>
      </w:r>
      <w:proofErr w:type="spellEnd"/>
      <w:r w:rsidRPr="008C6D93">
        <w:rPr>
          <w:lang w:val="en-US"/>
        </w:rPr>
        <w:t xml:space="preserve">. Epistemologically, this research presumes that valid knowledge about these phenomena could be obtained through a rigorous study of the literature and existing empirical studies that are systematic. Particularly, systematic </w:t>
      </w:r>
      <w:r w:rsidRPr="008C6D93">
        <w:rPr>
          <w:lang w:val="en-US"/>
        </w:rPr>
        <w:lastRenderedPageBreak/>
        <w:t xml:space="preserve">reviews offer a methodologically sound system to incorporate the results of the studies, hence generating trustworthy and </w:t>
      </w:r>
      <w:proofErr w:type="spellStart"/>
      <w:r w:rsidRPr="008C6D93">
        <w:rPr>
          <w:lang w:val="en-US"/>
        </w:rPr>
        <w:t>generalisable</w:t>
      </w:r>
      <w:proofErr w:type="spellEnd"/>
      <w:r w:rsidRPr="008C6D93">
        <w:rPr>
          <w:lang w:val="en-US"/>
        </w:rPr>
        <w:t xml:space="preserve"> results (Cooper, 1984; Gough, Oliver and Thomas, 2017).</w:t>
      </w:r>
    </w:p>
    <w:p w14:paraId="79593F8D" w14:textId="77777777" w:rsidR="008C6D93" w:rsidRPr="008C6D93" w:rsidRDefault="008C6D93" w:rsidP="008C6D93">
      <w:pPr>
        <w:rPr>
          <w:lang w:val="en-US"/>
        </w:rPr>
      </w:pPr>
      <w:r w:rsidRPr="008C6D93">
        <w:rPr>
          <w:lang w:val="en-US"/>
        </w:rPr>
        <w:t xml:space="preserve">Methodological flexibility is also supported by the pragmatic philosophy that allows the research to take the systematic review approach, but answer both descriptive and explanatory research questions. This is in line with the objective of the research inquiry that aims at not only knowing what digital platforms contribute to SME </w:t>
      </w:r>
      <w:proofErr w:type="spellStart"/>
      <w:r w:rsidRPr="008C6D93">
        <w:rPr>
          <w:lang w:val="en-US"/>
        </w:rPr>
        <w:t>internationalisation</w:t>
      </w:r>
      <w:proofErr w:type="spellEnd"/>
      <w:r w:rsidRPr="008C6D93">
        <w:rPr>
          <w:lang w:val="en-US"/>
        </w:rPr>
        <w:t xml:space="preserve"> but how and why these digital platforms contribute to expansion given the post-Brexit environment. Placing the study in the pragmatic school of thought, the study rationale is the presence of various types of data, search methods, and analytical approaches to take a comprehensive picture of the SME experiences and strategies (Afifi, Stryhn and Sánchez, 2023; Foster and Jewell, 2017).</w:t>
      </w:r>
    </w:p>
    <w:p w14:paraId="7E2B81FE" w14:textId="70524440" w:rsidR="00371054" w:rsidRPr="00371054" w:rsidRDefault="008C6D93" w:rsidP="008C6D93">
      <w:pPr>
        <w:rPr>
          <w:lang w:val="en-US"/>
        </w:rPr>
      </w:pPr>
      <w:r w:rsidRPr="008C6D93">
        <w:rPr>
          <w:lang w:val="en-US"/>
        </w:rPr>
        <w:t xml:space="preserve">Lastly, the assumptions, which form the basis of this research underline transparency, reliability and ethical integrity. The researchers assume that credible knowledge may be produced based on the systematic and ethically informed processes that comply with the requirements of the research conduct and integrity (Suri, 2020; UWTSD, 2022; Wager and Wiffen, 2011; Shaheen </w:t>
      </w:r>
      <w:r w:rsidR="00067DAE" w:rsidRPr="00067DAE">
        <w:rPr>
          <w:i/>
          <w:iCs/>
          <w:lang w:val="en-US"/>
        </w:rPr>
        <w:t>et al</w:t>
      </w:r>
      <w:r w:rsidRPr="008C6D93">
        <w:rPr>
          <w:lang w:val="en-US"/>
        </w:rPr>
        <w:t xml:space="preserve">., 2023). These philosophical premises and assumptions are explicitly mentioned, which makes the study present a rational explanation of its methodological decisions that allow making the findings credible and applicable in both academic and practical terms in the environment of UK SME </w:t>
      </w:r>
      <w:proofErr w:type="spellStart"/>
      <w:r w:rsidRPr="008C6D93">
        <w:rPr>
          <w:lang w:val="en-US"/>
        </w:rPr>
        <w:t>internationalisation</w:t>
      </w:r>
      <w:proofErr w:type="spellEnd"/>
      <w:r w:rsidRPr="008C6D93">
        <w:rPr>
          <w:lang w:val="en-US"/>
        </w:rPr>
        <w:t xml:space="preserve"> after Brexit</w:t>
      </w:r>
      <w:r w:rsidR="00371054" w:rsidRPr="00371054">
        <w:rPr>
          <w:lang w:val="en-US"/>
        </w:rPr>
        <w:t>.</w:t>
      </w:r>
    </w:p>
    <w:p w14:paraId="4A36C6EC" w14:textId="2ED88445" w:rsidR="00C52467" w:rsidRDefault="00C52467" w:rsidP="00C52467">
      <w:pPr>
        <w:pStyle w:val="Heading2"/>
        <w:spacing w:line="276" w:lineRule="auto"/>
        <w:jc w:val="left"/>
      </w:pPr>
      <w:bookmarkStart w:id="31" w:name="_Toc218707756"/>
      <w:r w:rsidRPr="00C52467">
        <w:t>3.3</w:t>
      </w:r>
      <w:r w:rsidRPr="00C52467">
        <w:t> </w:t>
      </w:r>
      <w:r w:rsidRPr="00C52467">
        <w:t>Research Design</w:t>
      </w:r>
      <w:bookmarkEnd w:id="31"/>
    </w:p>
    <w:p w14:paraId="67DB2639" w14:textId="77777777" w:rsidR="008C6D93" w:rsidRDefault="008C6D93" w:rsidP="008C6D93">
      <w:r>
        <w:t xml:space="preserve">Research design is the general approach and plan upon which </w:t>
      </w:r>
      <w:proofErr w:type="gramStart"/>
      <w:r>
        <w:t>a research</w:t>
      </w:r>
      <w:proofErr w:type="gramEnd"/>
      <w:r>
        <w:t xml:space="preserve"> is done so that the research questions are answered in a systematic manner, and that the data gathered are related, dependable, and credible (Boland, Cherry and Dickson, 2017). It gives a sketch of the whole research process, which directs the choice of approaches, the framework of data collection, and the approaches of data synthesis. To carry out this research to examine how digital platforms can help the UK SMEs with their international business expansion after the Brexit, the systematic review research design has been applied. This type of design is especially suitable since it will enable integrating results of various empirical and theoretical research to gain unbiased </w:t>
      </w:r>
      <w:r>
        <w:lastRenderedPageBreak/>
        <w:t>comprehensive insights into the complicated phenomena (Cooper, 1984; Gough, Oliver and Thomas, 2017).</w:t>
      </w:r>
    </w:p>
    <w:p w14:paraId="5D5635C4" w14:textId="726676E4" w:rsidR="008C6D93" w:rsidRDefault="008C6D93" w:rsidP="008C6D93">
      <w:r>
        <w:t xml:space="preserve">A systematic review design adheres to a clear, transparent and reproducible procedure, comprising of clear objectives, explicit eligibility requirements, rigorous search strategies and systematic data extraction and synthesis methods (Page </w:t>
      </w:r>
      <w:r w:rsidR="00067DAE" w:rsidRPr="00067DAE">
        <w:rPr>
          <w:i/>
          <w:iCs/>
        </w:rPr>
        <w:t>et al</w:t>
      </w:r>
      <w:r>
        <w:t>., 2021; Afifi, Stryhn and Sánchez, 2023). It is the best method to use in the present study because it enables the consolidation of data on the topic of how the digital platforms are utilized by the UK SMEs, the opportunities and challenges presented by them, and the approaches taken to ensure a successful internationalisation process in the post-Brexit environment. In contrast to narrative reviews, systematic reviews minimize subjectivity because they use pre-defined procedures, which boost credibility, reliability, and reproducibility of the evidence (Foster and Jewell, 2017; Boland, Cherry and Dickson, 2017).</w:t>
      </w:r>
    </w:p>
    <w:p w14:paraId="4F5990F8" w14:textId="77777777" w:rsidR="008C6D93" w:rsidRDefault="008C6D93" w:rsidP="008C6D93">
      <w:r>
        <w:t>This research design is also developed in a way that helps in supporting the pragmatic research philosophy which will allow the study to combine any available evidence to provide both qualitative and quantitative evidence. As an illustration, quantitative data of case studies or surveys on the performance of platform adoption and international expansion may be synthesised with the information about qualitative insights concerning strategic practices, managerial experiences, and contextual issues (</w:t>
      </w:r>
      <w:proofErr w:type="spellStart"/>
      <w:r>
        <w:t>Gusenbauer</w:t>
      </w:r>
      <w:proofErr w:type="spellEnd"/>
      <w:r>
        <w:t xml:space="preserve"> and </w:t>
      </w:r>
      <w:proofErr w:type="spellStart"/>
      <w:r>
        <w:t>Gauster</w:t>
      </w:r>
      <w:proofErr w:type="spellEnd"/>
      <w:r>
        <w:t>, 2024; Afifi, Stryhn and Sánchez, 2023). This combination of evidence will assure that the study will not just focus on the quantifiable effects of the digital platforms but also hone in on the intangible, context-specific experiences of the SMEs operating in the circumstances of post-Brexit trading.</w:t>
      </w:r>
    </w:p>
    <w:p w14:paraId="3A1B6218" w14:textId="05B9E86F" w:rsidR="008C6D93" w:rsidRDefault="008C6D93" w:rsidP="008C6D93">
      <w:r>
        <w:t xml:space="preserve">In order to operationalise this design, the study defines a well-defined procedure of literature identification, screening and analysis so that all the studies that are included in the study satisfy the required quality and relevance requirements. This involves identification of sources of information, search terms, inclusion and exclusion criteria, and study selection, data mining, and quality evaluation (Higgins and Green, 2019; Shaheen </w:t>
      </w:r>
      <w:r w:rsidR="00067DAE" w:rsidRPr="00067DAE">
        <w:rPr>
          <w:i/>
          <w:iCs/>
        </w:rPr>
        <w:t>et al</w:t>
      </w:r>
      <w:r>
        <w:t xml:space="preserve">., 2023). Following the established standards like PRISMA 2020, the design ensures the presence of transparency and rigour in the methodology that enable the possibility of replicating and verifying the results by other researchers (Page </w:t>
      </w:r>
      <w:r w:rsidR="00067DAE" w:rsidRPr="00067DAE">
        <w:rPr>
          <w:i/>
          <w:iCs/>
        </w:rPr>
        <w:t>et al</w:t>
      </w:r>
      <w:r>
        <w:t>., 2021).</w:t>
      </w:r>
    </w:p>
    <w:p w14:paraId="644CCD3A" w14:textId="239CCD98" w:rsidR="00AE49B8" w:rsidRDefault="008C6D93" w:rsidP="008C6D93">
      <w:r>
        <w:lastRenderedPageBreak/>
        <w:t>In general, the systematic review design, in its turn, offers a rigorous, well-structured, and replicable research methodology that conforms to the pragmatic philosophy of the research and its purpose. It aids in assimilating a wide range of evidence, allows making sound conclusions regarding the contribution to the role of digital platforms to SME internationalisation, and makes the findings relevant to both theoretical and practical use in a post-Brexit context (Cooper, 1984; Boland, Cherry and Dickson, 2017; Suri, 2020).</w:t>
      </w:r>
    </w:p>
    <w:p w14:paraId="1DF1D825" w14:textId="77777777" w:rsidR="00AE49B8" w:rsidRDefault="00C52467" w:rsidP="00AE49B8">
      <w:pPr>
        <w:pStyle w:val="Heading2"/>
      </w:pPr>
      <w:bookmarkStart w:id="32" w:name="_Toc218707757"/>
      <w:r w:rsidRPr="00C52467">
        <w:t>3.4</w:t>
      </w:r>
      <w:r w:rsidRPr="00C52467">
        <w:t> </w:t>
      </w:r>
      <w:r w:rsidRPr="00C52467">
        <w:t>Research Approaches</w:t>
      </w:r>
      <w:bookmarkEnd w:id="32"/>
    </w:p>
    <w:p w14:paraId="200E25CB" w14:textId="77777777" w:rsidR="008C6D93" w:rsidRDefault="008C6D93" w:rsidP="008C6D93">
      <w:r>
        <w:t>Research methodology defines the connection between theory and evidence, as it provides the way of how the data is converted into conclusions (Tsang, 2016). In this study, the abductive research approach has been approached, which permits the interaction of the available theoretical frameworks and empirical data to produce an insight into the digital platform-facilitated internationalisation of UK SMEs in the post-Brexit scenario. Contrary to a purely deductive approach, which may test hypotheses which were formulated based on a theory; or a purely inductive approach, which may develop theory based on data only, abduction mixes the two: it may interpret data in terms of existing theories, but is also open to additional patterns and explanations (Tsang, 2016; Boland, Cherry and Dickson, 2017).</w:t>
      </w:r>
    </w:p>
    <w:p w14:paraId="59CCA175" w14:textId="50EF0381" w:rsidR="008C6D93" w:rsidRDefault="008C6D93" w:rsidP="008C6D93">
      <w:r>
        <w:t xml:space="preserve">This method is very similar to the theoretical bases discussed in Section 2.3. Conceptual lenses that can be used to understand the mechanisms and strategies that SMEs have when adjusting digital environment to international expansion are the Uppsala Internationalisation Model, Resource-Based View (RBV), Network Theory and the Technology Acceptance Model (TAM). Using these frameworks abductively, one will be able to not only confirm something about the current theory, like gradual knowledge accumulation highlighted by the Uppsala model or the strategic value of resources by the RBV, but also to investigate something new, like the accelerated market input brought by digital platforms or the way networks are formed in a post-Brexit environment (Vahlne, 2020; El </w:t>
      </w:r>
      <w:proofErr w:type="spellStart"/>
      <w:r>
        <w:t>Nemar</w:t>
      </w:r>
      <w:proofErr w:type="spellEnd"/>
      <w:r>
        <w:t xml:space="preserve"> </w:t>
      </w:r>
      <w:r w:rsidR="00067DAE" w:rsidRPr="00067DAE">
        <w:rPr>
          <w:i/>
          <w:iCs/>
        </w:rPr>
        <w:t>et al</w:t>
      </w:r>
      <w:r>
        <w:t xml:space="preserve">., 2022; Cuypers </w:t>
      </w:r>
      <w:r w:rsidR="00067DAE" w:rsidRPr="00067DAE">
        <w:rPr>
          <w:i/>
          <w:iCs/>
        </w:rPr>
        <w:t>et al</w:t>
      </w:r>
      <w:r>
        <w:t xml:space="preserve">., 2020; Rahman </w:t>
      </w:r>
      <w:r w:rsidR="00067DAE" w:rsidRPr="00067DAE">
        <w:rPr>
          <w:i/>
          <w:iCs/>
        </w:rPr>
        <w:t>et al</w:t>
      </w:r>
      <w:r>
        <w:t>., 2019).</w:t>
      </w:r>
    </w:p>
    <w:p w14:paraId="2C2879C7" w14:textId="160D041A" w:rsidR="008C6D93" w:rsidRDefault="008C6D93" w:rsidP="008C6D93">
      <w:r>
        <w:t xml:space="preserve">The systematic review research design is especially appropriate in an abductive approach since many types of evidence can be synthesized. The interpretation of the empirical studies, case reports, and theoretical analyses may be presented in the </w:t>
      </w:r>
      <w:r>
        <w:lastRenderedPageBreak/>
        <w:t>framework of existing theories and, at the same time, find the patterns, gaps, or contradictions which narrow the knowledge. As an illustration, the dynamics of adoption revealed via TAM may be discussed concerning the resource strategies derived in accordance with the RBV and the network development practices, which exposes the way in which SMEs combine various mechanisms in practice (Afifi, Stryhn and Sánchez, 2023; Gough, Oliver and Thomas, 2017).</w:t>
      </w:r>
    </w:p>
    <w:p w14:paraId="27D49FC9" w14:textId="77777777" w:rsidR="008C6D93" w:rsidRDefault="008C6D93" w:rsidP="008C6D93">
      <w:r>
        <w:t>Moreover, the abductive methodology endorses the pragmatic philosophy of the study (Section 3.2), which focuses on the practical use of the findings to SMEs that operate in the post-Brexit international markets. The research, through the integration of both theoretical arguments and empirical data, produces practical implications regarding the most successful digital platforms, strategies, and practices, and can also add to the academic knowledge of the processes of internationalisation in digitally mediated contexts (Boland, Cherry and Dickson, 2017; Foster and Jewell, 2017).</w:t>
      </w:r>
    </w:p>
    <w:p w14:paraId="3A613102" w14:textId="3827B88A" w:rsidR="00A91041" w:rsidRDefault="008C6D93" w:rsidP="008C6D93">
      <w:r>
        <w:t>On the whole, an abductive approach will help to make the study theoretically informed, but empirically responsive so that it could gain a comprehensive and contextual perception of the role of digital platforms in UK SME internationalisation post-Brexit</w:t>
      </w:r>
      <w:r w:rsidR="00A91041">
        <w:t>.</w:t>
      </w:r>
    </w:p>
    <w:p w14:paraId="7660B4C2" w14:textId="7A62C65F" w:rsidR="00C52467" w:rsidRDefault="00C52467" w:rsidP="00A91041">
      <w:pPr>
        <w:pStyle w:val="Heading2"/>
        <w:spacing w:line="276" w:lineRule="auto"/>
        <w:jc w:val="left"/>
      </w:pPr>
      <w:bookmarkStart w:id="33" w:name="_Toc218707758"/>
      <w:r w:rsidRPr="00C52467">
        <w:t>3.5</w:t>
      </w:r>
      <w:r w:rsidRPr="00C52467">
        <w:t> </w:t>
      </w:r>
      <w:r w:rsidRPr="00C52467">
        <w:t>Data Collection Methods</w:t>
      </w:r>
      <w:bookmarkEnd w:id="33"/>
    </w:p>
    <w:p w14:paraId="1FB3141F" w14:textId="7936CB73" w:rsidR="00A91041" w:rsidRDefault="008C6D93" w:rsidP="00A91041">
      <w:pPr>
        <w:rPr>
          <w:b/>
        </w:rPr>
      </w:pPr>
      <w:r w:rsidRPr="008C6D93">
        <w:t xml:space="preserve">This research takes a secondary method of data collection, which uses the already existing literature and empirical research instead of actual data collection. The methodology is aligned with the systematic review research design and enables the study to generalise the evidence on the role of digital platforms in the UK SME internationalisation after Brexit (Boland, Cherry and Dickson, 2017; Gough, Oliver and Thomas, 2017). The study will be methodologically rigorous, transparent, and efficient by examining peer-reviewed articles, reports, and relevant case studies, and will also offer a general overview of the current knowledge, best practices, challenges, and strategies in the digital internationalisation of SMEs (Afifi, Stryhn and Sánchez, 2023; Page </w:t>
      </w:r>
      <w:r w:rsidR="00067DAE" w:rsidRPr="00067DAE">
        <w:rPr>
          <w:i/>
          <w:iCs/>
        </w:rPr>
        <w:t>et al</w:t>
      </w:r>
      <w:r w:rsidRPr="008C6D93">
        <w:t>., 2021).</w:t>
      </w:r>
    </w:p>
    <w:p w14:paraId="5AE42345" w14:textId="29C010F4" w:rsidR="00C52467" w:rsidRDefault="00C52467" w:rsidP="00A91041">
      <w:pPr>
        <w:pStyle w:val="Heading2"/>
      </w:pPr>
      <w:bookmarkStart w:id="34" w:name="_Toc218707759"/>
      <w:r w:rsidRPr="00C52467">
        <w:t>3.5.1</w:t>
      </w:r>
      <w:r w:rsidRPr="00C52467">
        <w:t> </w:t>
      </w:r>
      <w:r w:rsidRPr="00C52467">
        <w:t>Information Sources and Search Strategy</w:t>
      </w:r>
      <w:bookmarkEnd w:id="34"/>
    </w:p>
    <w:p w14:paraId="332405BC" w14:textId="77777777" w:rsidR="008C6D93" w:rsidRDefault="008C6D93" w:rsidP="008C6D93">
      <w:r>
        <w:t xml:space="preserve">The sources of information used in this study included Scopus and Google Scholar since they include a large amount of peer-reviewed academic work and other industry </w:t>
      </w:r>
      <w:r>
        <w:lastRenderedPageBreak/>
        <w:t>reports offering practical information on the process of internationalisation of SMEs and their adoption of digital platforms. They have been selected to make sure the high-quality, reliable, and modern-day evidence applicable and relevant to the post-Brexit setting is provided (</w:t>
      </w:r>
      <w:proofErr w:type="spellStart"/>
      <w:r>
        <w:t>Gusenbauer</w:t>
      </w:r>
      <w:proofErr w:type="spellEnd"/>
      <w:r>
        <w:t xml:space="preserve"> and </w:t>
      </w:r>
      <w:proofErr w:type="spellStart"/>
      <w:r>
        <w:t>Gauster</w:t>
      </w:r>
      <w:proofErr w:type="spellEnd"/>
      <w:r>
        <w:t>, 2024; Foster and Jewell, 2017).</w:t>
      </w:r>
    </w:p>
    <w:p w14:paraId="07FCCF59" w14:textId="0586CFF0" w:rsidR="008C6D93" w:rsidRDefault="008C6D93" w:rsidP="008C6D93">
      <w:r>
        <w:t xml:space="preserve">The search was conducted based on a systematic search strategy with carefully selected keywords that were used in conjunction with Boolean operators (AND, OR, NOT) to narrow down and widen the search results. Among the keywords, there were terms associated with the UK SMEs, digital platforms, internationalisation, post-Brexit, e-commerce, and cross-border expansion. The Boolean operators helped to find studies covering various issues of the research questions, which is inclusive and relevant at the same time (Afifi, Stryhn and Sánchez, 2023; Page </w:t>
      </w:r>
      <w:r w:rsidR="00067DAE" w:rsidRPr="00067DAE">
        <w:rPr>
          <w:i/>
          <w:iCs/>
        </w:rPr>
        <w:t>et al</w:t>
      </w:r>
      <w:r>
        <w:t>., 2021).</w:t>
      </w:r>
    </w:p>
    <w:p w14:paraId="07613D32" w14:textId="25093233" w:rsidR="00A91041" w:rsidRPr="00A91041" w:rsidRDefault="008C6D93" w:rsidP="008C6D93">
      <w:r>
        <w:t>Peer-reviewed articles and other reliable reports about the industry were only included to ensure credibility, validity, and reliability of the data. Such combination of scholarly and practical literature guarantees that the review considers both theoretical and applied aspects of how digital platforms can facilitate the growth of UK SMEs into the international market in the post-Brexit environment (Boland, Cherry and Dickson, 2017; Cooper, 1984).</w:t>
      </w:r>
    </w:p>
    <w:p w14:paraId="4D7E6C43" w14:textId="5A8763E3" w:rsidR="00C52467" w:rsidRDefault="00C52467" w:rsidP="00A91041">
      <w:pPr>
        <w:pStyle w:val="Heading2"/>
      </w:pPr>
      <w:bookmarkStart w:id="35" w:name="_Toc218707760"/>
      <w:r w:rsidRPr="00A91041">
        <w:t>3.5.2</w:t>
      </w:r>
      <w:r w:rsidRPr="00A91041">
        <w:t> </w:t>
      </w:r>
      <w:r w:rsidRPr="00A91041">
        <w:t>Eligibility Criteria</w:t>
      </w:r>
      <w:bookmarkEnd w:id="35"/>
    </w:p>
    <w:p w14:paraId="1234574E" w14:textId="019C4CE0" w:rsidR="00A91041" w:rsidRDefault="008C6D93" w:rsidP="00A91041">
      <w:r w:rsidRPr="008C6D93">
        <w:t xml:space="preserve">In order to make certain that the systematic review included the relevant and high-quality studies, the eligibility criteria were identified. These criteria were used to select and exclude studies according to relevance, quality, and suitability to the research questions of how digital platforms can help UK SMEs to go global after Brexit (Boland, Cherry and Dickson, 2017; Page </w:t>
      </w:r>
      <w:r w:rsidR="00067DAE" w:rsidRPr="00067DAE">
        <w:rPr>
          <w:i/>
          <w:iCs/>
        </w:rPr>
        <w:t>et al</w:t>
      </w:r>
      <w:r w:rsidRPr="008C6D93">
        <w:t>., 2021).</w:t>
      </w:r>
    </w:p>
    <w:p w14:paraId="16C5D876" w14:textId="6DB49791" w:rsidR="003F5EBC" w:rsidRPr="003F5EBC" w:rsidRDefault="003F5EBC" w:rsidP="003F5EBC">
      <w:pPr>
        <w:pStyle w:val="Caption"/>
        <w:rPr>
          <w:b/>
          <w:bCs/>
          <w:sz w:val="22"/>
          <w:szCs w:val="22"/>
        </w:rPr>
      </w:pPr>
      <w:bookmarkStart w:id="36" w:name="_Toc218707712"/>
      <w:r w:rsidRPr="003F5EBC">
        <w:rPr>
          <w:b/>
          <w:bCs/>
          <w:sz w:val="22"/>
          <w:szCs w:val="22"/>
        </w:rPr>
        <w:t xml:space="preserve">Table </w:t>
      </w:r>
      <w:r w:rsidRPr="003F5EBC">
        <w:rPr>
          <w:b/>
          <w:bCs/>
          <w:sz w:val="22"/>
          <w:szCs w:val="22"/>
        </w:rPr>
        <w:fldChar w:fldCharType="begin"/>
      </w:r>
      <w:r w:rsidRPr="003F5EBC">
        <w:rPr>
          <w:b/>
          <w:bCs/>
          <w:sz w:val="22"/>
          <w:szCs w:val="22"/>
        </w:rPr>
        <w:instrText xml:space="preserve"> SEQ Table \* ARABIC </w:instrText>
      </w:r>
      <w:r w:rsidRPr="003F5EBC">
        <w:rPr>
          <w:b/>
          <w:bCs/>
          <w:sz w:val="22"/>
          <w:szCs w:val="22"/>
        </w:rPr>
        <w:fldChar w:fldCharType="separate"/>
      </w:r>
      <w:r w:rsidRPr="003F5EBC">
        <w:rPr>
          <w:b/>
          <w:bCs/>
          <w:noProof/>
          <w:sz w:val="22"/>
          <w:szCs w:val="22"/>
        </w:rPr>
        <w:t>1</w:t>
      </w:r>
      <w:r w:rsidRPr="003F5EBC">
        <w:rPr>
          <w:b/>
          <w:bCs/>
          <w:sz w:val="22"/>
          <w:szCs w:val="22"/>
        </w:rPr>
        <w:fldChar w:fldCharType="end"/>
      </w:r>
      <w:r w:rsidRPr="003F5EBC">
        <w:rPr>
          <w:b/>
          <w:bCs/>
          <w:sz w:val="22"/>
          <w:szCs w:val="22"/>
        </w:rPr>
        <w:t xml:space="preserve"> Eligibility Criteria for Article Selection</w:t>
      </w:r>
      <w:bookmarkEnd w:id="36"/>
    </w:p>
    <w:tbl>
      <w:tblPr>
        <w:tblStyle w:val="PlainTable1"/>
        <w:tblW w:w="0" w:type="auto"/>
        <w:tblLook w:val="04A0" w:firstRow="1" w:lastRow="0" w:firstColumn="1" w:lastColumn="0" w:noHBand="0" w:noVBand="1"/>
      </w:tblPr>
      <w:tblGrid>
        <w:gridCol w:w="1659"/>
        <w:gridCol w:w="3961"/>
        <w:gridCol w:w="3396"/>
      </w:tblGrid>
      <w:tr w:rsidR="00AE49B8" w:rsidRPr="00AE49B8" w14:paraId="16C1EA4D" w14:textId="77777777" w:rsidTr="00AE49B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72388EA" w14:textId="4E68162D" w:rsidR="00AE49B8" w:rsidRPr="00AE49B8" w:rsidRDefault="00AE49B8" w:rsidP="00AE49B8">
            <w:pPr>
              <w:spacing w:line="360" w:lineRule="auto"/>
              <w:jc w:val="left"/>
              <w:rPr>
                <w:lang w:val="en-US"/>
              </w:rPr>
            </w:pPr>
            <w:r w:rsidRPr="00AE49B8">
              <w:rPr>
                <w:lang w:val="en-US"/>
              </w:rPr>
              <w:t>Criteria</w:t>
            </w:r>
          </w:p>
        </w:tc>
        <w:tc>
          <w:tcPr>
            <w:tcW w:w="0" w:type="auto"/>
            <w:vAlign w:val="center"/>
            <w:hideMark/>
          </w:tcPr>
          <w:p w14:paraId="19482F2F" w14:textId="77777777" w:rsidR="00AE49B8" w:rsidRPr="00AE49B8" w:rsidRDefault="00AE49B8" w:rsidP="00AE49B8">
            <w:pPr>
              <w:spacing w:line="360" w:lineRule="auto"/>
              <w:jc w:val="left"/>
              <w:cnfStyle w:val="100000000000" w:firstRow="1" w:lastRow="0" w:firstColumn="0" w:lastColumn="0" w:oddVBand="0" w:evenVBand="0" w:oddHBand="0" w:evenHBand="0" w:firstRowFirstColumn="0" w:firstRowLastColumn="0" w:lastRowFirstColumn="0" w:lastRowLastColumn="0"/>
              <w:rPr>
                <w:lang w:val="en-US"/>
              </w:rPr>
            </w:pPr>
            <w:r w:rsidRPr="00AE49B8">
              <w:rPr>
                <w:lang w:val="en-US"/>
              </w:rPr>
              <w:t>Inclusion Criteria</w:t>
            </w:r>
          </w:p>
        </w:tc>
        <w:tc>
          <w:tcPr>
            <w:tcW w:w="0" w:type="auto"/>
            <w:vAlign w:val="center"/>
            <w:hideMark/>
          </w:tcPr>
          <w:p w14:paraId="0146DE11" w14:textId="77777777" w:rsidR="00AE49B8" w:rsidRPr="00AE49B8" w:rsidRDefault="00AE49B8" w:rsidP="00AE49B8">
            <w:pPr>
              <w:spacing w:line="360" w:lineRule="auto"/>
              <w:jc w:val="left"/>
              <w:cnfStyle w:val="100000000000" w:firstRow="1" w:lastRow="0" w:firstColumn="0" w:lastColumn="0" w:oddVBand="0" w:evenVBand="0" w:oddHBand="0" w:evenHBand="0" w:firstRowFirstColumn="0" w:firstRowLastColumn="0" w:lastRowFirstColumn="0" w:lastRowLastColumn="0"/>
              <w:rPr>
                <w:lang w:val="en-US"/>
              </w:rPr>
            </w:pPr>
            <w:r w:rsidRPr="00AE49B8">
              <w:rPr>
                <w:lang w:val="en-US"/>
              </w:rPr>
              <w:t>Exclusion Criteria</w:t>
            </w:r>
          </w:p>
        </w:tc>
      </w:tr>
      <w:tr w:rsidR="00AE49B8" w:rsidRPr="00AE49B8" w14:paraId="2293A422" w14:textId="77777777" w:rsidTr="00AE49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8464153" w14:textId="77777777" w:rsidR="00AE49B8" w:rsidRPr="00AE49B8" w:rsidRDefault="00AE49B8" w:rsidP="00AE49B8">
            <w:pPr>
              <w:spacing w:line="360" w:lineRule="auto"/>
              <w:jc w:val="left"/>
              <w:rPr>
                <w:lang w:val="en-US"/>
              </w:rPr>
            </w:pPr>
            <w:r w:rsidRPr="00AE49B8">
              <w:rPr>
                <w:lang w:val="en-US"/>
              </w:rPr>
              <w:t>Publication Type</w:t>
            </w:r>
          </w:p>
        </w:tc>
        <w:tc>
          <w:tcPr>
            <w:tcW w:w="0" w:type="auto"/>
            <w:vAlign w:val="center"/>
            <w:hideMark/>
          </w:tcPr>
          <w:p w14:paraId="2A44D8B8" w14:textId="77777777" w:rsidR="00AE49B8" w:rsidRPr="00AE49B8" w:rsidRDefault="00AE49B8" w:rsidP="00AE49B8">
            <w:pPr>
              <w:spacing w:line="360" w:lineRule="auto"/>
              <w:jc w:val="left"/>
              <w:cnfStyle w:val="000000100000" w:firstRow="0" w:lastRow="0" w:firstColumn="0" w:lastColumn="0" w:oddVBand="0" w:evenVBand="0" w:oddHBand="1" w:evenHBand="0" w:firstRowFirstColumn="0" w:firstRowLastColumn="0" w:lastRowFirstColumn="0" w:lastRowLastColumn="0"/>
              <w:rPr>
                <w:lang w:val="en-US"/>
              </w:rPr>
            </w:pPr>
            <w:r w:rsidRPr="00AE49B8">
              <w:rPr>
                <w:lang w:val="en-US"/>
              </w:rPr>
              <w:t>Peer-reviewed journal articles, industry reports</w:t>
            </w:r>
          </w:p>
        </w:tc>
        <w:tc>
          <w:tcPr>
            <w:tcW w:w="0" w:type="auto"/>
            <w:vAlign w:val="center"/>
            <w:hideMark/>
          </w:tcPr>
          <w:p w14:paraId="2E3AD895" w14:textId="77777777" w:rsidR="00AE49B8" w:rsidRPr="00AE49B8" w:rsidRDefault="00AE49B8" w:rsidP="00AE49B8">
            <w:pPr>
              <w:spacing w:line="360" w:lineRule="auto"/>
              <w:jc w:val="left"/>
              <w:cnfStyle w:val="000000100000" w:firstRow="0" w:lastRow="0" w:firstColumn="0" w:lastColumn="0" w:oddVBand="0" w:evenVBand="0" w:oddHBand="1" w:evenHBand="0" w:firstRowFirstColumn="0" w:firstRowLastColumn="0" w:lastRowFirstColumn="0" w:lastRowLastColumn="0"/>
              <w:rPr>
                <w:lang w:val="en-US"/>
              </w:rPr>
            </w:pPr>
            <w:r w:rsidRPr="00AE49B8">
              <w:rPr>
                <w:lang w:val="en-US"/>
              </w:rPr>
              <w:t>Non-peer-reviewed sources, blogs, opinion pieces</w:t>
            </w:r>
          </w:p>
        </w:tc>
      </w:tr>
      <w:tr w:rsidR="00AE49B8" w:rsidRPr="00AE49B8" w14:paraId="1B40F9A1" w14:textId="77777777" w:rsidTr="00AE49B8">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50C7FF0" w14:textId="77777777" w:rsidR="00AE49B8" w:rsidRPr="00AE49B8" w:rsidRDefault="00AE49B8" w:rsidP="00AE49B8">
            <w:pPr>
              <w:spacing w:line="360" w:lineRule="auto"/>
              <w:jc w:val="left"/>
              <w:rPr>
                <w:lang w:val="en-US"/>
              </w:rPr>
            </w:pPr>
            <w:r w:rsidRPr="00AE49B8">
              <w:rPr>
                <w:lang w:val="en-US"/>
              </w:rPr>
              <w:t>Geography</w:t>
            </w:r>
          </w:p>
        </w:tc>
        <w:tc>
          <w:tcPr>
            <w:tcW w:w="0" w:type="auto"/>
            <w:vAlign w:val="center"/>
            <w:hideMark/>
          </w:tcPr>
          <w:p w14:paraId="1B94D246" w14:textId="77777777" w:rsidR="00AE49B8" w:rsidRPr="00AE49B8" w:rsidRDefault="00AE49B8" w:rsidP="00AE49B8">
            <w:pPr>
              <w:spacing w:line="360" w:lineRule="auto"/>
              <w:jc w:val="left"/>
              <w:cnfStyle w:val="000000000000" w:firstRow="0" w:lastRow="0" w:firstColumn="0" w:lastColumn="0" w:oddVBand="0" w:evenVBand="0" w:oddHBand="0" w:evenHBand="0" w:firstRowFirstColumn="0" w:firstRowLastColumn="0" w:lastRowFirstColumn="0" w:lastRowLastColumn="0"/>
              <w:rPr>
                <w:lang w:val="en-US"/>
              </w:rPr>
            </w:pPr>
            <w:r w:rsidRPr="00AE49B8">
              <w:rPr>
                <w:lang w:val="en-US"/>
              </w:rPr>
              <w:t>Studies focused on UK SMEs or relevant comparative contexts</w:t>
            </w:r>
          </w:p>
        </w:tc>
        <w:tc>
          <w:tcPr>
            <w:tcW w:w="0" w:type="auto"/>
            <w:vAlign w:val="center"/>
            <w:hideMark/>
          </w:tcPr>
          <w:p w14:paraId="37538C7A" w14:textId="77777777" w:rsidR="00AE49B8" w:rsidRPr="00AE49B8" w:rsidRDefault="00AE49B8" w:rsidP="00AE49B8">
            <w:pPr>
              <w:spacing w:line="360" w:lineRule="auto"/>
              <w:jc w:val="left"/>
              <w:cnfStyle w:val="000000000000" w:firstRow="0" w:lastRow="0" w:firstColumn="0" w:lastColumn="0" w:oddVBand="0" w:evenVBand="0" w:oddHBand="0" w:evenHBand="0" w:firstRowFirstColumn="0" w:firstRowLastColumn="0" w:lastRowFirstColumn="0" w:lastRowLastColumn="0"/>
              <w:rPr>
                <w:lang w:val="en-US"/>
              </w:rPr>
            </w:pPr>
            <w:r w:rsidRPr="00AE49B8">
              <w:rPr>
                <w:lang w:val="en-US"/>
              </w:rPr>
              <w:t>Studies outside the UK context without transferable insights</w:t>
            </w:r>
          </w:p>
        </w:tc>
      </w:tr>
      <w:tr w:rsidR="00AE49B8" w:rsidRPr="00AE49B8" w14:paraId="68E98F72" w14:textId="77777777" w:rsidTr="00AE49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26B5546E" w14:textId="77777777" w:rsidR="00AE49B8" w:rsidRPr="00AE49B8" w:rsidRDefault="00AE49B8" w:rsidP="00AE49B8">
            <w:pPr>
              <w:spacing w:line="360" w:lineRule="auto"/>
              <w:jc w:val="left"/>
              <w:rPr>
                <w:lang w:val="en-US"/>
              </w:rPr>
            </w:pPr>
            <w:r w:rsidRPr="00AE49B8">
              <w:rPr>
                <w:lang w:val="en-US"/>
              </w:rPr>
              <w:lastRenderedPageBreak/>
              <w:t>Timeframe</w:t>
            </w:r>
          </w:p>
        </w:tc>
        <w:tc>
          <w:tcPr>
            <w:tcW w:w="0" w:type="auto"/>
            <w:vAlign w:val="center"/>
            <w:hideMark/>
          </w:tcPr>
          <w:p w14:paraId="1574C99E" w14:textId="77777777" w:rsidR="00AE49B8" w:rsidRPr="00AE49B8" w:rsidRDefault="00AE49B8" w:rsidP="00AE49B8">
            <w:pPr>
              <w:spacing w:line="360" w:lineRule="auto"/>
              <w:jc w:val="left"/>
              <w:cnfStyle w:val="000000100000" w:firstRow="0" w:lastRow="0" w:firstColumn="0" w:lastColumn="0" w:oddVBand="0" w:evenVBand="0" w:oddHBand="1" w:evenHBand="0" w:firstRowFirstColumn="0" w:firstRowLastColumn="0" w:lastRowFirstColumn="0" w:lastRowLastColumn="0"/>
              <w:rPr>
                <w:lang w:val="en-US"/>
              </w:rPr>
            </w:pPr>
            <w:r w:rsidRPr="00AE49B8">
              <w:rPr>
                <w:lang w:val="en-US"/>
              </w:rPr>
              <w:t>Published 2020–2025 to capture post-Brexit implications</w:t>
            </w:r>
          </w:p>
        </w:tc>
        <w:tc>
          <w:tcPr>
            <w:tcW w:w="0" w:type="auto"/>
            <w:vAlign w:val="center"/>
            <w:hideMark/>
          </w:tcPr>
          <w:p w14:paraId="3C677B14" w14:textId="77777777" w:rsidR="00AE49B8" w:rsidRPr="00AE49B8" w:rsidRDefault="00AE49B8" w:rsidP="00AE49B8">
            <w:pPr>
              <w:spacing w:line="360" w:lineRule="auto"/>
              <w:jc w:val="left"/>
              <w:cnfStyle w:val="000000100000" w:firstRow="0" w:lastRow="0" w:firstColumn="0" w:lastColumn="0" w:oddVBand="0" w:evenVBand="0" w:oddHBand="1" w:evenHBand="0" w:firstRowFirstColumn="0" w:firstRowLastColumn="0" w:lastRowFirstColumn="0" w:lastRowLastColumn="0"/>
              <w:rPr>
                <w:lang w:val="en-US"/>
              </w:rPr>
            </w:pPr>
            <w:r w:rsidRPr="00AE49B8">
              <w:rPr>
                <w:lang w:val="en-US"/>
              </w:rPr>
              <w:t>Studies published before 2020</w:t>
            </w:r>
          </w:p>
        </w:tc>
      </w:tr>
      <w:tr w:rsidR="00AE49B8" w:rsidRPr="00AE49B8" w14:paraId="5F31BBE7" w14:textId="77777777" w:rsidTr="00AE49B8">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6330F8CE" w14:textId="77777777" w:rsidR="00AE49B8" w:rsidRPr="00AE49B8" w:rsidRDefault="00AE49B8" w:rsidP="00AE49B8">
            <w:pPr>
              <w:spacing w:line="360" w:lineRule="auto"/>
              <w:jc w:val="left"/>
              <w:rPr>
                <w:lang w:val="en-US"/>
              </w:rPr>
            </w:pPr>
            <w:r w:rsidRPr="00AE49B8">
              <w:rPr>
                <w:lang w:val="en-US"/>
              </w:rPr>
              <w:t>Language</w:t>
            </w:r>
          </w:p>
        </w:tc>
        <w:tc>
          <w:tcPr>
            <w:tcW w:w="0" w:type="auto"/>
            <w:vAlign w:val="center"/>
            <w:hideMark/>
          </w:tcPr>
          <w:p w14:paraId="68C5E25B" w14:textId="77777777" w:rsidR="00AE49B8" w:rsidRPr="00AE49B8" w:rsidRDefault="00AE49B8" w:rsidP="00AE49B8">
            <w:pPr>
              <w:spacing w:line="360" w:lineRule="auto"/>
              <w:jc w:val="left"/>
              <w:cnfStyle w:val="000000000000" w:firstRow="0" w:lastRow="0" w:firstColumn="0" w:lastColumn="0" w:oddVBand="0" w:evenVBand="0" w:oddHBand="0" w:evenHBand="0" w:firstRowFirstColumn="0" w:firstRowLastColumn="0" w:lastRowFirstColumn="0" w:lastRowLastColumn="0"/>
              <w:rPr>
                <w:lang w:val="en-US"/>
              </w:rPr>
            </w:pPr>
            <w:r w:rsidRPr="00AE49B8">
              <w:rPr>
                <w:lang w:val="en-US"/>
              </w:rPr>
              <w:t>English</w:t>
            </w:r>
          </w:p>
        </w:tc>
        <w:tc>
          <w:tcPr>
            <w:tcW w:w="0" w:type="auto"/>
            <w:vAlign w:val="center"/>
            <w:hideMark/>
          </w:tcPr>
          <w:p w14:paraId="0A89B001" w14:textId="77777777" w:rsidR="00AE49B8" w:rsidRPr="00AE49B8" w:rsidRDefault="00AE49B8" w:rsidP="00AE49B8">
            <w:pPr>
              <w:spacing w:line="360" w:lineRule="auto"/>
              <w:jc w:val="left"/>
              <w:cnfStyle w:val="000000000000" w:firstRow="0" w:lastRow="0" w:firstColumn="0" w:lastColumn="0" w:oddVBand="0" w:evenVBand="0" w:oddHBand="0" w:evenHBand="0" w:firstRowFirstColumn="0" w:firstRowLastColumn="0" w:lastRowFirstColumn="0" w:lastRowLastColumn="0"/>
              <w:rPr>
                <w:lang w:val="en-US"/>
              </w:rPr>
            </w:pPr>
            <w:r w:rsidRPr="00AE49B8">
              <w:rPr>
                <w:lang w:val="en-US"/>
              </w:rPr>
              <w:t>Non-English publications</w:t>
            </w:r>
          </w:p>
        </w:tc>
      </w:tr>
      <w:tr w:rsidR="00AE49B8" w:rsidRPr="00AE49B8" w14:paraId="5DB31D97" w14:textId="77777777" w:rsidTr="00AE49B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vAlign w:val="center"/>
            <w:hideMark/>
          </w:tcPr>
          <w:p w14:paraId="120266D6" w14:textId="77777777" w:rsidR="00AE49B8" w:rsidRPr="00AE49B8" w:rsidRDefault="00AE49B8" w:rsidP="00AE49B8">
            <w:pPr>
              <w:spacing w:line="360" w:lineRule="auto"/>
              <w:jc w:val="left"/>
              <w:rPr>
                <w:lang w:val="en-US"/>
              </w:rPr>
            </w:pPr>
            <w:r w:rsidRPr="00AE49B8">
              <w:rPr>
                <w:lang w:val="en-US"/>
              </w:rPr>
              <w:t>Relevance</w:t>
            </w:r>
          </w:p>
        </w:tc>
        <w:tc>
          <w:tcPr>
            <w:tcW w:w="0" w:type="auto"/>
            <w:vAlign w:val="center"/>
            <w:hideMark/>
          </w:tcPr>
          <w:p w14:paraId="012FD206" w14:textId="77777777" w:rsidR="00AE49B8" w:rsidRPr="00AE49B8" w:rsidRDefault="00AE49B8" w:rsidP="00AE49B8">
            <w:pPr>
              <w:spacing w:line="360" w:lineRule="auto"/>
              <w:jc w:val="left"/>
              <w:cnfStyle w:val="000000100000" w:firstRow="0" w:lastRow="0" w:firstColumn="0" w:lastColumn="0" w:oddVBand="0" w:evenVBand="0" w:oddHBand="1" w:evenHBand="0" w:firstRowFirstColumn="0" w:firstRowLastColumn="0" w:lastRowFirstColumn="0" w:lastRowLastColumn="0"/>
              <w:rPr>
                <w:lang w:val="en-US"/>
              </w:rPr>
            </w:pPr>
            <w:r w:rsidRPr="00AE49B8">
              <w:rPr>
                <w:lang w:val="en-US"/>
              </w:rPr>
              <w:t xml:space="preserve">Studies addressing digital platforms, e-commerce, </w:t>
            </w:r>
            <w:proofErr w:type="spellStart"/>
            <w:r w:rsidRPr="00AE49B8">
              <w:rPr>
                <w:lang w:val="en-US"/>
              </w:rPr>
              <w:t>internationalisation</w:t>
            </w:r>
            <w:proofErr w:type="spellEnd"/>
            <w:r w:rsidRPr="00AE49B8">
              <w:rPr>
                <w:lang w:val="en-US"/>
              </w:rPr>
              <w:t>, or SME growth</w:t>
            </w:r>
          </w:p>
        </w:tc>
        <w:tc>
          <w:tcPr>
            <w:tcW w:w="0" w:type="auto"/>
            <w:vAlign w:val="center"/>
            <w:hideMark/>
          </w:tcPr>
          <w:p w14:paraId="2298DF16" w14:textId="77777777" w:rsidR="00AE49B8" w:rsidRPr="00AE49B8" w:rsidRDefault="00AE49B8" w:rsidP="00AE49B8">
            <w:pPr>
              <w:spacing w:line="360" w:lineRule="auto"/>
              <w:jc w:val="left"/>
              <w:cnfStyle w:val="000000100000" w:firstRow="0" w:lastRow="0" w:firstColumn="0" w:lastColumn="0" w:oddVBand="0" w:evenVBand="0" w:oddHBand="1" w:evenHBand="0" w:firstRowFirstColumn="0" w:firstRowLastColumn="0" w:lastRowFirstColumn="0" w:lastRowLastColumn="0"/>
              <w:rPr>
                <w:lang w:val="en-US"/>
              </w:rPr>
            </w:pPr>
            <w:r w:rsidRPr="00AE49B8">
              <w:rPr>
                <w:lang w:val="en-US"/>
              </w:rPr>
              <w:t xml:space="preserve">Studies not related to digital platforms or SME </w:t>
            </w:r>
            <w:proofErr w:type="spellStart"/>
            <w:r w:rsidRPr="00AE49B8">
              <w:rPr>
                <w:lang w:val="en-US"/>
              </w:rPr>
              <w:t>internationalisation</w:t>
            </w:r>
            <w:proofErr w:type="spellEnd"/>
          </w:p>
        </w:tc>
      </w:tr>
    </w:tbl>
    <w:p w14:paraId="5421C4D5" w14:textId="562E1065" w:rsidR="00AE49B8" w:rsidRPr="00AE49B8" w:rsidRDefault="008C6D93" w:rsidP="00A91041">
      <w:pPr>
        <w:rPr>
          <w:lang w:val="en-US"/>
        </w:rPr>
      </w:pPr>
      <w:r w:rsidRPr="008C6D93">
        <w:rPr>
          <w:lang w:val="en-US"/>
        </w:rPr>
        <w:t xml:space="preserve">Furthermore, the </w:t>
      </w:r>
      <w:proofErr w:type="spellStart"/>
      <w:r w:rsidRPr="008C6D93">
        <w:rPr>
          <w:lang w:val="en-US"/>
        </w:rPr>
        <w:t>rigour</w:t>
      </w:r>
      <w:proofErr w:type="spellEnd"/>
      <w:r w:rsidRPr="008C6D93">
        <w:rPr>
          <w:lang w:val="en-US"/>
        </w:rPr>
        <w:t>, relevance, and reliability of the systematic review were preserved as these eligibility criteria ensured that only recent studies (2020-2025) were used and which directly addressed the research questions</w:t>
      </w:r>
      <w:r w:rsidR="00AE49B8">
        <w:rPr>
          <w:lang w:val="en-US"/>
        </w:rPr>
        <w:t>.</w:t>
      </w:r>
    </w:p>
    <w:p w14:paraId="191BE351" w14:textId="58903F50" w:rsidR="00C52467" w:rsidRDefault="00C52467" w:rsidP="00A91041">
      <w:pPr>
        <w:pStyle w:val="Heading2"/>
      </w:pPr>
      <w:bookmarkStart w:id="37" w:name="_Toc218707761"/>
      <w:r w:rsidRPr="00A91041">
        <w:t>3.5.3</w:t>
      </w:r>
      <w:r w:rsidRPr="00A91041">
        <w:t> </w:t>
      </w:r>
      <w:r w:rsidRPr="00A91041">
        <w:t>Study Selection and Data Extraction</w:t>
      </w:r>
      <w:bookmarkEnd w:id="37"/>
    </w:p>
    <w:p w14:paraId="5B6FEE88" w14:textId="3694299A" w:rsidR="008C6D93" w:rsidRDefault="008C6D93" w:rsidP="008C6D93">
      <w:r>
        <w:t xml:space="preserve">The procedure of selecting the studies was based on the PRISMA 2020 framework, allowing to ensure systematic, transparent, and replicable search and inclusion of the relevant studies (Page </w:t>
      </w:r>
      <w:r w:rsidR="00067DAE" w:rsidRPr="00067DAE">
        <w:rPr>
          <w:i/>
          <w:iCs/>
        </w:rPr>
        <w:t>et al</w:t>
      </w:r>
      <w:r>
        <w:t>., 2021). At the start of the research, papers located in Scopus, Google Scholar, and industry reports were filtered based on the title and abstract to exclude the irrelevant and duplicate records. Afterwards, the eligibility of the entire texts of the potentially relevant studies was checked against the set inclusion and exclusion criteria (Section 3.5.2). After this process 50 studies were identified to be included in the systematic review.</w:t>
      </w:r>
    </w:p>
    <w:p w14:paraId="173CB721" w14:textId="61247E66" w:rsidR="00A91041" w:rsidRPr="00A91041" w:rsidRDefault="008C6D93" w:rsidP="008C6D93">
      <w:r>
        <w:t>To extract the data, a systematic methodology was used to make the results more consistent and reliable (Afifi, Stryhn and Sánchez, 2023; Foster and Jewell, 2017). The main details of every study were tabulated, i.e. index number, name of the author(s), year of publication, title, methodology used in the researches, and major themes or findings applicable to internationalisation of UK SMEs when using digital platforms after Brexit. Such systematic extraction enabled systematic synthesis, comparison, and thematic analysis of studies, which supported the research aims and ensured the methodological rigour (Boland, Cherry and Dickson, 2017; Gough, Oliver and Thomas, 2017).</w:t>
      </w:r>
    </w:p>
    <w:p w14:paraId="51A87839" w14:textId="2DB1CE17" w:rsidR="00C52467" w:rsidRDefault="00C52467" w:rsidP="00A91041">
      <w:pPr>
        <w:pStyle w:val="Heading2"/>
      </w:pPr>
      <w:bookmarkStart w:id="38" w:name="_Toc218707762"/>
      <w:r w:rsidRPr="00A91041">
        <w:t>3.5.4</w:t>
      </w:r>
      <w:r w:rsidRPr="00A91041">
        <w:t> </w:t>
      </w:r>
      <w:r w:rsidRPr="00A91041">
        <w:t>Quality Assessment and Risk of Bias</w:t>
      </w:r>
      <w:bookmarkEnd w:id="38"/>
    </w:p>
    <w:p w14:paraId="64902BF7" w14:textId="1BDD6A49" w:rsidR="008C6D93" w:rsidRDefault="008C6D93" w:rsidP="008C6D93">
      <w:r>
        <w:t xml:space="preserve">A strict quality evaluation was provided based on the Critical Appraisal Skills Programme (CASP) checklist to make sure that the included works are credible and </w:t>
      </w:r>
      <w:r>
        <w:lastRenderedPageBreak/>
        <w:t xml:space="preserve">reliable (Shaheen </w:t>
      </w:r>
      <w:r w:rsidR="00067DAE" w:rsidRPr="00067DAE">
        <w:rPr>
          <w:i/>
          <w:iCs/>
        </w:rPr>
        <w:t>et al</w:t>
      </w:r>
      <w:r>
        <w:t>., 2023; Foster and Jewell, 2017). CASP is a systematic framework used to assess the methodological quality of qualitative, quantitative and mixed methods studies, placed through the transparency of goals, suitability of study design, sampling approach, data gathering methods, ethical imperatives and soundness of conclusions.</w:t>
      </w:r>
    </w:p>
    <w:p w14:paraId="09F38EDB" w14:textId="77777777" w:rsidR="008C6D93" w:rsidRDefault="008C6D93" w:rsidP="008C6D93">
      <w:r>
        <w:t>All of the 50 studies included were evaluated with regard to the CASP criteria independently. The process entailed assessing the clarity of the research objectives and their correspondence to the study objectives, whether the research objectives were well met by the methodology and design used in the research and the transparency and rigour of data collection and data analysis processes. The aspects of ethical issues, such as informed consent, confidentiality, and approval were also addressed, and the validity and reliability of the findings and the appropriateness of the limitations were also discussed.</w:t>
      </w:r>
    </w:p>
    <w:p w14:paraId="5FBC1F27" w14:textId="6617D6A6" w:rsidR="008C6D93" w:rsidRDefault="008C6D93" w:rsidP="008C6D93">
      <w:r>
        <w:t xml:space="preserve">The studies that obtained a high rating in these domains were taken to be at low risk of bias and those with poor methodology were indicated to have the potential of bias. No one was left out on this criterion alone to ensure the review was comprehensive (Shaheen </w:t>
      </w:r>
      <w:r w:rsidR="00067DAE" w:rsidRPr="00067DAE">
        <w:rPr>
          <w:i/>
          <w:iCs/>
        </w:rPr>
        <w:t>et al</w:t>
      </w:r>
      <w:r>
        <w:t>., 2023; Higgins and Green, 2019). The CASP framework facilitated a systematic written record of the quality analysis which guaranteed transparency, repeatability and reasons why this or that study was incorporated in the synthesis activity.</w:t>
      </w:r>
    </w:p>
    <w:p w14:paraId="14948124" w14:textId="21F54558" w:rsidR="00A91041" w:rsidRPr="00A91041" w:rsidRDefault="008C6D93" w:rsidP="008C6D93">
      <w:r>
        <w:t>On the whole, the use of CASP reduced possible bias, improved methodological rigour, and made the conclusions made based on the systematic review of the studies believable, trustworthy and ethical.</w:t>
      </w:r>
    </w:p>
    <w:p w14:paraId="03523EFB" w14:textId="77777777" w:rsidR="00A91041" w:rsidRDefault="00C52467" w:rsidP="00A91041">
      <w:pPr>
        <w:pStyle w:val="Heading2"/>
      </w:pPr>
      <w:bookmarkStart w:id="39" w:name="_Toc218707763"/>
      <w:r w:rsidRPr="00A91041">
        <w:t>3.5.5</w:t>
      </w:r>
      <w:r w:rsidRPr="00A91041">
        <w:t> </w:t>
      </w:r>
      <w:r w:rsidRPr="00A91041">
        <w:t>Data Synthesis</w:t>
      </w:r>
      <w:bookmarkEnd w:id="39"/>
    </w:p>
    <w:p w14:paraId="635F2DF2" w14:textId="77777777" w:rsidR="008C6D93" w:rsidRDefault="008C6D93" w:rsidP="008C6D93">
      <w:r>
        <w:t>To perform the data synthesis of this study, the qualitative narrative synthesis approach was used which is appropriate to combine the results of various sources and study designs into a systematic review (Gough, Oliver and Thomas, 2017; Boland, Cherry and Dickson, 2017). Narrative synthesis offers the ability to systematize, compare and interpret evidence on a thematic basis to identify patterns, relationships and important observations that cannot be achieved through quantitative aggregation or statistical meta-analysis.</w:t>
      </w:r>
    </w:p>
    <w:p w14:paraId="55728776" w14:textId="77777777" w:rsidR="008C6D93" w:rsidRDefault="008C6D93" w:rsidP="008C6D93">
      <w:r>
        <w:lastRenderedPageBreak/>
        <w:t>The data obtained in the study, including publications, approaches, and main themes of the 50 selected articles, were explored systematically in a bid to determine repetitive themes, patterns, and strategies of using digital platforms by UK SMEs in performing international expansion following the Brexit. The synthesis process included the organisation of the findings into thematic groups, which included platform adoption, resource utilisation, network development, regulatory challenges and post-Brexit opportunities, and the synthesis allowed making a structured comparison between the studies (Afifi, Stryhn and Sánchez, 2023; Foster and Jewell, 2017).</w:t>
      </w:r>
    </w:p>
    <w:p w14:paraId="25C39EF3" w14:textId="77777777" w:rsidR="008C6D93" w:rsidRDefault="008C6D93" w:rsidP="008C6D93">
      <w:r>
        <w:t xml:space="preserve">Integrating theoretical views of Section 2.3 provided in the narrative synthesis, such as the Uppsala Internationalisation Model, Resource-Based View, Network Theory, and the Technology Acceptance Model were also incorporated. This allowed decoding the empirical results with references to the existing schemes, pointing at the impact of digital platforms on SME internationalisation strategies and practices. The synthesis provided multiple insights into the enablers and barriers of post-Brexit digital internationalisation in a way that maintained the contextual richness of the incorporated studies through the combination of thematic analysis, as well as theoretical interpretation (Cooper, 1984; </w:t>
      </w:r>
      <w:proofErr w:type="spellStart"/>
      <w:r>
        <w:t>Gusenbauer</w:t>
      </w:r>
      <w:proofErr w:type="spellEnd"/>
      <w:r>
        <w:t xml:space="preserve"> and </w:t>
      </w:r>
      <w:proofErr w:type="spellStart"/>
      <w:r>
        <w:t>Gauster</w:t>
      </w:r>
      <w:proofErr w:type="spellEnd"/>
      <w:r>
        <w:t>, 2024).</w:t>
      </w:r>
    </w:p>
    <w:p w14:paraId="0D0ABB8C" w14:textId="074A848E" w:rsidR="00A91041" w:rsidRPr="00A91041" w:rsidRDefault="008C6D93" w:rsidP="008C6D93">
      <w:r>
        <w:t>All in all, the qualitative narrative synthesis was a strong, clear, and methodologically sound method of evidence collation and interpretation that guarantees that study conclusions are based on a thorough review of existing literature, but at the same time, they are both practical and theoretically informative to the UK SMEs and policymakers.</w:t>
      </w:r>
    </w:p>
    <w:p w14:paraId="39BD76DF" w14:textId="293F7AAE" w:rsidR="00C52467" w:rsidRDefault="00C52467" w:rsidP="00A91041">
      <w:pPr>
        <w:pStyle w:val="Heading2"/>
      </w:pPr>
      <w:bookmarkStart w:id="40" w:name="_Toc218707764"/>
      <w:r w:rsidRPr="00C52467">
        <w:t>3.6</w:t>
      </w:r>
      <w:r w:rsidRPr="00C52467">
        <w:t> </w:t>
      </w:r>
      <w:r w:rsidRPr="00C52467">
        <w:t>Ethical Implications and Constraints</w:t>
      </w:r>
      <w:bookmarkEnd w:id="40"/>
    </w:p>
    <w:p w14:paraId="58558D1B" w14:textId="77777777" w:rsidR="008C6D93" w:rsidRDefault="008C6D93" w:rsidP="008C6D93">
      <w:r>
        <w:t>Even though this study will only use secondary data as the main sources of data, ethical issues are vital to maintain the integrity of the research, its transparency, and responsible reporting (Suri, 2020; UWTSD, 2022). When conducting systematic reviews, particular attention should be paid to the ethical use of the prior works that have been published, proper citation, prevention of plagiarism as well as complete fidelity to original findings. There are also ethical problems on selective reporting, misinterpretation or misrepresentation of the study findings, which may affect the validity and credibility of the review (Wager and Wiffen, 2011).</w:t>
      </w:r>
    </w:p>
    <w:p w14:paraId="651339C5" w14:textId="77777777" w:rsidR="008C6D93" w:rsidRDefault="008C6D93" w:rsidP="008C6D93">
      <w:r>
        <w:t xml:space="preserve">The research was conducted using the accepted research integrity and ethics standards, and approached by adhering to the guidelines offered by the University of </w:t>
      </w:r>
      <w:r>
        <w:lastRenderedPageBreak/>
        <w:t>Wales Trinity Saint David (UWTSD, 2022) and international guidelines on conducting a systematic review (Suri, 2020; Wager and Wiffen, 2011). Quality and relevance of all the sources were heavily evaluated and findings were reported openly to eliminate bias. In addition, the research paper is cognizant of the possible limitations inherent to secondary research, such as the availability of published data used, inconsistent quality of available methodology, and access to proprietary or unpublished data on the industry.</w:t>
      </w:r>
    </w:p>
    <w:p w14:paraId="66AFCCA0" w14:textId="5AE3E7A1" w:rsidR="00AE49B8" w:rsidRDefault="008C6D93" w:rsidP="008C6D93">
      <w:r>
        <w:t>Considering these ethical implications and limitations, the study will allow the systematisation of the reviews to be credible, reliable, and ethically sound, which will generate a credible base on which the conclusions about the role of digital platforms in UK SME internationalisation after Brexit will be made</w:t>
      </w:r>
      <w:r w:rsidR="00AE49B8">
        <w:t>.</w:t>
      </w:r>
    </w:p>
    <w:p w14:paraId="21C7139C" w14:textId="28ABECFF" w:rsidR="00C52467" w:rsidRDefault="00C52467" w:rsidP="00AE49B8">
      <w:pPr>
        <w:pStyle w:val="Heading2"/>
        <w:rPr>
          <w:lang w:val="en-US"/>
        </w:rPr>
      </w:pPr>
      <w:bookmarkStart w:id="41" w:name="_Toc218707765"/>
      <w:r w:rsidRPr="00C52467">
        <w:t>3.7</w:t>
      </w:r>
      <w:r w:rsidRPr="00C52467">
        <w:t> </w:t>
      </w:r>
      <w:r w:rsidRPr="00C52467">
        <w:t>Conclusion</w:t>
      </w:r>
      <w:bookmarkEnd w:id="41"/>
    </w:p>
    <w:p w14:paraId="016AED71" w14:textId="322A7B79" w:rsidR="007278D1" w:rsidRDefault="008C6D93" w:rsidP="004E5AB8">
      <w:pPr>
        <w:rPr>
          <w:lang w:val="en-US"/>
        </w:rPr>
      </w:pPr>
      <w:r w:rsidRPr="008C6D93">
        <w:rPr>
          <w:lang w:val="en-US"/>
        </w:rPr>
        <w:t xml:space="preserve">The chapter has presented the research methodology that will be used in the study which gives a clear outline of how the systematic review was conducted. It started with what it calls the research philosophy and assumptions, including a pragmatic approach that is appropriate to scrutinize the real-world implications of the use of digital platform by the UK SMEs in the post-Brexit era. Then, the chapter provided the rationale behind the systematic review design, the description of the abductive nature of research, and the overview of secondary data gathering procedures the sources of information, search methods, and the inclusion criteria. The selection of the studies, data extraction, quality measurement by use of CASP, and qualitative narrative synthesis were discussed in order to achieve </w:t>
      </w:r>
      <w:proofErr w:type="spellStart"/>
      <w:r w:rsidRPr="008C6D93">
        <w:rPr>
          <w:lang w:val="en-US"/>
        </w:rPr>
        <w:t>rigour</w:t>
      </w:r>
      <w:proofErr w:type="spellEnd"/>
      <w:r w:rsidRPr="008C6D93">
        <w:rPr>
          <w:lang w:val="en-US"/>
        </w:rPr>
        <w:t xml:space="preserve">, transparency, and reliability. The ethical considerations and possible limitations were also mentioned in order to ensure the integrity of the research. In general, the methodology offers a strong and replicable basis of the evidence </w:t>
      </w:r>
      <w:proofErr w:type="spellStart"/>
      <w:r w:rsidRPr="008C6D93">
        <w:rPr>
          <w:lang w:val="en-US"/>
        </w:rPr>
        <w:t>synthesisation</w:t>
      </w:r>
      <w:proofErr w:type="spellEnd"/>
      <w:r w:rsidRPr="008C6D93">
        <w:rPr>
          <w:lang w:val="en-US"/>
        </w:rPr>
        <w:t xml:space="preserve">, which allows conducting a thorough and valid analysis of the digital platform effectiveness in SME </w:t>
      </w:r>
      <w:proofErr w:type="spellStart"/>
      <w:r w:rsidRPr="008C6D93">
        <w:rPr>
          <w:lang w:val="en-US"/>
        </w:rPr>
        <w:t>internationalisation</w:t>
      </w:r>
      <w:proofErr w:type="spellEnd"/>
      <w:r w:rsidRPr="008C6D93">
        <w:rPr>
          <w:lang w:val="en-US"/>
        </w:rPr>
        <w:t xml:space="preserve"> in a post-Brexit environment</w:t>
      </w:r>
      <w:r w:rsidR="00AE49B8">
        <w:rPr>
          <w:lang w:val="en-US"/>
        </w:rPr>
        <w:t>.</w:t>
      </w:r>
    </w:p>
    <w:p w14:paraId="51F16069" w14:textId="77777777" w:rsidR="007278D1" w:rsidRDefault="007278D1">
      <w:pPr>
        <w:spacing w:before="0" w:after="0"/>
        <w:rPr>
          <w:lang w:val="en-US"/>
        </w:rPr>
      </w:pPr>
      <w:r>
        <w:rPr>
          <w:lang w:val="en-US"/>
        </w:rPr>
        <w:br w:type="page"/>
      </w:r>
    </w:p>
    <w:p w14:paraId="1BEEC37D" w14:textId="59A37CEB" w:rsidR="004E5AB8" w:rsidRDefault="000B4769" w:rsidP="000B4769">
      <w:pPr>
        <w:pStyle w:val="Heading1"/>
        <w:rPr>
          <w:lang w:val="en-US"/>
        </w:rPr>
      </w:pPr>
      <w:bookmarkStart w:id="42" w:name="_Toc218707766"/>
      <w:r>
        <w:rPr>
          <w:lang w:val="en-US"/>
        </w:rPr>
        <w:lastRenderedPageBreak/>
        <w:t>Chapter 4: Findings</w:t>
      </w:r>
      <w:bookmarkEnd w:id="42"/>
    </w:p>
    <w:p w14:paraId="71C0B517" w14:textId="2397B7B3" w:rsidR="000B4769" w:rsidRDefault="002D0325" w:rsidP="002D0325">
      <w:pPr>
        <w:pStyle w:val="Heading2"/>
        <w:rPr>
          <w:lang w:val="en-US"/>
        </w:rPr>
      </w:pPr>
      <w:bookmarkStart w:id="43" w:name="_Toc218707767"/>
      <w:r>
        <w:t>4.</w:t>
      </w:r>
      <w:r w:rsidR="003F5EBC">
        <w:t>1</w:t>
      </w:r>
      <w:r>
        <w:t xml:space="preserve"> </w:t>
      </w:r>
      <w:r w:rsidR="000B4769" w:rsidRPr="002D0325">
        <w:t>Introduction</w:t>
      </w:r>
      <w:bookmarkEnd w:id="43"/>
    </w:p>
    <w:p w14:paraId="6751F8B6" w14:textId="660269BC" w:rsidR="002D0325" w:rsidRDefault="008C6D93" w:rsidP="000B4769">
      <w:pPr>
        <w:rPr>
          <w:lang w:val="en-US"/>
        </w:rPr>
      </w:pPr>
      <w:r w:rsidRPr="008C6D93">
        <w:rPr>
          <w:lang w:val="en-US"/>
        </w:rPr>
        <w:t xml:space="preserve">This chapter displays the results that were obtained upon the synthesis of the reviewed literature. The chapter is based on a collection of fifty articles and presents a systematic overview of the most valuable information, then proceeds to provide a narrative synthesis of the results, determining the patterns of appearing relationships and contradictions throughout the evidence base. The results are also placed in a framework of the current literature on SME </w:t>
      </w:r>
      <w:proofErr w:type="spellStart"/>
      <w:r w:rsidRPr="008C6D93">
        <w:rPr>
          <w:lang w:val="en-US"/>
        </w:rPr>
        <w:t>internationalisation</w:t>
      </w:r>
      <w:proofErr w:type="spellEnd"/>
      <w:r w:rsidRPr="008C6D93">
        <w:rPr>
          <w:lang w:val="en-US"/>
        </w:rPr>
        <w:t xml:space="preserve"> and digital platform adoption, which allows comparing the results critically in terms of contributions, limitations and gaps where the empirical focus needs to be spread further. All of this gives a consistent perspective on how digital platforms determine the global growth of UK SMEs in the post-Brexit context and the way companies react to the opportunities and challenges that the digital and regulatory landscape suggests</w:t>
      </w:r>
      <w:r w:rsidR="000B4769" w:rsidRPr="000B4769">
        <w:rPr>
          <w:lang w:val="en-US"/>
        </w:rPr>
        <w:t>.</w:t>
      </w:r>
    </w:p>
    <w:p w14:paraId="3109D256" w14:textId="758163CF" w:rsidR="002D0325" w:rsidRDefault="002D0325" w:rsidP="002D0325">
      <w:pPr>
        <w:pStyle w:val="Heading2"/>
        <w:rPr>
          <w:lang w:val="en-US"/>
        </w:rPr>
      </w:pPr>
      <w:bookmarkStart w:id="44" w:name="_Toc218707768"/>
      <w:r w:rsidRPr="002D0325">
        <w:rPr>
          <w:lang w:val="en-US"/>
        </w:rPr>
        <w:t>4.2 PRISMA Flow Diagram</w:t>
      </w:r>
      <w:r>
        <w:rPr>
          <w:lang w:val="en-US"/>
        </w:rPr>
        <w:t xml:space="preserve"> and Quality Assessment Summary</w:t>
      </w:r>
      <w:bookmarkEnd w:id="44"/>
    </w:p>
    <w:p w14:paraId="268BE3EE" w14:textId="2F3BDD89" w:rsidR="002D0325" w:rsidRPr="002D0325" w:rsidRDefault="00774EB5" w:rsidP="00774EB5">
      <w:pPr>
        <w:jc w:val="center"/>
        <w:rPr>
          <w:lang w:val="en-US"/>
        </w:rPr>
      </w:pPr>
      <w:r w:rsidRPr="00774EB5">
        <w:rPr>
          <w:noProof/>
        </w:rPr>
        <w:drawing>
          <wp:inline distT="0" distB="0" distL="0" distR="0" wp14:anchorId="26AE9781" wp14:editId="2966527F">
            <wp:extent cx="3274734" cy="3718547"/>
            <wp:effectExtent l="0" t="0" r="1905" b="0"/>
            <wp:docPr id="13" name="Picture 12">
              <a:extLst xmlns:a="http://schemas.openxmlformats.org/drawingml/2006/main">
                <a:ext uri="{FF2B5EF4-FFF2-40B4-BE49-F238E27FC236}">
                  <a16:creationId xmlns:a16="http://schemas.microsoft.com/office/drawing/2014/main" id="{2572DB1C-E070-FF07-5163-ADA33FAD95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2">
                      <a:extLst>
                        <a:ext uri="{FF2B5EF4-FFF2-40B4-BE49-F238E27FC236}">
                          <a16:creationId xmlns:a16="http://schemas.microsoft.com/office/drawing/2014/main" id="{2572DB1C-E070-FF07-5163-ADA33FAD9531}"/>
                        </a:ext>
                      </a:extLst>
                    </pic:cNvPr>
                    <pic:cNvPicPr>
                      <a:picLocks noChangeAspect="1"/>
                    </pic:cNvPicPr>
                  </pic:nvPicPr>
                  <pic:blipFill>
                    <a:blip r:embed="rId13"/>
                    <a:stretch>
                      <a:fillRect/>
                    </a:stretch>
                  </pic:blipFill>
                  <pic:spPr>
                    <a:xfrm>
                      <a:off x="0" y="0"/>
                      <a:ext cx="3285451" cy="3730716"/>
                    </a:xfrm>
                    <a:prstGeom prst="rect">
                      <a:avLst/>
                    </a:prstGeom>
                  </pic:spPr>
                </pic:pic>
              </a:graphicData>
            </a:graphic>
          </wp:inline>
        </w:drawing>
      </w:r>
    </w:p>
    <w:p w14:paraId="30776D7F" w14:textId="5BE4443A" w:rsidR="002D0325" w:rsidRPr="003F5EBC" w:rsidRDefault="00774EB5" w:rsidP="00774EB5">
      <w:pPr>
        <w:pStyle w:val="Caption"/>
        <w:jc w:val="center"/>
        <w:rPr>
          <w:b/>
          <w:bCs/>
          <w:i w:val="0"/>
          <w:iCs w:val="0"/>
          <w:sz w:val="20"/>
          <w:szCs w:val="20"/>
          <w:lang w:val="en-US"/>
        </w:rPr>
      </w:pPr>
      <w:bookmarkStart w:id="45" w:name="_Toc218707668"/>
      <w:r w:rsidRPr="003F5EBC">
        <w:rPr>
          <w:b/>
          <w:bCs/>
          <w:i w:val="0"/>
          <w:iCs w:val="0"/>
          <w:sz w:val="20"/>
          <w:szCs w:val="20"/>
        </w:rPr>
        <w:t xml:space="preserve">Figure </w:t>
      </w:r>
      <w:r w:rsidRPr="003F5EBC">
        <w:rPr>
          <w:b/>
          <w:bCs/>
          <w:i w:val="0"/>
          <w:iCs w:val="0"/>
          <w:sz w:val="20"/>
          <w:szCs w:val="20"/>
        </w:rPr>
        <w:fldChar w:fldCharType="begin"/>
      </w:r>
      <w:r w:rsidRPr="003F5EBC">
        <w:rPr>
          <w:b/>
          <w:bCs/>
          <w:i w:val="0"/>
          <w:iCs w:val="0"/>
          <w:sz w:val="20"/>
          <w:szCs w:val="20"/>
        </w:rPr>
        <w:instrText xml:space="preserve"> SEQ Figure \* ARABIC </w:instrText>
      </w:r>
      <w:r w:rsidRPr="003F5EBC">
        <w:rPr>
          <w:b/>
          <w:bCs/>
          <w:i w:val="0"/>
          <w:iCs w:val="0"/>
          <w:sz w:val="20"/>
          <w:szCs w:val="20"/>
        </w:rPr>
        <w:fldChar w:fldCharType="separate"/>
      </w:r>
      <w:r w:rsidR="00884F2F">
        <w:rPr>
          <w:b/>
          <w:bCs/>
          <w:i w:val="0"/>
          <w:iCs w:val="0"/>
          <w:noProof/>
          <w:sz w:val="20"/>
          <w:szCs w:val="20"/>
        </w:rPr>
        <w:t>5</w:t>
      </w:r>
      <w:r w:rsidRPr="003F5EBC">
        <w:rPr>
          <w:b/>
          <w:bCs/>
          <w:i w:val="0"/>
          <w:iCs w:val="0"/>
          <w:sz w:val="20"/>
          <w:szCs w:val="20"/>
        </w:rPr>
        <w:fldChar w:fldCharType="end"/>
      </w:r>
      <w:r w:rsidRPr="003F5EBC">
        <w:rPr>
          <w:b/>
          <w:bCs/>
          <w:i w:val="0"/>
          <w:iCs w:val="0"/>
          <w:sz w:val="20"/>
          <w:szCs w:val="20"/>
        </w:rPr>
        <w:t xml:space="preserve"> PRISMA Flow Diagram of Study Selection for the Review (Page </w:t>
      </w:r>
      <w:r w:rsidR="00067DAE" w:rsidRPr="00067DAE">
        <w:rPr>
          <w:b/>
          <w:bCs/>
          <w:sz w:val="20"/>
          <w:szCs w:val="20"/>
        </w:rPr>
        <w:t>et al</w:t>
      </w:r>
      <w:r w:rsidRPr="003F5EBC">
        <w:rPr>
          <w:b/>
          <w:bCs/>
          <w:sz w:val="20"/>
          <w:szCs w:val="20"/>
        </w:rPr>
        <w:t>.,</w:t>
      </w:r>
      <w:r w:rsidRPr="003F5EBC">
        <w:rPr>
          <w:b/>
          <w:bCs/>
          <w:i w:val="0"/>
          <w:iCs w:val="0"/>
          <w:sz w:val="20"/>
          <w:szCs w:val="20"/>
        </w:rPr>
        <w:t xml:space="preserve"> 2021)</w:t>
      </w:r>
      <w:bookmarkEnd w:id="45"/>
    </w:p>
    <w:p w14:paraId="566B7387" w14:textId="0E021A24" w:rsidR="00774EB5" w:rsidRPr="00774EB5" w:rsidRDefault="00774EB5" w:rsidP="00774EB5">
      <w:pPr>
        <w:rPr>
          <w:lang w:val="en-US"/>
        </w:rPr>
      </w:pPr>
      <w:r w:rsidRPr="00774EB5">
        <w:rPr>
          <w:lang w:val="en-US"/>
        </w:rPr>
        <w:t xml:space="preserve">A total of 227 articles were initially identified from the database search, with 199 from Scopus and 28 from Google Scholar. After removing 15 duplicates, 212 articles </w:t>
      </w:r>
      <w:r w:rsidRPr="00774EB5">
        <w:rPr>
          <w:lang w:val="en-US"/>
        </w:rPr>
        <w:lastRenderedPageBreak/>
        <w:t>remained for screening based on title and abstract. Of these, 122 were excluded for not meeting the inclusion criteria.</w:t>
      </w:r>
    </w:p>
    <w:p w14:paraId="055C0EA9" w14:textId="1ACD475A" w:rsidR="00041CD2" w:rsidRPr="00041CD2" w:rsidRDefault="00774EB5" w:rsidP="00041CD2">
      <w:pPr>
        <w:rPr>
          <w:lang w:val="en-US"/>
        </w:rPr>
      </w:pPr>
      <w:r w:rsidRPr="00774EB5">
        <w:rPr>
          <w:lang w:val="en-US"/>
        </w:rPr>
        <w:t>During the screening phase, 90 reports were sought for retrieval, but 11 could not be obtained. The remaining 79 full-text articles were assessed for eligibility. Following full-text review, 29 articles were excluded for the following reasons: not UK-focused (9), not related to Brexit (6), no international expansion (4), not SME-related (3), and not about digital platforms (7).</w:t>
      </w:r>
      <w:r w:rsidR="00041CD2">
        <w:rPr>
          <w:lang w:val="en-US"/>
        </w:rPr>
        <w:t xml:space="preserve"> </w:t>
      </w:r>
      <w:r w:rsidRPr="00774EB5">
        <w:rPr>
          <w:lang w:val="en-US"/>
        </w:rPr>
        <w:t>Ultimately, 50 studies met the inclusion criteria and were included in the systematic review. Quality appraisal using the CASP tool rated 22 articles as high quality, 24 as medium, and 4 as low (see Appendix).</w:t>
      </w:r>
      <w:r w:rsidR="00041CD2">
        <w:rPr>
          <w:lang w:val="en-US"/>
        </w:rPr>
        <w:t xml:space="preserve"> </w:t>
      </w:r>
      <w:r w:rsidR="00041CD2" w:rsidRPr="00041CD2">
        <w:rPr>
          <w:lang w:val="en-US"/>
        </w:rPr>
        <w:t>The included studies demonstrate a generally robust and reliable evidence base, with the majority rated as high or medium quality, supporting the credibility of the review’s findings.</w:t>
      </w:r>
    </w:p>
    <w:p w14:paraId="6F8E999B" w14:textId="37AB29AF" w:rsidR="002D0325" w:rsidRPr="002D0325" w:rsidRDefault="002D0325" w:rsidP="00774EB5">
      <w:pPr>
        <w:rPr>
          <w:lang w:val="en-US"/>
        </w:rPr>
        <w:sectPr w:rsidR="002D0325" w:rsidRPr="002D0325" w:rsidSect="00067DAE">
          <w:footerReference w:type="default" r:id="rId14"/>
          <w:pgSz w:w="11906" w:h="16838" w:code="9"/>
          <w:pgMar w:top="1440" w:right="1440" w:bottom="1440" w:left="1440" w:header="720" w:footer="720" w:gutter="0"/>
          <w:pgBorders w:offsetFrom="page">
            <w:top w:val="single" w:sz="12" w:space="24" w:color="0F243E" w:themeColor="text2" w:themeShade="80"/>
            <w:left w:val="single" w:sz="12" w:space="24" w:color="0F243E" w:themeColor="text2" w:themeShade="80"/>
            <w:bottom w:val="single" w:sz="12" w:space="24" w:color="0F243E" w:themeColor="text2" w:themeShade="80"/>
            <w:right w:val="single" w:sz="12" w:space="24" w:color="0F243E" w:themeColor="text2" w:themeShade="80"/>
          </w:pgBorders>
          <w:pgNumType w:start="1"/>
          <w:cols w:space="720"/>
          <w:titlePg/>
          <w:docGrid w:linePitch="326"/>
        </w:sectPr>
      </w:pPr>
    </w:p>
    <w:p w14:paraId="3F6FE581" w14:textId="58DE17E7" w:rsidR="000B4769" w:rsidRDefault="003F5EBC" w:rsidP="003F5EBC">
      <w:pPr>
        <w:pStyle w:val="Heading2"/>
        <w:rPr>
          <w:lang w:val="en-US"/>
        </w:rPr>
      </w:pPr>
      <w:bookmarkStart w:id="46" w:name="_Toc218707769"/>
      <w:r>
        <w:rPr>
          <w:lang w:val="en-US"/>
        </w:rPr>
        <w:lastRenderedPageBreak/>
        <w:t xml:space="preserve">4.3 </w:t>
      </w:r>
      <w:r w:rsidR="000B4769">
        <w:rPr>
          <w:lang w:val="en-US"/>
        </w:rPr>
        <w:t>Key Summary of the Included Articles</w:t>
      </w:r>
      <w:r>
        <w:rPr>
          <w:lang w:val="en-US"/>
        </w:rPr>
        <w:t xml:space="preserve"> (N = 50)</w:t>
      </w:r>
      <w:bookmarkEnd w:id="46"/>
    </w:p>
    <w:p w14:paraId="382248EE" w14:textId="3F1C3111" w:rsidR="003F5EBC" w:rsidRPr="003F5EBC" w:rsidRDefault="003F5EBC" w:rsidP="003F5EBC">
      <w:pPr>
        <w:pStyle w:val="Caption"/>
        <w:rPr>
          <w:b/>
          <w:bCs/>
          <w:sz w:val="22"/>
          <w:szCs w:val="22"/>
          <w:lang w:val="en-US"/>
        </w:rPr>
      </w:pPr>
      <w:bookmarkStart w:id="47" w:name="_Toc218707713"/>
      <w:r w:rsidRPr="003F5EBC">
        <w:rPr>
          <w:b/>
          <w:bCs/>
          <w:sz w:val="22"/>
          <w:szCs w:val="22"/>
        </w:rPr>
        <w:t xml:space="preserve">Table </w:t>
      </w:r>
      <w:r w:rsidRPr="003F5EBC">
        <w:rPr>
          <w:b/>
          <w:bCs/>
          <w:sz w:val="22"/>
          <w:szCs w:val="22"/>
        </w:rPr>
        <w:fldChar w:fldCharType="begin"/>
      </w:r>
      <w:r w:rsidRPr="003F5EBC">
        <w:rPr>
          <w:b/>
          <w:bCs/>
          <w:sz w:val="22"/>
          <w:szCs w:val="22"/>
        </w:rPr>
        <w:instrText xml:space="preserve"> SEQ Table \* ARABIC </w:instrText>
      </w:r>
      <w:r w:rsidRPr="003F5EBC">
        <w:rPr>
          <w:b/>
          <w:bCs/>
          <w:sz w:val="22"/>
          <w:szCs w:val="22"/>
        </w:rPr>
        <w:fldChar w:fldCharType="separate"/>
      </w:r>
      <w:r w:rsidRPr="003F5EBC">
        <w:rPr>
          <w:b/>
          <w:bCs/>
          <w:noProof/>
          <w:sz w:val="22"/>
          <w:szCs w:val="22"/>
        </w:rPr>
        <w:t>2</w:t>
      </w:r>
      <w:r w:rsidRPr="003F5EBC">
        <w:rPr>
          <w:b/>
          <w:bCs/>
          <w:sz w:val="22"/>
          <w:szCs w:val="22"/>
        </w:rPr>
        <w:fldChar w:fldCharType="end"/>
      </w:r>
      <w:r w:rsidRPr="003F5EBC">
        <w:rPr>
          <w:b/>
          <w:bCs/>
          <w:sz w:val="22"/>
          <w:szCs w:val="22"/>
        </w:rPr>
        <w:t xml:space="preserve"> </w:t>
      </w:r>
      <w:r w:rsidRPr="003F5EBC">
        <w:rPr>
          <w:b/>
          <w:bCs/>
          <w:sz w:val="22"/>
          <w:szCs w:val="22"/>
          <w:lang w:val="en-US"/>
        </w:rPr>
        <w:t>Key Information and Theme Identified in the Reviewed Articles</w:t>
      </w:r>
      <w:bookmarkEnd w:id="47"/>
    </w:p>
    <w:tbl>
      <w:tblPr>
        <w:tblStyle w:val="TableGridLight"/>
        <w:tblW w:w="17275" w:type="dxa"/>
        <w:tblLook w:val="04A0" w:firstRow="1" w:lastRow="0" w:firstColumn="1" w:lastColumn="0" w:noHBand="0" w:noVBand="1"/>
      </w:tblPr>
      <w:tblGrid>
        <w:gridCol w:w="483"/>
        <w:gridCol w:w="1996"/>
        <w:gridCol w:w="3276"/>
        <w:gridCol w:w="2160"/>
        <w:gridCol w:w="2700"/>
        <w:gridCol w:w="3420"/>
        <w:gridCol w:w="3240"/>
      </w:tblGrid>
      <w:tr w:rsidR="002D488A" w:rsidRPr="003F5EBC" w14:paraId="44771C8E" w14:textId="77777777" w:rsidTr="002D488A">
        <w:trPr>
          <w:trHeight w:val="288"/>
        </w:trPr>
        <w:tc>
          <w:tcPr>
            <w:tcW w:w="483" w:type="dxa"/>
            <w:noWrap/>
            <w:vAlign w:val="center"/>
            <w:hideMark/>
          </w:tcPr>
          <w:p w14:paraId="123BCBE7" w14:textId="77777777" w:rsidR="002D488A" w:rsidRPr="003F5EBC" w:rsidRDefault="002D488A" w:rsidP="003F5EBC">
            <w:pPr>
              <w:spacing w:line="360" w:lineRule="auto"/>
              <w:jc w:val="center"/>
              <w:rPr>
                <w:rFonts w:cs="Arial"/>
                <w:b/>
                <w:bCs/>
                <w:color w:val="000000"/>
                <w:lang w:val="en-US" w:eastAsia="zh-CN" w:bidi="bn-IN"/>
              </w:rPr>
            </w:pPr>
            <w:r w:rsidRPr="003F5EBC">
              <w:rPr>
                <w:rFonts w:cs="Arial"/>
                <w:b/>
                <w:bCs/>
                <w:color w:val="000000"/>
                <w:lang w:val="en-US" w:eastAsia="zh-CN" w:bidi="bn-IN"/>
              </w:rPr>
              <w:t>ID</w:t>
            </w:r>
          </w:p>
        </w:tc>
        <w:tc>
          <w:tcPr>
            <w:tcW w:w="1996" w:type="dxa"/>
            <w:noWrap/>
            <w:vAlign w:val="center"/>
            <w:hideMark/>
          </w:tcPr>
          <w:p w14:paraId="1B0A1544" w14:textId="77777777" w:rsidR="002D488A" w:rsidRPr="003F5EBC" w:rsidRDefault="002D488A" w:rsidP="003F5EBC">
            <w:pPr>
              <w:spacing w:line="360" w:lineRule="auto"/>
              <w:jc w:val="center"/>
              <w:rPr>
                <w:rFonts w:cs="Arial"/>
                <w:b/>
                <w:bCs/>
                <w:color w:val="000000"/>
                <w:lang w:val="en-US" w:eastAsia="zh-CN" w:bidi="bn-IN"/>
              </w:rPr>
            </w:pPr>
            <w:r w:rsidRPr="003F5EBC">
              <w:rPr>
                <w:rFonts w:cs="Arial"/>
                <w:b/>
                <w:bCs/>
                <w:color w:val="000000"/>
                <w:lang w:val="en-US" w:eastAsia="zh-CN" w:bidi="bn-IN"/>
              </w:rPr>
              <w:t>Author(s) and Publication Year</w:t>
            </w:r>
          </w:p>
        </w:tc>
        <w:tc>
          <w:tcPr>
            <w:tcW w:w="3276" w:type="dxa"/>
            <w:noWrap/>
            <w:vAlign w:val="center"/>
            <w:hideMark/>
          </w:tcPr>
          <w:p w14:paraId="6CDE9BF4" w14:textId="77777777" w:rsidR="002D488A" w:rsidRPr="003F5EBC" w:rsidRDefault="002D488A" w:rsidP="003F5EBC">
            <w:pPr>
              <w:spacing w:line="360" w:lineRule="auto"/>
              <w:jc w:val="center"/>
              <w:rPr>
                <w:rFonts w:cs="Arial"/>
                <w:b/>
                <w:bCs/>
                <w:color w:val="000000"/>
                <w:lang w:val="en-US" w:eastAsia="zh-CN" w:bidi="bn-IN"/>
              </w:rPr>
            </w:pPr>
            <w:r w:rsidRPr="003F5EBC">
              <w:rPr>
                <w:rFonts w:cs="Arial"/>
                <w:b/>
                <w:bCs/>
                <w:color w:val="000000"/>
                <w:lang w:val="en-US" w:eastAsia="zh-CN" w:bidi="bn-IN"/>
              </w:rPr>
              <w:t>Research Aim</w:t>
            </w:r>
          </w:p>
        </w:tc>
        <w:tc>
          <w:tcPr>
            <w:tcW w:w="2160" w:type="dxa"/>
            <w:noWrap/>
            <w:vAlign w:val="center"/>
            <w:hideMark/>
          </w:tcPr>
          <w:p w14:paraId="3311E012" w14:textId="77777777" w:rsidR="002D488A" w:rsidRPr="003F5EBC" w:rsidRDefault="002D488A" w:rsidP="003F5EBC">
            <w:pPr>
              <w:spacing w:line="360" w:lineRule="auto"/>
              <w:jc w:val="center"/>
              <w:rPr>
                <w:rFonts w:cs="Arial"/>
                <w:b/>
                <w:bCs/>
                <w:color w:val="000000"/>
                <w:lang w:val="en-US" w:eastAsia="zh-CN" w:bidi="bn-IN"/>
              </w:rPr>
            </w:pPr>
            <w:r w:rsidRPr="003F5EBC">
              <w:rPr>
                <w:rFonts w:cs="Arial"/>
                <w:b/>
                <w:bCs/>
                <w:color w:val="000000"/>
                <w:lang w:val="en-US" w:eastAsia="zh-CN" w:bidi="bn-IN"/>
              </w:rPr>
              <w:t>Methodology</w:t>
            </w:r>
          </w:p>
        </w:tc>
        <w:tc>
          <w:tcPr>
            <w:tcW w:w="2700" w:type="dxa"/>
            <w:noWrap/>
            <w:vAlign w:val="center"/>
            <w:hideMark/>
          </w:tcPr>
          <w:p w14:paraId="4FCDD2E7" w14:textId="77777777" w:rsidR="002D488A" w:rsidRPr="003F5EBC" w:rsidRDefault="002D488A" w:rsidP="003F5EBC">
            <w:pPr>
              <w:spacing w:line="360" w:lineRule="auto"/>
              <w:jc w:val="center"/>
              <w:rPr>
                <w:rFonts w:cs="Arial"/>
                <w:b/>
                <w:bCs/>
                <w:color w:val="000000"/>
                <w:lang w:val="en-US" w:eastAsia="zh-CN" w:bidi="bn-IN"/>
              </w:rPr>
            </w:pPr>
            <w:r w:rsidRPr="003F5EBC">
              <w:rPr>
                <w:rFonts w:cs="Arial"/>
                <w:b/>
                <w:bCs/>
                <w:color w:val="000000"/>
                <w:lang w:val="en-US" w:eastAsia="zh-CN" w:bidi="bn-IN"/>
              </w:rPr>
              <w:t>RQ1: Role of Digital Platforms</w:t>
            </w:r>
          </w:p>
        </w:tc>
        <w:tc>
          <w:tcPr>
            <w:tcW w:w="3420" w:type="dxa"/>
            <w:noWrap/>
            <w:vAlign w:val="center"/>
            <w:hideMark/>
          </w:tcPr>
          <w:p w14:paraId="2620C2E2" w14:textId="77777777" w:rsidR="002D488A" w:rsidRPr="003F5EBC" w:rsidRDefault="002D488A" w:rsidP="003F5EBC">
            <w:pPr>
              <w:spacing w:line="360" w:lineRule="auto"/>
              <w:jc w:val="center"/>
              <w:rPr>
                <w:rFonts w:cs="Arial"/>
                <w:b/>
                <w:bCs/>
                <w:color w:val="000000"/>
                <w:lang w:val="en-US" w:eastAsia="zh-CN" w:bidi="bn-IN"/>
              </w:rPr>
            </w:pPr>
            <w:r w:rsidRPr="003F5EBC">
              <w:rPr>
                <w:rFonts w:cs="Arial"/>
                <w:b/>
                <w:bCs/>
                <w:color w:val="000000"/>
                <w:lang w:val="en-US" w:eastAsia="zh-CN" w:bidi="bn-IN"/>
              </w:rPr>
              <w:t>RQ2: Challenges &amp; Opportunities</w:t>
            </w:r>
          </w:p>
        </w:tc>
        <w:tc>
          <w:tcPr>
            <w:tcW w:w="3240" w:type="dxa"/>
            <w:noWrap/>
            <w:vAlign w:val="center"/>
            <w:hideMark/>
          </w:tcPr>
          <w:p w14:paraId="51E11F35" w14:textId="77777777" w:rsidR="002D488A" w:rsidRPr="003F5EBC" w:rsidRDefault="002D488A" w:rsidP="003F5EBC">
            <w:pPr>
              <w:spacing w:line="360" w:lineRule="auto"/>
              <w:jc w:val="center"/>
              <w:rPr>
                <w:rFonts w:cs="Arial"/>
                <w:b/>
                <w:bCs/>
                <w:color w:val="000000"/>
                <w:lang w:val="en-US" w:eastAsia="zh-CN" w:bidi="bn-IN"/>
              </w:rPr>
            </w:pPr>
            <w:r w:rsidRPr="003F5EBC">
              <w:rPr>
                <w:rFonts w:cs="Arial"/>
                <w:b/>
                <w:bCs/>
                <w:color w:val="000000"/>
                <w:lang w:val="en-US" w:eastAsia="zh-CN" w:bidi="bn-IN"/>
              </w:rPr>
              <w:t>RQ3: Practices &amp; Strategies</w:t>
            </w:r>
          </w:p>
        </w:tc>
      </w:tr>
      <w:tr w:rsidR="002D488A" w:rsidRPr="003F5EBC" w14:paraId="0B796A44" w14:textId="77777777" w:rsidTr="002D488A">
        <w:trPr>
          <w:trHeight w:val="288"/>
        </w:trPr>
        <w:tc>
          <w:tcPr>
            <w:tcW w:w="483" w:type="dxa"/>
            <w:noWrap/>
            <w:vAlign w:val="center"/>
            <w:hideMark/>
          </w:tcPr>
          <w:p w14:paraId="288F476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1</w:t>
            </w:r>
          </w:p>
        </w:tc>
        <w:tc>
          <w:tcPr>
            <w:tcW w:w="1996" w:type="dxa"/>
            <w:noWrap/>
            <w:vAlign w:val="center"/>
            <w:hideMark/>
          </w:tcPr>
          <w:p w14:paraId="1BB42A9E" w14:textId="00CD7116"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Aghazadeh </w:t>
            </w:r>
            <w:r w:rsidR="00067DAE" w:rsidRPr="00067DAE">
              <w:rPr>
                <w:rFonts w:cs="Arial"/>
                <w:i/>
                <w:iCs/>
                <w:color w:val="000000"/>
                <w:lang w:val="en-US" w:eastAsia="zh-CN" w:bidi="bn-IN"/>
              </w:rPr>
              <w:t>et al</w:t>
            </w:r>
            <w:r w:rsidRPr="003F5EBC">
              <w:rPr>
                <w:rFonts w:cs="Arial"/>
                <w:color w:val="000000"/>
                <w:lang w:val="en-US" w:eastAsia="zh-CN" w:bidi="bn-IN"/>
              </w:rPr>
              <w:t>. (2023)</w:t>
            </w:r>
          </w:p>
        </w:tc>
        <w:tc>
          <w:tcPr>
            <w:tcW w:w="3276" w:type="dxa"/>
            <w:noWrap/>
            <w:vAlign w:val="center"/>
            <w:hideMark/>
          </w:tcPr>
          <w:p w14:paraId="69D3B93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examine how digital capabilities and maturity help UK SMEs use digital platforms for international expansion post-Brexit.</w:t>
            </w:r>
          </w:p>
        </w:tc>
        <w:tc>
          <w:tcPr>
            <w:tcW w:w="2160" w:type="dxa"/>
            <w:noWrap/>
            <w:vAlign w:val="center"/>
            <w:hideMark/>
          </w:tcPr>
          <w:p w14:paraId="7A74D68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Survey of 350 UK SMEs; Structural Equation Modelling (SEM)</w:t>
            </w:r>
          </w:p>
        </w:tc>
        <w:tc>
          <w:tcPr>
            <w:tcW w:w="2700" w:type="dxa"/>
            <w:noWrap/>
            <w:vAlign w:val="center"/>
            <w:hideMark/>
          </w:tcPr>
          <w:p w14:paraId="6F56122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Enable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 xml:space="preserve"> through enhanced digital capabilities, resilience, and maturity</w:t>
            </w:r>
          </w:p>
        </w:tc>
        <w:tc>
          <w:tcPr>
            <w:tcW w:w="3420" w:type="dxa"/>
            <w:noWrap/>
            <w:vAlign w:val="center"/>
            <w:hideMark/>
          </w:tcPr>
          <w:p w14:paraId="5403C67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digital skill gaps, cybersecurity risks, limited resources; Opportunities: accelerated international expansion, adaptive business models</w:t>
            </w:r>
          </w:p>
        </w:tc>
        <w:tc>
          <w:tcPr>
            <w:tcW w:w="3240" w:type="dxa"/>
            <w:noWrap/>
            <w:vAlign w:val="center"/>
            <w:hideMark/>
          </w:tcPr>
          <w:p w14:paraId="2FE1FB7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Invest in digital infrastructure, develop digital capabilities, integrate digital maturity assessments into growth planning</w:t>
            </w:r>
          </w:p>
        </w:tc>
      </w:tr>
      <w:tr w:rsidR="002D488A" w:rsidRPr="003F5EBC" w14:paraId="183BBDE4" w14:textId="77777777" w:rsidTr="002D488A">
        <w:trPr>
          <w:trHeight w:val="288"/>
        </w:trPr>
        <w:tc>
          <w:tcPr>
            <w:tcW w:w="483" w:type="dxa"/>
            <w:noWrap/>
            <w:vAlign w:val="center"/>
            <w:hideMark/>
          </w:tcPr>
          <w:p w14:paraId="4BEE583E"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2</w:t>
            </w:r>
          </w:p>
        </w:tc>
        <w:tc>
          <w:tcPr>
            <w:tcW w:w="1996" w:type="dxa"/>
            <w:noWrap/>
            <w:vAlign w:val="center"/>
            <w:hideMark/>
          </w:tcPr>
          <w:p w14:paraId="11BC1C71" w14:textId="695B6D9B"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Ahmad </w:t>
            </w:r>
            <w:r w:rsidR="00067DAE" w:rsidRPr="00067DAE">
              <w:rPr>
                <w:rFonts w:cs="Arial"/>
                <w:i/>
                <w:iCs/>
                <w:color w:val="000000"/>
                <w:lang w:val="en-US" w:eastAsia="zh-CN" w:bidi="bn-IN"/>
              </w:rPr>
              <w:t>et al</w:t>
            </w:r>
            <w:r w:rsidRPr="003F5EBC">
              <w:rPr>
                <w:rFonts w:cs="Arial"/>
                <w:color w:val="000000"/>
                <w:lang w:val="en-US" w:eastAsia="zh-CN" w:bidi="bn-IN"/>
              </w:rPr>
              <w:t>. (2023)</w:t>
            </w:r>
          </w:p>
        </w:tc>
        <w:tc>
          <w:tcPr>
            <w:tcW w:w="3276" w:type="dxa"/>
            <w:noWrap/>
            <w:vAlign w:val="center"/>
            <w:hideMark/>
          </w:tcPr>
          <w:p w14:paraId="789BCD5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explore how Brexit uncertainty influences UK SMEs’ use of digital platforms for cross-border activities.</w:t>
            </w:r>
          </w:p>
        </w:tc>
        <w:tc>
          <w:tcPr>
            <w:tcW w:w="2160" w:type="dxa"/>
            <w:noWrap/>
            <w:vAlign w:val="center"/>
            <w:hideMark/>
          </w:tcPr>
          <w:p w14:paraId="0C20E4C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Firm-level panel data of 1,200 UK SMEs; Econometric modelling</w:t>
            </w:r>
          </w:p>
        </w:tc>
        <w:tc>
          <w:tcPr>
            <w:tcW w:w="2700" w:type="dxa"/>
            <w:noWrap/>
            <w:vAlign w:val="center"/>
            <w:hideMark/>
          </w:tcPr>
          <w:p w14:paraId="64F5C1C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Mitigate Brexit uncertainty via remote operations, online trade, and virtual networking</w:t>
            </w:r>
          </w:p>
        </w:tc>
        <w:tc>
          <w:tcPr>
            <w:tcW w:w="3420" w:type="dxa"/>
            <w:noWrap/>
            <w:vAlign w:val="center"/>
            <w:hideMark/>
          </w:tcPr>
          <w:p w14:paraId="431778BC"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tariff uncertainty, regulatory divergence, supply chain disruptions; Opportunities: digital trade channels, cross-border e-commerce</w:t>
            </w:r>
          </w:p>
        </w:tc>
        <w:tc>
          <w:tcPr>
            <w:tcW w:w="3240" w:type="dxa"/>
            <w:noWrap/>
            <w:vAlign w:val="center"/>
            <w:hideMark/>
          </w:tcPr>
          <w:p w14:paraId="767F99C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Diversify suppliers, leverage online marketplaces, enhance digital communication with partners and customers</w:t>
            </w:r>
          </w:p>
        </w:tc>
      </w:tr>
      <w:tr w:rsidR="002D488A" w:rsidRPr="003F5EBC" w14:paraId="61480031" w14:textId="77777777" w:rsidTr="002D488A">
        <w:trPr>
          <w:trHeight w:val="288"/>
        </w:trPr>
        <w:tc>
          <w:tcPr>
            <w:tcW w:w="483" w:type="dxa"/>
            <w:noWrap/>
            <w:vAlign w:val="center"/>
            <w:hideMark/>
          </w:tcPr>
          <w:p w14:paraId="46F08FB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3</w:t>
            </w:r>
          </w:p>
        </w:tc>
        <w:tc>
          <w:tcPr>
            <w:tcW w:w="1996" w:type="dxa"/>
            <w:noWrap/>
            <w:vAlign w:val="center"/>
            <w:hideMark/>
          </w:tcPr>
          <w:p w14:paraId="15C57E87" w14:textId="77777777" w:rsidR="002D488A" w:rsidRPr="003F5EBC" w:rsidRDefault="002D488A" w:rsidP="003F5EBC">
            <w:pPr>
              <w:spacing w:line="360" w:lineRule="auto"/>
              <w:jc w:val="center"/>
              <w:rPr>
                <w:rFonts w:cs="Arial"/>
                <w:color w:val="000000"/>
                <w:lang w:val="en-US" w:eastAsia="zh-CN" w:bidi="bn-IN"/>
              </w:rPr>
            </w:pPr>
            <w:proofErr w:type="spellStart"/>
            <w:r w:rsidRPr="003F5EBC">
              <w:rPr>
                <w:rFonts w:cs="Arial"/>
                <w:color w:val="000000"/>
                <w:lang w:val="en-US" w:eastAsia="zh-CN" w:bidi="bn-IN"/>
              </w:rPr>
              <w:t>Avgouleas</w:t>
            </w:r>
            <w:proofErr w:type="spellEnd"/>
            <w:r w:rsidRPr="003F5EBC">
              <w:rPr>
                <w:rFonts w:cs="Arial"/>
                <w:color w:val="000000"/>
                <w:lang w:val="en-US" w:eastAsia="zh-CN" w:bidi="bn-IN"/>
              </w:rPr>
              <w:t xml:space="preserve"> and </w:t>
            </w:r>
            <w:proofErr w:type="spellStart"/>
            <w:r w:rsidRPr="003F5EBC">
              <w:rPr>
                <w:rFonts w:cs="Arial"/>
                <w:color w:val="000000"/>
                <w:lang w:val="en-US" w:eastAsia="zh-CN" w:bidi="bn-IN"/>
              </w:rPr>
              <w:t>Seretakis</w:t>
            </w:r>
            <w:proofErr w:type="spellEnd"/>
            <w:r w:rsidRPr="003F5EBC">
              <w:rPr>
                <w:rFonts w:cs="Arial"/>
                <w:color w:val="000000"/>
                <w:lang w:val="en-US" w:eastAsia="zh-CN" w:bidi="bn-IN"/>
              </w:rPr>
              <w:t xml:space="preserve"> (2021)</w:t>
            </w:r>
          </w:p>
        </w:tc>
        <w:tc>
          <w:tcPr>
            <w:tcW w:w="3276" w:type="dxa"/>
            <w:noWrap/>
            <w:vAlign w:val="center"/>
            <w:hideMark/>
          </w:tcPr>
          <w:p w14:paraId="5493B2D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investigate how digital finance governance </w:t>
            </w:r>
            <w:r w:rsidRPr="003F5EBC">
              <w:rPr>
                <w:rFonts w:cs="Arial"/>
                <w:color w:val="000000"/>
                <w:lang w:val="en-US" w:eastAsia="zh-CN" w:bidi="bn-IN"/>
              </w:rPr>
              <w:lastRenderedPageBreak/>
              <w:t xml:space="preserve">supports UK SMEs’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 xml:space="preserve"> via digital platforms.</w:t>
            </w:r>
          </w:p>
        </w:tc>
        <w:tc>
          <w:tcPr>
            <w:tcW w:w="2160" w:type="dxa"/>
            <w:noWrap/>
            <w:vAlign w:val="center"/>
            <w:hideMark/>
          </w:tcPr>
          <w:p w14:paraId="4141E6D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Qualitative review / policy analysis</w:t>
            </w:r>
          </w:p>
        </w:tc>
        <w:tc>
          <w:tcPr>
            <w:tcW w:w="2700" w:type="dxa"/>
            <w:noWrap/>
            <w:vAlign w:val="center"/>
            <w:hideMark/>
          </w:tcPr>
          <w:p w14:paraId="184160B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Digital finance platforms directly </w:t>
            </w:r>
            <w:r w:rsidRPr="003F5EBC">
              <w:rPr>
                <w:rFonts w:cs="Arial"/>
                <w:color w:val="000000"/>
                <w:lang w:val="en-US" w:eastAsia="zh-CN" w:bidi="bn-IN"/>
              </w:rPr>
              <w:lastRenderedPageBreak/>
              <w:t>enable SME access to funding and cross-border financial transactions</w:t>
            </w:r>
          </w:p>
        </w:tc>
        <w:tc>
          <w:tcPr>
            <w:tcW w:w="3420" w:type="dxa"/>
            <w:noWrap/>
            <w:vAlign w:val="center"/>
            <w:hideMark/>
          </w:tcPr>
          <w:p w14:paraId="1F27C5B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Challenges: regulatory complexity, post-Brexit </w:t>
            </w:r>
            <w:r w:rsidRPr="003F5EBC">
              <w:rPr>
                <w:rFonts w:cs="Arial"/>
                <w:color w:val="000000"/>
                <w:lang w:val="en-US" w:eastAsia="zh-CN" w:bidi="bn-IN"/>
              </w:rPr>
              <w:lastRenderedPageBreak/>
              <w:t xml:space="preserve">financial fragmentation; Opportunities: digital finance platforms enhance SME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 xml:space="preserve"> and investment access</w:t>
            </w:r>
          </w:p>
        </w:tc>
        <w:tc>
          <w:tcPr>
            <w:tcW w:w="3240" w:type="dxa"/>
            <w:noWrap/>
            <w:vAlign w:val="center"/>
            <w:hideMark/>
          </w:tcPr>
          <w:p w14:paraId="53D9B02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Practices: using integrated digital finance platforms, </w:t>
            </w:r>
            <w:r w:rsidRPr="003F5EBC">
              <w:rPr>
                <w:rFonts w:cs="Arial"/>
                <w:color w:val="000000"/>
                <w:lang w:val="en-US" w:eastAsia="zh-CN" w:bidi="bn-IN"/>
              </w:rPr>
              <w:lastRenderedPageBreak/>
              <w:t>fintech apps, and automated investment tools to facilitate cross-border business growth</w:t>
            </w:r>
          </w:p>
        </w:tc>
      </w:tr>
      <w:tr w:rsidR="002D488A" w:rsidRPr="003F5EBC" w14:paraId="444086EC" w14:textId="77777777" w:rsidTr="002D488A">
        <w:trPr>
          <w:trHeight w:val="288"/>
        </w:trPr>
        <w:tc>
          <w:tcPr>
            <w:tcW w:w="483" w:type="dxa"/>
            <w:noWrap/>
            <w:vAlign w:val="center"/>
            <w:hideMark/>
          </w:tcPr>
          <w:p w14:paraId="223C35D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4</w:t>
            </w:r>
          </w:p>
        </w:tc>
        <w:tc>
          <w:tcPr>
            <w:tcW w:w="1996" w:type="dxa"/>
            <w:noWrap/>
            <w:vAlign w:val="center"/>
            <w:hideMark/>
          </w:tcPr>
          <w:p w14:paraId="7AEA2B01" w14:textId="601EFD2E"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Bailey </w:t>
            </w:r>
            <w:r w:rsidR="00067DAE" w:rsidRPr="00067DAE">
              <w:rPr>
                <w:rFonts w:cs="Arial"/>
                <w:i/>
                <w:iCs/>
                <w:color w:val="000000"/>
                <w:lang w:val="en-US" w:eastAsia="zh-CN" w:bidi="bn-IN"/>
              </w:rPr>
              <w:t>et al</w:t>
            </w:r>
            <w:r w:rsidRPr="003F5EBC">
              <w:rPr>
                <w:rFonts w:cs="Arial"/>
                <w:color w:val="000000"/>
                <w:lang w:val="en-US" w:eastAsia="zh-CN" w:bidi="bn-IN"/>
              </w:rPr>
              <w:t>. (2022)</w:t>
            </w:r>
          </w:p>
        </w:tc>
        <w:tc>
          <w:tcPr>
            <w:tcW w:w="3276" w:type="dxa"/>
            <w:noWrap/>
            <w:vAlign w:val="center"/>
            <w:hideMark/>
          </w:tcPr>
          <w:p w14:paraId="0480C48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analyse how regional policies enhance UK SMEs’ resilience and digital platform adoption for global markets.</w:t>
            </w:r>
          </w:p>
        </w:tc>
        <w:tc>
          <w:tcPr>
            <w:tcW w:w="2160" w:type="dxa"/>
            <w:noWrap/>
            <w:vAlign w:val="center"/>
            <w:hideMark/>
          </w:tcPr>
          <w:p w14:paraId="5AFFDF3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Case studies in two Midlands regions; Interviews with 40 automotive SMEs</w:t>
            </w:r>
          </w:p>
        </w:tc>
        <w:tc>
          <w:tcPr>
            <w:tcW w:w="2700" w:type="dxa"/>
            <w:noWrap/>
            <w:vAlign w:val="center"/>
            <w:hideMark/>
          </w:tcPr>
          <w:p w14:paraId="2523CE20"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Support supply chain coordination and export readiness in traditional manufacturing</w:t>
            </w:r>
          </w:p>
        </w:tc>
        <w:tc>
          <w:tcPr>
            <w:tcW w:w="3420" w:type="dxa"/>
            <w:noWrap/>
            <w:vAlign w:val="center"/>
            <w:hideMark/>
          </w:tcPr>
          <w:p w14:paraId="69A7667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Brexit trade barriers, labour shortages; Opportunities: Industry 4.0 adoption, predictive logistics</w:t>
            </w:r>
          </w:p>
        </w:tc>
        <w:tc>
          <w:tcPr>
            <w:tcW w:w="3240" w:type="dxa"/>
            <w:noWrap/>
            <w:vAlign w:val="center"/>
            <w:hideMark/>
          </w:tcPr>
          <w:p w14:paraId="56137A1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Adopt digital supply chain tools, use online B2B platforms, engage with regional innovation hubs</w:t>
            </w:r>
          </w:p>
        </w:tc>
      </w:tr>
      <w:tr w:rsidR="002D488A" w:rsidRPr="003F5EBC" w14:paraId="62B236B9" w14:textId="77777777" w:rsidTr="002D488A">
        <w:trPr>
          <w:trHeight w:val="288"/>
        </w:trPr>
        <w:tc>
          <w:tcPr>
            <w:tcW w:w="483" w:type="dxa"/>
            <w:noWrap/>
            <w:vAlign w:val="center"/>
            <w:hideMark/>
          </w:tcPr>
          <w:p w14:paraId="7A84E42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5</w:t>
            </w:r>
          </w:p>
        </w:tc>
        <w:tc>
          <w:tcPr>
            <w:tcW w:w="1996" w:type="dxa"/>
            <w:noWrap/>
            <w:vAlign w:val="center"/>
            <w:hideMark/>
          </w:tcPr>
          <w:p w14:paraId="57316C88" w14:textId="7B941E69"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Bailey </w:t>
            </w:r>
            <w:r w:rsidR="00067DAE" w:rsidRPr="00067DAE">
              <w:rPr>
                <w:rFonts w:cs="Arial"/>
                <w:i/>
                <w:iCs/>
                <w:color w:val="000000"/>
                <w:lang w:val="en-US" w:eastAsia="zh-CN" w:bidi="bn-IN"/>
              </w:rPr>
              <w:t>et al</w:t>
            </w:r>
            <w:r w:rsidRPr="003F5EBC">
              <w:rPr>
                <w:rFonts w:cs="Arial"/>
                <w:color w:val="000000"/>
                <w:lang w:val="en-US" w:eastAsia="zh-CN" w:bidi="bn-IN"/>
              </w:rPr>
              <w:t>. (2023)</w:t>
            </w:r>
          </w:p>
        </w:tc>
        <w:tc>
          <w:tcPr>
            <w:tcW w:w="3276" w:type="dxa"/>
            <w:noWrap/>
            <w:vAlign w:val="center"/>
            <w:hideMark/>
          </w:tcPr>
          <w:p w14:paraId="1E1D787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assess Brexit’s impact on UK advanced manufacturing SMEs and their use of digital platforms for trade.</w:t>
            </w:r>
          </w:p>
        </w:tc>
        <w:tc>
          <w:tcPr>
            <w:tcW w:w="2160" w:type="dxa"/>
            <w:noWrap/>
            <w:vAlign w:val="center"/>
            <w:hideMark/>
          </w:tcPr>
          <w:p w14:paraId="6BA27B7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Survey of 220 advanced manufacturing SMEs; Semi-structured interviews</w:t>
            </w:r>
          </w:p>
        </w:tc>
        <w:tc>
          <w:tcPr>
            <w:tcW w:w="2700" w:type="dxa"/>
            <w:noWrap/>
            <w:vAlign w:val="center"/>
            <w:hideMark/>
          </w:tcPr>
          <w:p w14:paraId="53684E9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Enable international sales, customer engagement, and regulatory compliance tracking</w:t>
            </w:r>
          </w:p>
        </w:tc>
        <w:tc>
          <w:tcPr>
            <w:tcW w:w="3420" w:type="dxa"/>
            <w:noWrap/>
            <w:vAlign w:val="center"/>
            <w:hideMark/>
          </w:tcPr>
          <w:p w14:paraId="639BCB2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Brexit-related export uncertainty, disrupted EU supply chains; Opportunities: digital export platforms, online collaboration with overseas partners</w:t>
            </w:r>
          </w:p>
        </w:tc>
        <w:tc>
          <w:tcPr>
            <w:tcW w:w="3240" w:type="dxa"/>
            <w:noWrap/>
            <w:vAlign w:val="center"/>
            <w:hideMark/>
          </w:tcPr>
          <w:p w14:paraId="6ACD57E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Integrate ERP and e-commerce tools, develop digital skills for compliance and international market intelligence</w:t>
            </w:r>
          </w:p>
        </w:tc>
      </w:tr>
      <w:tr w:rsidR="002D488A" w:rsidRPr="003F5EBC" w14:paraId="3C8CCC50" w14:textId="77777777" w:rsidTr="002D488A">
        <w:trPr>
          <w:trHeight w:val="288"/>
        </w:trPr>
        <w:tc>
          <w:tcPr>
            <w:tcW w:w="483" w:type="dxa"/>
            <w:noWrap/>
            <w:vAlign w:val="center"/>
            <w:hideMark/>
          </w:tcPr>
          <w:p w14:paraId="69EA302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6</w:t>
            </w:r>
          </w:p>
        </w:tc>
        <w:tc>
          <w:tcPr>
            <w:tcW w:w="1996" w:type="dxa"/>
            <w:noWrap/>
            <w:vAlign w:val="center"/>
            <w:hideMark/>
          </w:tcPr>
          <w:p w14:paraId="5845EC95"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Barron and </w:t>
            </w:r>
            <w:proofErr w:type="spellStart"/>
            <w:r w:rsidRPr="003F5EBC">
              <w:rPr>
                <w:rFonts w:cs="Arial"/>
                <w:color w:val="000000"/>
                <w:lang w:val="en-US" w:eastAsia="zh-CN" w:bidi="bn-IN"/>
              </w:rPr>
              <w:t>Boutary</w:t>
            </w:r>
            <w:proofErr w:type="spellEnd"/>
            <w:r w:rsidRPr="003F5EBC">
              <w:rPr>
                <w:rFonts w:cs="Arial"/>
                <w:color w:val="000000"/>
                <w:lang w:val="en-US" w:eastAsia="zh-CN" w:bidi="bn-IN"/>
              </w:rPr>
              <w:t xml:space="preserve"> (2020)</w:t>
            </w:r>
          </w:p>
        </w:tc>
        <w:tc>
          <w:tcPr>
            <w:tcW w:w="3276" w:type="dxa"/>
            <w:noWrap/>
            <w:vAlign w:val="center"/>
            <w:hideMark/>
          </w:tcPr>
          <w:p w14:paraId="0D91F49C"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evaluate how UK SMEs respond to Brexit by adopting digital platforms for </w:t>
            </w:r>
            <w:r w:rsidRPr="003F5EBC">
              <w:rPr>
                <w:rFonts w:cs="Arial"/>
                <w:color w:val="000000"/>
                <w:lang w:val="en-US" w:eastAsia="zh-CN" w:bidi="bn-IN"/>
              </w:rPr>
              <w:lastRenderedPageBreak/>
              <w:t>European and global markets.</w:t>
            </w:r>
          </w:p>
        </w:tc>
        <w:tc>
          <w:tcPr>
            <w:tcW w:w="2160" w:type="dxa"/>
            <w:noWrap/>
            <w:vAlign w:val="center"/>
            <w:hideMark/>
          </w:tcPr>
          <w:p w14:paraId="3361CE6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Qualitative behavioral strategy</w:t>
            </w:r>
          </w:p>
        </w:tc>
        <w:tc>
          <w:tcPr>
            <w:tcW w:w="2700" w:type="dxa"/>
            <w:noWrap/>
            <w:vAlign w:val="center"/>
            <w:hideMark/>
          </w:tcPr>
          <w:p w14:paraId="4A38151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Suggests that digital tools could support SMEs’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 xml:space="preserve"> </w:t>
            </w:r>
            <w:r w:rsidRPr="003F5EBC">
              <w:rPr>
                <w:rFonts w:cs="Arial"/>
                <w:color w:val="000000"/>
                <w:lang w:val="en-US" w:eastAsia="zh-CN" w:bidi="bn-IN"/>
              </w:rPr>
              <w:lastRenderedPageBreak/>
              <w:t>decisions under uncertainty</w:t>
            </w:r>
          </w:p>
        </w:tc>
        <w:tc>
          <w:tcPr>
            <w:tcW w:w="3420" w:type="dxa"/>
            <w:noWrap/>
            <w:vAlign w:val="center"/>
            <w:hideMark/>
          </w:tcPr>
          <w:p w14:paraId="648D0A3C"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Challenges include cognitive biases and uncertainty in foreign markets; opportunities </w:t>
            </w:r>
            <w:r w:rsidRPr="003F5EBC">
              <w:rPr>
                <w:rFonts w:cs="Arial"/>
                <w:color w:val="000000"/>
                <w:lang w:val="en-US" w:eastAsia="zh-CN" w:bidi="bn-IN"/>
              </w:rPr>
              <w:lastRenderedPageBreak/>
              <w:t>in informed strategic use of digital channels</w:t>
            </w:r>
          </w:p>
        </w:tc>
        <w:tc>
          <w:tcPr>
            <w:tcW w:w="3240" w:type="dxa"/>
            <w:noWrap/>
            <w:vAlign w:val="center"/>
            <w:hideMark/>
          </w:tcPr>
          <w:p w14:paraId="11CE909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Managers could implement digital monitoring, data-driven decision-making, and platform-based engagement </w:t>
            </w:r>
            <w:r w:rsidRPr="003F5EBC">
              <w:rPr>
                <w:rFonts w:cs="Arial"/>
                <w:color w:val="000000"/>
                <w:lang w:val="en-US" w:eastAsia="zh-CN" w:bidi="bn-IN"/>
              </w:rPr>
              <w:lastRenderedPageBreak/>
              <w:t xml:space="preserve">to </w:t>
            </w:r>
            <w:proofErr w:type="spellStart"/>
            <w:r w:rsidRPr="003F5EBC">
              <w:rPr>
                <w:rFonts w:cs="Arial"/>
                <w:color w:val="000000"/>
                <w:lang w:val="en-US" w:eastAsia="zh-CN" w:bidi="bn-IN"/>
              </w:rPr>
              <w:t>optimise</w:t>
            </w:r>
            <w:proofErr w:type="spellEnd"/>
            <w:r w:rsidRPr="003F5EBC">
              <w:rPr>
                <w:rFonts w:cs="Arial"/>
                <w:color w:val="000000"/>
                <w:lang w:val="en-US" w:eastAsia="zh-CN" w:bidi="bn-IN"/>
              </w:rPr>
              <w:t xml:space="preserve"> </w:t>
            </w:r>
            <w:proofErr w:type="spellStart"/>
            <w:r w:rsidRPr="003F5EBC">
              <w:rPr>
                <w:rFonts w:cs="Arial"/>
                <w:color w:val="000000"/>
                <w:lang w:val="en-US" w:eastAsia="zh-CN" w:bidi="bn-IN"/>
              </w:rPr>
              <w:t>internationalisation</w:t>
            </w:r>
            <w:proofErr w:type="spellEnd"/>
          </w:p>
        </w:tc>
      </w:tr>
      <w:tr w:rsidR="002D488A" w:rsidRPr="003F5EBC" w14:paraId="0D90F267" w14:textId="77777777" w:rsidTr="002D488A">
        <w:trPr>
          <w:trHeight w:val="288"/>
        </w:trPr>
        <w:tc>
          <w:tcPr>
            <w:tcW w:w="483" w:type="dxa"/>
            <w:noWrap/>
            <w:vAlign w:val="center"/>
            <w:hideMark/>
          </w:tcPr>
          <w:p w14:paraId="0086F76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7</w:t>
            </w:r>
          </w:p>
        </w:tc>
        <w:tc>
          <w:tcPr>
            <w:tcW w:w="1996" w:type="dxa"/>
            <w:noWrap/>
            <w:vAlign w:val="center"/>
            <w:hideMark/>
          </w:tcPr>
          <w:p w14:paraId="54CDD1D4" w14:textId="788B689D"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Berg </w:t>
            </w:r>
            <w:r w:rsidR="00067DAE" w:rsidRPr="00067DAE">
              <w:rPr>
                <w:rFonts w:cs="Arial"/>
                <w:i/>
                <w:iCs/>
                <w:color w:val="000000"/>
                <w:lang w:val="en-US" w:eastAsia="zh-CN" w:bidi="bn-IN"/>
              </w:rPr>
              <w:t>et al</w:t>
            </w:r>
            <w:r w:rsidRPr="003F5EBC">
              <w:rPr>
                <w:rFonts w:cs="Arial"/>
                <w:color w:val="000000"/>
                <w:lang w:val="en-US" w:eastAsia="zh-CN" w:bidi="bn-IN"/>
              </w:rPr>
              <w:t>. (2021)</w:t>
            </w:r>
          </w:p>
        </w:tc>
        <w:tc>
          <w:tcPr>
            <w:tcW w:w="3276" w:type="dxa"/>
            <w:noWrap/>
            <w:vAlign w:val="center"/>
            <w:hideMark/>
          </w:tcPr>
          <w:p w14:paraId="76F7A0A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study the effect of Brexit-related financial constraints on UK SMEs and the role of digital platforms in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w:t>
            </w:r>
          </w:p>
        </w:tc>
        <w:tc>
          <w:tcPr>
            <w:tcW w:w="2160" w:type="dxa"/>
            <w:noWrap/>
            <w:vAlign w:val="center"/>
            <w:hideMark/>
          </w:tcPr>
          <w:p w14:paraId="14DC49B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Panel data of 350 UK banks; Difference-in-differences econometric model</w:t>
            </w:r>
          </w:p>
        </w:tc>
        <w:tc>
          <w:tcPr>
            <w:tcW w:w="2700" w:type="dxa"/>
            <w:noWrap/>
            <w:vAlign w:val="center"/>
            <w:hideMark/>
          </w:tcPr>
          <w:p w14:paraId="6205D4B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Limited role; digital platforms for loan syndication were secondary to traditional banking relationships</w:t>
            </w:r>
          </w:p>
        </w:tc>
        <w:tc>
          <w:tcPr>
            <w:tcW w:w="3420" w:type="dxa"/>
            <w:noWrap/>
            <w:vAlign w:val="center"/>
            <w:hideMark/>
          </w:tcPr>
          <w:p w14:paraId="14BE506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reduced cross-border lending, increased regulatory uncertainty; Opportunities: digital communication to coordinate lenders</w:t>
            </w:r>
          </w:p>
        </w:tc>
        <w:tc>
          <w:tcPr>
            <w:tcW w:w="3240" w:type="dxa"/>
            <w:noWrap/>
            <w:vAlign w:val="center"/>
            <w:hideMark/>
          </w:tcPr>
          <w:p w14:paraId="641ED2FC"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Improve digital communication among syndicate partners, use online platforms for borrower due diligence, diversify lending channels</w:t>
            </w:r>
          </w:p>
        </w:tc>
      </w:tr>
      <w:tr w:rsidR="002D488A" w:rsidRPr="003F5EBC" w14:paraId="252AC5F9" w14:textId="77777777" w:rsidTr="002D488A">
        <w:trPr>
          <w:trHeight w:val="288"/>
        </w:trPr>
        <w:tc>
          <w:tcPr>
            <w:tcW w:w="483" w:type="dxa"/>
            <w:noWrap/>
            <w:vAlign w:val="center"/>
            <w:hideMark/>
          </w:tcPr>
          <w:p w14:paraId="0CB01FA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8</w:t>
            </w:r>
          </w:p>
        </w:tc>
        <w:tc>
          <w:tcPr>
            <w:tcW w:w="1996" w:type="dxa"/>
            <w:noWrap/>
            <w:vAlign w:val="center"/>
            <w:hideMark/>
          </w:tcPr>
          <w:p w14:paraId="5BBA1E88" w14:textId="0DAFDCC1"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Brown </w:t>
            </w:r>
            <w:r w:rsidR="00067DAE" w:rsidRPr="00067DAE">
              <w:rPr>
                <w:rFonts w:cs="Arial"/>
                <w:i/>
                <w:iCs/>
                <w:color w:val="000000"/>
                <w:lang w:val="en-US" w:eastAsia="zh-CN" w:bidi="bn-IN"/>
              </w:rPr>
              <w:t>et al</w:t>
            </w:r>
            <w:r w:rsidRPr="003F5EBC">
              <w:rPr>
                <w:rFonts w:cs="Arial"/>
                <w:color w:val="000000"/>
                <w:lang w:val="en-US" w:eastAsia="zh-CN" w:bidi="bn-IN"/>
              </w:rPr>
              <w:t>. (2020)</w:t>
            </w:r>
          </w:p>
        </w:tc>
        <w:tc>
          <w:tcPr>
            <w:tcW w:w="3276" w:type="dxa"/>
            <w:noWrap/>
            <w:vAlign w:val="center"/>
            <w:hideMark/>
          </w:tcPr>
          <w:p w14:paraId="0E32265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examine how Scottish SMEs use digital platforms to maintain resilience and expand internationally post-Brexit.</w:t>
            </w:r>
          </w:p>
        </w:tc>
        <w:tc>
          <w:tcPr>
            <w:tcW w:w="2160" w:type="dxa"/>
            <w:noWrap/>
            <w:vAlign w:val="center"/>
            <w:hideMark/>
          </w:tcPr>
          <w:p w14:paraId="34F5B6C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Mixed methods (survey + interviews)</w:t>
            </w:r>
          </w:p>
        </w:tc>
        <w:tc>
          <w:tcPr>
            <w:tcW w:w="2700" w:type="dxa"/>
            <w:noWrap/>
            <w:vAlign w:val="center"/>
            <w:hideMark/>
          </w:tcPr>
          <w:p w14:paraId="51714AE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tools inferred as mechanisms to maintain export operations and innovation in SMEs</w:t>
            </w:r>
          </w:p>
        </w:tc>
        <w:tc>
          <w:tcPr>
            <w:tcW w:w="3420" w:type="dxa"/>
            <w:noWrap/>
            <w:vAlign w:val="center"/>
            <w:hideMark/>
          </w:tcPr>
          <w:p w14:paraId="0253679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operational and strategic uncertainty post-Brexit; opportunities: digital solutions to sustain international and domestic engagement</w:t>
            </w:r>
          </w:p>
        </w:tc>
        <w:tc>
          <w:tcPr>
            <w:tcW w:w="3240" w:type="dxa"/>
            <w:noWrap/>
            <w:vAlign w:val="center"/>
            <w:hideMark/>
          </w:tcPr>
          <w:p w14:paraId="54BB013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Practices: adoption of e-commerce, online communications, and digital monitoring of operations to enhance resilience</w:t>
            </w:r>
          </w:p>
        </w:tc>
      </w:tr>
      <w:tr w:rsidR="002D488A" w:rsidRPr="003F5EBC" w14:paraId="088435D9" w14:textId="77777777" w:rsidTr="002D488A">
        <w:trPr>
          <w:trHeight w:val="288"/>
        </w:trPr>
        <w:tc>
          <w:tcPr>
            <w:tcW w:w="483" w:type="dxa"/>
            <w:noWrap/>
            <w:vAlign w:val="center"/>
            <w:hideMark/>
          </w:tcPr>
          <w:p w14:paraId="74F998E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9</w:t>
            </w:r>
          </w:p>
        </w:tc>
        <w:tc>
          <w:tcPr>
            <w:tcW w:w="1996" w:type="dxa"/>
            <w:noWrap/>
            <w:vAlign w:val="center"/>
            <w:hideMark/>
          </w:tcPr>
          <w:p w14:paraId="266BBFA5"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Cavallaro and Lepori (2021)</w:t>
            </w:r>
          </w:p>
        </w:tc>
        <w:tc>
          <w:tcPr>
            <w:tcW w:w="3276" w:type="dxa"/>
            <w:noWrap/>
            <w:vAlign w:val="center"/>
            <w:hideMark/>
          </w:tcPr>
          <w:p w14:paraId="0EA3DBC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identify institutional barriers for UK SMEs and how digital platforms can overcome them in EU engagement.</w:t>
            </w:r>
          </w:p>
        </w:tc>
        <w:tc>
          <w:tcPr>
            <w:tcW w:w="2160" w:type="dxa"/>
            <w:noWrap/>
            <w:vAlign w:val="center"/>
            <w:hideMark/>
          </w:tcPr>
          <w:p w14:paraId="3F3456E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Comparative analysis</w:t>
            </w:r>
          </w:p>
        </w:tc>
        <w:tc>
          <w:tcPr>
            <w:tcW w:w="2700" w:type="dxa"/>
            <w:noWrap/>
            <w:vAlign w:val="center"/>
            <w:hideMark/>
          </w:tcPr>
          <w:p w14:paraId="55F60F4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assumed to support SMEs’ networking and consortium-building in EU programs</w:t>
            </w:r>
          </w:p>
        </w:tc>
        <w:tc>
          <w:tcPr>
            <w:tcW w:w="3420" w:type="dxa"/>
            <w:noWrap/>
            <w:vAlign w:val="center"/>
            <w:hideMark/>
          </w:tcPr>
          <w:p w14:paraId="5BB4848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Challenges: Brexit-induced uncertainty in international collaborations; opportunities: digital tools to maintain visibility and access to </w:t>
            </w:r>
            <w:r w:rsidRPr="003F5EBC">
              <w:rPr>
                <w:rFonts w:cs="Arial"/>
                <w:color w:val="000000"/>
                <w:lang w:val="en-US" w:eastAsia="zh-CN" w:bidi="bn-IN"/>
              </w:rPr>
              <w:lastRenderedPageBreak/>
              <w:t>international research projects</w:t>
            </w:r>
          </w:p>
        </w:tc>
        <w:tc>
          <w:tcPr>
            <w:tcW w:w="3240" w:type="dxa"/>
            <w:noWrap/>
            <w:vAlign w:val="center"/>
            <w:hideMark/>
          </w:tcPr>
          <w:p w14:paraId="374C632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Practices: using online collaboration platforms and digital project management tools to participate in EU programs</w:t>
            </w:r>
          </w:p>
        </w:tc>
      </w:tr>
      <w:tr w:rsidR="002D488A" w:rsidRPr="003F5EBC" w14:paraId="604B794F" w14:textId="77777777" w:rsidTr="002D488A">
        <w:trPr>
          <w:trHeight w:val="288"/>
        </w:trPr>
        <w:tc>
          <w:tcPr>
            <w:tcW w:w="483" w:type="dxa"/>
            <w:noWrap/>
            <w:vAlign w:val="center"/>
            <w:hideMark/>
          </w:tcPr>
          <w:p w14:paraId="53126A2C"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10</w:t>
            </w:r>
          </w:p>
        </w:tc>
        <w:tc>
          <w:tcPr>
            <w:tcW w:w="1996" w:type="dxa"/>
            <w:noWrap/>
            <w:vAlign w:val="center"/>
            <w:hideMark/>
          </w:tcPr>
          <w:p w14:paraId="047FF780" w14:textId="5FC64CBE"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Chai </w:t>
            </w:r>
            <w:r w:rsidR="00067DAE" w:rsidRPr="00067DAE">
              <w:rPr>
                <w:rFonts w:cs="Arial"/>
                <w:i/>
                <w:iCs/>
                <w:color w:val="000000"/>
                <w:lang w:val="en-US" w:eastAsia="zh-CN" w:bidi="bn-IN"/>
              </w:rPr>
              <w:t>et al</w:t>
            </w:r>
            <w:r w:rsidRPr="003F5EBC">
              <w:rPr>
                <w:rFonts w:cs="Arial"/>
                <w:color w:val="000000"/>
                <w:lang w:val="en-US" w:eastAsia="zh-CN" w:bidi="bn-IN"/>
              </w:rPr>
              <w:t>. (2024)</w:t>
            </w:r>
          </w:p>
        </w:tc>
        <w:tc>
          <w:tcPr>
            <w:tcW w:w="3276" w:type="dxa"/>
            <w:noWrap/>
            <w:vAlign w:val="center"/>
            <w:hideMark/>
          </w:tcPr>
          <w:p w14:paraId="3C4690F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investigate how bricolage contributes to digital transformation and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 xml:space="preserve"> of UK professional services SMEs.</w:t>
            </w:r>
          </w:p>
        </w:tc>
        <w:tc>
          <w:tcPr>
            <w:tcW w:w="2160" w:type="dxa"/>
            <w:noWrap/>
            <w:vAlign w:val="center"/>
            <w:hideMark/>
          </w:tcPr>
          <w:p w14:paraId="7A35092E"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Qualitative case studies of SMEs in professional services</w:t>
            </w:r>
          </w:p>
        </w:tc>
        <w:tc>
          <w:tcPr>
            <w:tcW w:w="2700" w:type="dxa"/>
            <w:noWrap/>
            <w:vAlign w:val="center"/>
            <w:hideMark/>
          </w:tcPr>
          <w:p w14:paraId="5FAE30A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serve as a medium for bricolage—combining existing resources creatively to innovate</w:t>
            </w:r>
          </w:p>
        </w:tc>
        <w:tc>
          <w:tcPr>
            <w:tcW w:w="3420" w:type="dxa"/>
            <w:noWrap/>
            <w:vAlign w:val="center"/>
            <w:hideMark/>
          </w:tcPr>
          <w:p w14:paraId="388D7C1E"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Challenges: limited resources, technological constraints; Opportunities: leveraging existing digital tools for </w:t>
            </w:r>
            <w:proofErr w:type="spellStart"/>
            <w:r w:rsidRPr="003F5EBC">
              <w:rPr>
                <w:rFonts w:cs="Arial"/>
                <w:color w:val="000000"/>
                <w:lang w:val="en-US" w:eastAsia="zh-CN" w:bidi="bn-IN"/>
              </w:rPr>
              <w:t>customised</w:t>
            </w:r>
            <w:proofErr w:type="spellEnd"/>
            <w:r w:rsidRPr="003F5EBC">
              <w:rPr>
                <w:rFonts w:cs="Arial"/>
                <w:color w:val="000000"/>
                <w:lang w:val="en-US" w:eastAsia="zh-CN" w:bidi="bn-IN"/>
              </w:rPr>
              <w:t xml:space="preserve"> solutions, incremental innovation</w:t>
            </w:r>
          </w:p>
        </w:tc>
        <w:tc>
          <w:tcPr>
            <w:tcW w:w="3240" w:type="dxa"/>
            <w:noWrap/>
            <w:vAlign w:val="center"/>
            <w:hideMark/>
          </w:tcPr>
          <w:p w14:paraId="26DF51A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Apply bricolage strategies using available digital platforms, adapt existing resources creatively, and embed digital experimentation into firm routines</w:t>
            </w:r>
          </w:p>
        </w:tc>
      </w:tr>
      <w:tr w:rsidR="002D488A" w:rsidRPr="003F5EBC" w14:paraId="0BF10FBC" w14:textId="77777777" w:rsidTr="002D488A">
        <w:trPr>
          <w:trHeight w:val="288"/>
        </w:trPr>
        <w:tc>
          <w:tcPr>
            <w:tcW w:w="483" w:type="dxa"/>
            <w:noWrap/>
            <w:vAlign w:val="center"/>
            <w:hideMark/>
          </w:tcPr>
          <w:p w14:paraId="4A79B42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11</w:t>
            </w:r>
          </w:p>
        </w:tc>
        <w:tc>
          <w:tcPr>
            <w:tcW w:w="1996" w:type="dxa"/>
            <w:noWrap/>
            <w:vAlign w:val="center"/>
            <w:hideMark/>
          </w:tcPr>
          <w:p w14:paraId="3A00F796"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Collins (2023)</w:t>
            </w:r>
          </w:p>
        </w:tc>
        <w:tc>
          <w:tcPr>
            <w:tcW w:w="3276" w:type="dxa"/>
            <w:noWrap/>
            <w:vAlign w:val="center"/>
            <w:hideMark/>
          </w:tcPr>
          <w:p w14:paraId="522710E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explore how digital trade </w:t>
            </w:r>
            <w:proofErr w:type="spellStart"/>
            <w:r w:rsidRPr="003F5EBC">
              <w:rPr>
                <w:rFonts w:cs="Arial"/>
                <w:color w:val="000000"/>
                <w:lang w:val="en-US" w:eastAsia="zh-CN" w:bidi="bn-IN"/>
              </w:rPr>
              <w:t>liberalisation</w:t>
            </w:r>
            <w:proofErr w:type="spellEnd"/>
            <w:r w:rsidRPr="003F5EBC">
              <w:rPr>
                <w:rFonts w:cs="Arial"/>
                <w:color w:val="000000"/>
                <w:lang w:val="en-US" w:eastAsia="zh-CN" w:bidi="bn-IN"/>
              </w:rPr>
              <w:t xml:space="preserve"> enables UK SMEs to expand internationally via digital platforms.</w:t>
            </w:r>
          </w:p>
        </w:tc>
        <w:tc>
          <w:tcPr>
            <w:tcW w:w="2160" w:type="dxa"/>
            <w:noWrap/>
            <w:vAlign w:val="center"/>
            <w:hideMark/>
          </w:tcPr>
          <w:p w14:paraId="3FC05ED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Conceptual analysis; Case examples from EU and UK SMEs</w:t>
            </w:r>
          </w:p>
        </w:tc>
        <w:tc>
          <w:tcPr>
            <w:tcW w:w="2700" w:type="dxa"/>
            <w:noWrap/>
            <w:vAlign w:val="center"/>
            <w:hideMark/>
          </w:tcPr>
          <w:p w14:paraId="5203075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Central to enabling SMEs to access international markets, comply with regulations, and facilitate cross-border transactions</w:t>
            </w:r>
          </w:p>
        </w:tc>
        <w:tc>
          <w:tcPr>
            <w:tcW w:w="3420" w:type="dxa"/>
            <w:noWrap/>
            <w:vAlign w:val="center"/>
            <w:hideMark/>
          </w:tcPr>
          <w:p w14:paraId="593C848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legal compliance, cybersecurity, digital infrastructure gaps; Opportunities: e-commerce expansion, global market access</w:t>
            </w:r>
          </w:p>
        </w:tc>
        <w:tc>
          <w:tcPr>
            <w:tcW w:w="3240" w:type="dxa"/>
            <w:noWrap/>
            <w:vAlign w:val="center"/>
            <w:hideMark/>
          </w:tcPr>
          <w:p w14:paraId="01B4B0D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Leverage WTO-compliant digital trade frameworks, adopt digital export tools, engage in training for international digital trade compliance</w:t>
            </w:r>
          </w:p>
        </w:tc>
      </w:tr>
      <w:tr w:rsidR="002D488A" w:rsidRPr="003F5EBC" w14:paraId="1781D6BB" w14:textId="77777777" w:rsidTr="002D488A">
        <w:trPr>
          <w:trHeight w:val="288"/>
        </w:trPr>
        <w:tc>
          <w:tcPr>
            <w:tcW w:w="483" w:type="dxa"/>
            <w:noWrap/>
            <w:vAlign w:val="center"/>
            <w:hideMark/>
          </w:tcPr>
          <w:p w14:paraId="39F55AC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12</w:t>
            </w:r>
          </w:p>
        </w:tc>
        <w:tc>
          <w:tcPr>
            <w:tcW w:w="1996" w:type="dxa"/>
            <w:noWrap/>
            <w:vAlign w:val="center"/>
            <w:hideMark/>
          </w:tcPr>
          <w:p w14:paraId="14A8F0C3" w14:textId="77777777" w:rsidR="002D488A" w:rsidRPr="003F5EBC" w:rsidRDefault="002D488A" w:rsidP="003F5EBC">
            <w:pPr>
              <w:spacing w:line="360" w:lineRule="auto"/>
              <w:jc w:val="center"/>
              <w:rPr>
                <w:rFonts w:cs="Arial"/>
                <w:color w:val="000000"/>
                <w:lang w:val="en-US" w:eastAsia="zh-CN" w:bidi="bn-IN"/>
              </w:rPr>
            </w:pPr>
            <w:proofErr w:type="spellStart"/>
            <w:r w:rsidRPr="003F5EBC">
              <w:rPr>
                <w:rFonts w:cs="Arial"/>
                <w:color w:val="000000"/>
                <w:lang w:val="en-US" w:eastAsia="zh-CN" w:bidi="bn-IN"/>
              </w:rPr>
              <w:t>Coudounaris</w:t>
            </w:r>
            <w:proofErr w:type="spellEnd"/>
            <w:r w:rsidRPr="003F5EBC">
              <w:rPr>
                <w:rFonts w:cs="Arial"/>
                <w:color w:val="000000"/>
                <w:lang w:val="en-US" w:eastAsia="zh-CN" w:bidi="bn-IN"/>
              </w:rPr>
              <w:t xml:space="preserve"> (2021)</w:t>
            </w:r>
          </w:p>
        </w:tc>
        <w:tc>
          <w:tcPr>
            <w:tcW w:w="3276" w:type="dxa"/>
            <w:noWrap/>
            <w:vAlign w:val="center"/>
            <w:hideMark/>
          </w:tcPr>
          <w:p w14:paraId="302916EC"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examine UK SMEs’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 xml:space="preserve"> </w:t>
            </w:r>
            <w:proofErr w:type="spellStart"/>
            <w:r w:rsidRPr="003F5EBC">
              <w:rPr>
                <w:rFonts w:cs="Arial"/>
                <w:color w:val="000000"/>
                <w:lang w:val="en-US" w:eastAsia="zh-CN" w:bidi="bn-IN"/>
              </w:rPr>
              <w:t>behaviours</w:t>
            </w:r>
            <w:proofErr w:type="spellEnd"/>
            <w:r w:rsidRPr="003F5EBC">
              <w:rPr>
                <w:rFonts w:cs="Arial"/>
                <w:color w:val="000000"/>
                <w:lang w:val="en-US" w:eastAsia="zh-CN" w:bidi="bn-IN"/>
              </w:rPr>
              <w:t xml:space="preserve"> and how digital platforms facilitate export </w:t>
            </w:r>
            <w:r w:rsidRPr="003F5EBC">
              <w:rPr>
                <w:rFonts w:cs="Arial"/>
                <w:color w:val="000000"/>
                <w:lang w:val="en-US" w:eastAsia="zh-CN" w:bidi="bn-IN"/>
              </w:rPr>
              <w:lastRenderedPageBreak/>
              <w:t>and non-export strategies post-Brexit.</w:t>
            </w:r>
          </w:p>
        </w:tc>
        <w:tc>
          <w:tcPr>
            <w:tcW w:w="2160" w:type="dxa"/>
            <w:noWrap/>
            <w:vAlign w:val="center"/>
            <w:hideMark/>
          </w:tcPr>
          <w:p w14:paraId="33612A6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Survey of 280 UK SMEs; </w:t>
            </w:r>
            <w:r w:rsidRPr="003F5EBC">
              <w:rPr>
                <w:rFonts w:cs="Arial"/>
                <w:color w:val="000000"/>
                <w:lang w:val="en-US" w:eastAsia="zh-CN" w:bidi="bn-IN"/>
              </w:rPr>
              <w:lastRenderedPageBreak/>
              <w:t>Behavioural modelling</w:t>
            </w:r>
          </w:p>
        </w:tc>
        <w:tc>
          <w:tcPr>
            <w:tcW w:w="2700" w:type="dxa"/>
            <w:noWrap/>
            <w:vAlign w:val="center"/>
            <w:hideMark/>
          </w:tcPr>
          <w:p w14:paraId="31A4CD5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Supports export-related decision-</w:t>
            </w:r>
            <w:r w:rsidRPr="003F5EBC">
              <w:rPr>
                <w:rFonts w:cs="Arial"/>
                <w:color w:val="000000"/>
                <w:lang w:val="en-US" w:eastAsia="zh-CN" w:bidi="bn-IN"/>
              </w:rPr>
              <w:lastRenderedPageBreak/>
              <w:t>making and market intelligence gathering</w:t>
            </w:r>
          </w:p>
        </w:tc>
        <w:tc>
          <w:tcPr>
            <w:tcW w:w="3420" w:type="dxa"/>
            <w:noWrap/>
            <w:vAlign w:val="center"/>
            <w:hideMark/>
          </w:tcPr>
          <w:p w14:paraId="1A66829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Challenges: lack of experience, market uncertainty; Opportunities: virtual networking, online </w:t>
            </w:r>
            <w:r w:rsidRPr="003F5EBC">
              <w:rPr>
                <w:rFonts w:cs="Arial"/>
                <w:color w:val="000000"/>
                <w:lang w:val="en-US" w:eastAsia="zh-CN" w:bidi="bn-IN"/>
              </w:rPr>
              <w:lastRenderedPageBreak/>
              <w:t>market research, digital promotion</w:t>
            </w:r>
          </w:p>
        </w:tc>
        <w:tc>
          <w:tcPr>
            <w:tcW w:w="3240" w:type="dxa"/>
            <w:noWrap/>
            <w:vAlign w:val="center"/>
            <w:hideMark/>
          </w:tcPr>
          <w:p w14:paraId="69AC714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Develop online presence for international visibility, use digital platforms for market research, integrate </w:t>
            </w:r>
            <w:proofErr w:type="spellStart"/>
            <w:r w:rsidRPr="003F5EBC">
              <w:rPr>
                <w:rFonts w:cs="Arial"/>
                <w:color w:val="000000"/>
                <w:lang w:val="en-US" w:eastAsia="zh-CN" w:bidi="bn-IN"/>
              </w:rPr>
              <w:lastRenderedPageBreak/>
              <w:t>behavioural</w:t>
            </w:r>
            <w:proofErr w:type="spellEnd"/>
            <w:r w:rsidRPr="003F5EBC">
              <w:rPr>
                <w:rFonts w:cs="Arial"/>
                <w:color w:val="000000"/>
                <w:lang w:val="en-US" w:eastAsia="zh-CN" w:bidi="bn-IN"/>
              </w:rPr>
              <w:t xml:space="preserve"> insights into export strategy</w:t>
            </w:r>
          </w:p>
        </w:tc>
      </w:tr>
      <w:tr w:rsidR="002D488A" w:rsidRPr="003F5EBC" w14:paraId="251E0A45" w14:textId="77777777" w:rsidTr="002D488A">
        <w:trPr>
          <w:trHeight w:val="288"/>
        </w:trPr>
        <w:tc>
          <w:tcPr>
            <w:tcW w:w="483" w:type="dxa"/>
            <w:noWrap/>
            <w:vAlign w:val="center"/>
            <w:hideMark/>
          </w:tcPr>
          <w:p w14:paraId="6B17910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13</w:t>
            </w:r>
          </w:p>
        </w:tc>
        <w:tc>
          <w:tcPr>
            <w:tcW w:w="1996" w:type="dxa"/>
            <w:noWrap/>
            <w:vAlign w:val="center"/>
            <w:hideMark/>
          </w:tcPr>
          <w:p w14:paraId="0223DC97"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Cowling and Brown (2024)</w:t>
            </w:r>
          </w:p>
        </w:tc>
        <w:tc>
          <w:tcPr>
            <w:tcW w:w="3276" w:type="dxa"/>
            <w:noWrap/>
            <w:vAlign w:val="center"/>
            <w:hideMark/>
          </w:tcPr>
          <w:p w14:paraId="34D249EC"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explore how Brexit-related shocks affect UK SMEs’ export motivation and digital platform adoption for resilience.</w:t>
            </w:r>
          </w:p>
        </w:tc>
        <w:tc>
          <w:tcPr>
            <w:tcW w:w="2160" w:type="dxa"/>
            <w:noWrap/>
            <w:vAlign w:val="center"/>
            <w:hideMark/>
          </w:tcPr>
          <w:p w14:paraId="026ABE0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Quantitative regional analysis</w:t>
            </w:r>
          </w:p>
        </w:tc>
        <w:tc>
          <w:tcPr>
            <w:tcW w:w="2700" w:type="dxa"/>
            <w:noWrap/>
            <w:vAlign w:val="center"/>
            <w:hideMark/>
          </w:tcPr>
          <w:p w14:paraId="5407D99E"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Suggests regional differences in SME export </w:t>
            </w:r>
            <w:proofErr w:type="spellStart"/>
            <w:r w:rsidRPr="003F5EBC">
              <w:rPr>
                <w:rFonts w:cs="Arial"/>
                <w:color w:val="000000"/>
                <w:lang w:val="en-US" w:eastAsia="zh-CN" w:bidi="bn-IN"/>
              </w:rPr>
              <w:t>behaviours</w:t>
            </w:r>
            <w:proofErr w:type="spellEnd"/>
            <w:r w:rsidRPr="003F5EBC">
              <w:rPr>
                <w:rFonts w:cs="Arial"/>
                <w:color w:val="000000"/>
                <w:lang w:val="en-US" w:eastAsia="zh-CN" w:bidi="bn-IN"/>
              </w:rPr>
              <w:t>; potential for digital platforms to support engagement in weaker regions</w:t>
            </w:r>
          </w:p>
        </w:tc>
        <w:tc>
          <w:tcPr>
            <w:tcW w:w="3420" w:type="dxa"/>
            <w:noWrap/>
            <w:vAlign w:val="center"/>
            <w:hideMark/>
          </w:tcPr>
          <w:p w14:paraId="4C34778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include disengagement from exporting; opportunities in digitally connecting SMEs to EU markets</w:t>
            </w:r>
          </w:p>
        </w:tc>
        <w:tc>
          <w:tcPr>
            <w:tcW w:w="3240" w:type="dxa"/>
            <w:noWrap/>
            <w:vAlign w:val="center"/>
            <w:hideMark/>
          </w:tcPr>
          <w:p w14:paraId="13D9C9C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Implied strategies include targeting digital solutions to maintain export activity in less resilient regions</w:t>
            </w:r>
          </w:p>
        </w:tc>
      </w:tr>
      <w:tr w:rsidR="002D488A" w:rsidRPr="003F5EBC" w14:paraId="6E818AC8" w14:textId="77777777" w:rsidTr="002D488A">
        <w:trPr>
          <w:trHeight w:val="288"/>
        </w:trPr>
        <w:tc>
          <w:tcPr>
            <w:tcW w:w="483" w:type="dxa"/>
            <w:noWrap/>
            <w:vAlign w:val="center"/>
            <w:hideMark/>
          </w:tcPr>
          <w:p w14:paraId="0C7CB70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14</w:t>
            </w:r>
          </w:p>
        </w:tc>
        <w:tc>
          <w:tcPr>
            <w:tcW w:w="1996" w:type="dxa"/>
            <w:noWrap/>
            <w:vAlign w:val="center"/>
            <w:hideMark/>
          </w:tcPr>
          <w:p w14:paraId="27869010"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Douch and Edwards (2021)</w:t>
            </w:r>
          </w:p>
        </w:tc>
        <w:tc>
          <w:tcPr>
            <w:tcW w:w="3276" w:type="dxa"/>
            <w:noWrap/>
            <w:vAlign w:val="center"/>
            <w:hideMark/>
          </w:tcPr>
          <w:p w14:paraId="70518DB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assess the impact of Brexit policy changes on UK services exports and the role of digital platforms in market access.</w:t>
            </w:r>
          </w:p>
        </w:tc>
        <w:tc>
          <w:tcPr>
            <w:tcW w:w="2160" w:type="dxa"/>
            <w:noWrap/>
            <w:vAlign w:val="center"/>
            <w:hideMark/>
          </w:tcPr>
          <w:p w14:paraId="03B60EB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Time-series analysis of UK service exports, 2000–2019</w:t>
            </w:r>
          </w:p>
        </w:tc>
        <w:tc>
          <w:tcPr>
            <w:tcW w:w="2700" w:type="dxa"/>
            <w:noWrap/>
            <w:vAlign w:val="center"/>
            <w:hideMark/>
          </w:tcPr>
          <w:p w14:paraId="7A5EE0D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Facilitates service delivery and client engagement internationally</w:t>
            </w:r>
          </w:p>
        </w:tc>
        <w:tc>
          <w:tcPr>
            <w:tcW w:w="3420" w:type="dxa"/>
            <w:noWrap/>
            <w:vAlign w:val="center"/>
            <w:hideMark/>
          </w:tcPr>
          <w:p w14:paraId="24E45C9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regulatory divergence, delayed contracts; Opportunities: remote service provision, online client relationship management</w:t>
            </w:r>
          </w:p>
        </w:tc>
        <w:tc>
          <w:tcPr>
            <w:tcW w:w="3240" w:type="dxa"/>
            <w:noWrap/>
            <w:vAlign w:val="center"/>
            <w:hideMark/>
          </w:tcPr>
          <w:p w14:paraId="67C0E79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Adopt digital service delivery models, strengthen online communication with overseas clients, use digital compliance tools</w:t>
            </w:r>
          </w:p>
        </w:tc>
      </w:tr>
      <w:tr w:rsidR="002D488A" w:rsidRPr="003F5EBC" w14:paraId="633D0218" w14:textId="77777777" w:rsidTr="002D488A">
        <w:trPr>
          <w:trHeight w:val="288"/>
        </w:trPr>
        <w:tc>
          <w:tcPr>
            <w:tcW w:w="483" w:type="dxa"/>
            <w:noWrap/>
            <w:vAlign w:val="center"/>
            <w:hideMark/>
          </w:tcPr>
          <w:p w14:paraId="7AB60F5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15</w:t>
            </w:r>
          </w:p>
        </w:tc>
        <w:tc>
          <w:tcPr>
            <w:tcW w:w="1996" w:type="dxa"/>
            <w:noWrap/>
            <w:vAlign w:val="center"/>
            <w:hideMark/>
          </w:tcPr>
          <w:p w14:paraId="35768F96"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Dowell, Bowen and Morris (2023)</w:t>
            </w:r>
          </w:p>
        </w:tc>
        <w:tc>
          <w:tcPr>
            <w:tcW w:w="3276" w:type="dxa"/>
            <w:noWrap/>
            <w:vAlign w:val="center"/>
            <w:hideMark/>
          </w:tcPr>
          <w:p w14:paraId="206F3C6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analyse how hospitality SMEs leverage digital platforms to innovate and </w:t>
            </w:r>
            <w:r w:rsidRPr="003F5EBC">
              <w:rPr>
                <w:rFonts w:cs="Arial"/>
                <w:color w:val="000000"/>
                <w:lang w:val="en-US" w:eastAsia="zh-CN" w:bidi="bn-IN"/>
              </w:rPr>
              <w:lastRenderedPageBreak/>
              <w:t>maintain international engagement during crises.</w:t>
            </w:r>
          </w:p>
        </w:tc>
        <w:tc>
          <w:tcPr>
            <w:tcW w:w="2160" w:type="dxa"/>
            <w:noWrap/>
            <w:vAlign w:val="center"/>
            <w:hideMark/>
          </w:tcPr>
          <w:p w14:paraId="666CAC6E"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Mixed methods (survey + interviews)</w:t>
            </w:r>
          </w:p>
        </w:tc>
        <w:tc>
          <w:tcPr>
            <w:tcW w:w="2700" w:type="dxa"/>
            <w:noWrap/>
            <w:vAlign w:val="center"/>
            <w:hideMark/>
          </w:tcPr>
          <w:p w14:paraId="721FEB9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implied as tools for innovation and market engagement</w:t>
            </w:r>
          </w:p>
        </w:tc>
        <w:tc>
          <w:tcPr>
            <w:tcW w:w="3420" w:type="dxa"/>
            <w:noWrap/>
            <w:vAlign w:val="center"/>
            <w:hideMark/>
          </w:tcPr>
          <w:p w14:paraId="4D9D4AA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Challenges: regulatory changes, market disruptions, Brexit uncertainty; opportunities: digital adoption </w:t>
            </w:r>
            <w:r w:rsidRPr="003F5EBC">
              <w:rPr>
                <w:rFonts w:cs="Arial"/>
                <w:color w:val="000000"/>
                <w:lang w:val="en-US" w:eastAsia="zh-CN" w:bidi="bn-IN"/>
              </w:rPr>
              <w:lastRenderedPageBreak/>
              <w:t>enabling flexible service delivery</w:t>
            </w:r>
          </w:p>
        </w:tc>
        <w:tc>
          <w:tcPr>
            <w:tcW w:w="3240" w:type="dxa"/>
            <w:noWrap/>
            <w:vAlign w:val="center"/>
            <w:hideMark/>
          </w:tcPr>
          <w:p w14:paraId="2645EA5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Practices: using online booking, delivery, and marketing platforms; digital </w:t>
            </w:r>
            <w:r w:rsidRPr="003F5EBC">
              <w:rPr>
                <w:rFonts w:cs="Arial"/>
                <w:color w:val="000000"/>
                <w:lang w:val="en-US" w:eastAsia="zh-CN" w:bidi="bn-IN"/>
              </w:rPr>
              <w:lastRenderedPageBreak/>
              <w:t>collaboration for business resilience</w:t>
            </w:r>
          </w:p>
        </w:tc>
      </w:tr>
      <w:tr w:rsidR="002D488A" w:rsidRPr="003F5EBC" w14:paraId="041F0B7B" w14:textId="77777777" w:rsidTr="002D488A">
        <w:trPr>
          <w:trHeight w:val="288"/>
        </w:trPr>
        <w:tc>
          <w:tcPr>
            <w:tcW w:w="483" w:type="dxa"/>
            <w:noWrap/>
            <w:vAlign w:val="center"/>
            <w:hideMark/>
          </w:tcPr>
          <w:p w14:paraId="36864CC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16</w:t>
            </w:r>
          </w:p>
        </w:tc>
        <w:tc>
          <w:tcPr>
            <w:tcW w:w="1996" w:type="dxa"/>
            <w:noWrap/>
            <w:vAlign w:val="center"/>
            <w:hideMark/>
          </w:tcPr>
          <w:p w14:paraId="593C4402"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Du and </w:t>
            </w:r>
            <w:proofErr w:type="spellStart"/>
            <w:r w:rsidRPr="003F5EBC">
              <w:rPr>
                <w:rFonts w:cs="Arial"/>
                <w:color w:val="000000"/>
                <w:lang w:val="en-US" w:eastAsia="zh-CN" w:bidi="bn-IN"/>
              </w:rPr>
              <w:t>Shepotylo</w:t>
            </w:r>
            <w:proofErr w:type="spellEnd"/>
            <w:r w:rsidRPr="003F5EBC">
              <w:rPr>
                <w:rFonts w:cs="Arial"/>
                <w:color w:val="000000"/>
                <w:lang w:val="en-US" w:eastAsia="zh-CN" w:bidi="bn-IN"/>
              </w:rPr>
              <w:t xml:space="preserve"> (2024)</w:t>
            </w:r>
          </w:p>
        </w:tc>
        <w:tc>
          <w:tcPr>
            <w:tcW w:w="3276" w:type="dxa"/>
            <w:noWrap/>
            <w:vAlign w:val="center"/>
            <w:hideMark/>
          </w:tcPr>
          <w:p w14:paraId="7809F92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investigate Brexit’s long-term effects on UK services trade and the enabling role of digital platforms for SMEs.</w:t>
            </w:r>
          </w:p>
        </w:tc>
        <w:tc>
          <w:tcPr>
            <w:tcW w:w="2160" w:type="dxa"/>
            <w:noWrap/>
            <w:vAlign w:val="center"/>
            <w:hideMark/>
          </w:tcPr>
          <w:p w14:paraId="31A7899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Longitudinal panel of 500 UK service firms; Fixed-effects regression</w:t>
            </w:r>
          </w:p>
        </w:tc>
        <w:tc>
          <w:tcPr>
            <w:tcW w:w="2700" w:type="dxa"/>
            <w:noWrap/>
            <w:vAlign w:val="center"/>
            <w:hideMark/>
          </w:tcPr>
          <w:p w14:paraId="0355F94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Critical for maintaining continuity of service exports and monitoring trade barriers</w:t>
            </w:r>
          </w:p>
        </w:tc>
        <w:tc>
          <w:tcPr>
            <w:tcW w:w="3420" w:type="dxa"/>
            <w:noWrap/>
            <w:vAlign w:val="center"/>
            <w:hideMark/>
          </w:tcPr>
          <w:p w14:paraId="14485AE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persistent trade uncertainty, tariffs, EU market access; Opportunities: online platforms for service exports, e-signatures, digital contracts</w:t>
            </w:r>
          </w:p>
        </w:tc>
        <w:tc>
          <w:tcPr>
            <w:tcW w:w="3240" w:type="dxa"/>
            <w:noWrap/>
            <w:vAlign w:val="center"/>
            <w:hideMark/>
          </w:tcPr>
          <w:p w14:paraId="36D42869" w14:textId="77777777" w:rsidR="002D488A" w:rsidRPr="003F5EBC" w:rsidRDefault="002D488A" w:rsidP="003F5EBC">
            <w:pPr>
              <w:spacing w:line="360" w:lineRule="auto"/>
              <w:jc w:val="left"/>
              <w:rPr>
                <w:rFonts w:cs="Arial"/>
                <w:color w:val="000000"/>
                <w:lang w:val="en-US" w:eastAsia="zh-CN" w:bidi="bn-IN"/>
              </w:rPr>
            </w:pPr>
            <w:proofErr w:type="spellStart"/>
            <w:r w:rsidRPr="003F5EBC">
              <w:rPr>
                <w:rFonts w:cs="Arial"/>
                <w:color w:val="000000"/>
                <w:lang w:val="en-US" w:eastAsia="zh-CN" w:bidi="bn-IN"/>
              </w:rPr>
              <w:t>Digitalise</w:t>
            </w:r>
            <w:proofErr w:type="spellEnd"/>
            <w:r w:rsidRPr="003F5EBC">
              <w:rPr>
                <w:rFonts w:cs="Arial"/>
                <w:color w:val="000000"/>
                <w:lang w:val="en-US" w:eastAsia="zh-CN" w:bidi="bn-IN"/>
              </w:rPr>
              <w:t xml:space="preserve"> service delivery, diversify online channels for EU clients, integrate digital monitoring of trade regulations</w:t>
            </w:r>
          </w:p>
        </w:tc>
      </w:tr>
      <w:tr w:rsidR="002D488A" w:rsidRPr="003F5EBC" w14:paraId="3C845F5D" w14:textId="77777777" w:rsidTr="002D488A">
        <w:trPr>
          <w:trHeight w:val="288"/>
        </w:trPr>
        <w:tc>
          <w:tcPr>
            <w:tcW w:w="483" w:type="dxa"/>
            <w:noWrap/>
            <w:vAlign w:val="center"/>
            <w:hideMark/>
          </w:tcPr>
          <w:p w14:paraId="36081E2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17</w:t>
            </w:r>
          </w:p>
        </w:tc>
        <w:tc>
          <w:tcPr>
            <w:tcW w:w="1996" w:type="dxa"/>
            <w:noWrap/>
            <w:vAlign w:val="center"/>
            <w:hideMark/>
          </w:tcPr>
          <w:p w14:paraId="7079F8BD"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Du, </w:t>
            </w:r>
            <w:proofErr w:type="spellStart"/>
            <w:r w:rsidRPr="003F5EBC">
              <w:rPr>
                <w:rFonts w:cs="Arial"/>
                <w:color w:val="000000"/>
                <w:lang w:val="en-US" w:eastAsia="zh-CN" w:bidi="bn-IN"/>
              </w:rPr>
              <w:t>Shepotylo</w:t>
            </w:r>
            <w:proofErr w:type="spellEnd"/>
            <w:r w:rsidRPr="003F5EBC">
              <w:rPr>
                <w:rFonts w:cs="Arial"/>
                <w:color w:val="000000"/>
                <w:lang w:val="en-US" w:eastAsia="zh-CN" w:bidi="bn-IN"/>
              </w:rPr>
              <w:t xml:space="preserve"> and Yuan (2025)</w:t>
            </w:r>
          </w:p>
        </w:tc>
        <w:tc>
          <w:tcPr>
            <w:tcW w:w="3276" w:type="dxa"/>
            <w:noWrap/>
            <w:vAlign w:val="center"/>
            <w:hideMark/>
          </w:tcPr>
          <w:p w14:paraId="12484F7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examine how Brexit uncertainty influenced UK service firms’ exports via digital channels.</w:t>
            </w:r>
          </w:p>
        </w:tc>
        <w:tc>
          <w:tcPr>
            <w:tcW w:w="2160" w:type="dxa"/>
            <w:noWrap/>
            <w:vAlign w:val="center"/>
            <w:hideMark/>
          </w:tcPr>
          <w:p w14:paraId="7B1C615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Quantitative analysis using firm-level data</w:t>
            </w:r>
          </w:p>
        </w:tc>
        <w:tc>
          <w:tcPr>
            <w:tcW w:w="2700" w:type="dxa"/>
            <w:noWrap/>
            <w:vAlign w:val="center"/>
            <w:hideMark/>
          </w:tcPr>
          <w:p w14:paraId="0AD0194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indirectly mentioned as part of mitigating uncertainty in export participation</w:t>
            </w:r>
          </w:p>
        </w:tc>
        <w:tc>
          <w:tcPr>
            <w:tcW w:w="3420" w:type="dxa"/>
            <w:noWrap/>
            <w:vAlign w:val="center"/>
            <w:hideMark/>
          </w:tcPr>
          <w:p w14:paraId="6C66B99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include regulatory and market uncertainty; opportunity to leverage digital tools for risk management and continuity</w:t>
            </w:r>
          </w:p>
        </w:tc>
        <w:tc>
          <w:tcPr>
            <w:tcW w:w="3240" w:type="dxa"/>
            <w:noWrap/>
            <w:vAlign w:val="center"/>
            <w:hideMark/>
          </w:tcPr>
          <w:p w14:paraId="3BEADF4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Firms could adopt digital channels and risk-mitigation practices to sustain service exports</w:t>
            </w:r>
          </w:p>
        </w:tc>
      </w:tr>
      <w:tr w:rsidR="002D488A" w:rsidRPr="003F5EBC" w14:paraId="50AE862A" w14:textId="77777777" w:rsidTr="002D488A">
        <w:trPr>
          <w:trHeight w:val="288"/>
        </w:trPr>
        <w:tc>
          <w:tcPr>
            <w:tcW w:w="483" w:type="dxa"/>
            <w:noWrap/>
            <w:vAlign w:val="center"/>
            <w:hideMark/>
          </w:tcPr>
          <w:p w14:paraId="3D4B51F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18</w:t>
            </w:r>
          </w:p>
        </w:tc>
        <w:tc>
          <w:tcPr>
            <w:tcW w:w="1996" w:type="dxa"/>
            <w:noWrap/>
            <w:vAlign w:val="center"/>
            <w:hideMark/>
          </w:tcPr>
          <w:p w14:paraId="0D937E9E" w14:textId="1F39C4B0" w:rsidR="002D488A" w:rsidRPr="003F5EBC" w:rsidRDefault="002D488A" w:rsidP="003F5EBC">
            <w:pPr>
              <w:spacing w:line="360" w:lineRule="auto"/>
              <w:jc w:val="center"/>
              <w:rPr>
                <w:rFonts w:cs="Arial"/>
                <w:color w:val="000000"/>
                <w:lang w:val="en-US" w:eastAsia="zh-CN" w:bidi="bn-IN"/>
              </w:rPr>
            </w:pPr>
            <w:proofErr w:type="spellStart"/>
            <w:r w:rsidRPr="003F5EBC">
              <w:rPr>
                <w:rFonts w:cs="Arial"/>
                <w:color w:val="000000"/>
                <w:lang w:val="en-US" w:eastAsia="zh-CN" w:bidi="bn-IN"/>
              </w:rPr>
              <w:t>Fatorachian</w:t>
            </w:r>
            <w:proofErr w:type="spellEnd"/>
            <w:r w:rsidRPr="003F5EBC">
              <w:rPr>
                <w:rFonts w:cs="Arial"/>
                <w:color w:val="000000"/>
                <w:lang w:val="en-US" w:eastAsia="zh-CN" w:bidi="bn-IN"/>
              </w:rPr>
              <w:t xml:space="preserve">, Arboleda </w:t>
            </w:r>
            <w:r w:rsidR="002D0325" w:rsidRPr="003F5EBC">
              <w:rPr>
                <w:rFonts w:cs="Arial"/>
                <w:color w:val="000000"/>
                <w:lang w:val="en-US" w:eastAsia="zh-CN" w:bidi="bn-IN"/>
              </w:rPr>
              <w:t>and</w:t>
            </w:r>
            <w:r w:rsidRPr="003F5EBC">
              <w:rPr>
                <w:rFonts w:cs="Arial"/>
                <w:color w:val="000000"/>
                <w:lang w:val="en-US" w:eastAsia="zh-CN" w:bidi="bn-IN"/>
              </w:rPr>
              <w:t xml:space="preserve"> Linh (2025)</w:t>
            </w:r>
          </w:p>
        </w:tc>
        <w:tc>
          <w:tcPr>
            <w:tcW w:w="3276" w:type="dxa"/>
            <w:noWrap/>
            <w:vAlign w:val="center"/>
            <w:hideMark/>
          </w:tcPr>
          <w:p w14:paraId="6E6D34BC"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study how fast-food SMEs use digital platforms to enhance customer engagement and support international growth.</w:t>
            </w:r>
          </w:p>
        </w:tc>
        <w:tc>
          <w:tcPr>
            <w:tcW w:w="2160" w:type="dxa"/>
            <w:noWrap/>
            <w:vAlign w:val="center"/>
            <w:hideMark/>
          </w:tcPr>
          <w:p w14:paraId="6E8CF91E"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Mixed-method survey and case study of 40 fast-food SMEs</w:t>
            </w:r>
          </w:p>
        </w:tc>
        <w:tc>
          <w:tcPr>
            <w:tcW w:w="2700" w:type="dxa"/>
            <w:noWrap/>
            <w:vAlign w:val="center"/>
            <w:hideMark/>
          </w:tcPr>
          <w:p w14:paraId="313DF89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Social media platforms are primary tools for customer engagement and brand building</w:t>
            </w:r>
          </w:p>
        </w:tc>
        <w:tc>
          <w:tcPr>
            <w:tcW w:w="3420" w:type="dxa"/>
            <w:noWrap/>
            <w:vAlign w:val="center"/>
            <w:hideMark/>
          </w:tcPr>
          <w:p w14:paraId="3176D36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competition, content management; Opportunities: direct customer interaction, brand visibility, market reach</w:t>
            </w:r>
          </w:p>
        </w:tc>
        <w:tc>
          <w:tcPr>
            <w:tcW w:w="3240" w:type="dxa"/>
            <w:noWrap/>
            <w:vAlign w:val="center"/>
            <w:hideMark/>
          </w:tcPr>
          <w:p w14:paraId="369A189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Implement social media strategies, schedule content via digital tools, monitor engagement analytics for continuous improvement</w:t>
            </w:r>
          </w:p>
        </w:tc>
      </w:tr>
      <w:tr w:rsidR="002D488A" w:rsidRPr="003F5EBC" w14:paraId="690ED017" w14:textId="77777777" w:rsidTr="002D488A">
        <w:trPr>
          <w:trHeight w:val="288"/>
        </w:trPr>
        <w:tc>
          <w:tcPr>
            <w:tcW w:w="483" w:type="dxa"/>
            <w:noWrap/>
            <w:vAlign w:val="center"/>
            <w:hideMark/>
          </w:tcPr>
          <w:p w14:paraId="525DD84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19</w:t>
            </w:r>
          </w:p>
        </w:tc>
        <w:tc>
          <w:tcPr>
            <w:tcW w:w="1996" w:type="dxa"/>
            <w:noWrap/>
            <w:vAlign w:val="center"/>
            <w:hideMark/>
          </w:tcPr>
          <w:p w14:paraId="753E8ED4"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Gao (2022)</w:t>
            </w:r>
          </w:p>
        </w:tc>
        <w:tc>
          <w:tcPr>
            <w:tcW w:w="3276" w:type="dxa"/>
            <w:noWrap/>
            <w:vAlign w:val="center"/>
            <w:hideMark/>
          </w:tcPr>
          <w:p w14:paraId="7BFA4AF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evaluate the overall impact of Brexit on UK </w:t>
            </w:r>
            <w:r w:rsidRPr="003F5EBC">
              <w:rPr>
                <w:rFonts w:cs="Arial"/>
                <w:color w:val="000000"/>
                <w:lang w:val="en-US" w:eastAsia="zh-CN" w:bidi="bn-IN"/>
              </w:rPr>
              <w:lastRenderedPageBreak/>
              <w:t>SMEs and how digital platforms facilitate adaptation and market expansion.</w:t>
            </w:r>
          </w:p>
        </w:tc>
        <w:tc>
          <w:tcPr>
            <w:tcW w:w="2160" w:type="dxa"/>
            <w:noWrap/>
            <w:vAlign w:val="center"/>
            <w:hideMark/>
          </w:tcPr>
          <w:p w14:paraId="4C1A813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Qualitative policy analysis; </w:t>
            </w:r>
            <w:r w:rsidRPr="003F5EBC">
              <w:rPr>
                <w:rFonts w:cs="Arial"/>
                <w:color w:val="000000"/>
                <w:lang w:val="en-US" w:eastAsia="zh-CN" w:bidi="bn-IN"/>
              </w:rPr>
              <w:lastRenderedPageBreak/>
              <w:t>secondary data from trade and economic reports</w:t>
            </w:r>
          </w:p>
        </w:tc>
        <w:tc>
          <w:tcPr>
            <w:tcW w:w="2700" w:type="dxa"/>
            <w:noWrap/>
            <w:vAlign w:val="center"/>
            <w:hideMark/>
          </w:tcPr>
          <w:p w14:paraId="2FDC816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Limited focus; digital platforms mentioned </w:t>
            </w:r>
            <w:r w:rsidRPr="003F5EBC">
              <w:rPr>
                <w:rFonts w:cs="Arial"/>
                <w:color w:val="000000"/>
                <w:lang w:val="en-US" w:eastAsia="zh-CN" w:bidi="bn-IN"/>
              </w:rPr>
              <w:lastRenderedPageBreak/>
              <w:t>as tools for trade continuity</w:t>
            </w:r>
          </w:p>
        </w:tc>
        <w:tc>
          <w:tcPr>
            <w:tcW w:w="3420" w:type="dxa"/>
            <w:noWrap/>
            <w:vAlign w:val="center"/>
            <w:hideMark/>
          </w:tcPr>
          <w:p w14:paraId="395C7B5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Challenges: economic contraction, trade uncertainty; </w:t>
            </w:r>
            <w:r w:rsidRPr="003F5EBC">
              <w:rPr>
                <w:rFonts w:cs="Arial"/>
                <w:color w:val="000000"/>
                <w:lang w:val="en-US" w:eastAsia="zh-CN" w:bidi="bn-IN"/>
              </w:rPr>
              <w:lastRenderedPageBreak/>
              <w:t>Opportunities: digital trade facilitation, remote services</w:t>
            </w:r>
          </w:p>
        </w:tc>
        <w:tc>
          <w:tcPr>
            <w:tcW w:w="3240" w:type="dxa"/>
            <w:noWrap/>
            <w:vAlign w:val="center"/>
            <w:hideMark/>
          </w:tcPr>
          <w:p w14:paraId="2BF4CAA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Encourage SMEs and firms to adopt digital trade </w:t>
            </w:r>
            <w:r w:rsidRPr="003F5EBC">
              <w:rPr>
                <w:rFonts w:cs="Arial"/>
                <w:color w:val="000000"/>
                <w:lang w:val="en-US" w:eastAsia="zh-CN" w:bidi="bn-IN"/>
              </w:rPr>
              <w:lastRenderedPageBreak/>
              <w:t>platforms, strengthen online supply chain visibility</w:t>
            </w:r>
          </w:p>
        </w:tc>
      </w:tr>
      <w:tr w:rsidR="002D488A" w:rsidRPr="003F5EBC" w14:paraId="0341F015" w14:textId="77777777" w:rsidTr="002D488A">
        <w:trPr>
          <w:trHeight w:val="288"/>
        </w:trPr>
        <w:tc>
          <w:tcPr>
            <w:tcW w:w="483" w:type="dxa"/>
            <w:noWrap/>
            <w:vAlign w:val="center"/>
            <w:hideMark/>
          </w:tcPr>
          <w:p w14:paraId="7851EC60"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20</w:t>
            </w:r>
          </w:p>
        </w:tc>
        <w:tc>
          <w:tcPr>
            <w:tcW w:w="1996" w:type="dxa"/>
            <w:noWrap/>
            <w:vAlign w:val="center"/>
            <w:hideMark/>
          </w:tcPr>
          <w:p w14:paraId="79E61FE6"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Harcourt (2023)</w:t>
            </w:r>
          </w:p>
        </w:tc>
        <w:tc>
          <w:tcPr>
            <w:tcW w:w="3276" w:type="dxa"/>
            <w:noWrap/>
            <w:vAlign w:val="center"/>
            <w:hideMark/>
          </w:tcPr>
          <w:p w14:paraId="0C62B2A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investigate the role of the digital single market in supporting UK SMEs’ cross-border trade post-Brexit.</w:t>
            </w:r>
          </w:p>
        </w:tc>
        <w:tc>
          <w:tcPr>
            <w:tcW w:w="2160" w:type="dxa"/>
            <w:noWrap/>
            <w:vAlign w:val="center"/>
            <w:hideMark/>
          </w:tcPr>
          <w:p w14:paraId="416D043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Conceptual analysis and case studies</w:t>
            </w:r>
          </w:p>
        </w:tc>
        <w:tc>
          <w:tcPr>
            <w:tcW w:w="2700" w:type="dxa"/>
            <w:noWrap/>
            <w:vAlign w:val="center"/>
            <w:hideMark/>
          </w:tcPr>
          <w:p w14:paraId="0E469CE0"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Central to integrating UK firms with EU digital markets</w:t>
            </w:r>
          </w:p>
        </w:tc>
        <w:tc>
          <w:tcPr>
            <w:tcW w:w="3420" w:type="dxa"/>
            <w:noWrap/>
            <w:vAlign w:val="center"/>
            <w:hideMark/>
          </w:tcPr>
          <w:p w14:paraId="45FD056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regulatory divergence, cross-border data flows; Opportunities: EU-UK digital trade, e-commerce growth</w:t>
            </w:r>
          </w:p>
        </w:tc>
        <w:tc>
          <w:tcPr>
            <w:tcW w:w="3240" w:type="dxa"/>
            <w:noWrap/>
            <w:vAlign w:val="center"/>
            <w:hideMark/>
          </w:tcPr>
          <w:p w14:paraId="16C4496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Align with EU digital standards, adopt cross-border digital compliance practices, enhance online service delivery</w:t>
            </w:r>
          </w:p>
        </w:tc>
      </w:tr>
      <w:tr w:rsidR="002D488A" w:rsidRPr="003F5EBC" w14:paraId="4FA1229E" w14:textId="77777777" w:rsidTr="002D488A">
        <w:trPr>
          <w:trHeight w:val="288"/>
        </w:trPr>
        <w:tc>
          <w:tcPr>
            <w:tcW w:w="483" w:type="dxa"/>
            <w:noWrap/>
            <w:vAlign w:val="center"/>
            <w:hideMark/>
          </w:tcPr>
          <w:p w14:paraId="13A4176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21</w:t>
            </w:r>
          </w:p>
        </w:tc>
        <w:tc>
          <w:tcPr>
            <w:tcW w:w="1996" w:type="dxa"/>
            <w:noWrap/>
            <w:vAlign w:val="center"/>
            <w:hideMark/>
          </w:tcPr>
          <w:p w14:paraId="192329C9" w14:textId="683E850D"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Hassan </w:t>
            </w:r>
            <w:r w:rsidR="00067DAE" w:rsidRPr="00067DAE">
              <w:rPr>
                <w:rFonts w:cs="Arial"/>
                <w:i/>
                <w:iCs/>
                <w:color w:val="000000"/>
                <w:lang w:val="en-US" w:eastAsia="zh-CN" w:bidi="bn-IN"/>
              </w:rPr>
              <w:t>et al</w:t>
            </w:r>
            <w:r w:rsidRPr="003F5EBC">
              <w:rPr>
                <w:rFonts w:cs="Arial"/>
                <w:color w:val="000000"/>
                <w:lang w:val="en-US" w:eastAsia="zh-CN" w:bidi="bn-IN"/>
              </w:rPr>
              <w:t>. (2023)</w:t>
            </w:r>
          </w:p>
        </w:tc>
        <w:tc>
          <w:tcPr>
            <w:tcW w:w="3276" w:type="dxa"/>
            <w:noWrap/>
            <w:vAlign w:val="center"/>
            <w:hideMark/>
          </w:tcPr>
          <w:p w14:paraId="7506BA3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explore global implications of Brexit uncertainty for UK SMEs and the mitigating role of digital platforms.</w:t>
            </w:r>
          </w:p>
        </w:tc>
        <w:tc>
          <w:tcPr>
            <w:tcW w:w="2160" w:type="dxa"/>
            <w:noWrap/>
            <w:vAlign w:val="center"/>
            <w:hideMark/>
          </w:tcPr>
          <w:p w14:paraId="1E21D02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Global macro-financial econometric analysis; firm-level panel data</w:t>
            </w:r>
          </w:p>
        </w:tc>
        <w:tc>
          <w:tcPr>
            <w:tcW w:w="2700" w:type="dxa"/>
            <w:noWrap/>
            <w:vAlign w:val="center"/>
            <w:hideMark/>
          </w:tcPr>
          <w:p w14:paraId="123B46CE"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Supports risk monitoring for multinational firms</w:t>
            </w:r>
          </w:p>
        </w:tc>
        <w:tc>
          <w:tcPr>
            <w:tcW w:w="3420" w:type="dxa"/>
            <w:noWrap/>
            <w:vAlign w:val="center"/>
            <w:hideMark/>
          </w:tcPr>
          <w:p w14:paraId="07181020"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increased global uncertainty, investment delays; Opportunities: digital monitoring of markets, online hedging tools</w:t>
            </w:r>
          </w:p>
        </w:tc>
        <w:tc>
          <w:tcPr>
            <w:tcW w:w="3240" w:type="dxa"/>
            <w:noWrap/>
            <w:vAlign w:val="center"/>
            <w:hideMark/>
          </w:tcPr>
          <w:p w14:paraId="412F537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Use digital platforms for global market intelligence, improve communication with foreign partners, implement risk mitigation via online tools</w:t>
            </w:r>
          </w:p>
        </w:tc>
      </w:tr>
      <w:tr w:rsidR="002D488A" w:rsidRPr="003F5EBC" w14:paraId="4D663DC2" w14:textId="77777777" w:rsidTr="002D488A">
        <w:trPr>
          <w:trHeight w:val="288"/>
        </w:trPr>
        <w:tc>
          <w:tcPr>
            <w:tcW w:w="483" w:type="dxa"/>
            <w:noWrap/>
            <w:vAlign w:val="center"/>
            <w:hideMark/>
          </w:tcPr>
          <w:p w14:paraId="73B9D7F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22</w:t>
            </w:r>
          </w:p>
        </w:tc>
        <w:tc>
          <w:tcPr>
            <w:tcW w:w="1996" w:type="dxa"/>
            <w:noWrap/>
            <w:vAlign w:val="center"/>
            <w:hideMark/>
          </w:tcPr>
          <w:p w14:paraId="3B9E42DE" w14:textId="5F6DBF56"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Jorgensen </w:t>
            </w:r>
            <w:r w:rsidR="00067DAE" w:rsidRPr="00067DAE">
              <w:rPr>
                <w:rFonts w:cs="Arial"/>
                <w:i/>
                <w:iCs/>
                <w:color w:val="000000"/>
                <w:lang w:val="en-US" w:eastAsia="zh-CN" w:bidi="bn-IN"/>
              </w:rPr>
              <w:t>et al</w:t>
            </w:r>
            <w:r w:rsidRPr="003F5EBC">
              <w:rPr>
                <w:rFonts w:cs="Arial"/>
                <w:color w:val="000000"/>
                <w:lang w:val="en-US" w:eastAsia="zh-CN" w:bidi="bn-IN"/>
              </w:rPr>
              <w:t>. (2024)</w:t>
            </w:r>
          </w:p>
        </w:tc>
        <w:tc>
          <w:tcPr>
            <w:tcW w:w="3276" w:type="dxa"/>
            <w:noWrap/>
            <w:vAlign w:val="center"/>
            <w:hideMark/>
          </w:tcPr>
          <w:p w14:paraId="4178247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examine how trust in digital partnerships helps UK SMEs maintain international collaborations post-Brexit.</w:t>
            </w:r>
          </w:p>
        </w:tc>
        <w:tc>
          <w:tcPr>
            <w:tcW w:w="2160" w:type="dxa"/>
            <w:noWrap/>
            <w:vAlign w:val="center"/>
            <w:hideMark/>
          </w:tcPr>
          <w:p w14:paraId="391C306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Survey-based study</w:t>
            </w:r>
          </w:p>
        </w:tc>
        <w:tc>
          <w:tcPr>
            <w:tcW w:w="2700" w:type="dxa"/>
            <w:noWrap/>
            <w:vAlign w:val="center"/>
            <w:hideMark/>
          </w:tcPr>
          <w:p w14:paraId="09793E8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Highlights digital channels as tools to maintain trust and </w:t>
            </w:r>
            <w:r w:rsidRPr="003F5EBC">
              <w:rPr>
                <w:rFonts w:cs="Arial"/>
                <w:color w:val="000000"/>
                <w:lang w:val="en-US" w:eastAsia="zh-CN" w:bidi="bn-IN"/>
              </w:rPr>
              <w:lastRenderedPageBreak/>
              <w:t>communication with partners</w:t>
            </w:r>
          </w:p>
        </w:tc>
        <w:tc>
          <w:tcPr>
            <w:tcW w:w="3420" w:type="dxa"/>
            <w:noWrap/>
            <w:vAlign w:val="center"/>
            <w:hideMark/>
          </w:tcPr>
          <w:p w14:paraId="0B607E7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Challenges in maintaining confidence across borders post-Brexit; opportunity to use </w:t>
            </w:r>
            <w:r w:rsidRPr="003F5EBC">
              <w:rPr>
                <w:rFonts w:cs="Arial"/>
                <w:color w:val="000000"/>
                <w:lang w:val="en-US" w:eastAsia="zh-CN" w:bidi="bn-IN"/>
              </w:rPr>
              <w:lastRenderedPageBreak/>
              <w:t>digital platforms to strengthen partnerships</w:t>
            </w:r>
          </w:p>
        </w:tc>
        <w:tc>
          <w:tcPr>
            <w:tcW w:w="3240" w:type="dxa"/>
            <w:noWrap/>
            <w:vAlign w:val="center"/>
            <w:hideMark/>
          </w:tcPr>
          <w:p w14:paraId="0FE132C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Practices include structured online communication, digital monitoring of </w:t>
            </w:r>
            <w:r w:rsidRPr="003F5EBC">
              <w:rPr>
                <w:rFonts w:cs="Arial"/>
                <w:color w:val="000000"/>
                <w:lang w:val="en-US" w:eastAsia="zh-CN" w:bidi="bn-IN"/>
              </w:rPr>
              <w:lastRenderedPageBreak/>
              <w:t>partnerships, and trust-building via platforms</w:t>
            </w:r>
          </w:p>
        </w:tc>
      </w:tr>
      <w:tr w:rsidR="002D488A" w:rsidRPr="003F5EBC" w14:paraId="3C136993" w14:textId="77777777" w:rsidTr="002D488A">
        <w:trPr>
          <w:trHeight w:val="288"/>
        </w:trPr>
        <w:tc>
          <w:tcPr>
            <w:tcW w:w="483" w:type="dxa"/>
            <w:noWrap/>
            <w:vAlign w:val="center"/>
            <w:hideMark/>
          </w:tcPr>
          <w:p w14:paraId="665C152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23</w:t>
            </w:r>
          </w:p>
        </w:tc>
        <w:tc>
          <w:tcPr>
            <w:tcW w:w="1996" w:type="dxa"/>
            <w:noWrap/>
            <w:vAlign w:val="center"/>
            <w:hideMark/>
          </w:tcPr>
          <w:p w14:paraId="75A4D65A" w14:textId="399737F3"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Kellard </w:t>
            </w:r>
            <w:r w:rsidR="00067DAE" w:rsidRPr="00067DAE">
              <w:rPr>
                <w:rFonts w:cs="Arial"/>
                <w:i/>
                <w:iCs/>
                <w:color w:val="000000"/>
                <w:lang w:val="en-US" w:eastAsia="zh-CN" w:bidi="bn-IN"/>
              </w:rPr>
              <w:t>et al</w:t>
            </w:r>
            <w:r w:rsidRPr="003F5EBC">
              <w:rPr>
                <w:rFonts w:cs="Arial"/>
                <w:color w:val="000000"/>
                <w:lang w:val="en-US" w:eastAsia="zh-CN" w:bidi="bn-IN"/>
              </w:rPr>
              <w:t>. (2021)</w:t>
            </w:r>
          </w:p>
        </w:tc>
        <w:tc>
          <w:tcPr>
            <w:tcW w:w="3276" w:type="dxa"/>
            <w:noWrap/>
            <w:vAlign w:val="center"/>
            <w:hideMark/>
          </w:tcPr>
          <w:p w14:paraId="4FC042B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analyse how Brexit uncertainty affects UK private equity activity and the implications for SME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 xml:space="preserve"> via digital platforms.</w:t>
            </w:r>
          </w:p>
        </w:tc>
        <w:tc>
          <w:tcPr>
            <w:tcW w:w="2160" w:type="dxa"/>
            <w:noWrap/>
            <w:vAlign w:val="center"/>
            <w:hideMark/>
          </w:tcPr>
          <w:p w14:paraId="1DCB4DD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Econometric modelling using UK private equity transactions 2000–2019</w:t>
            </w:r>
          </w:p>
        </w:tc>
        <w:tc>
          <w:tcPr>
            <w:tcW w:w="2700" w:type="dxa"/>
            <w:noWrap/>
            <w:vAlign w:val="center"/>
            <w:hideMark/>
          </w:tcPr>
          <w:p w14:paraId="1B767DF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Minimal; focus on financial transaction data</w:t>
            </w:r>
          </w:p>
        </w:tc>
        <w:tc>
          <w:tcPr>
            <w:tcW w:w="3420" w:type="dxa"/>
            <w:noWrap/>
            <w:vAlign w:val="center"/>
            <w:hideMark/>
          </w:tcPr>
          <w:p w14:paraId="2BCB111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investment volatility, fundraising uncertainty; Opportunities: virtual deal management, online investor engagement</w:t>
            </w:r>
          </w:p>
        </w:tc>
        <w:tc>
          <w:tcPr>
            <w:tcW w:w="3240" w:type="dxa"/>
            <w:noWrap/>
            <w:vAlign w:val="center"/>
            <w:hideMark/>
          </w:tcPr>
          <w:p w14:paraId="285ABD0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Adopt digital due diligence tools, virtual investment platforms, online stakeholder communication</w:t>
            </w:r>
          </w:p>
        </w:tc>
      </w:tr>
      <w:tr w:rsidR="002D488A" w:rsidRPr="003F5EBC" w14:paraId="367C7435" w14:textId="77777777" w:rsidTr="002D488A">
        <w:trPr>
          <w:trHeight w:val="288"/>
        </w:trPr>
        <w:tc>
          <w:tcPr>
            <w:tcW w:w="483" w:type="dxa"/>
            <w:noWrap/>
            <w:vAlign w:val="center"/>
            <w:hideMark/>
          </w:tcPr>
          <w:p w14:paraId="4FC5FBA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24</w:t>
            </w:r>
          </w:p>
        </w:tc>
        <w:tc>
          <w:tcPr>
            <w:tcW w:w="1996" w:type="dxa"/>
            <w:noWrap/>
            <w:vAlign w:val="center"/>
            <w:hideMark/>
          </w:tcPr>
          <w:p w14:paraId="7954FC6D"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Konig (2023)</w:t>
            </w:r>
          </w:p>
        </w:tc>
        <w:tc>
          <w:tcPr>
            <w:tcW w:w="3276" w:type="dxa"/>
            <w:noWrap/>
            <w:vAlign w:val="center"/>
            <w:hideMark/>
          </w:tcPr>
          <w:p w14:paraId="4C64E6F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assess post-Brexit data governance changes and their influence on UK SMEs’ use of digital platforms for international business.</w:t>
            </w:r>
          </w:p>
        </w:tc>
        <w:tc>
          <w:tcPr>
            <w:tcW w:w="2160" w:type="dxa"/>
            <w:noWrap/>
            <w:vAlign w:val="center"/>
            <w:hideMark/>
          </w:tcPr>
          <w:p w14:paraId="55FD9E3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Policy analysis; interviews with 30 policymakers and business leaders</w:t>
            </w:r>
          </w:p>
        </w:tc>
        <w:tc>
          <w:tcPr>
            <w:tcW w:w="2700" w:type="dxa"/>
            <w:noWrap/>
            <w:vAlign w:val="center"/>
            <w:hideMark/>
          </w:tcPr>
          <w:p w14:paraId="7DABBA4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Core to compliance and operational continuity in post-Brexit UK</w:t>
            </w:r>
          </w:p>
        </w:tc>
        <w:tc>
          <w:tcPr>
            <w:tcW w:w="3420" w:type="dxa"/>
            <w:noWrap/>
            <w:vAlign w:val="center"/>
            <w:hideMark/>
          </w:tcPr>
          <w:p w14:paraId="40166A9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GDPR divergence, international data flows; Opportunities: cloud computing, digital data management</w:t>
            </w:r>
          </w:p>
        </w:tc>
        <w:tc>
          <w:tcPr>
            <w:tcW w:w="3240" w:type="dxa"/>
            <w:noWrap/>
            <w:vAlign w:val="center"/>
            <w:hideMark/>
          </w:tcPr>
          <w:p w14:paraId="37042E9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Implement robust data governance frameworks, leverage secure cloud platforms, adopt cross-border compliant data practices</w:t>
            </w:r>
          </w:p>
        </w:tc>
      </w:tr>
      <w:tr w:rsidR="002D488A" w:rsidRPr="003F5EBC" w14:paraId="66BAE76E" w14:textId="77777777" w:rsidTr="002D488A">
        <w:trPr>
          <w:trHeight w:val="288"/>
        </w:trPr>
        <w:tc>
          <w:tcPr>
            <w:tcW w:w="483" w:type="dxa"/>
            <w:noWrap/>
            <w:vAlign w:val="center"/>
            <w:hideMark/>
          </w:tcPr>
          <w:p w14:paraId="5F82D9D0"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25</w:t>
            </w:r>
          </w:p>
        </w:tc>
        <w:tc>
          <w:tcPr>
            <w:tcW w:w="1996" w:type="dxa"/>
            <w:noWrap/>
            <w:vAlign w:val="center"/>
            <w:hideMark/>
          </w:tcPr>
          <w:p w14:paraId="39EAE21F"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Kren and Lawless (2023)</w:t>
            </w:r>
          </w:p>
        </w:tc>
        <w:tc>
          <w:tcPr>
            <w:tcW w:w="3276" w:type="dxa"/>
            <w:noWrap/>
            <w:vAlign w:val="center"/>
            <w:hideMark/>
          </w:tcPr>
          <w:p w14:paraId="02F185C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investigate how Brexit has altered EU-UK trade flows and the enabling role of digital platforms for SMEs.</w:t>
            </w:r>
          </w:p>
        </w:tc>
        <w:tc>
          <w:tcPr>
            <w:tcW w:w="2160" w:type="dxa"/>
            <w:noWrap/>
            <w:vAlign w:val="center"/>
            <w:hideMark/>
          </w:tcPr>
          <w:p w14:paraId="06A5AD7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Quantitative trade flow analysis, 2000–2022</w:t>
            </w:r>
          </w:p>
        </w:tc>
        <w:tc>
          <w:tcPr>
            <w:tcW w:w="2700" w:type="dxa"/>
            <w:noWrap/>
            <w:vAlign w:val="center"/>
            <w:hideMark/>
          </w:tcPr>
          <w:p w14:paraId="1CFD3C80"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not central, but support trade logistics</w:t>
            </w:r>
          </w:p>
        </w:tc>
        <w:tc>
          <w:tcPr>
            <w:tcW w:w="3420" w:type="dxa"/>
            <w:noWrap/>
            <w:vAlign w:val="center"/>
            <w:hideMark/>
          </w:tcPr>
          <w:p w14:paraId="3A06CBC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border friction, customs delays; Opportunities: digital customs clearance, e-invoicing</w:t>
            </w:r>
          </w:p>
        </w:tc>
        <w:tc>
          <w:tcPr>
            <w:tcW w:w="3240" w:type="dxa"/>
            <w:noWrap/>
            <w:vAlign w:val="center"/>
            <w:hideMark/>
          </w:tcPr>
          <w:p w14:paraId="31C4D20C"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Adopt digital trade facilitation tools, monitor EU-UK trade via platforms, streamline online reporting systems</w:t>
            </w:r>
          </w:p>
        </w:tc>
      </w:tr>
      <w:tr w:rsidR="002D488A" w:rsidRPr="003F5EBC" w14:paraId="508CD627" w14:textId="77777777" w:rsidTr="002D488A">
        <w:trPr>
          <w:trHeight w:val="288"/>
        </w:trPr>
        <w:tc>
          <w:tcPr>
            <w:tcW w:w="483" w:type="dxa"/>
            <w:noWrap/>
            <w:vAlign w:val="center"/>
            <w:hideMark/>
          </w:tcPr>
          <w:p w14:paraId="2B4D555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26</w:t>
            </w:r>
          </w:p>
        </w:tc>
        <w:tc>
          <w:tcPr>
            <w:tcW w:w="1996" w:type="dxa"/>
            <w:noWrap/>
            <w:vAlign w:val="center"/>
            <w:hideMark/>
          </w:tcPr>
          <w:p w14:paraId="50CF66B5" w14:textId="77777777" w:rsidR="002D488A" w:rsidRPr="003F5EBC" w:rsidRDefault="002D488A" w:rsidP="003F5EBC">
            <w:pPr>
              <w:spacing w:line="360" w:lineRule="auto"/>
              <w:jc w:val="center"/>
              <w:rPr>
                <w:rFonts w:cs="Arial"/>
                <w:color w:val="000000"/>
                <w:lang w:val="en-US" w:eastAsia="zh-CN" w:bidi="bn-IN"/>
              </w:rPr>
            </w:pPr>
            <w:proofErr w:type="spellStart"/>
            <w:r w:rsidRPr="003F5EBC">
              <w:rPr>
                <w:rFonts w:cs="Arial"/>
                <w:color w:val="000000"/>
                <w:lang w:val="en-US" w:eastAsia="zh-CN" w:bidi="bn-IN"/>
              </w:rPr>
              <w:t>Lampadarios</w:t>
            </w:r>
            <w:proofErr w:type="spellEnd"/>
            <w:r w:rsidRPr="003F5EBC">
              <w:rPr>
                <w:rFonts w:cs="Arial"/>
                <w:color w:val="000000"/>
                <w:lang w:val="en-US" w:eastAsia="zh-CN" w:bidi="bn-IN"/>
              </w:rPr>
              <w:t xml:space="preserve"> and Kyriakidou (2020)</w:t>
            </w:r>
          </w:p>
        </w:tc>
        <w:tc>
          <w:tcPr>
            <w:tcW w:w="3276" w:type="dxa"/>
            <w:noWrap/>
            <w:vAlign w:val="center"/>
            <w:hideMark/>
          </w:tcPr>
          <w:p w14:paraId="3FA41CD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identify critical success factors for UK chemical distribution SMEs and the role of digital platforms in sustaining trade post-Brexit.</w:t>
            </w:r>
          </w:p>
        </w:tc>
        <w:tc>
          <w:tcPr>
            <w:tcW w:w="2160" w:type="dxa"/>
            <w:noWrap/>
            <w:vAlign w:val="center"/>
            <w:hideMark/>
          </w:tcPr>
          <w:p w14:paraId="15F47F2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Qualitative review / case analysis</w:t>
            </w:r>
          </w:p>
        </w:tc>
        <w:tc>
          <w:tcPr>
            <w:tcW w:w="2700" w:type="dxa"/>
            <w:noWrap/>
            <w:vAlign w:val="center"/>
            <w:hideMark/>
          </w:tcPr>
          <w:p w14:paraId="5FBF342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Digital platforms assumed to support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 xml:space="preserve"> strategies</w:t>
            </w:r>
          </w:p>
        </w:tc>
        <w:tc>
          <w:tcPr>
            <w:tcW w:w="3420" w:type="dxa"/>
            <w:noWrap/>
            <w:vAlign w:val="center"/>
            <w:hideMark/>
          </w:tcPr>
          <w:p w14:paraId="45411B2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regulatory uncertainty, political volatility; Opportunities: digital tools facilitate cross-border trade and market expansion</w:t>
            </w:r>
          </w:p>
        </w:tc>
        <w:tc>
          <w:tcPr>
            <w:tcW w:w="3240" w:type="dxa"/>
            <w:noWrap/>
            <w:vAlign w:val="center"/>
            <w:hideMark/>
          </w:tcPr>
          <w:p w14:paraId="6DBB969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Practices: using e-commerce platforms, digital logistics, and online marketing to expand international presence</w:t>
            </w:r>
          </w:p>
        </w:tc>
      </w:tr>
      <w:tr w:rsidR="002D488A" w:rsidRPr="003F5EBC" w14:paraId="4340E56B" w14:textId="77777777" w:rsidTr="002D488A">
        <w:trPr>
          <w:trHeight w:val="288"/>
        </w:trPr>
        <w:tc>
          <w:tcPr>
            <w:tcW w:w="483" w:type="dxa"/>
            <w:noWrap/>
            <w:vAlign w:val="center"/>
            <w:hideMark/>
          </w:tcPr>
          <w:p w14:paraId="4600721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27</w:t>
            </w:r>
          </w:p>
        </w:tc>
        <w:tc>
          <w:tcPr>
            <w:tcW w:w="1996" w:type="dxa"/>
            <w:noWrap/>
            <w:vAlign w:val="center"/>
            <w:hideMark/>
          </w:tcPr>
          <w:p w14:paraId="1A264AC8" w14:textId="2DA9B2FF"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Li </w:t>
            </w:r>
            <w:r w:rsidR="00067DAE" w:rsidRPr="00067DAE">
              <w:rPr>
                <w:rFonts w:cs="Arial"/>
                <w:i/>
                <w:iCs/>
                <w:color w:val="000000"/>
                <w:lang w:val="en-US" w:eastAsia="zh-CN" w:bidi="bn-IN"/>
              </w:rPr>
              <w:t>et al</w:t>
            </w:r>
            <w:r w:rsidRPr="003F5EBC">
              <w:rPr>
                <w:rFonts w:cs="Arial"/>
                <w:color w:val="000000"/>
                <w:lang w:val="en-US" w:eastAsia="zh-CN" w:bidi="bn-IN"/>
              </w:rPr>
              <w:t>. (2025)</w:t>
            </w:r>
          </w:p>
        </w:tc>
        <w:tc>
          <w:tcPr>
            <w:tcW w:w="3276" w:type="dxa"/>
            <w:noWrap/>
            <w:vAlign w:val="center"/>
            <w:hideMark/>
          </w:tcPr>
          <w:p w14:paraId="4A0F8D6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review the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 xml:space="preserve"> of digital platform-based firms and derive implications for UK SMEs post-Brexit.</w:t>
            </w:r>
          </w:p>
        </w:tc>
        <w:tc>
          <w:tcPr>
            <w:tcW w:w="2160" w:type="dxa"/>
            <w:noWrap/>
            <w:vAlign w:val="center"/>
            <w:hideMark/>
          </w:tcPr>
          <w:p w14:paraId="51AFC15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Systematic literature review; content analysis of 120 journal articles</w:t>
            </w:r>
          </w:p>
        </w:tc>
        <w:tc>
          <w:tcPr>
            <w:tcW w:w="2700" w:type="dxa"/>
            <w:noWrap/>
            <w:vAlign w:val="center"/>
            <w:hideMark/>
          </w:tcPr>
          <w:p w14:paraId="5E981CA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are the core enabler of internationalization</w:t>
            </w:r>
          </w:p>
        </w:tc>
        <w:tc>
          <w:tcPr>
            <w:tcW w:w="3420" w:type="dxa"/>
            <w:noWrap/>
            <w:vAlign w:val="center"/>
            <w:hideMark/>
          </w:tcPr>
          <w:p w14:paraId="0C90703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regulatory compliance, market entry barriers; Opportunities: network effects, global reach, data-driven strategies</w:t>
            </w:r>
          </w:p>
        </w:tc>
        <w:tc>
          <w:tcPr>
            <w:tcW w:w="3240" w:type="dxa"/>
            <w:noWrap/>
            <w:vAlign w:val="center"/>
            <w:hideMark/>
          </w:tcPr>
          <w:p w14:paraId="1C2E9CC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Implement platform-based internationalization strategies, develop digital ecosystems, leverage analytics for global expansion</w:t>
            </w:r>
          </w:p>
        </w:tc>
      </w:tr>
      <w:tr w:rsidR="002D488A" w:rsidRPr="003F5EBC" w14:paraId="5905FF39" w14:textId="77777777" w:rsidTr="002D488A">
        <w:trPr>
          <w:trHeight w:val="288"/>
        </w:trPr>
        <w:tc>
          <w:tcPr>
            <w:tcW w:w="483" w:type="dxa"/>
            <w:noWrap/>
            <w:vAlign w:val="center"/>
            <w:hideMark/>
          </w:tcPr>
          <w:p w14:paraId="2BAE080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28</w:t>
            </w:r>
          </w:p>
        </w:tc>
        <w:tc>
          <w:tcPr>
            <w:tcW w:w="1996" w:type="dxa"/>
            <w:noWrap/>
            <w:vAlign w:val="center"/>
            <w:hideMark/>
          </w:tcPr>
          <w:p w14:paraId="4E7692F7" w14:textId="2E79B94A"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Linares-Zegarra </w:t>
            </w:r>
            <w:r w:rsidR="002D0325" w:rsidRPr="003F5EBC">
              <w:rPr>
                <w:rFonts w:cs="Arial"/>
                <w:color w:val="000000"/>
                <w:lang w:val="en-US" w:eastAsia="zh-CN" w:bidi="bn-IN"/>
              </w:rPr>
              <w:t>and</w:t>
            </w:r>
            <w:r w:rsidRPr="003F5EBC">
              <w:rPr>
                <w:rFonts w:cs="Arial"/>
                <w:color w:val="000000"/>
                <w:lang w:val="en-US" w:eastAsia="zh-CN" w:bidi="bn-IN"/>
              </w:rPr>
              <w:t xml:space="preserve"> Wilson (2021)</w:t>
            </w:r>
          </w:p>
        </w:tc>
        <w:tc>
          <w:tcPr>
            <w:tcW w:w="3276" w:type="dxa"/>
            <w:noWrap/>
            <w:vAlign w:val="center"/>
            <w:hideMark/>
          </w:tcPr>
          <w:p w14:paraId="35F0DDD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examine how Brexit affects UK SMEs’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 innovation, and turnover through digital platforms.</w:t>
            </w:r>
          </w:p>
        </w:tc>
        <w:tc>
          <w:tcPr>
            <w:tcW w:w="2160" w:type="dxa"/>
            <w:noWrap/>
            <w:vAlign w:val="center"/>
            <w:hideMark/>
          </w:tcPr>
          <w:p w14:paraId="747AEE8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Quantitative analysis of 1,200 SMEs using survey and firm-level financial data</w:t>
            </w:r>
          </w:p>
        </w:tc>
        <w:tc>
          <w:tcPr>
            <w:tcW w:w="2700" w:type="dxa"/>
            <w:noWrap/>
            <w:vAlign w:val="center"/>
            <w:hideMark/>
          </w:tcPr>
          <w:p w14:paraId="2B1D62B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Digital platforms facilitate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 xml:space="preserve"> and innovation despite Brexit barriers</w:t>
            </w:r>
          </w:p>
        </w:tc>
        <w:tc>
          <w:tcPr>
            <w:tcW w:w="3420" w:type="dxa"/>
            <w:noWrap/>
            <w:vAlign w:val="center"/>
            <w:hideMark/>
          </w:tcPr>
          <w:p w14:paraId="2161172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regulatory divergence, market uncertainty; Opportunities: digital adoption to support exports and innovation</w:t>
            </w:r>
          </w:p>
        </w:tc>
        <w:tc>
          <w:tcPr>
            <w:tcW w:w="3240" w:type="dxa"/>
            <w:noWrap/>
            <w:vAlign w:val="center"/>
            <w:hideMark/>
          </w:tcPr>
          <w:p w14:paraId="24C29CCC"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Invest in digital tools for market access, integrate online innovation platforms, adopt e-commerce channels for exports</w:t>
            </w:r>
          </w:p>
        </w:tc>
      </w:tr>
      <w:tr w:rsidR="002D488A" w:rsidRPr="003F5EBC" w14:paraId="67CFA2F7" w14:textId="77777777" w:rsidTr="002D488A">
        <w:trPr>
          <w:trHeight w:val="288"/>
        </w:trPr>
        <w:tc>
          <w:tcPr>
            <w:tcW w:w="483" w:type="dxa"/>
            <w:noWrap/>
            <w:vAlign w:val="center"/>
            <w:hideMark/>
          </w:tcPr>
          <w:p w14:paraId="561D01A0"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29</w:t>
            </w:r>
          </w:p>
        </w:tc>
        <w:tc>
          <w:tcPr>
            <w:tcW w:w="1996" w:type="dxa"/>
            <w:noWrap/>
            <w:vAlign w:val="center"/>
            <w:hideMark/>
          </w:tcPr>
          <w:p w14:paraId="31D441C0" w14:textId="77777777" w:rsidR="002D488A" w:rsidRPr="003F5EBC" w:rsidRDefault="002D488A" w:rsidP="003F5EBC">
            <w:pPr>
              <w:spacing w:line="360" w:lineRule="auto"/>
              <w:jc w:val="center"/>
              <w:rPr>
                <w:rFonts w:cs="Arial"/>
                <w:color w:val="000000"/>
                <w:lang w:val="en-US" w:eastAsia="zh-CN" w:bidi="bn-IN"/>
              </w:rPr>
            </w:pPr>
            <w:proofErr w:type="spellStart"/>
            <w:r w:rsidRPr="003F5EBC">
              <w:rPr>
                <w:rFonts w:cs="Arial"/>
                <w:color w:val="000000"/>
                <w:lang w:val="en-US" w:eastAsia="zh-CN" w:bidi="bn-IN"/>
              </w:rPr>
              <w:t>MacLeavy</w:t>
            </w:r>
            <w:proofErr w:type="spellEnd"/>
            <w:r w:rsidRPr="003F5EBC">
              <w:rPr>
                <w:rFonts w:cs="Arial"/>
                <w:color w:val="000000"/>
                <w:lang w:val="en-US" w:eastAsia="zh-CN" w:bidi="bn-IN"/>
              </w:rPr>
              <w:t xml:space="preserve"> and Jones (2021)</w:t>
            </w:r>
          </w:p>
        </w:tc>
        <w:tc>
          <w:tcPr>
            <w:tcW w:w="3276" w:type="dxa"/>
            <w:noWrap/>
            <w:vAlign w:val="center"/>
            <w:hideMark/>
          </w:tcPr>
          <w:p w14:paraId="36EB286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analyse Brexit as a structural crisis and its impact on UK SMEs’ use of digital platforms for international markets.</w:t>
            </w:r>
          </w:p>
        </w:tc>
        <w:tc>
          <w:tcPr>
            <w:tcW w:w="2160" w:type="dxa"/>
            <w:noWrap/>
            <w:vAlign w:val="center"/>
            <w:hideMark/>
          </w:tcPr>
          <w:p w14:paraId="767B0150"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Qualitative historical and political analysis</w:t>
            </w:r>
          </w:p>
        </w:tc>
        <w:tc>
          <w:tcPr>
            <w:tcW w:w="2700" w:type="dxa"/>
            <w:noWrap/>
            <w:vAlign w:val="center"/>
            <w:hideMark/>
          </w:tcPr>
          <w:p w14:paraId="67EE55D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Not a central focus</w:t>
            </w:r>
          </w:p>
        </w:tc>
        <w:tc>
          <w:tcPr>
            <w:tcW w:w="3420" w:type="dxa"/>
            <w:noWrap/>
            <w:vAlign w:val="center"/>
            <w:hideMark/>
          </w:tcPr>
          <w:p w14:paraId="3D601C0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economic and political instability, global reputation; Opportunities: digital engagement, alternative trade channels</w:t>
            </w:r>
          </w:p>
        </w:tc>
        <w:tc>
          <w:tcPr>
            <w:tcW w:w="3240" w:type="dxa"/>
            <w:noWrap/>
            <w:vAlign w:val="center"/>
            <w:hideMark/>
          </w:tcPr>
          <w:p w14:paraId="2B1F38B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Use digital communication to maintain international networks, promote online political and economic engagement, support digital advocacy</w:t>
            </w:r>
          </w:p>
        </w:tc>
      </w:tr>
      <w:tr w:rsidR="002D488A" w:rsidRPr="003F5EBC" w14:paraId="44342D76" w14:textId="77777777" w:rsidTr="002D488A">
        <w:trPr>
          <w:trHeight w:val="288"/>
        </w:trPr>
        <w:tc>
          <w:tcPr>
            <w:tcW w:w="483" w:type="dxa"/>
            <w:noWrap/>
            <w:vAlign w:val="center"/>
            <w:hideMark/>
          </w:tcPr>
          <w:p w14:paraId="23ABB97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30</w:t>
            </w:r>
          </w:p>
        </w:tc>
        <w:tc>
          <w:tcPr>
            <w:tcW w:w="1996" w:type="dxa"/>
            <w:noWrap/>
            <w:vAlign w:val="center"/>
            <w:hideMark/>
          </w:tcPr>
          <w:p w14:paraId="0DF60A7B"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Mathur and Gupta (2025)</w:t>
            </w:r>
          </w:p>
        </w:tc>
        <w:tc>
          <w:tcPr>
            <w:tcW w:w="3276" w:type="dxa"/>
            <w:noWrap/>
            <w:vAlign w:val="center"/>
            <w:hideMark/>
          </w:tcPr>
          <w:p w14:paraId="32FCCFC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evaluate Brexit’s overall impact on UK firms and the role of digital platforms in sustaining international trade.</w:t>
            </w:r>
          </w:p>
        </w:tc>
        <w:tc>
          <w:tcPr>
            <w:tcW w:w="2160" w:type="dxa"/>
            <w:noWrap/>
            <w:vAlign w:val="center"/>
            <w:hideMark/>
          </w:tcPr>
          <w:p w14:paraId="27BBB68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Mixed-method survey of 150 SMEs and qualitative interviews with 20 business managers</w:t>
            </w:r>
          </w:p>
        </w:tc>
        <w:tc>
          <w:tcPr>
            <w:tcW w:w="2700" w:type="dxa"/>
            <w:noWrap/>
            <w:vAlign w:val="center"/>
            <w:hideMark/>
          </w:tcPr>
          <w:p w14:paraId="6755F31E"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mentioned as part of business continuity</w:t>
            </w:r>
          </w:p>
        </w:tc>
        <w:tc>
          <w:tcPr>
            <w:tcW w:w="3420" w:type="dxa"/>
            <w:noWrap/>
            <w:vAlign w:val="center"/>
            <w:hideMark/>
          </w:tcPr>
          <w:p w14:paraId="675CA7D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regulatory uncertainty, market access; Opportunities: online sales channels, digital networking</w:t>
            </w:r>
          </w:p>
        </w:tc>
        <w:tc>
          <w:tcPr>
            <w:tcW w:w="3240" w:type="dxa"/>
            <w:noWrap/>
            <w:vAlign w:val="center"/>
            <w:hideMark/>
          </w:tcPr>
          <w:p w14:paraId="689F595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Encourage SMEs to adopt e-commerce, maintain cross-border digital communications, develop contingency plans</w:t>
            </w:r>
          </w:p>
        </w:tc>
      </w:tr>
      <w:tr w:rsidR="002D488A" w:rsidRPr="003F5EBC" w14:paraId="2A22C305" w14:textId="77777777" w:rsidTr="002D488A">
        <w:trPr>
          <w:trHeight w:val="288"/>
        </w:trPr>
        <w:tc>
          <w:tcPr>
            <w:tcW w:w="483" w:type="dxa"/>
            <w:noWrap/>
            <w:vAlign w:val="center"/>
            <w:hideMark/>
          </w:tcPr>
          <w:p w14:paraId="20C0D83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31</w:t>
            </w:r>
          </w:p>
        </w:tc>
        <w:tc>
          <w:tcPr>
            <w:tcW w:w="1996" w:type="dxa"/>
            <w:noWrap/>
            <w:vAlign w:val="center"/>
            <w:hideMark/>
          </w:tcPr>
          <w:p w14:paraId="21329EDA" w14:textId="77777777" w:rsidR="002D488A" w:rsidRPr="003F5EBC" w:rsidRDefault="002D488A" w:rsidP="003F5EBC">
            <w:pPr>
              <w:spacing w:line="360" w:lineRule="auto"/>
              <w:jc w:val="center"/>
              <w:rPr>
                <w:rFonts w:cs="Arial"/>
                <w:color w:val="000000"/>
                <w:lang w:val="en-US" w:eastAsia="zh-CN" w:bidi="bn-IN"/>
              </w:rPr>
            </w:pPr>
            <w:proofErr w:type="spellStart"/>
            <w:r w:rsidRPr="003F5EBC">
              <w:rPr>
                <w:rFonts w:cs="Arial"/>
                <w:color w:val="000000"/>
                <w:lang w:val="en-US" w:eastAsia="zh-CN" w:bidi="bn-IN"/>
              </w:rPr>
              <w:t>Mirzaye</w:t>
            </w:r>
            <w:proofErr w:type="spellEnd"/>
            <w:r w:rsidRPr="003F5EBC">
              <w:rPr>
                <w:rFonts w:cs="Arial"/>
                <w:color w:val="000000"/>
                <w:lang w:val="en-US" w:eastAsia="zh-CN" w:bidi="bn-IN"/>
              </w:rPr>
              <w:t xml:space="preserve"> and Mohiuddin (2025)</w:t>
            </w:r>
          </w:p>
        </w:tc>
        <w:tc>
          <w:tcPr>
            <w:tcW w:w="3276" w:type="dxa"/>
            <w:noWrap/>
            <w:vAlign w:val="center"/>
            <w:hideMark/>
          </w:tcPr>
          <w:p w14:paraId="2E04DCE0"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explore opportunities and challenges of digital transformation in international trade for UK SMEs post-Brexit.</w:t>
            </w:r>
          </w:p>
        </w:tc>
        <w:tc>
          <w:tcPr>
            <w:tcW w:w="2160" w:type="dxa"/>
            <w:noWrap/>
            <w:vAlign w:val="center"/>
            <w:hideMark/>
          </w:tcPr>
          <w:p w14:paraId="0B9A426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Literature review and policy analysis</w:t>
            </w:r>
          </w:p>
        </w:tc>
        <w:tc>
          <w:tcPr>
            <w:tcW w:w="2700" w:type="dxa"/>
            <w:noWrap/>
            <w:vAlign w:val="center"/>
            <w:hideMark/>
          </w:tcPr>
          <w:p w14:paraId="37F18E9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are central to international trade efficiency</w:t>
            </w:r>
          </w:p>
        </w:tc>
        <w:tc>
          <w:tcPr>
            <w:tcW w:w="3420" w:type="dxa"/>
            <w:noWrap/>
            <w:vAlign w:val="center"/>
            <w:hideMark/>
          </w:tcPr>
          <w:p w14:paraId="48F8A47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cross-border compliance, cybersecurity; Opportunities: global market access, automation of trade processes</w:t>
            </w:r>
          </w:p>
        </w:tc>
        <w:tc>
          <w:tcPr>
            <w:tcW w:w="3240" w:type="dxa"/>
            <w:noWrap/>
            <w:vAlign w:val="center"/>
            <w:hideMark/>
          </w:tcPr>
          <w:p w14:paraId="05C9CF4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Adopt digital trading platforms, improve cyber resilience, leverage analytics for international market entry</w:t>
            </w:r>
          </w:p>
        </w:tc>
      </w:tr>
      <w:tr w:rsidR="002D488A" w:rsidRPr="003F5EBC" w14:paraId="617799D3" w14:textId="77777777" w:rsidTr="002D488A">
        <w:trPr>
          <w:trHeight w:val="288"/>
        </w:trPr>
        <w:tc>
          <w:tcPr>
            <w:tcW w:w="483" w:type="dxa"/>
            <w:noWrap/>
            <w:vAlign w:val="center"/>
            <w:hideMark/>
          </w:tcPr>
          <w:p w14:paraId="12A06EE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32</w:t>
            </w:r>
          </w:p>
        </w:tc>
        <w:tc>
          <w:tcPr>
            <w:tcW w:w="1996" w:type="dxa"/>
            <w:noWrap/>
            <w:vAlign w:val="center"/>
            <w:hideMark/>
          </w:tcPr>
          <w:p w14:paraId="2FCC91AE" w14:textId="023CA5CA"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Muhammad </w:t>
            </w:r>
            <w:r w:rsidR="00067DAE" w:rsidRPr="00067DAE">
              <w:rPr>
                <w:rFonts w:cs="Arial"/>
                <w:i/>
                <w:iCs/>
                <w:color w:val="000000"/>
                <w:lang w:val="en-US" w:eastAsia="zh-CN" w:bidi="bn-IN"/>
              </w:rPr>
              <w:t>et al</w:t>
            </w:r>
            <w:r w:rsidRPr="003F5EBC">
              <w:rPr>
                <w:rFonts w:cs="Arial"/>
                <w:color w:val="000000"/>
                <w:lang w:val="en-US" w:eastAsia="zh-CN" w:bidi="bn-IN"/>
              </w:rPr>
              <w:t>. (2025)</w:t>
            </w:r>
          </w:p>
        </w:tc>
        <w:tc>
          <w:tcPr>
            <w:tcW w:w="3276" w:type="dxa"/>
            <w:noWrap/>
            <w:vAlign w:val="center"/>
            <w:hideMark/>
          </w:tcPr>
          <w:p w14:paraId="55FD854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investigate how UK SMEs adopt AI and digital platforms during global crises to maintain international competitiveness.</w:t>
            </w:r>
          </w:p>
        </w:tc>
        <w:tc>
          <w:tcPr>
            <w:tcW w:w="2160" w:type="dxa"/>
            <w:noWrap/>
            <w:vAlign w:val="center"/>
            <w:hideMark/>
          </w:tcPr>
          <w:p w14:paraId="79EF7A3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Survey of 200 SMEs, with structural equation modelling</w:t>
            </w:r>
          </w:p>
        </w:tc>
        <w:tc>
          <w:tcPr>
            <w:tcW w:w="2700" w:type="dxa"/>
            <w:noWrap/>
            <w:vAlign w:val="center"/>
            <w:hideMark/>
          </w:tcPr>
          <w:p w14:paraId="7330865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AI platforms enhance decision-making, automation, and resilience</w:t>
            </w:r>
          </w:p>
        </w:tc>
        <w:tc>
          <w:tcPr>
            <w:tcW w:w="3420" w:type="dxa"/>
            <w:noWrap/>
            <w:vAlign w:val="center"/>
            <w:hideMark/>
          </w:tcPr>
          <w:p w14:paraId="279F9DB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digital skill gaps, high implementation costs; Opportunities: process efficiency, predictive analytics, competitive advantage</w:t>
            </w:r>
          </w:p>
        </w:tc>
        <w:tc>
          <w:tcPr>
            <w:tcW w:w="3240" w:type="dxa"/>
            <w:noWrap/>
            <w:vAlign w:val="center"/>
            <w:hideMark/>
          </w:tcPr>
          <w:p w14:paraId="3171452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Upskill employees on AI tools, implement AI-driven business processes, leverage AI platforms for operational resilience</w:t>
            </w:r>
          </w:p>
        </w:tc>
      </w:tr>
      <w:tr w:rsidR="002D488A" w:rsidRPr="003F5EBC" w14:paraId="5058A70F" w14:textId="77777777" w:rsidTr="002D488A">
        <w:trPr>
          <w:trHeight w:val="288"/>
        </w:trPr>
        <w:tc>
          <w:tcPr>
            <w:tcW w:w="483" w:type="dxa"/>
            <w:noWrap/>
            <w:vAlign w:val="center"/>
            <w:hideMark/>
          </w:tcPr>
          <w:p w14:paraId="4455229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33</w:t>
            </w:r>
          </w:p>
        </w:tc>
        <w:tc>
          <w:tcPr>
            <w:tcW w:w="1996" w:type="dxa"/>
            <w:noWrap/>
            <w:vAlign w:val="center"/>
            <w:hideMark/>
          </w:tcPr>
          <w:p w14:paraId="111E07FB" w14:textId="7C1139B7" w:rsidR="002D488A" w:rsidRPr="003F5EBC" w:rsidRDefault="002D488A" w:rsidP="003F5EBC">
            <w:pPr>
              <w:spacing w:line="360" w:lineRule="auto"/>
              <w:jc w:val="center"/>
              <w:rPr>
                <w:rFonts w:cs="Arial"/>
                <w:color w:val="000000"/>
                <w:lang w:val="en-US" w:eastAsia="zh-CN" w:bidi="bn-IN"/>
              </w:rPr>
            </w:pPr>
            <w:proofErr w:type="spellStart"/>
            <w:r w:rsidRPr="003F5EBC">
              <w:rPr>
                <w:rFonts w:cs="Arial"/>
                <w:color w:val="000000"/>
                <w:lang w:val="en-US" w:eastAsia="zh-CN" w:bidi="bn-IN"/>
              </w:rPr>
              <w:t>Oyegoke</w:t>
            </w:r>
            <w:proofErr w:type="spellEnd"/>
            <w:r w:rsidRPr="003F5EBC">
              <w:rPr>
                <w:rFonts w:cs="Arial"/>
                <w:color w:val="000000"/>
                <w:lang w:val="en-US" w:eastAsia="zh-CN" w:bidi="bn-IN"/>
              </w:rPr>
              <w:t xml:space="preserve"> </w:t>
            </w:r>
            <w:r w:rsidR="00067DAE" w:rsidRPr="00067DAE">
              <w:rPr>
                <w:rFonts w:cs="Arial"/>
                <w:i/>
                <w:iCs/>
                <w:color w:val="000000"/>
                <w:lang w:val="en-US" w:eastAsia="zh-CN" w:bidi="bn-IN"/>
              </w:rPr>
              <w:t>et al</w:t>
            </w:r>
            <w:r w:rsidRPr="003F5EBC">
              <w:rPr>
                <w:rFonts w:cs="Arial"/>
                <w:color w:val="000000"/>
                <w:lang w:val="en-US" w:eastAsia="zh-CN" w:bidi="bn-IN"/>
              </w:rPr>
              <w:t>. (2024)</w:t>
            </w:r>
          </w:p>
        </w:tc>
        <w:tc>
          <w:tcPr>
            <w:tcW w:w="3276" w:type="dxa"/>
            <w:noWrap/>
            <w:vAlign w:val="center"/>
            <w:hideMark/>
          </w:tcPr>
          <w:p w14:paraId="4824CFF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analyse the combined impact of Brexit and Covid-19 on UK construction SMEs and their digital platform strategies.</w:t>
            </w:r>
          </w:p>
        </w:tc>
        <w:tc>
          <w:tcPr>
            <w:tcW w:w="2160" w:type="dxa"/>
            <w:noWrap/>
            <w:vAlign w:val="center"/>
            <w:hideMark/>
          </w:tcPr>
          <w:p w14:paraId="474B483E"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Mixed methods (survey + interviews + focus group)</w:t>
            </w:r>
          </w:p>
        </w:tc>
        <w:tc>
          <w:tcPr>
            <w:tcW w:w="2700" w:type="dxa"/>
            <w:noWrap/>
            <w:vAlign w:val="center"/>
            <w:hideMark/>
          </w:tcPr>
          <w:p w14:paraId="2E1F42A0"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inferred as tools for communication and supply chain coordination</w:t>
            </w:r>
          </w:p>
        </w:tc>
        <w:tc>
          <w:tcPr>
            <w:tcW w:w="3420" w:type="dxa"/>
            <w:noWrap/>
            <w:vAlign w:val="center"/>
            <w:hideMark/>
          </w:tcPr>
          <w:p w14:paraId="004BAE4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supply chain disruptions, logistics delays; Opportunities: digital coordination enhances resilience and transparency</w:t>
            </w:r>
          </w:p>
        </w:tc>
        <w:tc>
          <w:tcPr>
            <w:tcW w:w="3240" w:type="dxa"/>
            <w:noWrap/>
            <w:vAlign w:val="center"/>
            <w:hideMark/>
          </w:tcPr>
          <w:p w14:paraId="7269651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Practices: collaborative working through digital tools, monitoring platforms, and proactive supply chain planning</w:t>
            </w:r>
          </w:p>
        </w:tc>
      </w:tr>
      <w:tr w:rsidR="002D488A" w:rsidRPr="003F5EBC" w14:paraId="51CDD9C8" w14:textId="77777777" w:rsidTr="002D488A">
        <w:trPr>
          <w:trHeight w:val="288"/>
        </w:trPr>
        <w:tc>
          <w:tcPr>
            <w:tcW w:w="483" w:type="dxa"/>
            <w:noWrap/>
            <w:vAlign w:val="center"/>
            <w:hideMark/>
          </w:tcPr>
          <w:p w14:paraId="740DC20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34</w:t>
            </w:r>
          </w:p>
        </w:tc>
        <w:tc>
          <w:tcPr>
            <w:tcW w:w="1996" w:type="dxa"/>
            <w:noWrap/>
            <w:vAlign w:val="center"/>
            <w:hideMark/>
          </w:tcPr>
          <w:p w14:paraId="4ED9E06F"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Pardy and Ampudia (2023)</w:t>
            </w:r>
          </w:p>
        </w:tc>
        <w:tc>
          <w:tcPr>
            <w:tcW w:w="3276" w:type="dxa"/>
            <w:noWrap/>
            <w:vAlign w:val="center"/>
            <w:hideMark/>
          </w:tcPr>
          <w:p w14:paraId="1783E44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examine how Brexit drives digital technology adoption among UK SMEs for cross-border business.</w:t>
            </w:r>
          </w:p>
        </w:tc>
        <w:tc>
          <w:tcPr>
            <w:tcW w:w="2160" w:type="dxa"/>
            <w:noWrap/>
            <w:vAlign w:val="center"/>
            <w:hideMark/>
          </w:tcPr>
          <w:p w14:paraId="39D87AF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Case studies of 12 SMEs in England and Wales</w:t>
            </w:r>
          </w:p>
        </w:tc>
        <w:tc>
          <w:tcPr>
            <w:tcW w:w="2700" w:type="dxa"/>
            <w:noWrap/>
            <w:vAlign w:val="center"/>
            <w:hideMark/>
          </w:tcPr>
          <w:p w14:paraId="40F2180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enable adaptation to Brexit-induced trade disruptions</w:t>
            </w:r>
          </w:p>
        </w:tc>
        <w:tc>
          <w:tcPr>
            <w:tcW w:w="3420" w:type="dxa"/>
            <w:noWrap/>
            <w:vAlign w:val="center"/>
            <w:hideMark/>
          </w:tcPr>
          <w:p w14:paraId="22912E5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investment cost, skills gap; Opportunities: remote service delivery, process automation</w:t>
            </w:r>
          </w:p>
        </w:tc>
        <w:tc>
          <w:tcPr>
            <w:tcW w:w="3240" w:type="dxa"/>
            <w:noWrap/>
            <w:vAlign w:val="center"/>
            <w:hideMark/>
          </w:tcPr>
          <w:p w14:paraId="36AACED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Integrate cloud-based solutions, adopt digital collaboration tools, train staff in digital competencies</w:t>
            </w:r>
          </w:p>
        </w:tc>
      </w:tr>
      <w:tr w:rsidR="002D488A" w:rsidRPr="003F5EBC" w14:paraId="176DE313" w14:textId="77777777" w:rsidTr="002D488A">
        <w:trPr>
          <w:trHeight w:val="288"/>
        </w:trPr>
        <w:tc>
          <w:tcPr>
            <w:tcW w:w="483" w:type="dxa"/>
            <w:noWrap/>
            <w:vAlign w:val="center"/>
            <w:hideMark/>
          </w:tcPr>
          <w:p w14:paraId="6128B90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35</w:t>
            </w:r>
          </w:p>
        </w:tc>
        <w:tc>
          <w:tcPr>
            <w:tcW w:w="1996" w:type="dxa"/>
            <w:noWrap/>
            <w:vAlign w:val="center"/>
            <w:hideMark/>
          </w:tcPr>
          <w:p w14:paraId="724F268B"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Peres (2025)</w:t>
            </w:r>
          </w:p>
        </w:tc>
        <w:tc>
          <w:tcPr>
            <w:tcW w:w="3276" w:type="dxa"/>
            <w:noWrap/>
            <w:vAlign w:val="center"/>
            <w:hideMark/>
          </w:tcPr>
          <w:p w14:paraId="61869D0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investigate UK digital trade governance and its implications for SME </w:t>
            </w:r>
            <w:proofErr w:type="spellStart"/>
            <w:r w:rsidRPr="003F5EBC">
              <w:rPr>
                <w:rFonts w:cs="Arial"/>
                <w:color w:val="000000"/>
                <w:lang w:val="en-US" w:eastAsia="zh-CN" w:bidi="bn-IN"/>
              </w:rPr>
              <w:lastRenderedPageBreak/>
              <w:t>internationalisation</w:t>
            </w:r>
            <w:proofErr w:type="spellEnd"/>
            <w:r w:rsidRPr="003F5EBC">
              <w:rPr>
                <w:rFonts w:cs="Arial"/>
                <w:color w:val="000000"/>
                <w:lang w:val="en-US" w:eastAsia="zh-CN" w:bidi="bn-IN"/>
              </w:rPr>
              <w:t xml:space="preserve"> via digital platforms.</w:t>
            </w:r>
          </w:p>
        </w:tc>
        <w:tc>
          <w:tcPr>
            <w:tcW w:w="2160" w:type="dxa"/>
            <w:noWrap/>
            <w:vAlign w:val="center"/>
            <w:hideMark/>
          </w:tcPr>
          <w:p w14:paraId="0442089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Policy analysis and legislative review</w:t>
            </w:r>
          </w:p>
        </w:tc>
        <w:tc>
          <w:tcPr>
            <w:tcW w:w="2700" w:type="dxa"/>
            <w:noWrap/>
            <w:vAlign w:val="center"/>
            <w:hideMark/>
          </w:tcPr>
          <w:p w14:paraId="7450E29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Platforms are central to the UK’s strategy for cross-border digital trade</w:t>
            </w:r>
          </w:p>
        </w:tc>
        <w:tc>
          <w:tcPr>
            <w:tcW w:w="3420" w:type="dxa"/>
            <w:noWrap/>
            <w:vAlign w:val="center"/>
            <w:hideMark/>
          </w:tcPr>
          <w:p w14:paraId="5E11DB9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Challenges: regulatory divergence post-Brexit, compliance costs; Opportunities: digital trade </w:t>
            </w:r>
            <w:r w:rsidRPr="003F5EBC">
              <w:rPr>
                <w:rFonts w:cs="Arial"/>
                <w:color w:val="000000"/>
                <w:lang w:val="en-US" w:eastAsia="zh-CN" w:bidi="bn-IN"/>
              </w:rPr>
              <w:lastRenderedPageBreak/>
              <w:t>facilitation, streamlined governance</w:t>
            </w:r>
          </w:p>
        </w:tc>
        <w:tc>
          <w:tcPr>
            <w:tcW w:w="3240" w:type="dxa"/>
            <w:noWrap/>
            <w:vAlign w:val="center"/>
            <w:hideMark/>
          </w:tcPr>
          <w:p w14:paraId="6E21881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Encourage SMEs to adopt platform-compliant digital trade systems and leverage government guidance</w:t>
            </w:r>
          </w:p>
        </w:tc>
      </w:tr>
      <w:tr w:rsidR="002D488A" w:rsidRPr="003F5EBC" w14:paraId="3A1577F1" w14:textId="77777777" w:rsidTr="002D488A">
        <w:trPr>
          <w:trHeight w:val="288"/>
        </w:trPr>
        <w:tc>
          <w:tcPr>
            <w:tcW w:w="483" w:type="dxa"/>
            <w:noWrap/>
            <w:vAlign w:val="center"/>
            <w:hideMark/>
          </w:tcPr>
          <w:p w14:paraId="6DACFCC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36</w:t>
            </w:r>
          </w:p>
        </w:tc>
        <w:tc>
          <w:tcPr>
            <w:tcW w:w="1996" w:type="dxa"/>
            <w:noWrap/>
            <w:vAlign w:val="center"/>
            <w:hideMark/>
          </w:tcPr>
          <w:p w14:paraId="206A7D4B" w14:textId="77777777" w:rsidR="002D488A" w:rsidRPr="003F5EBC" w:rsidRDefault="002D488A" w:rsidP="003F5EBC">
            <w:pPr>
              <w:spacing w:line="360" w:lineRule="auto"/>
              <w:jc w:val="center"/>
              <w:rPr>
                <w:rFonts w:cs="Arial"/>
                <w:color w:val="000000"/>
                <w:lang w:val="en-US" w:eastAsia="zh-CN" w:bidi="bn-IN"/>
              </w:rPr>
            </w:pPr>
            <w:proofErr w:type="spellStart"/>
            <w:r w:rsidRPr="003F5EBC">
              <w:rPr>
                <w:rFonts w:cs="Arial"/>
                <w:color w:val="000000"/>
                <w:lang w:val="en-US" w:eastAsia="zh-CN" w:bidi="bn-IN"/>
              </w:rPr>
              <w:t>Rawindaran</w:t>
            </w:r>
            <w:proofErr w:type="spellEnd"/>
            <w:r w:rsidRPr="003F5EBC">
              <w:rPr>
                <w:rFonts w:cs="Arial"/>
                <w:color w:val="000000"/>
                <w:lang w:val="en-US" w:eastAsia="zh-CN" w:bidi="bn-IN"/>
              </w:rPr>
              <w:t>, Jayal and Prakash (2021)</w:t>
            </w:r>
          </w:p>
        </w:tc>
        <w:tc>
          <w:tcPr>
            <w:tcW w:w="3276" w:type="dxa"/>
            <w:noWrap/>
            <w:vAlign w:val="center"/>
            <w:hideMark/>
          </w:tcPr>
          <w:p w14:paraId="30556AC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explore how SMEs adopt machine learning and cybersecurity solutions to support secure international operations.</w:t>
            </w:r>
          </w:p>
        </w:tc>
        <w:tc>
          <w:tcPr>
            <w:tcW w:w="2160" w:type="dxa"/>
            <w:noWrap/>
            <w:vAlign w:val="center"/>
            <w:hideMark/>
          </w:tcPr>
          <w:p w14:paraId="57EF426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Mixed methods (survey + interviews)</w:t>
            </w:r>
          </w:p>
        </w:tc>
        <w:tc>
          <w:tcPr>
            <w:tcW w:w="2700" w:type="dxa"/>
            <w:noWrap/>
            <w:vAlign w:val="center"/>
            <w:hideMark/>
          </w:tcPr>
          <w:p w14:paraId="10D2E33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security platforms indirectly enable SMEs to engage safely in international digital transactions</w:t>
            </w:r>
          </w:p>
        </w:tc>
        <w:tc>
          <w:tcPr>
            <w:tcW w:w="3420" w:type="dxa"/>
            <w:noWrap/>
            <w:vAlign w:val="center"/>
            <w:hideMark/>
          </w:tcPr>
          <w:p w14:paraId="0562F27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low awareness and adoption of cybersecurity tools; Opportunities: secure digital platforms facilitate safe international business and online operations</w:t>
            </w:r>
          </w:p>
        </w:tc>
        <w:tc>
          <w:tcPr>
            <w:tcW w:w="3240" w:type="dxa"/>
            <w:noWrap/>
            <w:vAlign w:val="center"/>
            <w:hideMark/>
          </w:tcPr>
          <w:p w14:paraId="3FFBCDD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Practices: adoption of AI/ML cybersecurity systems, staff training, and secure digital infrastructure for online business and platform use</w:t>
            </w:r>
          </w:p>
        </w:tc>
      </w:tr>
      <w:tr w:rsidR="002D488A" w:rsidRPr="003F5EBC" w14:paraId="70C07085" w14:textId="77777777" w:rsidTr="002D488A">
        <w:trPr>
          <w:trHeight w:val="288"/>
        </w:trPr>
        <w:tc>
          <w:tcPr>
            <w:tcW w:w="483" w:type="dxa"/>
            <w:noWrap/>
            <w:vAlign w:val="center"/>
            <w:hideMark/>
          </w:tcPr>
          <w:p w14:paraId="64A73E8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37</w:t>
            </w:r>
          </w:p>
        </w:tc>
        <w:tc>
          <w:tcPr>
            <w:tcW w:w="1996" w:type="dxa"/>
            <w:noWrap/>
            <w:vAlign w:val="center"/>
            <w:hideMark/>
          </w:tcPr>
          <w:p w14:paraId="7F16A30C" w14:textId="1F7C13B4"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Roscoe </w:t>
            </w:r>
            <w:r w:rsidR="00067DAE" w:rsidRPr="00067DAE">
              <w:rPr>
                <w:rFonts w:cs="Arial"/>
                <w:i/>
                <w:iCs/>
                <w:color w:val="000000"/>
                <w:lang w:val="en-US" w:eastAsia="zh-CN" w:bidi="bn-IN"/>
              </w:rPr>
              <w:t>et al</w:t>
            </w:r>
            <w:r w:rsidRPr="003F5EBC">
              <w:rPr>
                <w:rFonts w:cs="Arial"/>
                <w:color w:val="000000"/>
                <w:lang w:val="en-US" w:eastAsia="zh-CN" w:bidi="bn-IN"/>
              </w:rPr>
              <w:t>. (2020)</w:t>
            </w:r>
          </w:p>
        </w:tc>
        <w:tc>
          <w:tcPr>
            <w:tcW w:w="3276" w:type="dxa"/>
            <w:noWrap/>
            <w:vAlign w:val="center"/>
            <w:hideMark/>
          </w:tcPr>
          <w:p w14:paraId="2279F3AE"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analyse how UK pharmaceutical SMEs manage supply chain uncertainty post-Brexit using digital platforms.</w:t>
            </w:r>
          </w:p>
        </w:tc>
        <w:tc>
          <w:tcPr>
            <w:tcW w:w="2160" w:type="dxa"/>
            <w:noWrap/>
            <w:vAlign w:val="center"/>
            <w:hideMark/>
          </w:tcPr>
          <w:p w14:paraId="3B86187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Qualitative interviews + document analysis</w:t>
            </w:r>
          </w:p>
        </w:tc>
        <w:tc>
          <w:tcPr>
            <w:tcW w:w="2700" w:type="dxa"/>
            <w:noWrap/>
            <w:vAlign w:val="center"/>
            <w:hideMark/>
          </w:tcPr>
          <w:p w14:paraId="2265D7F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supply chain tools inferred to support SMEs in mitigating Brexit-related disruptions</w:t>
            </w:r>
          </w:p>
        </w:tc>
        <w:tc>
          <w:tcPr>
            <w:tcW w:w="3420" w:type="dxa"/>
            <w:noWrap/>
            <w:vAlign w:val="center"/>
            <w:hideMark/>
          </w:tcPr>
          <w:p w14:paraId="381BCC5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supply chain uncertainty, regulatory changes; Opportunities: using digital platforms for monitoring and logistics</w:t>
            </w:r>
          </w:p>
        </w:tc>
        <w:tc>
          <w:tcPr>
            <w:tcW w:w="3240" w:type="dxa"/>
            <w:noWrap/>
            <w:vAlign w:val="center"/>
            <w:hideMark/>
          </w:tcPr>
          <w:p w14:paraId="1D7A1D3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Strategies: adopting digital inventory management, logistics platforms, and proactive/reactive supply chain planning</w:t>
            </w:r>
          </w:p>
        </w:tc>
      </w:tr>
      <w:tr w:rsidR="002D488A" w:rsidRPr="003F5EBC" w14:paraId="2E958F20" w14:textId="77777777" w:rsidTr="002D488A">
        <w:trPr>
          <w:trHeight w:val="288"/>
        </w:trPr>
        <w:tc>
          <w:tcPr>
            <w:tcW w:w="483" w:type="dxa"/>
            <w:noWrap/>
            <w:vAlign w:val="center"/>
            <w:hideMark/>
          </w:tcPr>
          <w:p w14:paraId="21A9837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38</w:t>
            </w:r>
          </w:p>
        </w:tc>
        <w:tc>
          <w:tcPr>
            <w:tcW w:w="1996" w:type="dxa"/>
            <w:noWrap/>
            <w:vAlign w:val="center"/>
            <w:hideMark/>
          </w:tcPr>
          <w:p w14:paraId="7F2574D2" w14:textId="5FD63C14" w:rsidR="002D488A" w:rsidRPr="003F5EBC" w:rsidRDefault="002D488A" w:rsidP="003F5EBC">
            <w:pPr>
              <w:spacing w:line="360" w:lineRule="auto"/>
              <w:jc w:val="center"/>
              <w:rPr>
                <w:rFonts w:cs="Arial"/>
                <w:color w:val="000000"/>
                <w:lang w:val="en-US" w:eastAsia="zh-CN" w:bidi="bn-IN"/>
              </w:rPr>
            </w:pPr>
            <w:proofErr w:type="spellStart"/>
            <w:r w:rsidRPr="003F5EBC">
              <w:rPr>
                <w:rFonts w:cs="Arial"/>
                <w:color w:val="000000"/>
                <w:lang w:val="en-US" w:eastAsia="zh-CN" w:bidi="bn-IN"/>
              </w:rPr>
              <w:t>Sindakis</w:t>
            </w:r>
            <w:proofErr w:type="spellEnd"/>
            <w:r w:rsidRPr="003F5EBC">
              <w:rPr>
                <w:rFonts w:cs="Arial"/>
                <w:color w:val="000000"/>
                <w:lang w:val="en-US" w:eastAsia="zh-CN" w:bidi="bn-IN"/>
              </w:rPr>
              <w:t xml:space="preserve"> </w:t>
            </w:r>
            <w:r w:rsidR="002D0325" w:rsidRPr="003F5EBC">
              <w:rPr>
                <w:rFonts w:cs="Arial"/>
                <w:color w:val="000000"/>
                <w:lang w:val="en-US" w:eastAsia="zh-CN" w:bidi="bn-IN"/>
              </w:rPr>
              <w:t>and</w:t>
            </w:r>
            <w:r w:rsidRPr="003F5EBC">
              <w:rPr>
                <w:rFonts w:cs="Arial"/>
                <w:color w:val="000000"/>
                <w:lang w:val="en-US" w:eastAsia="zh-CN" w:bidi="bn-IN"/>
              </w:rPr>
              <w:t xml:space="preserve"> Aggarwal (2022)</w:t>
            </w:r>
          </w:p>
        </w:tc>
        <w:tc>
          <w:tcPr>
            <w:tcW w:w="3276" w:type="dxa"/>
            <w:noWrap/>
            <w:vAlign w:val="center"/>
            <w:hideMark/>
          </w:tcPr>
          <w:p w14:paraId="5AFFA18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evaluate the benefits and drawbacks of e</w:t>
            </w:r>
            <w:r w:rsidRPr="003F5EBC">
              <w:rPr>
                <w:rFonts w:cs="Arial"/>
                <w:color w:val="000000"/>
                <w:lang w:val="en-US" w:eastAsia="zh-CN" w:bidi="bn-IN"/>
              </w:rPr>
              <w:noBreakHyphen/>
              <w:t>business adoption for UK SMEs seeking international markets post-Brexit.</w:t>
            </w:r>
          </w:p>
        </w:tc>
        <w:tc>
          <w:tcPr>
            <w:tcW w:w="2160" w:type="dxa"/>
            <w:noWrap/>
            <w:vAlign w:val="center"/>
            <w:hideMark/>
          </w:tcPr>
          <w:p w14:paraId="1BE3F6E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Qualitative case studies and literature review on small business e-business adoption</w:t>
            </w:r>
          </w:p>
        </w:tc>
        <w:tc>
          <w:tcPr>
            <w:tcW w:w="2700" w:type="dxa"/>
            <w:noWrap/>
            <w:vAlign w:val="center"/>
            <w:hideMark/>
          </w:tcPr>
          <w:p w14:paraId="1384E83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act as facilitators for market access, customer engagement, and operational efficiency</w:t>
            </w:r>
          </w:p>
        </w:tc>
        <w:tc>
          <w:tcPr>
            <w:tcW w:w="3420" w:type="dxa"/>
            <w:noWrap/>
            <w:vAlign w:val="center"/>
            <w:hideMark/>
          </w:tcPr>
          <w:p w14:paraId="6CCD8B6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cost, technical skills, cybersecurity; Opportunities: expanded market reach, efficiency, enhanced customer interaction</w:t>
            </w:r>
          </w:p>
        </w:tc>
        <w:tc>
          <w:tcPr>
            <w:tcW w:w="3240" w:type="dxa"/>
            <w:noWrap/>
            <w:vAlign w:val="center"/>
            <w:hideMark/>
          </w:tcPr>
          <w:p w14:paraId="246AC1B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Implement e-business solutions gradually, provide staff training, assess cost-benefit of platform adoption, and monitor performance to </w:t>
            </w:r>
            <w:proofErr w:type="spellStart"/>
            <w:r w:rsidRPr="003F5EBC">
              <w:rPr>
                <w:rFonts w:cs="Arial"/>
                <w:color w:val="000000"/>
                <w:lang w:val="en-US" w:eastAsia="zh-CN" w:bidi="bn-IN"/>
              </w:rPr>
              <w:t>optimise</w:t>
            </w:r>
            <w:proofErr w:type="spellEnd"/>
            <w:r w:rsidRPr="003F5EBC">
              <w:rPr>
                <w:rFonts w:cs="Arial"/>
                <w:color w:val="000000"/>
                <w:lang w:val="en-US" w:eastAsia="zh-CN" w:bidi="bn-IN"/>
              </w:rPr>
              <w:t xml:space="preserve"> outcomes</w:t>
            </w:r>
          </w:p>
        </w:tc>
      </w:tr>
      <w:tr w:rsidR="002D488A" w:rsidRPr="003F5EBC" w14:paraId="138C97C0" w14:textId="77777777" w:rsidTr="002D488A">
        <w:trPr>
          <w:trHeight w:val="288"/>
        </w:trPr>
        <w:tc>
          <w:tcPr>
            <w:tcW w:w="483" w:type="dxa"/>
            <w:noWrap/>
            <w:vAlign w:val="center"/>
            <w:hideMark/>
          </w:tcPr>
          <w:p w14:paraId="3AA080B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39</w:t>
            </w:r>
          </w:p>
        </w:tc>
        <w:tc>
          <w:tcPr>
            <w:tcW w:w="1996" w:type="dxa"/>
            <w:noWrap/>
            <w:vAlign w:val="center"/>
            <w:hideMark/>
          </w:tcPr>
          <w:p w14:paraId="3A76A7E6" w14:textId="77777777" w:rsidR="002D488A" w:rsidRPr="003F5EBC" w:rsidRDefault="002D488A" w:rsidP="003F5EBC">
            <w:pPr>
              <w:spacing w:line="360" w:lineRule="auto"/>
              <w:jc w:val="center"/>
              <w:rPr>
                <w:rFonts w:cs="Arial"/>
                <w:color w:val="000000"/>
                <w:lang w:val="en-US" w:eastAsia="zh-CN" w:bidi="bn-IN"/>
              </w:rPr>
            </w:pPr>
            <w:proofErr w:type="spellStart"/>
            <w:r w:rsidRPr="003F5EBC">
              <w:rPr>
                <w:rFonts w:cs="Arial"/>
                <w:color w:val="000000"/>
                <w:lang w:val="en-US" w:eastAsia="zh-CN" w:bidi="bn-IN"/>
              </w:rPr>
              <w:t>Sindakis</w:t>
            </w:r>
            <w:proofErr w:type="spellEnd"/>
            <w:r w:rsidRPr="003F5EBC">
              <w:rPr>
                <w:rFonts w:cs="Arial"/>
                <w:color w:val="000000"/>
                <w:lang w:val="en-US" w:eastAsia="zh-CN" w:bidi="bn-IN"/>
              </w:rPr>
              <w:t xml:space="preserve"> and Aggarwal (2022)</w:t>
            </w:r>
          </w:p>
        </w:tc>
        <w:tc>
          <w:tcPr>
            <w:tcW w:w="3276" w:type="dxa"/>
            <w:noWrap/>
            <w:vAlign w:val="center"/>
            <w:hideMark/>
          </w:tcPr>
          <w:p w14:paraId="7513FDF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assess the implications of Brexit for small UK businesses and the enabling role of digital platforms in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w:t>
            </w:r>
          </w:p>
        </w:tc>
        <w:tc>
          <w:tcPr>
            <w:tcW w:w="2160" w:type="dxa"/>
            <w:noWrap/>
            <w:vAlign w:val="center"/>
            <w:hideMark/>
          </w:tcPr>
          <w:p w14:paraId="1B02DDA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Conceptual analysis, secondary data from government reports</w:t>
            </w:r>
          </w:p>
        </w:tc>
        <w:tc>
          <w:tcPr>
            <w:tcW w:w="2700" w:type="dxa"/>
            <w:noWrap/>
            <w:vAlign w:val="center"/>
            <w:hideMark/>
          </w:tcPr>
          <w:p w14:paraId="57FDF8F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Platforms support SMEs’ resilience and market access</w:t>
            </w:r>
          </w:p>
        </w:tc>
        <w:tc>
          <w:tcPr>
            <w:tcW w:w="3420" w:type="dxa"/>
            <w:noWrap/>
            <w:vAlign w:val="center"/>
            <w:hideMark/>
          </w:tcPr>
          <w:p w14:paraId="454485B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uncertainty, trade friction; Opportunities: e-commerce, digital marketing</w:t>
            </w:r>
          </w:p>
        </w:tc>
        <w:tc>
          <w:tcPr>
            <w:tcW w:w="3240" w:type="dxa"/>
            <w:noWrap/>
            <w:vAlign w:val="center"/>
            <w:hideMark/>
          </w:tcPr>
          <w:p w14:paraId="70CA14C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Build digital channels for sales and marketing, monitor regulatory changes online, use platforms for supplier coordination</w:t>
            </w:r>
          </w:p>
        </w:tc>
      </w:tr>
      <w:tr w:rsidR="002D488A" w:rsidRPr="003F5EBC" w14:paraId="4FE05AEB" w14:textId="77777777" w:rsidTr="002D488A">
        <w:trPr>
          <w:trHeight w:val="288"/>
        </w:trPr>
        <w:tc>
          <w:tcPr>
            <w:tcW w:w="483" w:type="dxa"/>
            <w:noWrap/>
            <w:vAlign w:val="center"/>
            <w:hideMark/>
          </w:tcPr>
          <w:p w14:paraId="13A658B9"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40</w:t>
            </w:r>
          </w:p>
        </w:tc>
        <w:tc>
          <w:tcPr>
            <w:tcW w:w="1996" w:type="dxa"/>
            <w:noWrap/>
            <w:vAlign w:val="center"/>
            <w:hideMark/>
          </w:tcPr>
          <w:p w14:paraId="6FA67EFB" w14:textId="5F267410"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Smith </w:t>
            </w:r>
            <w:r w:rsidR="00067DAE" w:rsidRPr="00067DAE">
              <w:rPr>
                <w:rFonts w:cs="Arial"/>
                <w:i/>
                <w:iCs/>
                <w:color w:val="000000"/>
                <w:lang w:val="en-US" w:eastAsia="zh-CN" w:bidi="bn-IN"/>
              </w:rPr>
              <w:t>et al</w:t>
            </w:r>
            <w:r w:rsidRPr="003F5EBC">
              <w:rPr>
                <w:rFonts w:cs="Arial"/>
                <w:color w:val="000000"/>
                <w:lang w:val="en-US" w:eastAsia="zh-CN" w:bidi="bn-IN"/>
              </w:rPr>
              <w:t>. (2022)</w:t>
            </w:r>
          </w:p>
        </w:tc>
        <w:tc>
          <w:tcPr>
            <w:tcW w:w="3276" w:type="dxa"/>
            <w:noWrap/>
            <w:vAlign w:val="center"/>
            <w:hideMark/>
          </w:tcPr>
          <w:p w14:paraId="616251D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explore how UK SMEs engage with Sustainable Development Goals and leverage digital platforms for international trade.</w:t>
            </w:r>
          </w:p>
        </w:tc>
        <w:tc>
          <w:tcPr>
            <w:tcW w:w="2160" w:type="dxa"/>
            <w:noWrap/>
            <w:vAlign w:val="center"/>
            <w:hideMark/>
          </w:tcPr>
          <w:p w14:paraId="13EAFCF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Survey of 150 SMEs and qualitative interviews</w:t>
            </w:r>
          </w:p>
        </w:tc>
        <w:tc>
          <w:tcPr>
            <w:tcW w:w="2700" w:type="dxa"/>
            <w:noWrap/>
            <w:vAlign w:val="center"/>
            <w:hideMark/>
          </w:tcPr>
          <w:p w14:paraId="38F7C210"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enable tracking and reporting of sustainability initiatives</w:t>
            </w:r>
          </w:p>
        </w:tc>
        <w:tc>
          <w:tcPr>
            <w:tcW w:w="3420" w:type="dxa"/>
            <w:noWrap/>
            <w:vAlign w:val="center"/>
            <w:hideMark/>
          </w:tcPr>
          <w:p w14:paraId="13DC9EF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resource limitations, lack of awareness; Opportunities: digital tools for SDG alignment, stakeholder engagement</w:t>
            </w:r>
          </w:p>
        </w:tc>
        <w:tc>
          <w:tcPr>
            <w:tcW w:w="3240" w:type="dxa"/>
            <w:noWrap/>
            <w:vAlign w:val="center"/>
            <w:hideMark/>
          </w:tcPr>
          <w:p w14:paraId="11CBBB6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Integrate SDG monitoring via digital dashboards, use platforms for stakeholder communication, adopt sustainable business practices</w:t>
            </w:r>
          </w:p>
        </w:tc>
      </w:tr>
      <w:tr w:rsidR="002D488A" w:rsidRPr="003F5EBC" w14:paraId="678B720D" w14:textId="77777777" w:rsidTr="002D488A">
        <w:trPr>
          <w:trHeight w:val="288"/>
        </w:trPr>
        <w:tc>
          <w:tcPr>
            <w:tcW w:w="483" w:type="dxa"/>
            <w:noWrap/>
            <w:vAlign w:val="center"/>
            <w:hideMark/>
          </w:tcPr>
          <w:p w14:paraId="6D0CCBA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41</w:t>
            </w:r>
          </w:p>
        </w:tc>
        <w:tc>
          <w:tcPr>
            <w:tcW w:w="1996" w:type="dxa"/>
            <w:noWrap/>
            <w:vAlign w:val="center"/>
            <w:hideMark/>
          </w:tcPr>
          <w:p w14:paraId="1EEE91AD"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Soner, </w:t>
            </w:r>
            <w:proofErr w:type="spellStart"/>
            <w:r w:rsidRPr="003F5EBC">
              <w:rPr>
                <w:rFonts w:cs="Arial"/>
                <w:color w:val="000000"/>
                <w:lang w:val="en-US" w:eastAsia="zh-CN" w:bidi="bn-IN"/>
              </w:rPr>
              <w:t>Alsakka</w:t>
            </w:r>
            <w:proofErr w:type="spellEnd"/>
            <w:r w:rsidRPr="003F5EBC">
              <w:rPr>
                <w:rFonts w:cs="Arial"/>
                <w:color w:val="000000"/>
                <w:lang w:val="en-US" w:eastAsia="zh-CN" w:bidi="bn-IN"/>
              </w:rPr>
              <w:t xml:space="preserve"> and </w:t>
            </w:r>
            <w:proofErr w:type="spellStart"/>
            <w:r w:rsidRPr="003F5EBC">
              <w:rPr>
                <w:rFonts w:cs="Arial"/>
                <w:color w:val="000000"/>
                <w:lang w:val="en-US" w:eastAsia="zh-CN" w:bidi="bn-IN"/>
              </w:rPr>
              <w:t>Mantovan</w:t>
            </w:r>
            <w:proofErr w:type="spellEnd"/>
            <w:r w:rsidRPr="003F5EBC">
              <w:rPr>
                <w:rFonts w:cs="Arial"/>
                <w:color w:val="000000"/>
                <w:lang w:val="en-US" w:eastAsia="zh-CN" w:bidi="bn-IN"/>
              </w:rPr>
              <w:t xml:space="preserve"> (2025)</w:t>
            </w:r>
          </w:p>
        </w:tc>
        <w:tc>
          <w:tcPr>
            <w:tcW w:w="3276" w:type="dxa"/>
            <w:noWrap/>
            <w:vAlign w:val="center"/>
            <w:hideMark/>
          </w:tcPr>
          <w:p w14:paraId="41576DFE"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examine the impact of Brexit on SME lending and the role of digital platforms in accessing alternative financing for global expansion.</w:t>
            </w:r>
          </w:p>
        </w:tc>
        <w:tc>
          <w:tcPr>
            <w:tcW w:w="2160" w:type="dxa"/>
            <w:noWrap/>
            <w:vAlign w:val="center"/>
            <w:hideMark/>
          </w:tcPr>
          <w:p w14:paraId="52238270"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Quantitative analysis of SME loan data (2015–2024)</w:t>
            </w:r>
          </w:p>
        </w:tc>
        <w:tc>
          <w:tcPr>
            <w:tcW w:w="2700" w:type="dxa"/>
            <w:noWrap/>
            <w:vAlign w:val="center"/>
            <w:hideMark/>
          </w:tcPr>
          <w:p w14:paraId="374FE25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lending platforms facilitate access to finance</w:t>
            </w:r>
          </w:p>
        </w:tc>
        <w:tc>
          <w:tcPr>
            <w:tcW w:w="3420" w:type="dxa"/>
            <w:noWrap/>
            <w:vAlign w:val="center"/>
            <w:hideMark/>
          </w:tcPr>
          <w:p w14:paraId="0EAC2EA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credit risk, reduced bank lending; Opportunities: fintech lending, online loan applications</w:t>
            </w:r>
          </w:p>
        </w:tc>
        <w:tc>
          <w:tcPr>
            <w:tcW w:w="3240" w:type="dxa"/>
            <w:noWrap/>
            <w:vAlign w:val="center"/>
            <w:hideMark/>
          </w:tcPr>
          <w:p w14:paraId="7E85A15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Encourage SMEs to use digital finance solutions, enhance credit monitoring via online tools, adopt fintech platforms for investment</w:t>
            </w:r>
          </w:p>
        </w:tc>
      </w:tr>
      <w:tr w:rsidR="002D488A" w:rsidRPr="003F5EBC" w14:paraId="09DA55A9" w14:textId="77777777" w:rsidTr="002D488A">
        <w:trPr>
          <w:trHeight w:val="288"/>
        </w:trPr>
        <w:tc>
          <w:tcPr>
            <w:tcW w:w="483" w:type="dxa"/>
            <w:noWrap/>
            <w:vAlign w:val="center"/>
            <w:hideMark/>
          </w:tcPr>
          <w:p w14:paraId="6BA348D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42</w:t>
            </w:r>
          </w:p>
        </w:tc>
        <w:tc>
          <w:tcPr>
            <w:tcW w:w="1996" w:type="dxa"/>
            <w:noWrap/>
            <w:vAlign w:val="center"/>
            <w:hideMark/>
          </w:tcPr>
          <w:p w14:paraId="722E646D" w14:textId="5C065F7D"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Thissen </w:t>
            </w:r>
            <w:r w:rsidR="00067DAE" w:rsidRPr="00067DAE">
              <w:rPr>
                <w:rFonts w:cs="Arial"/>
                <w:i/>
                <w:iCs/>
                <w:color w:val="000000"/>
                <w:lang w:val="en-US" w:eastAsia="zh-CN" w:bidi="bn-IN"/>
              </w:rPr>
              <w:t>et al</w:t>
            </w:r>
            <w:r w:rsidRPr="003F5EBC">
              <w:rPr>
                <w:rFonts w:cs="Arial"/>
                <w:color w:val="000000"/>
                <w:lang w:val="en-US" w:eastAsia="zh-CN" w:bidi="bn-IN"/>
              </w:rPr>
              <w:t>. (2020)</w:t>
            </w:r>
          </w:p>
        </w:tc>
        <w:tc>
          <w:tcPr>
            <w:tcW w:w="3276" w:type="dxa"/>
            <w:noWrap/>
            <w:vAlign w:val="center"/>
            <w:hideMark/>
          </w:tcPr>
          <w:p w14:paraId="78CFA16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assess Brexit’s implications for UK and EU </w:t>
            </w:r>
            <w:r w:rsidRPr="003F5EBC">
              <w:rPr>
                <w:rFonts w:cs="Arial"/>
                <w:color w:val="000000"/>
                <w:lang w:val="en-US" w:eastAsia="zh-CN" w:bidi="bn-IN"/>
              </w:rPr>
              <w:lastRenderedPageBreak/>
              <w:t xml:space="preserve">regional competitiveness and SME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 xml:space="preserve"> via digital platforms.</w:t>
            </w:r>
          </w:p>
        </w:tc>
        <w:tc>
          <w:tcPr>
            <w:tcW w:w="2160" w:type="dxa"/>
            <w:noWrap/>
            <w:vAlign w:val="center"/>
            <w:hideMark/>
          </w:tcPr>
          <w:p w14:paraId="506FFDB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Quantitative regional </w:t>
            </w:r>
            <w:r w:rsidRPr="003F5EBC">
              <w:rPr>
                <w:rFonts w:cs="Arial"/>
                <w:color w:val="000000"/>
                <w:lang w:val="en-US" w:eastAsia="zh-CN" w:bidi="bn-IN"/>
              </w:rPr>
              <w:lastRenderedPageBreak/>
              <w:t>economic analysis using trade and investment datasets</w:t>
            </w:r>
          </w:p>
        </w:tc>
        <w:tc>
          <w:tcPr>
            <w:tcW w:w="2700" w:type="dxa"/>
            <w:noWrap/>
            <w:vAlign w:val="center"/>
            <w:hideMark/>
          </w:tcPr>
          <w:p w14:paraId="7364C40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Limited direct focus; mentions digital </w:t>
            </w:r>
            <w:r w:rsidRPr="003F5EBC">
              <w:rPr>
                <w:rFonts w:cs="Arial"/>
                <w:color w:val="000000"/>
                <w:lang w:val="en-US" w:eastAsia="zh-CN" w:bidi="bn-IN"/>
              </w:rPr>
              <w:lastRenderedPageBreak/>
              <w:t>platforms as part of modern competitiveness</w:t>
            </w:r>
          </w:p>
        </w:tc>
        <w:tc>
          <w:tcPr>
            <w:tcW w:w="3420" w:type="dxa"/>
            <w:noWrap/>
            <w:vAlign w:val="center"/>
            <w:hideMark/>
          </w:tcPr>
          <w:p w14:paraId="7BC0E7A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Challenges: regional divergence, loss of EU market </w:t>
            </w:r>
            <w:r w:rsidRPr="003F5EBC">
              <w:rPr>
                <w:rFonts w:cs="Arial"/>
                <w:color w:val="000000"/>
                <w:lang w:val="en-US" w:eastAsia="zh-CN" w:bidi="bn-IN"/>
              </w:rPr>
              <w:lastRenderedPageBreak/>
              <w:t>access; Opportunities: digital adoption for cross-border collaboration</w:t>
            </w:r>
          </w:p>
        </w:tc>
        <w:tc>
          <w:tcPr>
            <w:tcW w:w="3240" w:type="dxa"/>
            <w:noWrap/>
            <w:vAlign w:val="center"/>
            <w:hideMark/>
          </w:tcPr>
          <w:p w14:paraId="3283EAF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Encourage SMEs to adopt digital channels to maintain </w:t>
            </w:r>
            <w:r w:rsidRPr="003F5EBC">
              <w:rPr>
                <w:rFonts w:cs="Arial"/>
                <w:color w:val="000000"/>
                <w:lang w:val="en-US" w:eastAsia="zh-CN" w:bidi="bn-IN"/>
              </w:rPr>
              <w:lastRenderedPageBreak/>
              <w:t>regional competitiveness and supply chain resilience</w:t>
            </w:r>
          </w:p>
        </w:tc>
      </w:tr>
      <w:tr w:rsidR="002D488A" w:rsidRPr="003F5EBC" w14:paraId="585C409F" w14:textId="77777777" w:rsidTr="002D488A">
        <w:trPr>
          <w:trHeight w:val="288"/>
        </w:trPr>
        <w:tc>
          <w:tcPr>
            <w:tcW w:w="483" w:type="dxa"/>
            <w:noWrap/>
            <w:vAlign w:val="center"/>
            <w:hideMark/>
          </w:tcPr>
          <w:p w14:paraId="1814E9E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43</w:t>
            </w:r>
          </w:p>
        </w:tc>
        <w:tc>
          <w:tcPr>
            <w:tcW w:w="1996" w:type="dxa"/>
            <w:noWrap/>
            <w:vAlign w:val="center"/>
            <w:hideMark/>
          </w:tcPr>
          <w:p w14:paraId="755DC430" w14:textId="7D3590E2"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Trapp </w:t>
            </w:r>
            <w:r w:rsidR="00067DAE" w:rsidRPr="00067DAE">
              <w:rPr>
                <w:rFonts w:cs="Arial"/>
                <w:i/>
                <w:iCs/>
                <w:color w:val="000000"/>
                <w:lang w:val="en-US" w:eastAsia="zh-CN" w:bidi="bn-IN"/>
              </w:rPr>
              <w:t>et al</w:t>
            </w:r>
            <w:r w:rsidRPr="003F5EBC">
              <w:rPr>
                <w:rFonts w:cs="Arial"/>
                <w:color w:val="000000"/>
                <w:lang w:val="en-US" w:eastAsia="zh-CN" w:bidi="bn-IN"/>
              </w:rPr>
              <w:t>. (2023)</w:t>
            </w:r>
          </w:p>
        </w:tc>
        <w:tc>
          <w:tcPr>
            <w:tcW w:w="3276" w:type="dxa"/>
            <w:noWrap/>
            <w:vAlign w:val="center"/>
            <w:hideMark/>
          </w:tcPr>
          <w:p w14:paraId="293C690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analyse how relationship quality and social exchanges among SME partners support international business during Brexit uncertainty.</w:t>
            </w:r>
          </w:p>
        </w:tc>
        <w:tc>
          <w:tcPr>
            <w:tcW w:w="2160" w:type="dxa"/>
            <w:noWrap/>
            <w:vAlign w:val="center"/>
            <w:hideMark/>
          </w:tcPr>
          <w:p w14:paraId="0D95706F"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Survey + expert interviews</w:t>
            </w:r>
          </w:p>
        </w:tc>
        <w:tc>
          <w:tcPr>
            <w:tcW w:w="2700" w:type="dxa"/>
            <w:noWrap/>
            <w:vAlign w:val="center"/>
            <w:hideMark/>
          </w:tcPr>
          <w:p w14:paraId="39070BB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communication platforms implied for maintaining B2B relationships across borders</w:t>
            </w:r>
          </w:p>
        </w:tc>
        <w:tc>
          <w:tcPr>
            <w:tcW w:w="3420" w:type="dxa"/>
            <w:noWrap/>
            <w:vAlign w:val="center"/>
            <w:hideMark/>
          </w:tcPr>
          <w:p w14:paraId="5E5970E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maintaining relationships under Brexit and COVID uncertainty; Opportunities: digital channels to support frequent contact</w:t>
            </w:r>
          </w:p>
        </w:tc>
        <w:tc>
          <w:tcPr>
            <w:tcW w:w="3240" w:type="dxa"/>
            <w:noWrap/>
            <w:vAlign w:val="center"/>
            <w:hideMark/>
          </w:tcPr>
          <w:p w14:paraId="284E213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Practices: using online meeting tools, messaging platforms, and structured digital interactions to sustain partner relationships</w:t>
            </w:r>
          </w:p>
        </w:tc>
      </w:tr>
      <w:tr w:rsidR="002D488A" w:rsidRPr="003F5EBC" w14:paraId="3179E90C" w14:textId="77777777" w:rsidTr="002D488A">
        <w:trPr>
          <w:trHeight w:val="288"/>
        </w:trPr>
        <w:tc>
          <w:tcPr>
            <w:tcW w:w="483" w:type="dxa"/>
            <w:noWrap/>
            <w:vAlign w:val="center"/>
            <w:hideMark/>
          </w:tcPr>
          <w:p w14:paraId="6627FC3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44</w:t>
            </w:r>
          </w:p>
        </w:tc>
        <w:tc>
          <w:tcPr>
            <w:tcW w:w="1996" w:type="dxa"/>
            <w:noWrap/>
            <w:vAlign w:val="center"/>
            <w:hideMark/>
          </w:tcPr>
          <w:p w14:paraId="27038567" w14:textId="7BC57DB9"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Uddin, Chowdhury </w:t>
            </w:r>
            <w:r w:rsidR="002D0325" w:rsidRPr="003F5EBC">
              <w:rPr>
                <w:rFonts w:cs="Arial"/>
                <w:color w:val="000000"/>
                <w:lang w:val="en-US" w:eastAsia="zh-CN" w:bidi="bn-IN"/>
              </w:rPr>
              <w:t>and</w:t>
            </w:r>
            <w:r w:rsidRPr="003F5EBC">
              <w:rPr>
                <w:rFonts w:cs="Arial"/>
                <w:color w:val="000000"/>
                <w:lang w:val="en-US" w:eastAsia="zh-CN" w:bidi="bn-IN"/>
              </w:rPr>
              <w:t xml:space="preserve"> Wood (2022)</w:t>
            </w:r>
          </w:p>
        </w:tc>
        <w:tc>
          <w:tcPr>
            <w:tcW w:w="3276" w:type="dxa"/>
            <w:noWrap/>
            <w:vAlign w:val="center"/>
            <w:hideMark/>
          </w:tcPr>
          <w:p w14:paraId="4D21757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assess the resilience of British and European goods industries and the role of digital platforms for SME international expansion.</w:t>
            </w:r>
          </w:p>
        </w:tc>
        <w:tc>
          <w:tcPr>
            <w:tcW w:w="2160" w:type="dxa"/>
            <w:noWrap/>
            <w:vAlign w:val="center"/>
            <w:hideMark/>
          </w:tcPr>
          <w:p w14:paraId="17A4472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Mixed-methods: surveys of firms, case studies, and industry data analysis</w:t>
            </w:r>
          </w:p>
        </w:tc>
        <w:tc>
          <w:tcPr>
            <w:tcW w:w="2700" w:type="dxa"/>
            <w:noWrap/>
            <w:vAlign w:val="center"/>
            <w:hideMark/>
          </w:tcPr>
          <w:p w14:paraId="144A4C6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support cross-border trade, supply chain visibility, and continuity</w:t>
            </w:r>
          </w:p>
        </w:tc>
        <w:tc>
          <w:tcPr>
            <w:tcW w:w="3420" w:type="dxa"/>
            <w:noWrap/>
            <w:vAlign w:val="center"/>
            <w:hideMark/>
          </w:tcPr>
          <w:p w14:paraId="0160FB5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Challenges: trade barriers, regulatory divergence, supply chain disruption; Opportunities: </w:t>
            </w:r>
            <w:proofErr w:type="spellStart"/>
            <w:r w:rsidRPr="003F5EBC">
              <w:rPr>
                <w:rFonts w:cs="Arial"/>
                <w:color w:val="000000"/>
                <w:lang w:val="en-US" w:eastAsia="zh-CN" w:bidi="bn-IN"/>
              </w:rPr>
              <w:t>digitalisation</w:t>
            </w:r>
            <w:proofErr w:type="spellEnd"/>
            <w:r w:rsidRPr="003F5EBC">
              <w:rPr>
                <w:rFonts w:cs="Arial"/>
                <w:color w:val="000000"/>
                <w:lang w:val="en-US" w:eastAsia="zh-CN" w:bidi="bn-IN"/>
              </w:rPr>
              <w:t xml:space="preserve"> of logistics, online marketplaces, and collaborative supply chains</w:t>
            </w:r>
          </w:p>
        </w:tc>
        <w:tc>
          <w:tcPr>
            <w:tcW w:w="3240" w:type="dxa"/>
            <w:noWrap/>
            <w:vAlign w:val="center"/>
            <w:hideMark/>
          </w:tcPr>
          <w:p w14:paraId="0096BA6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Implement digital supply chain management tools, diversify suppliers, and strengthen online trading channels to mitigate Brexit-related shocks</w:t>
            </w:r>
          </w:p>
        </w:tc>
      </w:tr>
      <w:tr w:rsidR="002D488A" w:rsidRPr="003F5EBC" w14:paraId="42BE6F70" w14:textId="77777777" w:rsidTr="002D488A">
        <w:trPr>
          <w:trHeight w:val="288"/>
        </w:trPr>
        <w:tc>
          <w:tcPr>
            <w:tcW w:w="483" w:type="dxa"/>
            <w:noWrap/>
            <w:vAlign w:val="center"/>
            <w:hideMark/>
          </w:tcPr>
          <w:p w14:paraId="2CEE385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45</w:t>
            </w:r>
          </w:p>
        </w:tc>
        <w:tc>
          <w:tcPr>
            <w:tcW w:w="1996" w:type="dxa"/>
            <w:noWrap/>
            <w:vAlign w:val="center"/>
            <w:hideMark/>
          </w:tcPr>
          <w:p w14:paraId="49F4AEB9"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Ugochi, </w:t>
            </w:r>
            <w:proofErr w:type="spellStart"/>
            <w:r w:rsidRPr="003F5EBC">
              <w:rPr>
                <w:rFonts w:cs="Arial"/>
                <w:color w:val="000000"/>
                <w:lang w:val="en-US" w:eastAsia="zh-CN" w:bidi="bn-IN"/>
              </w:rPr>
              <w:t>Onyeanuforo</w:t>
            </w:r>
            <w:proofErr w:type="spellEnd"/>
            <w:r w:rsidRPr="003F5EBC">
              <w:rPr>
                <w:rFonts w:cs="Arial"/>
                <w:color w:val="000000"/>
                <w:lang w:val="en-US" w:eastAsia="zh-CN" w:bidi="bn-IN"/>
              </w:rPr>
              <w:t xml:space="preserve"> and Alfa (2025)</w:t>
            </w:r>
          </w:p>
        </w:tc>
        <w:tc>
          <w:tcPr>
            <w:tcW w:w="3276" w:type="dxa"/>
            <w:noWrap/>
            <w:vAlign w:val="center"/>
            <w:hideMark/>
          </w:tcPr>
          <w:p w14:paraId="4ADFBF1E"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investigate how UK SMEs use cross-border e</w:t>
            </w:r>
            <w:r w:rsidRPr="003F5EBC">
              <w:rPr>
                <w:rFonts w:cs="Arial"/>
                <w:color w:val="000000"/>
                <w:lang w:val="en-US" w:eastAsia="zh-CN" w:bidi="bn-IN"/>
              </w:rPr>
              <w:noBreakHyphen/>
              <w:t>commerce analytics on digital platforms to facilitate post-Brexit market entry.</w:t>
            </w:r>
          </w:p>
        </w:tc>
        <w:tc>
          <w:tcPr>
            <w:tcW w:w="2160" w:type="dxa"/>
            <w:noWrap/>
            <w:vAlign w:val="center"/>
            <w:hideMark/>
          </w:tcPr>
          <w:p w14:paraId="04B3C435"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Mixed-method survey and case studies of 50 UK SMEs</w:t>
            </w:r>
          </w:p>
        </w:tc>
        <w:tc>
          <w:tcPr>
            <w:tcW w:w="2700" w:type="dxa"/>
            <w:noWrap/>
            <w:vAlign w:val="center"/>
            <w:hideMark/>
          </w:tcPr>
          <w:p w14:paraId="7F7AE4B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central to analysing international demand and entry strategies</w:t>
            </w:r>
          </w:p>
        </w:tc>
        <w:tc>
          <w:tcPr>
            <w:tcW w:w="3420" w:type="dxa"/>
            <w:noWrap/>
            <w:vAlign w:val="center"/>
            <w:hideMark/>
          </w:tcPr>
          <w:p w14:paraId="28A53AE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cross-border regulations, logistics; Opportunities: data-driven market entry, targeted marketing</w:t>
            </w:r>
          </w:p>
        </w:tc>
        <w:tc>
          <w:tcPr>
            <w:tcW w:w="3240" w:type="dxa"/>
            <w:noWrap/>
            <w:vAlign w:val="center"/>
            <w:hideMark/>
          </w:tcPr>
          <w:p w14:paraId="65D1F55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Use e-commerce analytics tools, implement digital marketing dashboards, adopt platform-based sales strategies</w:t>
            </w:r>
          </w:p>
        </w:tc>
      </w:tr>
      <w:tr w:rsidR="002D488A" w:rsidRPr="003F5EBC" w14:paraId="66741B42" w14:textId="77777777" w:rsidTr="002D488A">
        <w:trPr>
          <w:trHeight w:val="288"/>
        </w:trPr>
        <w:tc>
          <w:tcPr>
            <w:tcW w:w="483" w:type="dxa"/>
            <w:noWrap/>
            <w:vAlign w:val="center"/>
            <w:hideMark/>
          </w:tcPr>
          <w:p w14:paraId="1EC5EB30"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46</w:t>
            </w:r>
          </w:p>
        </w:tc>
        <w:tc>
          <w:tcPr>
            <w:tcW w:w="1996" w:type="dxa"/>
            <w:noWrap/>
            <w:vAlign w:val="center"/>
            <w:hideMark/>
          </w:tcPr>
          <w:p w14:paraId="29DC5F90"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Ugochi, </w:t>
            </w:r>
            <w:proofErr w:type="spellStart"/>
            <w:r w:rsidRPr="003F5EBC">
              <w:rPr>
                <w:rFonts w:cs="Arial"/>
                <w:color w:val="000000"/>
                <w:lang w:val="en-US" w:eastAsia="zh-CN" w:bidi="bn-IN"/>
              </w:rPr>
              <w:t>Onyeanuforo</w:t>
            </w:r>
            <w:proofErr w:type="spellEnd"/>
            <w:r w:rsidRPr="003F5EBC">
              <w:rPr>
                <w:rFonts w:cs="Arial"/>
                <w:color w:val="000000"/>
                <w:lang w:val="en-US" w:eastAsia="zh-CN" w:bidi="bn-IN"/>
              </w:rPr>
              <w:t xml:space="preserve"> and Magaji (2023)</w:t>
            </w:r>
          </w:p>
        </w:tc>
        <w:tc>
          <w:tcPr>
            <w:tcW w:w="3276" w:type="dxa"/>
            <w:noWrap/>
            <w:vAlign w:val="center"/>
            <w:hideMark/>
          </w:tcPr>
          <w:p w14:paraId="064AE9F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examine the influence of international regulatory frameworks on UK SMEs’ export strategies using digital platforms.</w:t>
            </w:r>
          </w:p>
        </w:tc>
        <w:tc>
          <w:tcPr>
            <w:tcW w:w="2160" w:type="dxa"/>
            <w:noWrap/>
            <w:vAlign w:val="center"/>
            <w:hideMark/>
          </w:tcPr>
          <w:p w14:paraId="02FE434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Qualitative interviews with 30 SME exporters</w:t>
            </w:r>
          </w:p>
        </w:tc>
        <w:tc>
          <w:tcPr>
            <w:tcW w:w="2700" w:type="dxa"/>
            <w:noWrap/>
            <w:vAlign w:val="center"/>
            <w:hideMark/>
          </w:tcPr>
          <w:p w14:paraId="6F66F9F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indirectly facilitate compliance monitoring and regulatory reporting</w:t>
            </w:r>
          </w:p>
        </w:tc>
        <w:tc>
          <w:tcPr>
            <w:tcW w:w="3420" w:type="dxa"/>
            <w:noWrap/>
            <w:vAlign w:val="center"/>
            <w:hideMark/>
          </w:tcPr>
          <w:p w14:paraId="5C9155E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adapting to changing international regulations; Opportunities: streamlined compliance via digital tools</w:t>
            </w:r>
          </w:p>
        </w:tc>
        <w:tc>
          <w:tcPr>
            <w:tcW w:w="3240" w:type="dxa"/>
            <w:noWrap/>
            <w:vAlign w:val="center"/>
            <w:hideMark/>
          </w:tcPr>
          <w:p w14:paraId="4E99343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Integrate compliance software, monitor regulatory updates digitally, align export strategy with platform-based reporting</w:t>
            </w:r>
          </w:p>
        </w:tc>
      </w:tr>
      <w:tr w:rsidR="002D488A" w:rsidRPr="003F5EBC" w14:paraId="548A137A" w14:textId="77777777" w:rsidTr="002D488A">
        <w:trPr>
          <w:trHeight w:val="288"/>
        </w:trPr>
        <w:tc>
          <w:tcPr>
            <w:tcW w:w="483" w:type="dxa"/>
            <w:noWrap/>
            <w:vAlign w:val="center"/>
            <w:hideMark/>
          </w:tcPr>
          <w:p w14:paraId="0F469C8E"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47</w:t>
            </w:r>
          </w:p>
        </w:tc>
        <w:tc>
          <w:tcPr>
            <w:tcW w:w="1996" w:type="dxa"/>
            <w:noWrap/>
            <w:vAlign w:val="center"/>
            <w:hideMark/>
          </w:tcPr>
          <w:p w14:paraId="22F0A471"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Vu and Christian (2024)</w:t>
            </w:r>
          </w:p>
        </w:tc>
        <w:tc>
          <w:tcPr>
            <w:tcW w:w="3276" w:type="dxa"/>
            <w:noWrap/>
            <w:vAlign w:val="center"/>
            <w:hideMark/>
          </w:tcPr>
          <w:p w14:paraId="04E1470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explore how Brexit, competition, and Covid-19 affect UK equity crowdfunding and SME international growth via digital platforms.</w:t>
            </w:r>
          </w:p>
        </w:tc>
        <w:tc>
          <w:tcPr>
            <w:tcW w:w="2160" w:type="dxa"/>
            <w:noWrap/>
            <w:vAlign w:val="center"/>
            <w:hideMark/>
          </w:tcPr>
          <w:p w14:paraId="516E0E4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Quantitative analysis (</w:t>
            </w:r>
            <w:proofErr w:type="spellStart"/>
            <w:r w:rsidRPr="003F5EBC">
              <w:rPr>
                <w:rFonts w:cs="Arial"/>
                <w:color w:val="000000"/>
                <w:lang w:val="en-US" w:eastAsia="zh-CN" w:bidi="bn-IN"/>
              </w:rPr>
              <w:t>Crowdcube</w:t>
            </w:r>
            <w:proofErr w:type="spellEnd"/>
            <w:r w:rsidRPr="003F5EBC">
              <w:rPr>
                <w:rFonts w:cs="Arial"/>
                <w:color w:val="000000"/>
                <w:lang w:val="en-US" w:eastAsia="zh-CN" w:bidi="bn-IN"/>
              </w:rPr>
              <w:t xml:space="preserve"> dataset)</w:t>
            </w:r>
          </w:p>
        </w:tc>
        <w:tc>
          <w:tcPr>
            <w:tcW w:w="2700" w:type="dxa"/>
            <w:noWrap/>
            <w:vAlign w:val="center"/>
            <w:hideMark/>
          </w:tcPr>
          <w:p w14:paraId="062607D2"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Crowdfunding platforms directly enable SMEs to access finance internationally</w:t>
            </w:r>
          </w:p>
        </w:tc>
        <w:tc>
          <w:tcPr>
            <w:tcW w:w="3420" w:type="dxa"/>
            <w:noWrap/>
            <w:vAlign w:val="center"/>
            <w:hideMark/>
          </w:tcPr>
          <w:p w14:paraId="7C06B0D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Brexit reduces investor confidence; Opportunities: online platforms broaden investor reach and reduce reliance on traditional finance</w:t>
            </w:r>
          </w:p>
        </w:tc>
        <w:tc>
          <w:tcPr>
            <w:tcW w:w="3240" w:type="dxa"/>
            <w:noWrap/>
            <w:vAlign w:val="center"/>
            <w:hideMark/>
          </w:tcPr>
          <w:p w14:paraId="27BB391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Practices: strategic use of crowdfunding platforms, competitive campaign design, and online engagement with investors</w:t>
            </w:r>
          </w:p>
        </w:tc>
      </w:tr>
      <w:tr w:rsidR="002D488A" w:rsidRPr="003F5EBC" w14:paraId="17546F32" w14:textId="77777777" w:rsidTr="002D488A">
        <w:trPr>
          <w:trHeight w:val="288"/>
        </w:trPr>
        <w:tc>
          <w:tcPr>
            <w:tcW w:w="483" w:type="dxa"/>
            <w:noWrap/>
            <w:vAlign w:val="center"/>
            <w:hideMark/>
          </w:tcPr>
          <w:p w14:paraId="501A0D48"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48</w:t>
            </w:r>
          </w:p>
        </w:tc>
        <w:tc>
          <w:tcPr>
            <w:tcW w:w="1996" w:type="dxa"/>
            <w:noWrap/>
            <w:vAlign w:val="center"/>
            <w:hideMark/>
          </w:tcPr>
          <w:p w14:paraId="127C5475" w14:textId="77777777"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Wong (2022)</w:t>
            </w:r>
          </w:p>
        </w:tc>
        <w:tc>
          <w:tcPr>
            <w:tcW w:w="3276" w:type="dxa"/>
            <w:noWrap/>
            <w:vAlign w:val="center"/>
            <w:hideMark/>
          </w:tcPr>
          <w:p w14:paraId="46C0C30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w:t>
            </w:r>
            <w:proofErr w:type="spellStart"/>
            <w:r w:rsidRPr="003F5EBC">
              <w:rPr>
                <w:rFonts w:cs="Arial"/>
                <w:color w:val="000000"/>
                <w:lang w:val="en-US" w:eastAsia="zh-CN" w:bidi="bn-IN"/>
              </w:rPr>
              <w:t>summarise</w:t>
            </w:r>
            <w:proofErr w:type="spellEnd"/>
            <w:r w:rsidRPr="003F5EBC">
              <w:rPr>
                <w:rFonts w:cs="Arial"/>
                <w:color w:val="000000"/>
                <w:lang w:val="en-US" w:eastAsia="zh-CN" w:bidi="bn-IN"/>
              </w:rPr>
              <w:t xml:space="preserve"> legal changes post-Brexit and their impact on UK SMEs’ </w:t>
            </w:r>
            <w:r w:rsidRPr="003F5EBC">
              <w:rPr>
                <w:rFonts w:cs="Arial"/>
                <w:color w:val="000000"/>
                <w:lang w:val="en-US" w:eastAsia="zh-CN" w:bidi="bn-IN"/>
              </w:rPr>
              <w:lastRenderedPageBreak/>
              <w:t>digital platform–enabled international operations.</w:t>
            </w:r>
          </w:p>
        </w:tc>
        <w:tc>
          <w:tcPr>
            <w:tcW w:w="2160" w:type="dxa"/>
            <w:noWrap/>
            <w:vAlign w:val="center"/>
            <w:hideMark/>
          </w:tcPr>
          <w:p w14:paraId="6C07AC8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Legal commentary and </w:t>
            </w:r>
            <w:r w:rsidRPr="003F5EBC">
              <w:rPr>
                <w:rFonts w:cs="Arial"/>
                <w:color w:val="000000"/>
                <w:lang w:val="en-US" w:eastAsia="zh-CN" w:bidi="bn-IN"/>
              </w:rPr>
              <w:lastRenderedPageBreak/>
              <w:t>case study analysis</w:t>
            </w:r>
          </w:p>
        </w:tc>
        <w:tc>
          <w:tcPr>
            <w:tcW w:w="2700" w:type="dxa"/>
            <w:noWrap/>
            <w:vAlign w:val="center"/>
            <w:hideMark/>
          </w:tcPr>
          <w:p w14:paraId="7D738D76"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Mentions digital platforms as tools for regulatory compliance </w:t>
            </w:r>
            <w:r w:rsidRPr="003F5EBC">
              <w:rPr>
                <w:rFonts w:cs="Arial"/>
                <w:color w:val="000000"/>
                <w:lang w:val="en-US" w:eastAsia="zh-CN" w:bidi="bn-IN"/>
              </w:rPr>
              <w:lastRenderedPageBreak/>
              <w:t>and contract management</w:t>
            </w:r>
          </w:p>
        </w:tc>
        <w:tc>
          <w:tcPr>
            <w:tcW w:w="3420" w:type="dxa"/>
            <w:noWrap/>
            <w:vAlign w:val="center"/>
            <w:hideMark/>
          </w:tcPr>
          <w:p w14:paraId="5506EBF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Challenges: legal uncertainty, regulatory divergence; </w:t>
            </w:r>
            <w:r w:rsidRPr="003F5EBC">
              <w:rPr>
                <w:rFonts w:cs="Arial"/>
                <w:color w:val="000000"/>
                <w:lang w:val="en-US" w:eastAsia="zh-CN" w:bidi="bn-IN"/>
              </w:rPr>
              <w:lastRenderedPageBreak/>
              <w:t>Opportunities: e-contracts, digital documentation</w:t>
            </w:r>
          </w:p>
        </w:tc>
        <w:tc>
          <w:tcPr>
            <w:tcW w:w="3240" w:type="dxa"/>
            <w:noWrap/>
            <w:vAlign w:val="center"/>
            <w:hideMark/>
          </w:tcPr>
          <w:p w14:paraId="0597459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 xml:space="preserve">Implement digital contract management systems, track legal updates via online </w:t>
            </w:r>
            <w:r w:rsidRPr="003F5EBC">
              <w:rPr>
                <w:rFonts w:cs="Arial"/>
                <w:color w:val="000000"/>
                <w:lang w:val="en-US" w:eastAsia="zh-CN" w:bidi="bn-IN"/>
              </w:rPr>
              <w:lastRenderedPageBreak/>
              <w:t>portals, integrate digital tools for business governance</w:t>
            </w:r>
          </w:p>
        </w:tc>
      </w:tr>
      <w:tr w:rsidR="002D488A" w:rsidRPr="003F5EBC" w14:paraId="0DBB7104" w14:textId="77777777" w:rsidTr="002D488A">
        <w:trPr>
          <w:trHeight w:val="288"/>
        </w:trPr>
        <w:tc>
          <w:tcPr>
            <w:tcW w:w="483" w:type="dxa"/>
            <w:noWrap/>
            <w:vAlign w:val="center"/>
            <w:hideMark/>
          </w:tcPr>
          <w:p w14:paraId="1D3A8863"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lastRenderedPageBreak/>
              <w:t>49</w:t>
            </w:r>
          </w:p>
        </w:tc>
        <w:tc>
          <w:tcPr>
            <w:tcW w:w="1996" w:type="dxa"/>
            <w:noWrap/>
            <w:vAlign w:val="center"/>
            <w:hideMark/>
          </w:tcPr>
          <w:p w14:paraId="698F12C8" w14:textId="77777777" w:rsidR="002D488A" w:rsidRPr="003F5EBC" w:rsidRDefault="002D488A" w:rsidP="003F5EBC">
            <w:pPr>
              <w:spacing w:line="360" w:lineRule="auto"/>
              <w:jc w:val="center"/>
              <w:rPr>
                <w:rFonts w:cs="Arial"/>
                <w:color w:val="000000"/>
                <w:lang w:val="en-US" w:eastAsia="zh-CN" w:bidi="bn-IN"/>
              </w:rPr>
            </w:pPr>
            <w:proofErr w:type="spellStart"/>
            <w:r w:rsidRPr="003F5EBC">
              <w:rPr>
                <w:rFonts w:cs="Arial"/>
                <w:color w:val="000000"/>
                <w:lang w:val="en-US" w:eastAsia="zh-CN" w:bidi="bn-IN"/>
              </w:rPr>
              <w:t>Zaschitina</w:t>
            </w:r>
            <w:proofErr w:type="spellEnd"/>
            <w:r w:rsidRPr="003F5EBC">
              <w:rPr>
                <w:rFonts w:cs="Arial"/>
                <w:color w:val="000000"/>
                <w:lang w:val="en-US" w:eastAsia="zh-CN" w:bidi="bn-IN"/>
              </w:rPr>
              <w:t xml:space="preserve"> (2022)</w:t>
            </w:r>
          </w:p>
        </w:tc>
        <w:tc>
          <w:tcPr>
            <w:tcW w:w="3276" w:type="dxa"/>
            <w:noWrap/>
            <w:vAlign w:val="center"/>
            <w:hideMark/>
          </w:tcPr>
          <w:p w14:paraId="30D0742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To analyse global e</w:t>
            </w:r>
            <w:r w:rsidRPr="003F5EBC">
              <w:rPr>
                <w:rFonts w:cs="Arial"/>
                <w:color w:val="000000"/>
                <w:lang w:val="en-US" w:eastAsia="zh-CN" w:bidi="bn-IN"/>
              </w:rPr>
              <w:noBreakHyphen/>
              <w:t>commerce trends and strategies for UK SMEs entering foreign markets through digital platforms.</w:t>
            </w:r>
          </w:p>
        </w:tc>
        <w:tc>
          <w:tcPr>
            <w:tcW w:w="2160" w:type="dxa"/>
            <w:noWrap/>
            <w:vAlign w:val="center"/>
            <w:hideMark/>
          </w:tcPr>
          <w:p w14:paraId="48059CF1"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Case study and market analysis using PEST and SWOT frameworks</w:t>
            </w:r>
          </w:p>
        </w:tc>
        <w:tc>
          <w:tcPr>
            <w:tcW w:w="2700" w:type="dxa"/>
            <w:noWrap/>
            <w:vAlign w:val="center"/>
            <w:hideMark/>
          </w:tcPr>
          <w:p w14:paraId="1A62A50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Digital platforms are critical for market entry, customer acquisition, and competitiveness in the UK e-commerce sector</w:t>
            </w:r>
          </w:p>
        </w:tc>
        <w:tc>
          <w:tcPr>
            <w:tcW w:w="3420" w:type="dxa"/>
            <w:noWrap/>
            <w:vAlign w:val="center"/>
            <w:hideMark/>
          </w:tcPr>
          <w:p w14:paraId="5562422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market competition, regulatory compliance, adapting to local consumer behaviour; Opportunities: expanding online presence, leveraging data-driven strategies, strategic positioning in the UK market</w:t>
            </w:r>
          </w:p>
        </w:tc>
        <w:tc>
          <w:tcPr>
            <w:tcW w:w="3240" w:type="dxa"/>
            <w:noWrap/>
            <w:vAlign w:val="center"/>
            <w:hideMark/>
          </w:tcPr>
          <w:p w14:paraId="3590C3FC"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Use PEST and SWOT insights to inform market entry strategies, monitor competitor performance, </w:t>
            </w:r>
            <w:proofErr w:type="spellStart"/>
            <w:r w:rsidRPr="003F5EBC">
              <w:rPr>
                <w:rFonts w:cs="Arial"/>
                <w:color w:val="000000"/>
                <w:lang w:val="en-US" w:eastAsia="zh-CN" w:bidi="bn-IN"/>
              </w:rPr>
              <w:t>optimise</w:t>
            </w:r>
            <w:proofErr w:type="spellEnd"/>
            <w:r w:rsidRPr="003F5EBC">
              <w:rPr>
                <w:rFonts w:cs="Arial"/>
                <w:color w:val="000000"/>
                <w:lang w:val="en-US" w:eastAsia="zh-CN" w:bidi="bn-IN"/>
              </w:rPr>
              <w:t xml:space="preserve"> platform-based operations, and tailor digital marketing campaigns</w:t>
            </w:r>
          </w:p>
        </w:tc>
      </w:tr>
      <w:tr w:rsidR="002D488A" w:rsidRPr="003F5EBC" w14:paraId="663919C8" w14:textId="77777777" w:rsidTr="002D488A">
        <w:trPr>
          <w:trHeight w:val="288"/>
        </w:trPr>
        <w:tc>
          <w:tcPr>
            <w:tcW w:w="483" w:type="dxa"/>
            <w:noWrap/>
            <w:vAlign w:val="center"/>
            <w:hideMark/>
          </w:tcPr>
          <w:p w14:paraId="6AEB7174"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50</w:t>
            </w:r>
          </w:p>
        </w:tc>
        <w:tc>
          <w:tcPr>
            <w:tcW w:w="1996" w:type="dxa"/>
            <w:noWrap/>
            <w:vAlign w:val="center"/>
            <w:hideMark/>
          </w:tcPr>
          <w:p w14:paraId="656C6886" w14:textId="388E4DCF" w:rsidR="002D488A" w:rsidRPr="003F5EBC" w:rsidRDefault="002D488A" w:rsidP="003F5EBC">
            <w:pPr>
              <w:spacing w:line="360" w:lineRule="auto"/>
              <w:jc w:val="center"/>
              <w:rPr>
                <w:rFonts w:cs="Arial"/>
                <w:color w:val="000000"/>
                <w:lang w:val="en-US" w:eastAsia="zh-CN" w:bidi="bn-IN"/>
              </w:rPr>
            </w:pPr>
            <w:r w:rsidRPr="003F5EBC">
              <w:rPr>
                <w:rFonts w:cs="Arial"/>
                <w:color w:val="000000"/>
                <w:lang w:val="en-US" w:eastAsia="zh-CN" w:bidi="bn-IN"/>
              </w:rPr>
              <w:t xml:space="preserve">Zhang </w:t>
            </w:r>
            <w:r w:rsidR="00067DAE" w:rsidRPr="00067DAE">
              <w:rPr>
                <w:rFonts w:cs="Arial"/>
                <w:i/>
                <w:iCs/>
                <w:color w:val="000000"/>
                <w:lang w:val="en-US" w:eastAsia="zh-CN" w:bidi="bn-IN"/>
              </w:rPr>
              <w:t>et al</w:t>
            </w:r>
            <w:r w:rsidRPr="003F5EBC">
              <w:rPr>
                <w:rFonts w:cs="Arial"/>
                <w:color w:val="000000"/>
                <w:lang w:val="en-US" w:eastAsia="zh-CN" w:bidi="bn-IN"/>
              </w:rPr>
              <w:t>. (2025)</w:t>
            </w:r>
          </w:p>
        </w:tc>
        <w:tc>
          <w:tcPr>
            <w:tcW w:w="3276" w:type="dxa"/>
            <w:noWrap/>
            <w:vAlign w:val="center"/>
            <w:hideMark/>
          </w:tcPr>
          <w:p w14:paraId="0AF2C06A"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To examine how digital platforms and internal </w:t>
            </w:r>
            <w:proofErr w:type="spellStart"/>
            <w:r w:rsidRPr="003F5EBC">
              <w:rPr>
                <w:rFonts w:cs="Arial"/>
                <w:color w:val="000000"/>
                <w:lang w:val="en-US" w:eastAsia="zh-CN" w:bidi="bn-IN"/>
              </w:rPr>
              <w:t>digitalisation</w:t>
            </w:r>
            <w:proofErr w:type="spellEnd"/>
            <w:r w:rsidRPr="003F5EBC">
              <w:rPr>
                <w:rFonts w:cs="Arial"/>
                <w:color w:val="000000"/>
                <w:lang w:val="en-US" w:eastAsia="zh-CN" w:bidi="bn-IN"/>
              </w:rPr>
              <w:t xml:space="preserve"> support SME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 xml:space="preserve"> post-Brexit.</w:t>
            </w:r>
          </w:p>
        </w:tc>
        <w:tc>
          <w:tcPr>
            <w:tcW w:w="2160" w:type="dxa"/>
            <w:noWrap/>
            <w:vAlign w:val="center"/>
            <w:hideMark/>
          </w:tcPr>
          <w:p w14:paraId="1DCC4CEB"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Quantitative survey of 250 SMEs with structural equation modelling</w:t>
            </w:r>
          </w:p>
        </w:tc>
        <w:tc>
          <w:tcPr>
            <w:tcW w:w="2700" w:type="dxa"/>
            <w:noWrap/>
            <w:vAlign w:val="center"/>
            <w:hideMark/>
          </w:tcPr>
          <w:p w14:paraId="41AFA5DE"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Digital platforms drive </w:t>
            </w:r>
            <w:proofErr w:type="spellStart"/>
            <w:r w:rsidRPr="003F5EBC">
              <w:rPr>
                <w:rFonts w:cs="Arial"/>
                <w:color w:val="000000"/>
                <w:lang w:val="en-US" w:eastAsia="zh-CN" w:bidi="bn-IN"/>
              </w:rPr>
              <w:t>internationalisation</w:t>
            </w:r>
            <w:proofErr w:type="spellEnd"/>
            <w:r w:rsidRPr="003F5EBC">
              <w:rPr>
                <w:rFonts w:cs="Arial"/>
                <w:color w:val="000000"/>
                <w:lang w:val="en-US" w:eastAsia="zh-CN" w:bidi="bn-IN"/>
              </w:rPr>
              <w:t xml:space="preserve"> by facilitating external market engagement</w:t>
            </w:r>
          </w:p>
        </w:tc>
        <w:tc>
          <w:tcPr>
            <w:tcW w:w="3420" w:type="dxa"/>
            <w:noWrap/>
            <w:vAlign w:val="center"/>
            <w:hideMark/>
          </w:tcPr>
          <w:p w14:paraId="0A7B0EF7"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Challenges: digital skill gaps, integration costs; Opportunities: faster market entry, global networking</w:t>
            </w:r>
          </w:p>
        </w:tc>
        <w:tc>
          <w:tcPr>
            <w:tcW w:w="3240" w:type="dxa"/>
            <w:noWrap/>
            <w:vAlign w:val="center"/>
            <w:hideMark/>
          </w:tcPr>
          <w:p w14:paraId="2DF9E0FD" w14:textId="77777777" w:rsidR="002D488A" w:rsidRPr="003F5EBC" w:rsidRDefault="002D488A" w:rsidP="003F5EBC">
            <w:pPr>
              <w:spacing w:line="360" w:lineRule="auto"/>
              <w:jc w:val="left"/>
              <w:rPr>
                <w:rFonts w:cs="Arial"/>
                <w:color w:val="000000"/>
                <w:lang w:val="en-US" w:eastAsia="zh-CN" w:bidi="bn-IN"/>
              </w:rPr>
            </w:pPr>
            <w:r w:rsidRPr="003F5EBC">
              <w:rPr>
                <w:rFonts w:cs="Arial"/>
                <w:color w:val="000000"/>
                <w:lang w:val="en-US" w:eastAsia="zh-CN" w:bidi="bn-IN"/>
              </w:rPr>
              <w:t xml:space="preserve">Enhance internal </w:t>
            </w:r>
            <w:proofErr w:type="spellStart"/>
            <w:r w:rsidRPr="003F5EBC">
              <w:rPr>
                <w:rFonts w:cs="Arial"/>
                <w:color w:val="000000"/>
                <w:lang w:val="en-US" w:eastAsia="zh-CN" w:bidi="bn-IN"/>
              </w:rPr>
              <w:t>digitalisation</w:t>
            </w:r>
            <w:proofErr w:type="spellEnd"/>
            <w:r w:rsidRPr="003F5EBC">
              <w:rPr>
                <w:rFonts w:cs="Arial"/>
                <w:color w:val="000000"/>
                <w:lang w:val="en-US" w:eastAsia="zh-CN" w:bidi="bn-IN"/>
              </w:rPr>
              <w:t>, adopt platform ecosystems for international business, build digital capabilities for export growth</w:t>
            </w:r>
          </w:p>
        </w:tc>
      </w:tr>
    </w:tbl>
    <w:p w14:paraId="73D5E3BC" w14:textId="3AADFA80" w:rsidR="000B4769" w:rsidRDefault="000B4769" w:rsidP="000B4769">
      <w:pPr>
        <w:rPr>
          <w:lang w:val="en-US"/>
        </w:rPr>
      </w:pPr>
      <w:r>
        <w:rPr>
          <w:lang w:val="en-US"/>
        </w:rPr>
        <w:br w:type="page"/>
      </w:r>
    </w:p>
    <w:p w14:paraId="4E33F795" w14:textId="77777777" w:rsidR="000B4769" w:rsidRDefault="000B4769" w:rsidP="000B4769">
      <w:pPr>
        <w:rPr>
          <w:lang w:val="en-US"/>
        </w:rPr>
        <w:sectPr w:rsidR="000B4769" w:rsidSect="00507BB8">
          <w:pgSz w:w="20160" w:h="12240" w:orient="landscape" w:code="5"/>
          <w:pgMar w:top="1440" w:right="1440" w:bottom="1440" w:left="1440" w:header="720" w:footer="720" w:gutter="0"/>
          <w:pgBorders w:offsetFrom="page">
            <w:top w:val="single" w:sz="12" w:space="24" w:color="0F243E" w:themeColor="text2" w:themeShade="80"/>
            <w:left w:val="single" w:sz="12" w:space="24" w:color="0F243E" w:themeColor="text2" w:themeShade="80"/>
            <w:bottom w:val="single" w:sz="12" w:space="24" w:color="0F243E" w:themeColor="text2" w:themeShade="80"/>
            <w:right w:val="single" w:sz="12" w:space="24" w:color="0F243E" w:themeColor="text2" w:themeShade="80"/>
          </w:pgBorders>
          <w:pgNumType w:start="33"/>
          <w:cols w:space="720"/>
          <w:docGrid w:linePitch="326"/>
        </w:sectPr>
      </w:pPr>
    </w:p>
    <w:p w14:paraId="168B9E81" w14:textId="23D33FB3" w:rsidR="00041CD2" w:rsidRPr="00041CD2" w:rsidRDefault="00041CD2" w:rsidP="00041CD2">
      <w:pPr>
        <w:pStyle w:val="Heading2"/>
      </w:pPr>
      <w:bookmarkStart w:id="48" w:name="_Toc218707770"/>
      <w:r w:rsidRPr="00041CD2">
        <w:lastRenderedPageBreak/>
        <w:t>4.4 Analysis of Findings</w:t>
      </w:r>
      <w:bookmarkEnd w:id="48"/>
    </w:p>
    <w:p w14:paraId="5E60FCBF" w14:textId="11F7C4B8" w:rsidR="00041CD2" w:rsidRDefault="00041CD2" w:rsidP="00041CD2">
      <w:pPr>
        <w:pStyle w:val="Heading3"/>
        <w:rPr>
          <w:lang w:val="en-US"/>
        </w:rPr>
      </w:pPr>
      <w:bookmarkStart w:id="49" w:name="_Toc218707771"/>
      <w:r>
        <w:rPr>
          <w:lang w:val="en-US"/>
        </w:rPr>
        <w:t xml:space="preserve">4.4.1 </w:t>
      </w:r>
      <w:r w:rsidRPr="00041CD2">
        <w:rPr>
          <w:lang w:val="en-US"/>
        </w:rPr>
        <w:t xml:space="preserve">Role of Digital Platforms in Facilitating International Expansion of UK SMEs </w:t>
      </w:r>
      <w:proofErr w:type="gramStart"/>
      <w:r w:rsidRPr="00041CD2">
        <w:rPr>
          <w:lang w:val="en-US"/>
        </w:rPr>
        <w:t>Post-Brexit</w:t>
      </w:r>
      <w:proofErr w:type="gramEnd"/>
      <w:r w:rsidR="003F5EBC">
        <w:rPr>
          <w:lang w:val="en-US"/>
        </w:rPr>
        <w:t xml:space="preserve"> (RQ1)</w:t>
      </w:r>
      <w:bookmarkEnd w:id="49"/>
    </w:p>
    <w:p w14:paraId="5353D140" w14:textId="6CC50A4D" w:rsidR="00067DAE" w:rsidRPr="00067DAE" w:rsidRDefault="00067DAE" w:rsidP="00067DAE">
      <w:pPr>
        <w:rPr>
          <w:lang w:val="en-US"/>
        </w:rPr>
      </w:pPr>
      <w:r w:rsidRPr="00067DAE">
        <w:rPr>
          <w:lang w:val="en-US"/>
        </w:rPr>
        <w:t xml:space="preserve">The literature review shows that digital platforms are at the centre and multifaceted in helping the UK SMEs to go global in the post-Brexit environment. In the research, digital platforms were consistently defined as key facilitators of </w:t>
      </w:r>
      <w:proofErr w:type="spellStart"/>
      <w:r w:rsidRPr="00067DAE">
        <w:rPr>
          <w:lang w:val="en-US"/>
        </w:rPr>
        <w:t>internationalisation</w:t>
      </w:r>
      <w:proofErr w:type="spellEnd"/>
      <w:r w:rsidRPr="00067DAE">
        <w:rPr>
          <w:lang w:val="en-US"/>
        </w:rPr>
        <w:t xml:space="preserve"> that served various functions such as market access to continuity of operations. Some of the authors state that digital platforms increase digital capabilities, resilience, and </w:t>
      </w:r>
      <w:proofErr w:type="spellStart"/>
      <w:r w:rsidRPr="00067DAE">
        <w:rPr>
          <w:lang w:val="en-US"/>
        </w:rPr>
        <w:t>organisational</w:t>
      </w:r>
      <w:proofErr w:type="spellEnd"/>
      <w:r w:rsidRPr="00067DAE">
        <w:rPr>
          <w:lang w:val="en-US"/>
        </w:rPr>
        <w:t xml:space="preserve"> maturity of SMEs, enabling firms to adjust to Brexit-related uncertainty (Aghazadeh </w:t>
      </w:r>
      <w:r w:rsidRPr="00067DAE">
        <w:rPr>
          <w:i/>
          <w:iCs/>
          <w:lang w:val="en-US"/>
        </w:rPr>
        <w:t>et al</w:t>
      </w:r>
      <w:r w:rsidRPr="00067DAE">
        <w:rPr>
          <w:lang w:val="en-US"/>
        </w:rPr>
        <w:t xml:space="preserve">., 2023; Ahmad </w:t>
      </w:r>
      <w:r w:rsidRPr="00067DAE">
        <w:rPr>
          <w:i/>
          <w:iCs/>
          <w:lang w:val="en-US"/>
        </w:rPr>
        <w:t>et al</w:t>
      </w:r>
      <w:r w:rsidRPr="00067DAE">
        <w:rPr>
          <w:lang w:val="en-US"/>
        </w:rPr>
        <w:t>., 2023; Pardy and Ampudia, 2023).</w:t>
      </w:r>
    </w:p>
    <w:p w14:paraId="518F6176" w14:textId="7928AD52" w:rsidR="00067DAE" w:rsidRPr="00067DAE" w:rsidRDefault="00067DAE" w:rsidP="00067DAE">
      <w:pPr>
        <w:rPr>
          <w:lang w:val="en-US"/>
        </w:rPr>
      </w:pPr>
      <w:r w:rsidRPr="00067DAE">
        <w:rPr>
          <w:lang w:val="en-US"/>
        </w:rPr>
        <w:t xml:space="preserve">One of the most notable roles of online platforms is in the continuity of exports, communication with international customers, and coordination of supply chains, and SMEs utilise online resources to sustain their export activities (Bailey </w:t>
      </w:r>
      <w:r w:rsidRPr="00067DAE">
        <w:rPr>
          <w:i/>
          <w:iCs/>
          <w:lang w:val="en-US"/>
        </w:rPr>
        <w:t>et al</w:t>
      </w:r>
      <w:r w:rsidRPr="00067DAE">
        <w:rPr>
          <w:lang w:val="en-US"/>
        </w:rPr>
        <w:t xml:space="preserve">., 2022; Du and </w:t>
      </w:r>
      <w:proofErr w:type="spellStart"/>
      <w:r w:rsidRPr="00067DAE">
        <w:rPr>
          <w:lang w:val="en-US"/>
        </w:rPr>
        <w:t>Shepotylo</w:t>
      </w:r>
      <w:proofErr w:type="spellEnd"/>
      <w:r w:rsidRPr="00067DAE">
        <w:rPr>
          <w:lang w:val="en-US"/>
        </w:rPr>
        <w:t xml:space="preserve">, 2024; Uddin, Chowdhury and Wood, 2022; Roscoe </w:t>
      </w:r>
      <w:r w:rsidRPr="00067DAE">
        <w:rPr>
          <w:i/>
          <w:iCs/>
          <w:lang w:val="en-US"/>
        </w:rPr>
        <w:t>et al</w:t>
      </w:r>
      <w:r w:rsidRPr="00067DAE">
        <w:rPr>
          <w:lang w:val="en-US"/>
        </w:rPr>
        <w:t xml:space="preserve">., 2020; </w:t>
      </w:r>
      <w:proofErr w:type="spellStart"/>
      <w:r w:rsidRPr="00067DAE">
        <w:rPr>
          <w:lang w:val="en-US"/>
        </w:rPr>
        <w:t>Oyegoke</w:t>
      </w:r>
      <w:proofErr w:type="spellEnd"/>
      <w:r w:rsidRPr="00067DAE">
        <w:rPr>
          <w:lang w:val="en-US"/>
        </w:rPr>
        <w:t xml:space="preserve"> </w:t>
      </w:r>
      <w:r w:rsidRPr="00067DAE">
        <w:rPr>
          <w:i/>
          <w:iCs/>
          <w:lang w:val="en-US"/>
        </w:rPr>
        <w:t>et al</w:t>
      </w:r>
      <w:r w:rsidRPr="00067DAE">
        <w:rPr>
          <w:lang w:val="en-US"/>
        </w:rPr>
        <w:t xml:space="preserve">., 2024). This operational support is also applicable to compliance and regulatory monitoring that is especially pertinent to the post-Brexit environment where trade regulations and standards have changed (Bailey </w:t>
      </w:r>
      <w:r w:rsidRPr="00067DAE">
        <w:rPr>
          <w:i/>
          <w:iCs/>
          <w:lang w:val="en-US"/>
        </w:rPr>
        <w:t>et al</w:t>
      </w:r>
      <w:r w:rsidRPr="00067DAE">
        <w:rPr>
          <w:lang w:val="en-US"/>
        </w:rPr>
        <w:t xml:space="preserve">., 2023; Konig, 2023; Wong, 2022; Ugochi, </w:t>
      </w:r>
      <w:proofErr w:type="spellStart"/>
      <w:r w:rsidRPr="00067DAE">
        <w:rPr>
          <w:lang w:val="en-US"/>
        </w:rPr>
        <w:t>Onyeanuforo</w:t>
      </w:r>
      <w:proofErr w:type="spellEnd"/>
      <w:r w:rsidRPr="00067DAE">
        <w:rPr>
          <w:lang w:val="en-US"/>
        </w:rPr>
        <w:t xml:space="preserve"> and Magaji, 2023).</w:t>
      </w:r>
    </w:p>
    <w:p w14:paraId="049AC436" w14:textId="519D33E7" w:rsidR="00067DAE" w:rsidRPr="00067DAE" w:rsidRDefault="00067DAE" w:rsidP="00067DAE">
      <w:pPr>
        <w:rPr>
          <w:lang w:val="en-US"/>
        </w:rPr>
      </w:pPr>
      <w:r w:rsidRPr="00067DAE">
        <w:rPr>
          <w:lang w:val="en-US"/>
        </w:rPr>
        <w:t xml:space="preserve">Digital channels are also used as sources of market intelligence, customer relationships, and networking and allow SMEs to </w:t>
      </w:r>
      <w:proofErr w:type="spellStart"/>
      <w:r w:rsidRPr="00067DAE">
        <w:rPr>
          <w:lang w:val="en-US"/>
        </w:rPr>
        <w:t>recognise</w:t>
      </w:r>
      <w:proofErr w:type="spellEnd"/>
      <w:r w:rsidRPr="00067DAE">
        <w:rPr>
          <w:lang w:val="en-US"/>
        </w:rPr>
        <w:t xml:space="preserve"> international opportunities, stay trusted by partners, and create brand presence beyond their domestic markets (</w:t>
      </w:r>
      <w:proofErr w:type="spellStart"/>
      <w:r w:rsidRPr="00067DAE">
        <w:rPr>
          <w:lang w:val="en-US"/>
        </w:rPr>
        <w:t>Coudounaris</w:t>
      </w:r>
      <w:proofErr w:type="spellEnd"/>
      <w:r w:rsidRPr="00067DAE">
        <w:rPr>
          <w:lang w:val="en-US"/>
        </w:rPr>
        <w:t xml:space="preserve">, 2021; Cavallaro and Lepori, 2021; </w:t>
      </w:r>
      <w:proofErr w:type="spellStart"/>
      <w:r w:rsidRPr="00067DAE">
        <w:rPr>
          <w:lang w:val="en-US"/>
        </w:rPr>
        <w:t>Fatorachian</w:t>
      </w:r>
      <w:proofErr w:type="spellEnd"/>
      <w:r w:rsidRPr="00067DAE">
        <w:rPr>
          <w:lang w:val="en-US"/>
        </w:rPr>
        <w:t xml:space="preserve">, Arboleda and Linh, 2025; Jorgensen </w:t>
      </w:r>
      <w:r w:rsidRPr="00067DAE">
        <w:rPr>
          <w:i/>
          <w:iCs/>
          <w:lang w:val="en-US"/>
        </w:rPr>
        <w:t>et al</w:t>
      </w:r>
      <w:r w:rsidRPr="00067DAE">
        <w:rPr>
          <w:lang w:val="en-US"/>
        </w:rPr>
        <w:t xml:space="preserve">., 2024; </w:t>
      </w:r>
      <w:proofErr w:type="spellStart"/>
      <w:r w:rsidRPr="00067DAE">
        <w:rPr>
          <w:lang w:val="en-US"/>
        </w:rPr>
        <w:t>Sindakis</w:t>
      </w:r>
      <w:proofErr w:type="spellEnd"/>
      <w:r w:rsidRPr="00067DAE">
        <w:rPr>
          <w:lang w:val="en-US"/>
        </w:rPr>
        <w:t xml:space="preserve"> and Aggarwal, 2022; Li </w:t>
      </w:r>
      <w:r w:rsidRPr="00067DAE">
        <w:rPr>
          <w:i/>
          <w:iCs/>
          <w:lang w:val="en-US"/>
        </w:rPr>
        <w:t>et al</w:t>
      </w:r>
      <w:r w:rsidRPr="00067DAE">
        <w:rPr>
          <w:lang w:val="en-US"/>
        </w:rPr>
        <w:t xml:space="preserve">., 2025; </w:t>
      </w:r>
      <w:proofErr w:type="spellStart"/>
      <w:r w:rsidRPr="00067DAE">
        <w:rPr>
          <w:lang w:val="en-US"/>
        </w:rPr>
        <w:t>Zaschitina</w:t>
      </w:r>
      <w:proofErr w:type="spellEnd"/>
      <w:r w:rsidRPr="00067DAE">
        <w:rPr>
          <w:lang w:val="en-US"/>
        </w:rPr>
        <w:t xml:space="preserve">, The widespread use of social media, online marketplaces, and digital communication platforms was often mentioned as the avenue through which SMEs interact in innovative ways to combine their resources and innovate (Chai </w:t>
      </w:r>
      <w:r w:rsidRPr="00067DAE">
        <w:rPr>
          <w:i/>
          <w:iCs/>
          <w:lang w:val="en-US"/>
        </w:rPr>
        <w:t>et al</w:t>
      </w:r>
      <w:r w:rsidRPr="00067DAE">
        <w:rPr>
          <w:lang w:val="en-US"/>
        </w:rPr>
        <w:t>., 2024; Dowell, Bowen and Morris, 2023; Collins, 2023; Linares-Zegarra and Wilson, 2021).</w:t>
      </w:r>
    </w:p>
    <w:p w14:paraId="40660503" w14:textId="46AE59A6" w:rsidR="00067DAE" w:rsidRPr="00067DAE" w:rsidRDefault="00067DAE" w:rsidP="00067DAE">
      <w:pPr>
        <w:rPr>
          <w:lang w:val="en-US"/>
        </w:rPr>
      </w:pPr>
      <w:r w:rsidRPr="00067DAE">
        <w:rPr>
          <w:lang w:val="en-US"/>
        </w:rPr>
        <w:t>Another significant category is financial and funding platforms, where SMEs obtain international finance and can conduct financial transactions across the borders, whereas some research indicates that traditional banking relations are still influential in some industries (</w:t>
      </w:r>
      <w:proofErr w:type="spellStart"/>
      <w:r w:rsidRPr="00067DAE">
        <w:rPr>
          <w:lang w:val="en-US"/>
        </w:rPr>
        <w:t>Avgouleas</w:t>
      </w:r>
      <w:proofErr w:type="spellEnd"/>
      <w:r w:rsidRPr="00067DAE">
        <w:rPr>
          <w:lang w:val="en-US"/>
        </w:rPr>
        <w:t xml:space="preserve"> and </w:t>
      </w:r>
      <w:proofErr w:type="spellStart"/>
      <w:r w:rsidRPr="00067DAE">
        <w:rPr>
          <w:lang w:val="en-US"/>
        </w:rPr>
        <w:t>Seretakis</w:t>
      </w:r>
      <w:proofErr w:type="spellEnd"/>
      <w:r w:rsidRPr="00067DAE">
        <w:rPr>
          <w:lang w:val="en-US"/>
        </w:rPr>
        <w:t xml:space="preserve">, 2021; Soner, </w:t>
      </w:r>
      <w:proofErr w:type="spellStart"/>
      <w:r w:rsidRPr="00067DAE">
        <w:rPr>
          <w:lang w:val="en-US"/>
        </w:rPr>
        <w:t>Alsakka</w:t>
      </w:r>
      <w:proofErr w:type="spellEnd"/>
      <w:r w:rsidRPr="00067DAE">
        <w:rPr>
          <w:lang w:val="en-US"/>
        </w:rPr>
        <w:t xml:space="preserve"> and </w:t>
      </w:r>
      <w:proofErr w:type="spellStart"/>
      <w:r w:rsidRPr="00067DAE">
        <w:rPr>
          <w:lang w:val="en-US"/>
        </w:rPr>
        <w:t>Mantovan</w:t>
      </w:r>
      <w:proofErr w:type="spellEnd"/>
      <w:r w:rsidRPr="00067DAE">
        <w:rPr>
          <w:lang w:val="en-US"/>
        </w:rPr>
        <w:t xml:space="preserve">, 2025; Berg </w:t>
      </w:r>
      <w:r w:rsidRPr="00067DAE">
        <w:rPr>
          <w:i/>
          <w:iCs/>
          <w:lang w:val="en-US"/>
        </w:rPr>
        <w:t>et al</w:t>
      </w:r>
      <w:r w:rsidRPr="00067DAE">
        <w:rPr>
          <w:lang w:val="en-US"/>
        </w:rPr>
        <w:t xml:space="preserve">., 2021; Vu and Christian, 2024). It was especially noted that digital </w:t>
      </w:r>
      <w:r w:rsidRPr="00067DAE">
        <w:rPr>
          <w:lang w:val="en-US"/>
        </w:rPr>
        <w:lastRenderedPageBreak/>
        <w:t xml:space="preserve">lending platforms, as well as crowdfunding platforms, are essential to export growth and business resilience in the post-Brexit environment (Muhammad </w:t>
      </w:r>
      <w:r w:rsidRPr="00067DAE">
        <w:rPr>
          <w:i/>
          <w:iCs/>
          <w:lang w:val="en-US"/>
        </w:rPr>
        <w:t>et al</w:t>
      </w:r>
      <w:r w:rsidRPr="00067DAE">
        <w:rPr>
          <w:lang w:val="en-US"/>
        </w:rPr>
        <w:t>., 2025).</w:t>
      </w:r>
    </w:p>
    <w:p w14:paraId="24DB232D" w14:textId="3627C661" w:rsidR="00067DAE" w:rsidRPr="00067DAE" w:rsidRDefault="00067DAE" w:rsidP="00067DAE">
      <w:pPr>
        <w:rPr>
          <w:lang w:val="en-US"/>
        </w:rPr>
      </w:pPr>
      <w:r w:rsidRPr="00067DAE">
        <w:rPr>
          <w:lang w:val="en-US"/>
        </w:rPr>
        <w:t xml:space="preserve">The importance of digital platforms in risk mitigation and strategic decision-making is also </w:t>
      </w:r>
      <w:proofErr w:type="spellStart"/>
      <w:r w:rsidRPr="00067DAE">
        <w:rPr>
          <w:lang w:val="en-US"/>
        </w:rPr>
        <w:t>emphasised</w:t>
      </w:r>
      <w:proofErr w:type="spellEnd"/>
      <w:r w:rsidRPr="00067DAE">
        <w:rPr>
          <w:lang w:val="en-US"/>
        </w:rPr>
        <w:t xml:space="preserve"> in several studies. These tools allow SMEs to track trade barriers, address disruptions related to Brexit, and continue their operations (Hassan </w:t>
      </w:r>
      <w:r w:rsidRPr="00067DAE">
        <w:rPr>
          <w:i/>
          <w:iCs/>
          <w:lang w:val="en-US"/>
        </w:rPr>
        <w:t>et al</w:t>
      </w:r>
      <w:r w:rsidRPr="00067DAE">
        <w:rPr>
          <w:lang w:val="en-US"/>
        </w:rPr>
        <w:t xml:space="preserve">., 2023; Du, </w:t>
      </w:r>
      <w:proofErr w:type="spellStart"/>
      <w:r w:rsidRPr="00067DAE">
        <w:rPr>
          <w:lang w:val="en-US"/>
        </w:rPr>
        <w:t>Shepotylo</w:t>
      </w:r>
      <w:proofErr w:type="spellEnd"/>
      <w:r w:rsidRPr="00067DAE">
        <w:rPr>
          <w:lang w:val="en-US"/>
        </w:rPr>
        <w:t xml:space="preserve"> &amp; Yuan, 2025; </w:t>
      </w:r>
      <w:proofErr w:type="spellStart"/>
      <w:r w:rsidRPr="00067DAE">
        <w:rPr>
          <w:lang w:val="en-US"/>
        </w:rPr>
        <w:t>Rawindaran</w:t>
      </w:r>
      <w:proofErr w:type="spellEnd"/>
      <w:r w:rsidRPr="00067DAE">
        <w:rPr>
          <w:lang w:val="en-US"/>
        </w:rPr>
        <w:t xml:space="preserve">, Jayal and Prakash, 2021; Smith </w:t>
      </w:r>
      <w:r w:rsidRPr="00067DAE">
        <w:rPr>
          <w:i/>
          <w:iCs/>
          <w:lang w:val="en-US"/>
        </w:rPr>
        <w:t>et al</w:t>
      </w:r>
      <w:r w:rsidRPr="00067DAE">
        <w:rPr>
          <w:lang w:val="en-US"/>
        </w:rPr>
        <w:t xml:space="preserve">., 2022; Barron and </w:t>
      </w:r>
      <w:proofErr w:type="spellStart"/>
      <w:r w:rsidRPr="00067DAE">
        <w:rPr>
          <w:lang w:val="en-US"/>
        </w:rPr>
        <w:t>Boutary</w:t>
      </w:r>
      <w:proofErr w:type="spellEnd"/>
      <w:r w:rsidRPr="00067DAE">
        <w:rPr>
          <w:lang w:val="en-US"/>
        </w:rPr>
        <w:t xml:space="preserve">, 2020). Additionally, AI-driven and </w:t>
      </w:r>
      <w:proofErr w:type="spellStart"/>
      <w:r w:rsidRPr="00067DAE">
        <w:rPr>
          <w:lang w:val="en-US"/>
        </w:rPr>
        <w:t>computerised</w:t>
      </w:r>
      <w:proofErr w:type="spellEnd"/>
      <w:r w:rsidRPr="00067DAE">
        <w:rPr>
          <w:lang w:val="en-US"/>
        </w:rPr>
        <w:t xml:space="preserve"> security systems have been observed to increase automation, resilience, and secure interaction in international trade (Muhammad </w:t>
      </w:r>
      <w:r w:rsidRPr="00067DAE">
        <w:rPr>
          <w:i/>
          <w:iCs/>
          <w:lang w:val="en-US"/>
        </w:rPr>
        <w:t>et al</w:t>
      </w:r>
      <w:r w:rsidRPr="00067DAE">
        <w:rPr>
          <w:lang w:val="en-US"/>
        </w:rPr>
        <w:t xml:space="preserve">., 2025; </w:t>
      </w:r>
      <w:proofErr w:type="spellStart"/>
      <w:r w:rsidRPr="00067DAE">
        <w:rPr>
          <w:lang w:val="en-US"/>
        </w:rPr>
        <w:t>Rawindaran</w:t>
      </w:r>
      <w:proofErr w:type="spellEnd"/>
      <w:r w:rsidRPr="00067DAE">
        <w:rPr>
          <w:lang w:val="en-US"/>
        </w:rPr>
        <w:t>, Jayal and Prakash, 2021).</w:t>
      </w:r>
    </w:p>
    <w:p w14:paraId="05E13C15" w14:textId="6AC73A2C" w:rsidR="00067DAE" w:rsidRPr="00067DAE" w:rsidRDefault="00067DAE" w:rsidP="00067DAE">
      <w:pPr>
        <w:rPr>
          <w:lang w:val="en-US"/>
        </w:rPr>
      </w:pPr>
      <w:r w:rsidRPr="00067DAE">
        <w:rPr>
          <w:lang w:val="en-US"/>
        </w:rPr>
        <w:t xml:space="preserve">Most of the studies highlight the vital and facilitating impact of digital platforms, but some mention some limitations to its impact. Indicatively, in some instances, digital finance platforms are not primary to traditional banking relationships (Berg </w:t>
      </w:r>
      <w:r w:rsidRPr="00067DAE">
        <w:rPr>
          <w:i/>
          <w:iCs/>
          <w:lang w:val="en-US"/>
        </w:rPr>
        <w:t>et al</w:t>
      </w:r>
      <w:r w:rsidRPr="00067DAE">
        <w:rPr>
          <w:lang w:val="en-US"/>
        </w:rPr>
        <w:t xml:space="preserve">., 2021), and in some cases, digital tools are mentioned only indirectly as a subset of broader business continuity strategies (Harcourt, 2023; </w:t>
      </w:r>
      <w:proofErr w:type="spellStart"/>
      <w:r w:rsidRPr="00067DAE">
        <w:rPr>
          <w:lang w:val="en-US"/>
        </w:rPr>
        <w:t>MacLeavy</w:t>
      </w:r>
      <w:proofErr w:type="spellEnd"/>
      <w:r w:rsidRPr="00067DAE">
        <w:rPr>
          <w:lang w:val="en-US"/>
        </w:rPr>
        <w:t xml:space="preserve"> and Jones, 2021; Thissen </w:t>
      </w:r>
      <w:r w:rsidRPr="00067DAE">
        <w:rPr>
          <w:i/>
          <w:iCs/>
          <w:lang w:val="en-US"/>
        </w:rPr>
        <w:t>et al</w:t>
      </w:r>
      <w:r w:rsidRPr="00067DAE">
        <w:rPr>
          <w:lang w:val="en-US"/>
        </w:rPr>
        <w:t xml:space="preserve">., 2020; Gao, 2022). However, all the 50 reviewed studies agree that online platforms are at the centre of facilitating SME </w:t>
      </w:r>
      <w:proofErr w:type="spellStart"/>
      <w:r w:rsidRPr="00067DAE">
        <w:rPr>
          <w:lang w:val="en-US"/>
        </w:rPr>
        <w:t>internationalisation</w:t>
      </w:r>
      <w:proofErr w:type="spellEnd"/>
      <w:r w:rsidRPr="00067DAE">
        <w:rPr>
          <w:lang w:val="en-US"/>
        </w:rPr>
        <w:t xml:space="preserve"> by offering operational, financial, and strategic capabilities that are of special importance in the post-Brexit environment (Li </w:t>
      </w:r>
      <w:r w:rsidRPr="00067DAE">
        <w:rPr>
          <w:i/>
          <w:iCs/>
          <w:lang w:val="en-US"/>
        </w:rPr>
        <w:t>et al</w:t>
      </w:r>
      <w:r w:rsidRPr="00067DAE">
        <w:rPr>
          <w:lang w:val="en-US"/>
        </w:rPr>
        <w:t xml:space="preserve">., 2025; Peres, 2025; </w:t>
      </w:r>
      <w:proofErr w:type="spellStart"/>
      <w:r w:rsidRPr="00067DAE">
        <w:rPr>
          <w:lang w:val="en-US"/>
        </w:rPr>
        <w:t>Zaschitina</w:t>
      </w:r>
      <w:proofErr w:type="spellEnd"/>
      <w:r w:rsidRPr="00067DAE">
        <w:rPr>
          <w:lang w:val="en-US"/>
        </w:rPr>
        <w:t xml:space="preserve">, 2022; Ugochi, </w:t>
      </w:r>
      <w:proofErr w:type="spellStart"/>
      <w:r w:rsidRPr="00067DAE">
        <w:rPr>
          <w:lang w:val="en-US"/>
        </w:rPr>
        <w:t>Onyeanuforo</w:t>
      </w:r>
      <w:proofErr w:type="spellEnd"/>
      <w:r w:rsidRPr="00067DAE">
        <w:rPr>
          <w:lang w:val="en-US"/>
        </w:rPr>
        <w:t xml:space="preserve"> and Alfa, 2025).</w:t>
      </w:r>
    </w:p>
    <w:p w14:paraId="18473027" w14:textId="2CCAB717" w:rsidR="00041CD2" w:rsidRDefault="00067DAE" w:rsidP="00067DAE">
      <w:pPr>
        <w:rPr>
          <w:lang w:val="en-US"/>
        </w:rPr>
      </w:pPr>
      <w:r w:rsidRPr="00067DAE">
        <w:rPr>
          <w:lang w:val="en-US"/>
        </w:rPr>
        <w:t xml:space="preserve">To conclude, digital platforms allow UK SMEs to overcome regulatory complexity, stay competitive in the international market, develop, and innovate, which may serve as the means to access the market and as the means of </w:t>
      </w:r>
      <w:proofErr w:type="spellStart"/>
      <w:r w:rsidRPr="00067DAE">
        <w:rPr>
          <w:lang w:val="en-US"/>
        </w:rPr>
        <w:t>organisational</w:t>
      </w:r>
      <w:proofErr w:type="spellEnd"/>
      <w:r w:rsidRPr="00067DAE">
        <w:rPr>
          <w:lang w:val="en-US"/>
        </w:rPr>
        <w:t xml:space="preserve"> resilience. Their contribution is particularly high in reducing the uncertainties and disruptions linked to Brexit and thus they are invaluable to post-Brexit international expansion.</w:t>
      </w:r>
    </w:p>
    <w:p w14:paraId="2919135F" w14:textId="04EAE3A0" w:rsidR="00041CD2" w:rsidRPr="00041CD2" w:rsidRDefault="00041CD2" w:rsidP="00041CD2">
      <w:pPr>
        <w:spacing w:before="0" w:after="0"/>
        <w:rPr>
          <w:lang w:val="en-US"/>
        </w:rPr>
      </w:pPr>
      <w:r>
        <w:rPr>
          <w:lang w:val="en-US"/>
        </w:rPr>
        <w:br w:type="page"/>
      </w:r>
    </w:p>
    <w:p w14:paraId="49CD176F" w14:textId="4E9D07C0" w:rsidR="00041CD2" w:rsidRDefault="00041CD2" w:rsidP="00041CD2">
      <w:pPr>
        <w:pStyle w:val="Heading3"/>
        <w:rPr>
          <w:lang w:val="en-US"/>
        </w:rPr>
      </w:pPr>
      <w:bookmarkStart w:id="50" w:name="_Toc218707772"/>
      <w:r>
        <w:rPr>
          <w:lang w:val="en-US"/>
        </w:rPr>
        <w:lastRenderedPageBreak/>
        <w:t xml:space="preserve">4.4.2 </w:t>
      </w:r>
      <w:r w:rsidRPr="00041CD2">
        <w:rPr>
          <w:lang w:val="en-US"/>
        </w:rPr>
        <w:t>Challenges and Opportunities for UK SMEs Using Digital Platforms in a Post-Brexit Context</w:t>
      </w:r>
      <w:r w:rsidR="003F5EBC">
        <w:rPr>
          <w:lang w:val="en-US"/>
        </w:rPr>
        <w:t xml:space="preserve"> (RQ2)</w:t>
      </w:r>
      <w:bookmarkEnd w:id="50"/>
    </w:p>
    <w:p w14:paraId="1E5D22D6" w14:textId="089C20B6" w:rsidR="00067DAE" w:rsidRPr="00067DAE" w:rsidRDefault="00067DAE" w:rsidP="00067DAE">
      <w:pPr>
        <w:rPr>
          <w:lang w:val="en-US"/>
        </w:rPr>
      </w:pPr>
      <w:r w:rsidRPr="00067DAE">
        <w:rPr>
          <w:lang w:val="en-US"/>
        </w:rPr>
        <w:t xml:space="preserve">Throughout the literature, it is stated that even though digital platforms present valuable opportunities to the UK SMEs, the adoption and successful implementation in the </w:t>
      </w:r>
      <w:proofErr w:type="spellStart"/>
      <w:r w:rsidRPr="00067DAE">
        <w:rPr>
          <w:lang w:val="en-US"/>
        </w:rPr>
        <w:t>internationalisation</w:t>
      </w:r>
      <w:proofErr w:type="spellEnd"/>
      <w:r w:rsidRPr="00067DAE">
        <w:rPr>
          <w:lang w:val="en-US"/>
        </w:rPr>
        <w:t xml:space="preserve"> efforts after Brexit is surrounded by a series of challenges. One of the first groups of issues pertains to regulatory differences, compliance, and legal ambiguity, which are the complications brought about by Brexit. The uncertainty of tariffs, delays due to customs, divergence of GDPR, and evolving cross-border regulations are among the challenges that SMEs have to be ready to deal with, which may hinder the seamless entry into the market and further operation (Ahmad </w:t>
      </w:r>
      <w:r w:rsidRPr="00067DAE">
        <w:rPr>
          <w:i/>
          <w:iCs/>
          <w:lang w:val="en-US"/>
        </w:rPr>
        <w:t>et al</w:t>
      </w:r>
      <w:r w:rsidRPr="00067DAE">
        <w:rPr>
          <w:lang w:val="en-US"/>
        </w:rPr>
        <w:t xml:space="preserve">., 2023; </w:t>
      </w:r>
      <w:proofErr w:type="spellStart"/>
      <w:r w:rsidRPr="00067DAE">
        <w:rPr>
          <w:lang w:val="en-US"/>
        </w:rPr>
        <w:t>Avgouleas</w:t>
      </w:r>
      <w:proofErr w:type="spellEnd"/>
      <w:r w:rsidRPr="00067DAE">
        <w:rPr>
          <w:lang w:val="en-US"/>
        </w:rPr>
        <w:t xml:space="preserve"> and </w:t>
      </w:r>
      <w:proofErr w:type="spellStart"/>
      <w:r w:rsidRPr="00067DAE">
        <w:rPr>
          <w:lang w:val="en-US"/>
        </w:rPr>
        <w:t>Seretakis</w:t>
      </w:r>
      <w:proofErr w:type="spellEnd"/>
      <w:r w:rsidRPr="00067DAE">
        <w:rPr>
          <w:lang w:val="en-US"/>
        </w:rPr>
        <w:t xml:space="preserve">, 2021; Bailey </w:t>
      </w:r>
      <w:r w:rsidRPr="00067DAE">
        <w:rPr>
          <w:i/>
          <w:iCs/>
          <w:lang w:val="en-US"/>
        </w:rPr>
        <w:t>et al</w:t>
      </w:r>
      <w:r w:rsidRPr="00067DAE">
        <w:rPr>
          <w:lang w:val="en-US"/>
        </w:rPr>
        <w:t xml:space="preserve">., 2023; Konig, 2023; Peres, 2025; Ugochi, </w:t>
      </w:r>
      <w:proofErr w:type="spellStart"/>
      <w:r w:rsidRPr="00067DAE">
        <w:rPr>
          <w:lang w:val="en-US"/>
        </w:rPr>
        <w:t>Onyeanuforo</w:t>
      </w:r>
      <w:proofErr w:type="spellEnd"/>
      <w:r w:rsidRPr="00067DAE">
        <w:rPr>
          <w:lang w:val="en-US"/>
        </w:rPr>
        <w:t xml:space="preserve"> and Magaji, Another factor that complicated the </w:t>
      </w:r>
      <w:proofErr w:type="spellStart"/>
      <w:r w:rsidRPr="00067DAE">
        <w:rPr>
          <w:lang w:val="en-US"/>
        </w:rPr>
        <w:t>internationalisation</w:t>
      </w:r>
      <w:proofErr w:type="spellEnd"/>
      <w:r w:rsidRPr="00067DAE">
        <w:rPr>
          <w:lang w:val="en-US"/>
        </w:rPr>
        <w:t xml:space="preserve"> strategies of SMEs was regulatory complexity, which was also associated with fragmented financial systems and low access to cross-border lending (Berg </w:t>
      </w:r>
      <w:r w:rsidRPr="00067DAE">
        <w:rPr>
          <w:i/>
          <w:iCs/>
          <w:lang w:val="en-US"/>
        </w:rPr>
        <w:t>et al</w:t>
      </w:r>
      <w:r w:rsidRPr="00067DAE">
        <w:rPr>
          <w:lang w:val="en-US"/>
        </w:rPr>
        <w:t xml:space="preserve">., 2021; Kellard </w:t>
      </w:r>
      <w:r w:rsidRPr="00067DAE">
        <w:rPr>
          <w:i/>
          <w:iCs/>
          <w:lang w:val="en-US"/>
        </w:rPr>
        <w:t>et al</w:t>
      </w:r>
      <w:r w:rsidRPr="00067DAE">
        <w:rPr>
          <w:lang w:val="en-US"/>
        </w:rPr>
        <w:t>., 2021; Vu and Christian, 2024).</w:t>
      </w:r>
    </w:p>
    <w:p w14:paraId="760E21C3" w14:textId="21CC4C17" w:rsidR="00067DAE" w:rsidRPr="00067DAE" w:rsidRDefault="00067DAE" w:rsidP="00067DAE">
      <w:pPr>
        <w:rPr>
          <w:lang w:val="en-US"/>
        </w:rPr>
      </w:pPr>
      <w:r w:rsidRPr="00067DAE">
        <w:rPr>
          <w:lang w:val="en-US"/>
        </w:rPr>
        <w:t xml:space="preserve">The other major group of issues is operational and technological barriers, such as the lack of digital proficiency, or cybersecurity threats, prohibitive implementation expenses, and inadequate digital infrastructure (Aghazadeh </w:t>
      </w:r>
      <w:r w:rsidRPr="00067DAE">
        <w:rPr>
          <w:i/>
          <w:iCs/>
          <w:lang w:val="en-US"/>
        </w:rPr>
        <w:t>et al</w:t>
      </w:r>
      <w:r w:rsidRPr="00067DAE">
        <w:rPr>
          <w:lang w:val="en-US"/>
        </w:rPr>
        <w:t xml:space="preserve">., 2023; Collins, 2023; Chai </w:t>
      </w:r>
      <w:r w:rsidRPr="00067DAE">
        <w:rPr>
          <w:i/>
          <w:iCs/>
          <w:lang w:val="en-US"/>
        </w:rPr>
        <w:t>et al</w:t>
      </w:r>
      <w:r w:rsidRPr="00067DAE">
        <w:rPr>
          <w:lang w:val="en-US"/>
        </w:rPr>
        <w:t xml:space="preserve">., 2024; Muhammad </w:t>
      </w:r>
      <w:r w:rsidRPr="00067DAE">
        <w:rPr>
          <w:i/>
          <w:iCs/>
          <w:lang w:val="en-US"/>
        </w:rPr>
        <w:t>et al</w:t>
      </w:r>
      <w:r w:rsidRPr="00067DAE">
        <w:rPr>
          <w:lang w:val="en-US"/>
        </w:rPr>
        <w:t xml:space="preserve">., 2025; Zhang </w:t>
      </w:r>
      <w:r w:rsidRPr="00067DAE">
        <w:rPr>
          <w:i/>
          <w:iCs/>
          <w:lang w:val="en-US"/>
        </w:rPr>
        <w:t>et al</w:t>
      </w:r>
      <w:r w:rsidRPr="00067DAE">
        <w:rPr>
          <w:lang w:val="en-US"/>
        </w:rPr>
        <w:t xml:space="preserve">., 2025; </w:t>
      </w:r>
      <w:proofErr w:type="spellStart"/>
      <w:r w:rsidRPr="00067DAE">
        <w:rPr>
          <w:lang w:val="en-US"/>
        </w:rPr>
        <w:t>Rawindaran</w:t>
      </w:r>
      <w:proofErr w:type="spellEnd"/>
      <w:r w:rsidRPr="00067DAE">
        <w:rPr>
          <w:lang w:val="en-US"/>
        </w:rPr>
        <w:t xml:space="preserve">, Jayal and Prakash, 2021). These issues may limit the use of platforms by SMEs to pursue international growth, especially in those areas where technical support and digital adoption is not evenly distributed (Cowling and Brown, 2024; Smith </w:t>
      </w:r>
      <w:r w:rsidRPr="00067DAE">
        <w:rPr>
          <w:i/>
          <w:iCs/>
          <w:lang w:val="en-US"/>
        </w:rPr>
        <w:t>et al</w:t>
      </w:r>
      <w:r w:rsidRPr="00067DAE">
        <w:rPr>
          <w:lang w:val="en-US"/>
        </w:rPr>
        <w:t xml:space="preserve">., 2022). Disruptions in the supply chains and logistics delays were also highlighted as obstacles that the digital platforms must overcome in order to ensure continuity in cross-border trade (Bailey </w:t>
      </w:r>
      <w:r w:rsidRPr="00067DAE">
        <w:rPr>
          <w:i/>
          <w:iCs/>
          <w:lang w:val="en-US"/>
        </w:rPr>
        <w:t>et al</w:t>
      </w:r>
      <w:r w:rsidRPr="00067DAE">
        <w:rPr>
          <w:lang w:val="en-US"/>
        </w:rPr>
        <w:t xml:space="preserve">., 2022; Bailey </w:t>
      </w:r>
      <w:r w:rsidRPr="00067DAE">
        <w:rPr>
          <w:i/>
          <w:iCs/>
          <w:lang w:val="en-US"/>
        </w:rPr>
        <w:t>et al</w:t>
      </w:r>
      <w:r w:rsidRPr="00067DAE">
        <w:rPr>
          <w:lang w:val="en-US"/>
        </w:rPr>
        <w:t xml:space="preserve">., 2023; Roscoe </w:t>
      </w:r>
      <w:r w:rsidRPr="00067DAE">
        <w:rPr>
          <w:i/>
          <w:iCs/>
          <w:lang w:val="en-US"/>
        </w:rPr>
        <w:t>et al</w:t>
      </w:r>
      <w:r w:rsidRPr="00067DAE">
        <w:rPr>
          <w:lang w:val="en-US"/>
        </w:rPr>
        <w:t xml:space="preserve">., 2020; </w:t>
      </w:r>
      <w:proofErr w:type="spellStart"/>
      <w:r w:rsidRPr="00067DAE">
        <w:rPr>
          <w:lang w:val="en-US"/>
        </w:rPr>
        <w:t>Oyegoke</w:t>
      </w:r>
      <w:proofErr w:type="spellEnd"/>
      <w:r w:rsidRPr="00067DAE">
        <w:rPr>
          <w:lang w:val="en-US"/>
        </w:rPr>
        <w:t xml:space="preserve"> </w:t>
      </w:r>
      <w:r w:rsidRPr="00067DAE">
        <w:rPr>
          <w:i/>
          <w:iCs/>
          <w:lang w:val="en-US"/>
        </w:rPr>
        <w:t>et al</w:t>
      </w:r>
      <w:r w:rsidRPr="00067DAE">
        <w:rPr>
          <w:lang w:val="en-US"/>
        </w:rPr>
        <w:t>., 2024; Uddin, Chowdhury and Wood, 2022).</w:t>
      </w:r>
    </w:p>
    <w:p w14:paraId="1732349F" w14:textId="79008B09" w:rsidR="00067DAE" w:rsidRPr="00067DAE" w:rsidRDefault="00067DAE" w:rsidP="00067DAE">
      <w:pPr>
        <w:rPr>
          <w:lang w:val="en-US"/>
        </w:rPr>
      </w:pPr>
      <w:r w:rsidRPr="00067DAE">
        <w:rPr>
          <w:lang w:val="en-US"/>
        </w:rPr>
        <w:t xml:space="preserve">In spite of these issues, digital platforms give SMEs a considerable chance to escape post-Brexit obstacles and boost international expansion. They allow firms to implement adaptive and resilient business models, enable them to deliver services, engage with customers, and survive in the foreign markets (Aghazadeh </w:t>
      </w:r>
      <w:r w:rsidRPr="00067DAE">
        <w:rPr>
          <w:i/>
          <w:iCs/>
          <w:lang w:val="en-US"/>
        </w:rPr>
        <w:t>et al</w:t>
      </w:r>
      <w:r w:rsidRPr="00067DAE">
        <w:rPr>
          <w:lang w:val="en-US"/>
        </w:rPr>
        <w:t xml:space="preserve">., 2023; Brown </w:t>
      </w:r>
      <w:r w:rsidRPr="00067DAE">
        <w:rPr>
          <w:i/>
          <w:iCs/>
          <w:lang w:val="en-US"/>
        </w:rPr>
        <w:t>et al</w:t>
      </w:r>
      <w:r w:rsidRPr="00067DAE">
        <w:rPr>
          <w:lang w:val="en-US"/>
        </w:rPr>
        <w:t xml:space="preserve">., 2020; Du and </w:t>
      </w:r>
      <w:proofErr w:type="spellStart"/>
      <w:r w:rsidRPr="00067DAE">
        <w:rPr>
          <w:lang w:val="en-US"/>
        </w:rPr>
        <w:t>Shepotylo</w:t>
      </w:r>
      <w:proofErr w:type="spellEnd"/>
      <w:r w:rsidRPr="00067DAE">
        <w:rPr>
          <w:lang w:val="en-US"/>
        </w:rPr>
        <w:t xml:space="preserve">, 2024; Collins, 2023; Trapp </w:t>
      </w:r>
      <w:r w:rsidRPr="00067DAE">
        <w:rPr>
          <w:i/>
          <w:iCs/>
          <w:lang w:val="en-US"/>
        </w:rPr>
        <w:t>et al</w:t>
      </w:r>
      <w:r w:rsidRPr="00067DAE">
        <w:rPr>
          <w:lang w:val="en-US"/>
        </w:rPr>
        <w:t xml:space="preserve">., 2023). Placing SMEs in the global market and selling to customers is supported by platforms, where e-commerce </w:t>
      </w:r>
      <w:r w:rsidRPr="00067DAE">
        <w:rPr>
          <w:lang w:val="en-US"/>
        </w:rPr>
        <w:lastRenderedPageBreak/>
        <w:t xml:space="preserve">platforms, online marketplaces, and digital marketing strategy enable the organisation to access the rest of the world and retain relationships with its foreign partners (Ahmad </w:t>
      </w:r>
      <w:r w:rsidRPr="00067DAE">
        <w:rPr>
          <w:i/>
          <w:iCs/>
          <w:lang w:val="en-US"/>
        </w:rPr>
        <w:t>et al</w:t>
      </w:r>
      <w:r w:rsidRPr="00067DAE">
        <w:rPr>
          <w:lang w:val="en-US"/>
        </w:rPr>
        <w:t xml:space="preserve">., 2023; Bailey </w:t>
      </w:r>
      <w:r w:rsidRPr="00067DAE">
        <w:rPr>
          <w:i/>
          <w:iCs/>
          <w:lang w:val="en-US"/>
        </w:rPr>
        <w:t>et al</w:t>
      </w:r>
      <w:r w:rsidRPr="00067DAE">
        <w:rPr>
          <w:lang w:val="en-US"/>
        </w:rPr>
        <w:t xml:space="preserve">., 2023; </w:t>
      </w:r>
      <w:proofErr w:type="spellStart"/>
      <w:r w:rsidRPr="00067DAE">
        <w:rPr>
          <w:lang w:val="en-US"/>
        </w:rPr>
        <w:t>Fatorachian</w:t>
      </w:r>
      <w:proofErr w:type="spellEnd"/>
      <w:r w:rsidRPr="00067DAE">
        <w:rPr>
          <w:lang w:val="en-US"/>
        </w:rPr>
        <w:t xml:space="preserve">, Arboleda and Linh, 2025; Li </w:t>
      </w:r>
      <w:r w:rsidRPr="00067DAE">
        <w:rPr>
          <w:i/>
          <w:iCs/>
          <w:lang w:val="en-US"/>
        </w:rPr>
        <w:t>et al</w:t>
      </w:r>
      <w:r w:rsidRPr="00067DAE">
        <w:rPr>
          <w:lang w:val="en-US"/>
        </w:rPr>
        <w:t xml:space="preserve">., 2025; </w:t>
      </w:r>
      <w:proofErr w:type="spellStart"/>
      <w:r w:rsidRPr="00067DAE">
        <w:rPr>
          <w:lang w:val="en-US"/>
        </w:rPr>
        <w:t>Zaschitina</w:t>
      </w:r>
      <w:proofErr w:type="spellEnd"/>
      <w:r w:rsidRPr="00067DAE">
        <w:rPr>
          <w:lang w:val="en-US"/>
        </w:rPr>
        <w:t xml:space="preserve">, 2022; Zhang </w:t>
      </w:r>
      <w:r w:rsidRPr="00067DAE">
        <w:rPr>
          <w:i/>
          <w:iCs/>
          <w:lang w:val="en-US"/>
        </w:rPr>
        <w:t>et al</w:t>
      </w:r>
      <w:r w:rsidRPr="00067DAE">
        <w:rPr>
          <w:lang w:val="en-US"/>
        </w:rPr>
        <w:t>., 2025).</w:t>
      </w:r>
    </w:p>
    <w:p w14:paraId="7C19781F" w14:textId="6F46997C" w:rsidR="00067DAE" w:rsidRPr="00067DAE" w:rsidRDefault="00067DAE" w:rsidP="00067DAE">
      <w:pPr>
        <w:rPr>
          <w:lang w:val="en-US"/>
        </w:rPr>
      </w:pPr>
      <w:r w:rsidRPr="00067DAE">
        <w:rPr>
          <w:lang w:val="en-US"/>
        </w:rPr>
        <w:t xml:space="preserve">Strategic decisions and risk management tools can also be found on digital platforms and allow SMEs to track regulatory changes, trade barriers, and market trends (Hassan </w:t>
      </w:r>
      <w:r w:rsidRPr="00067DAE">
        <w:rPr>
          <w:i/>
          <w:iCs/>
          <w:lang w:val="en-US"/>
        </w:rPr>
        <w:t>et al</w:t>
      </w:r>
      <w:r w:rsidRPr="00067DAE">
        <w:rPr>
          <w:lang w:val="en-US"/>
        </w:rPr>
        <w:t xml:space="preserve">., 2023; Du, </w:t>
      </w:r>
      <w:proofErr w:type="spellStart"/>
      <w:r w:rsidRPr="00067DAE">
        <w:rPr>
          <w:lang w:val="en-US"/>
        </w:rPr>
        <w:t>Shepotylo</w:t>
      </w:r>
      <w:proofErr w:type="spellEnd"/>
      <w:r w:rsidRPr="00067DAE">
        <w:rPr>
          <w:lang w:val="en-US"/>
        </w:rPr>
        <w:t xml:space="preserve"> and Yuan, 2025; Jorgensen </w:t>
      </w:r>
      <w:r w:rsidRPr="00067DAE">
        <w:rPr>
          <w:i/>
          <w:iCs/>
          <w:lang w:val="en-US"/>
        </w:rPr>
        <w:t>et al</w:t>
      </w:r>
      <w:r w:rsidRPr="00067DAE">
        <w:rPr>
          <w:lang w:val="en-US"/>
        </w:rPr>
        <w:t xml:space="preserve">., 2024; Peres, 2025). The use of data-driven methods allows firms to use targeted methods of market entry, supply chain optimization, and operational efficiency (Ugochi, </w:t>
      </w:r>
      <w:proofErr w:type="spellStart"/>
      <w:r w:rsidRPr="00067DAE">
        <w:rPr>
          <w:lang w:val="en-US"/>
        </w:rPr>
        <w:t>Onyeanuforo</w:t>
      </w:r>
      <w:proofErr w:type="spellEnd"/>
      <w:r w:rsidRPr="00067DAE">
        <w:rPr>
          <w:lang w:val="en-US"/>
        </w:rPr>
        <w:t xml:space="preserve"> and Magaji, 2025; Ugochi, </w:t>
      </w:r>
      <w:proofErr w:type="spellStart"/>
      <w:r w:rsidRPr="00067DAE">
        <w:rPr>
          <w:lang w:val="en-US"/>
        </w:rPr>
        <w:t>Onyeanuforo</w:t>
      </w:r>
      <w:proofErr w:type="spellEnd"/>
      <w:r w:rsidRPr="00067DAE">
        <w:rPr>
          <w:lang w:val="en-US"/>
        </w:rPr>
        <w:t xml:space="preserve"> and Alfa, 2023; </w:t>
      </w:r>
      <w:proofErr w:type="spellStart"/>
      <w:r w:rsidRPr="00067DAE">
        <w:rPr>
          <w:lang w:val="en-US"/>
        </w:rPr>
        <w:t>Oyegoke</w:t>
      </w:r>
      <w:proofErr w:type="spellEnd"/>
      <w:r w:rsidRPr="00067DAE">
        <w:rPr>
          <w:lang w:val="en-US"/>
        </w:rPr>
        <w:t xml:space="preserve"> </w:t>
      </w:r>
      <w:r w:rsidRPr="00067DAE">
        <w:rPr>
          <w:i/>
          <w:iCs/>
          <w:lang w:val="en-US"/>
        </w:rPr>
        <w:t>et al</w:t>
      </w:r>
      <w:r w:rsidRPr="00067DAE">
        <w:rPr>
          <w:lang w:val="en-US"/>
        </w:rPr>
        <w:t xml:space="preserve">., 2024; </w:t>
      </w:r>
      <w:proofErr w:type="spellStart"/>
      <w:r w:rsidRPr="00067DAE">
        <w:rPr>
          <w:lang w:val="en-US"/>
        </w:rPr>
        <w:t>Sindakis</w:t>
      </w:r>
      <w:proofErr w:type="spellEnd"/>
      <w:r w:rsidRPr="00067DAE">
        <w:rPr>
          <w:lang w:val="en-US"/>
        </w:rPr>
        <w:t xml:space="preserve"> and Aggarwal, 2022). The next step is the support of automation, process efficiency, and competitive advantage with the help of AI-based platforms and predictive analytics (Muhammad </w:t>
      </w:r>
      <w:r w:rsidRPr="00067DAE">
        <w:rPr>
          <w:i/>
          <w:iCs/>
          <w:lang w:val="en-US"/>
        </w:rPr>
        <w:t>et al</w:t>
      </w:r>
      <w:r w:rsidRPr="00067DAE">
        <w:rPr>
          <w:lang w:val="en-US"/>
        </w:rPr>
        <w:t xml:space="preserve">., 2025; Li </w:t>
      </w:r>
      <w:r w:rsidRPr="00067DAE">
        <w:rPr>
          <w:i/>
          <w:iCs/>
          <w:lang w:val="en-US"/>
        </w:rPr>
        <w:t>et al</w:t>
      </w:r>
      <w:r w:rsidRPr="00067DAE">
        <w:rPr>
          <w:lang w:val="en-US"/>
        </w:rPr>
        <w:t>., 2025).</w:t>
      </w:r>
    </w:p>
    <w:p w14:paraId="78223E96" w14:textId="6C1C581B" w:rsidR="00067DAE" w:rsidRPr="00067DAE" w:rsidRDefault="00067DAE" w:rsidP="00067DAE">
      <w:pPr>
        <w:rPr>
          <w:lang w:val="en-US"/>
        </w:rPr>
      </w:pPr>
      <w:r w:rsidRPr="00067DAE">
        <w:rPr>
          <w:lang w:val="en-US"/>
        </w:rPr>
        <w:t xml:space="preserve">Other opportunities that digital platforms allow include innovation and collaboration. These tools are used to co-create solutions by SMEs, keep visible in international networks and participate in research or consortium projects, which is particularly useful in a post-Brexit environment where access to traditional EU partnerships can be disrupted (Cavallaro &amp; Lepori, 2021; Chai </w:t>
      </w:r>
      <w:r w:rsidRPr="00067DAE">
        <w:rPr>
          <w:i/>
          <w:iCs/>
          <w:lang w:val="en-US"/>
        </w:rPr>
        <w:t>et al</w:t>
      </w:r>
      <w:r w:rsidRPr="00067DAE">
        <w:rPr>
          <w:lang w:val="en-US"/>
        </w:rPr>
        <w:t>., 2024; Collins, 2023; Dowell, Bowen and Morris, 2023). The social media and digital communication platforms also strengthen brand building, communication and trust in cross-border relationships (</w:t>
      </w:r>
      <w:proofErr w:type="spellStart"/>
      <w:r w:rsidRPr="00067DAE">
        <w:rPr>
          <w:lang w:val="en-US"/>
        </w:rPr>
        <w:t>Fatorachian</w:t>
      </w:r>
      <w:proofErr w:type="spellEnd"/>
      <w:r w:rsidRPr="00067DAE">
        <w:rPr>
          <w:lang w:val="en-US"/>
        </w:rPr>
        <w:t xml:space="preserve">, Arboleda and Linh, 2025; Jorgensen </w:t>
      </w:r>
      <w:r w:rsidRPr="00067DAE">
        <w:rPr>
          <w:i/>
          <w:iCs/>
          <w:lang w:val="en-US"/>
        </w:rPr>
        <w:t>et al</w:t>
      </w:r>
      <w:r w:rsidRPr="00067DAE">
        <w:rPr>
          <w:lang w:val="en-US"/>
        </w:rPr>
        <w:t xml:space="preserve">., 2024; Trapp </w:t>
      </w:r>
      <w:r w:rsidRPr="00067DAE">
        <w:rPr>
          <w:i/>
          <w:iCs/>
          <w:lang w:val="en-US"/>
        </w:rPr>
        <w:t>et al</w:t>
      </w:r>
      <w:r w:rsidRPr="00067DAE">
        <w:rPr>
          <w:lang w:val="en-US"/>
        </w:rPr>
        <w:t>., 2023).</w:t>
      </w:r>
    </w:p>
    <w:p w14:paraId="0CBD72E5" w14:textId="2A2182F4" w:rsidR="00A26F4D" w:rsidRDefault="00067DAE" w:rsidP="00067DAE">
      <w:pPr>
        <w:rPr>
          <w:lang w:val="en-US"/>
        </w:rPr>
      </w:pPr>
      <w:r w:rsidRPr="00067DAE">
        <w:rPr>
          <w:lang w:val="en-US"/>
        </w:rPr>
        <w:t xml:space="preserve">On the whole, the synthesis demonstrates a two-sided dynamic because on the one hand, regulatory, operational, and technological pressures are faced by SMEs, on the other hand, strategic, operational, and market-oriented opportunities that are offered by the digital platform can be used to reduce the adverse effects of Brexit. The literature evidences that the effective </w:t>
      </w:r>
      <w:proofErr w:type="spellStart"/>
      <w:r w:rsidRPr="00067DAE">
        <w:rPr>
          <w:lang w:val="en-US"/>
        </w:rPr>
        <w:t>utilisation</w:t>
      </w:r>
      <w:proofErr w:type="spellEnd"/>
      <w:r w:rsidRPr="00067DAE">
        <w:rPr>
          <w:lang w:val="en-US"/>
        </w:rPr>
        <w:t xml:space="preserve"> of such platforms by SMEs in dealing with uncertainty, innovation, and sustaining cross-border operations is the key to successful </w:t>
      </w:r>
      <w:proofErr w:type="spellStart"/>
      <w:r w:rsidRPr="00067DAE">
        <w:rPr>
          <w:lang w:val="en-US"/>
        </w:rPr>
        <w:t>internationalisation</w:t>
      </w:r>
      <w:proofErr w:type="spellEnd"/>
      <w:r w:rsidRPr="00067DAE">
        <w:rPr>
          <w:lang w:val="en-US"/>
        </w:rPr>
        <w:t xml:space="preserve"> in the post-Brexit context (Ahmad </w:t>
      </w:r>
      <w:r w:rsidRPr="00067DAE">
        <w:rPr>
          <w:i/>
          <w:iCs/>
          <w:lang w:val="en-US"/>
        </w:rPr>
        <w:t>et al</w:t>
      </w:r>
      <w:r w:rsidRPr="00067DAE">
        <w:rPr>
          <w:lang w:val="en-US"/>
        </w:rPr>
        <w:t xml:space="preserve">., 2023; Bailey </w:t>
      </w:r>
      <w:r w:rsidRPr="00067DAE">
        <w:rPr>
          <w:i/>
          <w:iCs/>
          <w:lang w:val="en-US"/>
        </w:rPr>
        <w:t>et al</w:t>
      </w:r>
      <w:r w:rsidRPr="00067DAE">
        <w:rPr>
          <w:lang w:val="en-US"/>
        </w:rPr>
        <w:t xml:space="preserve">., 2023; Li </w:t>
      </w:r>
      <w:r w:rsidRPr="00067DAE">
        <w:rPr>
          <w:i/>
          <w:iCs/>
          <w:lang w:val="en-US"/>
        </w:rPr>
        <w:t>et al</w:t>
      </w:r>
      <w:r w:rsidRPr="00067DAE">
        <w:rPr>
          <w:lang w:val="en-US"/>
        </w:rPr>
        <w:t xml:space="preserve">., 2025; </w:t>
      </w:r>
      <w:proofErr w:type="spellStart"/>
      <w:r w:rsidRPr="00067DAE">
        <w:rPr>
          <w:lang w:val="en-US"/>
        </w:rPr>
        <w:t>Zaschitina</w:t>
      </w:r>
      <w:proofErr w:type="spellEnd"/>
      <w:r w:rsidRPr="00067DAE">
        <w:rPr>
          <w:lang w:val="en-US"/>
        </w:rPr>
        <w:t>, 2022).</w:t>
      </w:r>
    </w:p>
    <w:p w14:paraId="781AE2E9" w14:textId="646293D1" w:rsidR="00041CD2" w:rsidRPr="00041CD2" w:rsidRDefault="00A26F4D" w:rsidP="00A26F4D">
      <w:pPr>
        <w:spacing w:before="0" w:after="0"/>
        <w:rPr>
          <w:lang w:val="en-US"/>
        </w:rPr>
      </w:pPr>
      <w:r>
        <w:rPr>
          <w:lang w:val="en-US"/>
        </w:rPr>
        <w:br w:type="page"/>
      </w:r>
    </w:p>
    <w:p w14:paraId="5C08D451" w14:textId="4B9A85A8" w:rsidR="00041CD2" w:rsidRDefault="00041CD2" w:rsidP="00A26F4D">
      <w:pPr>
        <w:pStyle w:val="Heading3"/>
        <w:rPr>
          <w:lang w:val="en-US"/>
        </w:rPr>
      </w:pPr>
      <w:bookmarkStart w:id="51" w:name="_Toc218707773"/>
      <w:r>
        <w:rPr>
          <w:lang w:val="en-US"/>
        </w:rPr>
        <w:lastRenderedPageBreak/>
        <w:t xml:space="preserve">4.4.3 </w:t>
      </w:r>
      <w:r w:rsidRPr="00A26F4D">
        <w:t>Practices</w:t>
      </w:r>
      <w:r w:rsidRPr="00041CD2">
        <w:rPr>
          <w:lang w:val="en-US"/>
        </w:rPr>
        <w:t xml:space="preserve"> and Strategies Adopted by UK SMEs for Effective International Expansion via Digital Platforms</w:t>
      </w:r>
      <w:r w:rsidR="003F5EBC">
        <w:rPr>
          <w:lang w:val="en-US"/>
        </w:rPr>
        <w:t xml:space="preserve"> (RQ3)</w:t>
      </w:r>
      <w:bookmarkEnd w:id="51"/>
    </w:p>
    <w:p w14:paraId="61FF9617" w14:textId="5A3B957D" w:rsidR="00067DAE" w:rsidRPr="00067DAE" w:rsidRDefault="00067DAE" w:rsidP="00067DAE">
      <w:pPr>
        <w:rPr>
          <w:lang w:val="en-US"/>
        </w:rPr>
      </w:pPr>
      <w:r w:rsidRPr="00067DAE">
        <w:rPr>
          <w:lang w:val="en-US"/>
        </w:rPr>
        <w:t xml:space="preserve">The sources indicate that UK SMEs embrace a wide spectrum of digital </w:t>
      </w:r>
      <w:proofErr w:type="spellStart"/>
      <w:r w:rsidRPr="00067DAE">
        <w:rPr>
          <w:lang w:val="en-US"/>
        </w:rPr>
        <w:t>practises</w:t>
      </w:r>
      <w:proofErr w:type="spellEnd"/>
      <w:r w:rsidRPr="00067DAE">
        <w:rPr>
          <w:lang w:val="en-US"/>
        </w:rPr>
        <w:t xml:space="preserve"> and strategic decisions to enable them to expand internationally in the post-Brexit environment. One of the common themes is a digital infrastructure and capability building, such as e-commerce systems, digital supply chain tools, cloud platform, and AI-driven processes. This investment improves the operational efficiency, resiliency, and capacity to meet cross-border regulatory demands (Aghazadeh </w:t>
      </w:r>
      <w:r w:rsidRPr="00067DAE">
        <w:rPr>
          <w:i/>
          <w:iCs/>
          <w:lang w:val="en-US"/>
        </w:rPr>
        <w:t>et al</w:t>
      </w:r>
      <w:r w:rsidRPr="00067DAE">
        <w:rPr>
          <w:lang w:val="en-US"/>
        </w:rPr>
        <w:t xml:space="preserve">., 2023; Bailey </w:t>
      </w:r>
      <w:r w:rsidRPr="00067DAE">
        <w:rPr>
          <w:i/>
          <w:iCs/>
          <w:lang w:val="en-US"/>
        </w:rPr>
        <w:t>et al</w:t>
      </w:r>
      <w:r w:rsidRPr="00067DAE">
        <w:rPr>
          <w:lang w:val="en-US"/>
        </w:rPr>
        <w:t xml:space="preserve">., 2023; Collins, 2023; Konig, 2023; Muhammad </w:t>
      </w:r>
      <w:r w:rsidRPr="00067DAE">
        <w:rPr>
          <w:i/>
          <w:iCs/>
          <w:lang w:val="en-US"/>
        </w:rPr>
        <w:t>et al</w:t>
      </w:r>
      <w:r w:rsidRPr="00067DAE">
        <w:rPr>
          <w:lang w:val="en-US"/>
        </w:rPr>
        <w:t xml:space="preserve">., 2025; Zhang </w:t>
      </w:r>
      <w:r w:rsidRPr="00067DAE">
        <w:rPr>
          <w:i/>
          <w:iCs/>
          <w:lang w:val="en-US"/>
        </w:rPr>
        <w:t>et al</w:t>
      </w:r>
      <w:r w:rsidRPr="00067DAE">
        <w:rPr>
          <w:lang w:val="en-US"/>
        </w:rPr>
        <w:t>., 2025).</w:t>
      </w:r>
    </w:p>
    <w:p w14:paraId="252DD882" w14:textId="47EB84F7" w:rsidR="00067DAE" w:rsidRPr="00067DAE" w:rsidRDefault="00067DAE" w:rsidP="00067DAE">
      <w:pPr>
        <w:rPr>
          <w:lang w:val="en-US"/>
        </w:rPr>
      </w:pPr>
      <w:r w:rsidRPr="00067DAE">
        <w:rPr>
          <w:lang w:val="en-US"/>
        </w:rPr>
        <w:t xml:space="preserve">Online markets and e-commerce sites are also used by many SMEs to diversify their sales opportunities and access international clients. These involve the integration of enterprise resource planning (ERP) systems, the implementation of digital tools in exports, and analytics to </w:t>
      </w:r>
      <w:proofErr w:type="spellStart"/>
      <w:r w:rsidRPr="00067DAE">
        <w:rPr>
          <w:lang w:val="en-US"/>
        </w:rPr>
        <w:t>optimise</w:t>
      </w:r>
      <w:proofErr w:type="spellEnd"/>
      <w:r w:rsidRPr="00067DAE">
        <w:rPr>
          <w:lang w:val="en-US"/>
        </w:rPr>
        <w:t xml:space="preserve"> market entry approaches and platform-based business (Ahmad </w:t>
      </w:r>
      <w:r w:rsidRPr="00067DAE">
        <w:rPr>
          <w:i/>
          <w:iCs/>
          <w:lang w:val="en-US"/>
        </w:rPr>
        <w:t>et al</w:t>
      </w:r>
      <w:r w:rsidRPr="00067DAE">
        <w:rPr>
          <w:lang w:val="en-US"/>
        </w:rPr>
        <w:t xml:space="preserve">., 2023; Bailey </w:t>
      </w:r>
      <w:r w:rsidRPr="00067DAE">
        <w:rPr>
          <w:i/>
          <w:iCs/>
          <w:lang w:val="en-US"/>
        </w:rPr>
        <w:t>et al</w:t>
      </w:r>
      <w:r w:rsidRPr="00067DAE">
        <w:rPr>
          <w:lang w:val="en-US"/>
        </w:rPr>
        <w:t xml:space="preserve">., 2022; </w:t>
      </w:r>
      <w:proofErr w:type="spellStart"/>
      <w:r w:rsidRPr="00067DAE">
        <w:rPr>
          <w:lang w:val="en-US"/>
        </w:rPr>
        <w:t>Lampadarios</w:t>
      </w:r>
      <w:proofErr w:type="spellEnd"/>
      <w:r w:rsidRPr="00067DAE">
        <w:rPr>
          <w:lang w:val="en-US"/>
        </w:rPr>
        <w:t xml:space="preserve"> and Kyriakidou, 2020; Li </w:t>
      </w:r>
      <w:r w:rsidRPr="00067DAE">
        <w:rPr>
          <w:i/>
          <w:iCs/>
          <w:lang w:val="en-US"/>
        </w:rPr>
        <w:t>et al</w:t>
      </w:r>
      <w:r w:rsidRPr="00067DAE">
        <w:rPr>
          <w:lang w:val="en-US"/>
        </w:rPr>
        <w:t xml:space="preserve">., 2025; Linares-Zegarra and Wilson, 2021; Ugochi, </w:t>
      </w:r>
      <w:proofErr w:type="spellStart"/>
      <w:r w:rsidRPr="00067DAE">
        <w:rPr>
          <w:lang w:val="en-US"/>
        </w:rPr>
        <w:t>Onyeanuforo</w:t>
      </w:r>
      <w:proofErr w:type="spellEnd"/>
      <w:r w:rsidRPr="00067DAE">
        <w:rPr>
          <w:lang w:val="en-US"/>
        </w:rPr>
        <w:t xml:space="preserve"> and Alfa, 2025; Zhang </w:t>
      </w:r>
      <w:r w:rsidRPr="00067DAE">
        <w:rPr>
          <w:i/>
          <w:iCs/>
          <w:lang w:val="en-US"/>
        </w:rPr>
        <w:t>et al</w:t>
      </w:r>
      <w:r w:rsidRPr="00067DAE">
        <w:rPr>
          <w:lang w:val="en-US"/>
        </w:rPr>
        <w:t>., 2 Digital marketing, social media communication, and content planning are often used in conjunction with these strategies to help SMEs to enhance brand awareness, track customer interaction, and respond to the competitive dynamics in the international market (</w:t>
      </w:r>
      <w:proofErr w:type="spellStart"/>
      <w:r w:rsidRPr="00067DAE">
        <w:rPr>
          <w:lang w:val="en-US"/>
        </w:rPr>
        <w:t>Fatorachian</w:t>
      </w:r>
      <w:proofErr w:type="spellEnd"/>
      <w:r w:rsidRPr="00067DAE">
        <w:rPr>
          <w:lang w:val="en-US"/>
        </w:rPr>
        <w:t xml:space="preserve">, Arboleda and Linh, 2025; </w:t>
      </w:r>
      <w:proofErr w:type="spellStart"/>
      <w:r w:rsidRPr="00067DAE">
        <w:rPr>
          <w:lang w:val="en-US"/>
        </w:rPr>
        <w:t>Coudounaris</w:t>
      </w:r>
      <w:proofErr w:type="spellEnd"/>
      <w:r w:rsidRPr="00067DAE">
        <w:rPr>
          <w:lang w:val="en-US"/>
        </w:rPr>
        <w:t xml:space="preserve">, 2021; </w:t>
      </w:r>
      <w:proofErr w:type="spellStart"/>
      <w:r w:rsidRPr="00067DAE">
        <w:rPr>
          <w:lang w:val="en-US"/>
        </w:rPr>
        <w:t>Sindakis</w:t>
      </w:r>
      <w:proofErr w:type="spellEnd"/>
      <w:r w:rsidRPr="00067DAE">
        <w:rPr>
          <w:lang w:val="en-US"/>
        </w:rPr>
        <w:t xml:space="preserve"> and Aggarwal, 2022; </w:t>
      </w:r>
      <w:proofErr w:type="spellStart"/>
      <w:r w:rsidRPr="00067DAE">
        <w:rPr>
          <w:lang w:val="en-US"/>
        </w:rPr>
        <w:t>Zaschitina</w:t>
      </w:r>
      <w:proofErr w:type="spellEnd"/>
      <w:r w:rsidRPr="00067DAE">
        <w:rPr>
          <w:lang w:val="en-US"/>
        </w:rPr>
        <w:t>, 2022).</w:t>
      </w:r>
    </w:p>
    <w:p w14:paraId="6AD7B922" w14:textId="4C8D5720" w:rsidR="00067DAE" w:rsidRPr="00067DAE" w:rsidRDefault="00067DAE" w:rsidP="00067DAE">
      <w:pPr>
        <w:rPr>
          <w:lang w:val="en-US"/>
        </w:rPr>
      </w:pPr>
      <w:r w:rsidRPr="00067DAE">
        <w:rPr>
          <w:lang w:val="en-US"/>
        </w:rPr>
        <w:t xml:space="preserve">A second significant theme is that of digital cooperation and communication. To preserve the cross-border relations, coordinate with suppliers, and work on international projects, SMEs use online meeting tools, messaging tools, project management systems, and digital monitoring tools (Ahmad </w:t>
      </w:r>
      <w:r w:rsidRPr="00067DAE">
        <w:rPr>
          <w:i/>
          <w:iCs/>
          <w:lang w:val="en-US"/>
        </w:rPr>
        <w:t>et al</w:t>
      </w:r>
      <w:r w:rsidRPr="00067DAE">
        <w:rPr>
          <w:lang w:val="en-US"/>
        </w:rPr>
        <w:t xml:space="preserve">., 2023; Cavallaro and Lepori, 2021; Dowell, Bowen and Morris, 2023; Trapp </w:t>
      </w:r>
      <w:r w:rsidRPr="00067DAE">
        <w:rPr>
          <w:i/>
          <w:iCs/>
          <w:lang w:val="en-US"/>
        </w:rPr>
        <w:t>et al</w:t>
      </w:r>
      <w:r w:rsidRPr="00067DAE">
        <w:rPr>
          <w:lang w:val="en-US"/>
        </w:rPr>
        <w:t xml:space="preserve">., 2023; </w:t>
      </w:r>
      <w:proofErr w:type="spellStart"/>
      <w:r w:rsidRPr="00067DAE">
        <w:rPr>
          <w:lang w:val="en-US"/>
        </w:rPr>
        <w:t>Oyegoke</w:t>
      </w:r>
      <w:proofErr w:type="spellEnd"/>
      <w:r w:rsidRPr="00067DAE">
        <w:rPr>
          <w:lang w:val="en-US"/>
        </w:rPr>
        <w:t xml:space="preserve"> </w:t>
      </w:r>
      <w:r w:rsidRPr="00067DAE">
        <w:rPr>
          <w:i/>
          <w:iCs/>
          <w:lang w:val="en-US"/>
        </w:rPr>
        <w:t>et al</w:t>
      </w:r>
      <w:r w:rsidRPr="00067DAE">
        <w:rPr>
          <w:lang w:val="en-US"/>
        </w:rPr>
        <w:t xml:space="preserve">., 2024). Trust-building, reducing trade uncertainties, and supply chain visibility can be facilitated by structured digital interaction especially in case of Brexit-related </w:t>
      </w:r>
      <w:proofErr w:type="spellStart"/>
      <w:r w:rsidRPr="00067DAE">
        <w:rPr>
          <w:lang w:val="en-US"/>
        </w:rPr>
        <w:t>disrupture</w:t>
      </w:r>
      <w:proofErr w:type="spellEnd"/>
      <w:r w:rsidRPr="00067DAE">
        <w:rPr>
          <w:lang w:val="en-US"/>
        </w:rPr>
        <w:t xml:space="preserve"> (Douch and Edwards, 2021; Uddin, Chowdhury and Wood, 2022).</w:t>
      </w:r>
    </w:p>
    <w:p w14:paraId="70E6393F" w14:textId="77777777" w:rsidR="00067DAE" w:rsidRPr="00067DAE" w:rsidRDefault="00067DAE" w:rsidP="00067DAE">
      <w:pPr>
        <w:rPr>
          <w:lang w:val="en-US"/>
        </w:rPr>
      </w:pPr>
      <w:r w:rsidRPr="00067DAE">
        <w:rPr>
          <w:lang w:val="en-US"/>
        </w:rPr>
        <w:t xml:space="preserve">Another important strand of practices is the practice of risk management and compliance. SMEs implement digital compliance solutions, cybersecurity mechanisms, and AI/ML to look after the regulatory congruity, safeguard information, </w:t>
      </w:r>
      <w:r w:rsidRPr="00067DAE">
        <w:rPr>
          <w:lang w:val="en-US"/>
        </w:rPr>
        <w:lastRenderedPageBreak/>
        <w:t xml:space="preserve">and handle operational risk. Those are especially relevant in the face of post-Brexit regulatory differences and uncertainty of cross-border trade (Collins, 2023; Konig, 2023; </w:t>
      </w:r>
      <w:proofErr w:type="spellStart"/>
      <w:r w:rsidRPr="00067DAE">
        <w:rPr>
          <w:lang w:val="en-US"/>
        </w:rPr>
        <w:t>Rawindaran</w:t>
      </w:r>
      <w:proofErr w:type="spellEnd"/>
      <w:r w:rsidRPr="00067DAE">
        <w:rPr>
          <w:lang w:val="en-US"/>
        </w:rPr>
        <w:t xml:space="preserve">, Jayal and Prakash, 2021; Ugochi, </w:t>
      </w:r>
      <w:proofErr w:type="spellStart"/>
      <w:r w:rsidRPr="00067DAE">
        <w:rPr>
          <w:lang w:val="en-US"/>
        </w:rPr>
        <w:t>Onyeanuforo</w:t>
      </w:r>
      <w:proofErr w:type="spellEnd"/>
      <w:r w:rsidRPr="00067DAE">
        <w:rPr>
          <w:lang w:val="en-US"/>
        </w:rPr>
        <w:t xml:space="preserve"> and Magaji, 2023; Wong, 2022).</w:t>
      </w:r>
    </w:p>
    <w:p w14:paraId="4B2F154E" w14:textId="4A7C540C" w:rsidR="00067DAE" w:rsidRPr="00067DAE" w:rsidRDefault="00067DAE" w:rsidP="00067DAE">
      <w:pPr>
        <w:rPr>
          <w:lang w:val="en-US"/>
        </w:rPr>
      </w:pPr>
      <w:r w:rsidRPr="00067DAE">
        <w:rPr>
          <w:lang w:val="en-US"/>
        </w:rPr>
        <w:t xml:space="preserve">Some of the studies focus on strategic and analytical methods of international expansion. Platform-based analytics, market intelligence dashboards, PEST/SWOT insights, and data-driven decision-making have become more popular with SMEs to identify opportunities, </w:t>
      </w:r>
      <w:proofErr w:type="spellStart"/>
      <w:r w:rsidRPr="00067DAE">
        <w:rPr>
          <w:lang w:val="en-US"/>
        </w:rPr>
        <w:t>optimise</w:t>
      </w:r>
      <w:proofErr w:type="spellEnd"/>
      <w:r w:rsidRPr="00067DAE">
        <w:rPr>
          <w:lang w:val="en-US"/>
        </w:rPr>
        <w:t xml:space="preserve"> supply chains, and change marketing strategies to fit foreign markets (Barron and </w:t>
      </w:r>
      <w:proofErr w:type="spellStart"/>
      <w:r w:rsidRPr="00067DAE">
        <w:rPr>
          <w:lang w:val="en-US"/>
        </w:rPr>
        <w:t>Boutary</w:t>
      </w:r>
      <w:proofErr w:type="spellEnd"/>
      <w:r w:rsidRPr="00067DAE">
        <w:rPr>
          <w:lang w:val="en-US"/>
        </w:rPr>
        <w:t xml:space="preserve">, 2020; Hassan </w:t>
      </w:r>
      <w:r w:rsidRPr="00067DAE">
        <w:rPr>
          <w:i/>
          <w:iCs/>
          <w:lang w:val="en-US"/>
        </w:rPr>
        <w:t>et al</w:t>
      </w:r>
      <w:r w:rsidRPr="00067DAE">
        <w:rPr>
          <w:lang w:val="en-US"/>
        </w:rPr>
        <w:t xml:space="preserve">., 2023; Li </w:t>
      </w:r>
      <w:r w:rsidRPr="00067DAE">
        <w:rPr>
          <w:i/>
          <w:iCs/>
          <w:lang w:val="en-US"/>
        </w:rPr>
        <w:t>et al</w:t>
      </w:r>
      <w:r w:rsidRPr="00067DAE">
        <w:rPr>
          <w:lang w:val="en-US"/>
        </w:rPr>
        <w:t xml:space="preserve">., 2025; </w:t>
      </w:r>
      <w:proofErr w:type="spellStart"/>
      <w:r w:rsidRPr="00067DAE">
        <w:rPr>
          <w:lang w:val="en-US"/>
        </w:rPr>
        <w:t>Zaschitina</w:t>
      </w:r>
      <w:proofErr w:type="spellEnd"/>
      <w:r w:rsidRPr="00067DAE">
        <w:rPr>
          <w:lang w:val="en-US"/>
        </w:rPr>
        <w:t xml:space="preserve">, 2022; Ugochi, </w:t>
      </w:r>
      <w:proofErr w:type="spellStart"/>
      <w:r w:rsidRPr="00067DAE">
        <w:rPr>
          <w:lang w:val="en-US"/>
        </w:rPr>
        <w:t>Onyeanuforo</w:t>
      </w:r>
      <w:proofErr w:type="spellEnd"/>
      <w:r w:rsidRPr="00067DAE">
        <w:rPr>
          <w:lang w:val="en-US"/>
        </w:rPr>
        <w:t xml:space="preserve"> and Alfa, 2025). This integration of analytic tools and online platforms allows making reactions to market variability and regulatory adjustments more responsive.</w:t>
      </w:r>
    </w:p>
    <w:p w14:paraId="68512F12" w14:textId="339BBA02" w:rsidR="00067DAE" w:rsidRPr="00067DAE" w:rsidRDefault="00067DAE" w:rsidP="00067DAE">
      <w:pPr>
        <w:rPr>
          <w:lang w:val="en-US"/>
        </w:rPr>
      </w:pPr>
      <w:r w:rsidRPr="00067DAE">
        <w:rPr>
          <w:lang w:val="en-US"/>
        </w:rPr>
        <w:t xml:space="preserve">Lastly, the literature identifies the ongoing skills acquisition and capacity building as a key to successful digital adoption. To make sure that the staff can use the digital platform to its maximum potential in international development, SMEs invest in AI, digital finance, cybersecurity, and e-commerce operations upskilling (Muhammad </w:t>
      </w:r>
      <w:r w:rsidRPr="00067DAE">
        <w:rPr>
          <w:i/>
          <w:iCs/>
          <w:lang w:val="en-US"/>
        </w:rPr>
        <w:t>et al</w:t>
      </w:r>
      <w:r w:rsidRPr="00067DAE">
        <w:rPr>
          <w:lang w:val="en-US"/>
        </w:rPr>
        <w:t xml:space="preserve">., 2025; Pardy and Ampudia, 2023; Soner, </w:t>
      </w:r>
      <w:proofErr w:type="spellStart"/>
      <w:r w:rsidRPr="00067DAE">
        <w:rPr>
          <w:lang w:val="en-US"/>
        </w:rPr>
        <w:t>Alsakka</w:t>
      </w:r>
      <w:proofErr w:type="spellEnd"/>
      <w:r w:rsidRPr="00067DAE">
        <w:rPr>
          <w:lang w:val="en-US"/>
        </w:rPr>
        <w:t xml:space="preserve"> and </w:t>
      </w:r>
      <w:proofErr w:type="spellStart"/>
      <w:r w:rsidRPr="00067DAE">
        <w:rPr>
          <w:lang w:val="en-US"/>
        </w:rPr>
        <w:t>Mantovan</w:t>
      </w:r>
      <w:proofErr w:type="spellEnd"/>
      <w:r w:rsidRPr="00067DAE">
        <w:rPr>
          <w:lang w:val="en-US"/>
        </w:rPr>
        <w:t xml:space="preserve">, 2025; Aghazadeh </w:t>
      </w:r>
      <w:r w:rsidRPr="00067DAE">
        <w:rPr>
          <w:i/>
          <w:iCs/>
          <w:lang w:val="en-US"/>
        </w:rPr>
        <w:t>et al</w:t>
      </w:r>
      <w:r w:rsidRPr="00067DAE">
        <w:rPr>
          <w:lang w:val="en-US"/>
        </w:rPr>
        <w:t xml:space="preserve">., 2023). These practices promote </w:t>
      </w:r>
      <w:proofErr w:type="spellStart"/>
      <w:r w:rsidRPr="00067DAE">
        <w:rPr>
          <w:lang w:val="en-US"/>
        </w:rPr>
        <w:t>organisational</w:t>
      </w:r>
      <w:proofErr w:type="spellEnd"/>
      <w:r w:rsidRPr="00067DAE">
        <w:rPr>
          <w:lang w:val="en-US"/>
        </w:rPr>
        <w:t xml:space="preserve"> resilience, efficiency in operations and competitiveness in the long term within the international markets.</w:t>
      </w:r>
    </w:p>
    <w:p w14:paraId="51894C93" w14:textId="3C0E7BEF" w:rsidR="00A26F4D" w:rsidRDefault="00067DAE" w:rsidP="00067DAE">
      <w:pPr>
        <w:rPr>
          <w:lang w:val="en-US"/>
        </w:rPr>
      </w:pPr>
      <w:r w:rsidRPr="00067DAE">
        <w:rPr>
          <w:lang w:val="en-US"/>
        </w:rPr>
        <w:t xml:space="preserve">To conclude, the synthesis shows that the digital practices and strategies of UK SMEs are multi-dimensional, consisting of infrastructure investment, platform integration, digital marketing, collaboration, compliance, analytics, and staff development. Together, these </w:t>
      </w:r>
      <w:proofErr w:type="spellStart"/>
      <w:r w:rsidRPr="00067DAE">
        <w:rPr>
          <w:lang w:val="en-US"/>
        </w:rPr>
        <w:t>practises</w:t>
      </w:r>
      <w:proofErr w:type="spellEnd"/>
      <w:r w:rsidRPr="00067DAE">
        <w:rPr>
          <w:lang w:val="en-US"/>
        </w:rPr>
        <w:t xml:space="preserve"> allow SMEs to break the barriers of the post-Brexit flow, simplify the global business, and increase the global interaction, which is why digital platforms are in the centre of their </w:t>
      </w:r>
      <w:proofErr w:type="spellStart"/>
      <w:r w:rsidRPr="00067DAE">
        <w:rPr>
          <w:lang w:val="en-US"/>
        </w:rPr>
        <w:t>internationalisation</w:t>
      </w:r>
      <w:proofErr w:type="spellEnd"/>
      <w:r w:rsidRPr="00067DAE">
        <w:rPr>
          <w:lang w:val="en-US"/>
        </w:rPr>
        <w:t xml:space="preserve"> strategies (Ahmad </w:t>
      </w:r>
      <w:r w:rsidRPr="00067DAE">
        <w:rPr>
          <w:i/>
          <w:iCs/>
          <w:lang w:val="en-US"/>
        </w:rPr>
        <w:t>et al</w:t>
      </w:r>
      <w:r w:rsidRPr="00067DAE">
        <w:rPr>
          <w:lang w:val="en-US"/>
        </w:rPr>
        <w:t xml:space="preserve">., 2023; Li </w:t>
      </w:r>
      <w:r w:rsidRPr="00067DAE">
        <w:rPr>
          <w:i/>
          <w:iCs/>
          <w:lang w:val="en-US"/>
        </w:rPr>
        <w:t>et al</w:t>
      </w:r>
      <w:r w:rsidRPr="00067DAE">
        <w:rPr>
          <w:lang w:val="en-US"/>
        </w:rPr>
        <w:t xml:space="preserve">., 2025; Zhang </w:t>
      </w:r>
      <w:r w:rsidRPr="00067DAE">
        <w:rPr>
          <w:i/>
          <w:iCs/>
          <w:lang w:val="en-US"/>
        </w:rPr>
        <w:t>et al</w:t>
      </w:r>
      <w:r w:rsidRPr="00067DAE">
        <w:rPr>
          <w:lang w:val="en-US"/>
        </w:rPr>
        <w:t>., 2025).</w:t>
      </w:r>
    </w:p>
    <w:p w14:paraId="13B2FED1" w14:textId="77777777" w:rsidR="00A26F4D" w:rsidRDefault="00A26F4D">
      <w:pPr>
        <w:spacing w:before="0" w:after="0"/>
        <w:rPr>
          <w:lang w:val="en-US"/>
        </w:rPr>
      </w:pPr>
      <w:r>
        <w:rPr>
          <w:lang w:val="en-US"/>
        </w:rPr>
        <w:br w:type="page"/>
      </w:r>
    </w:p>
    <w:p w14:paraId="46CAFEE6" w14:textId="71948635" w:rsidR="00A26F4D" w:rsidRPr="00A26F4D" w:rsidRDefault="00A26F4D" w:rsidP="00A26F4D">
      <w:pPr>
        <w:pStyle w:val="Heading2"/>
        <w:rPr>
          <w:lang w:val="en-US"/>
        </w:rPr>
      </w:pPr>
      <w:bookmarkStart w:id="52" w:name="_Toc218707774"/>
      <w:r>
        <w:rPr>
          <w:lang w:val="en-US"/>
        </w:rPr>
        <w:lastRenderedPageBreak/>
        <w:t xml:space="preserve">4.5 </w:t>
      </w:r>
      <w:r w:rsidRPr="00A26F4D">
        <w:rPr>
          <w:lang w:val="en-US"/>
        </w:rPr>
        <w:t>Discussion: Linking Findings to Theoretical Frameworks</w:t>
      </w:r>
      <w:bookmarkEnd w:id="52"/>
    </w:p>
    <w:p w14:paraId="7756385D" w14:textId="77777777" w:rsidR="009673D4" w:rsidRPr="009673D4" w:rsidRDefault="009673D4" w:rsidP="009673D4">
      <w:pPr>
        <w:rPr>
          <w:lang w:val="en-US"/>
        </w:rPr>
      </w:pPr>
      <w:r w:rsidRPr="009673D4">
        <w:rPr>
          <w:lang w:val="en-US"/>
        </w:rPr>
        <w:t xml:space="preserve">The three narrative syntheses, i.e. the roles of the digital platforms, challenges, and opportunities faced by the SMEs, and the </w:t>
      </w:r>
      <w:proofErr w:type="spellStart"/>
      <w:r w:rsidRPr="009673D4">
        <w:rPr>
          <w:lang w:val="en-US"/>
        </w:rPr>
        <w:t>practises</w:t>
      </w:r>
      <w:proofErr w:type="spellEnd"/>
      <w:r w:rsidRPr="009673D4">
        <w:rPr>
          <w:lang w:val="en-US"/>
        </w:rPr>
        <w:t xml:space="preserve"> and strategies being used, all depict how UK SMEs are coping with post-Brexit </w:t>
      </w:r>
      <w:proofErr w:type="spellStart"/>
      <w:r w:rsidRPr="009673D4">
        <w:rPr>
          <w:lang w:val="en-US"/>
        </w:rPr>
        <w:t>internationalisation</w:t>
      </w:r>
      <w:proofErr w:type="spellEnd"/>
      <w:r w:rsidRPr="009673D4">
        <w:rPr>
          <w:lang w:val="en-US"/>
        </w:rPr>
        <w:t>. These findings provide more profound insight into the mechanisms of the international expansion that are enabled by digital when understood in the context of the existing theoretical frameworks.</w:t>
      </w:r>
    </w:p>
    <w:p w14:paraId="41BD32EF" w14:textId="60504AD9" w:rsidR="009673D4" w:rsidRPr="009673D4" w:rsidRDefault="009673D4" w:rsidP="009673D4">
      <w:pPr>
        <w:rPr>
          <w:lang w:val="en-US"/>
        </w:rPr>
      </w:pPr>
      <w:r w:rsidRPr="009673D4">
        <w:rPr>
          <w:lang w:val="en-US"/>
        </w:rPr>
        <w:t xml:space="preserve">According to the Uppsala Model, companies go international step by step, acquiring knowledge and experience on culturally and geographically close markets and then move to more distant or complicated markets (Vahlne, 2020). The production of RQ1 shows that online platforms break this incremental strategy. The UK SMEs access international customers, test their products, and gain experience levels without relying on major physical presence through online marketplaces and social media, as well as through e-commerce tools (Aghazadeh </w:t>
      </w:r>
      <w:r w:rsidR="00067DAE" w:rsidRPr="00067DAE">
        <w:rPr>
          <w:i/>
          <w:iCs/>
          <w:lang w:val="en-US"/>
        </w:rPr>
        <w:t>et al</w:t>
      </w:r>
      <w:r w:rsidRPr="009673D4">
        <w:rPr>
          <w:lang w:val="en-US"/>
        </w:rPr>
        <w:t xml:space="preserve">., 2023; Collins, 2023; Li </w:t>
      </w:r>
      <w:r w:rsidR="00067DAE" w:rsidRPr="00067DAE">
        <w:rPr>
          <w:i/>
          <w:iCs/>
          <w:lang w:val="en-US"/>
        </w:rPr>
        <w:t>et al</w:t>
      </w:r>
      <w:r w:rsidRPr="009673D4">
        <w:rPr>
          <w:lang w:val="en-US"/>
        </w:rPr>
        <w:t xml:space="preserve">., 2025; Zhang </w:t>
      </w:r>
      <w:r w:rsidR="00067DAE" w:rsidRPr="00067DAE">
        <w:rPr>
          <w:i/>
          <w:iCs/>
          <w:lang w:val="en-US"/>
        </w:rPr>
        <w:t>et al</w:t>
      </w:r>
      <w:r w:rsidRPr="009673D4">
        <w:rPr>
          <w:lang w:val="en-US"/>
        </w:rPr>
        <w:t xml:space="preserve">., 2025). RQ3 reveals that platform-based analytics, digital monitoring and e-commerce channels are strategic and are adopted by SMEs to successfully accelerate their learning process and </w:t>
      </w:r>
      <w:proofErr w:type="spellStart"/>
      <w:r w:rsidRPr="009673D4">
        <w:rPr>
          <w:lang w:val="en-US"/>
        </w:rPr>
        <w:t>minimise</w:t>
      </w:r>
      <w:proofErr w:type="spellEnd"/>
      <w:r w:rsidRPr="009673D4">
        <w:rPr>
          <w:lang w:val="en-US"/>
        </w:rPr>
        <w:t xml:space="preserve"> uncertainty. The synthesis of RQ2 also supports the fact that digital tools can overcome the traditional barriers to entry into the market, including unfamiliarity with the market and regulatory barriers (Ahmad </w:t>
      </w:r>
      <w:r w:rsidR="00067DAE" w:rsidRPr="00067DAE">
        <w:rPr>
          <w:i/>
          <w:iCs/>
          <w:lang w:val="en-US"/>
        </w:rPr>
        <w:t>et al</w:t>
      </w:r>
      <w:r w:rsidRPr="009673D4">
        <w:rPr>
          <w:lang w:val="en-US"/>
        </w:rPr>
        <w:t xml:space="preserve">., 2023; Du and </w:t>
      </w:r>
      <w:proofErr w:type="spellStart"/>
      <w:r w:rsidRPr="009673D4">
        <w:rPr>
          <w:lang w:val="en-US"/>
        </w:rPr>
        <w:t>Shepotylo</w:t>
      </w:r>
      <w:proofErr w:type="spellEnd"/>
      <w:r w:rsidRPr="009673D4">
        <w:rPr>
          <w:lang w:val="en-US"/>
        </w:rPr>
        <w:t xml:space="preserve">, 2024), which allows SMEs to avoid the time-intensive and gradual </w:t>
      </w:r>
      <w:proofErr w:type="spellStart"/>
      <w:r w:rsidRPr="009673D4">
        <w:rPr>
          <w:lang w:val="en-US"/>
        </w:rPr>
        <w:t>internationalisation</w:t>
      </w:r>
      <w:proofErr w:type="spellEnd"/>
      <w:r w:rsidRPr="009673D4">
        <w:rPr>
          <w:lang w:val="en-US"/>
        </w:rPr>
        <w:t xml:space="preserve"> as suggested by the Uppsala model. Digital platforms enable SMEs in a way to bypass stages of </w:t>
      </w:r>
      <w:proofErr w:type="spellStart"/>
      <w:r w:rsidRPr="009673D4">
        <w:rPr>
          <w:lang w:val="en-US"/>
        </w:rPr>
        <w:t>internationalisation</w:t>
      </w:r>
      <w:proofErr w:type="spellEnd"/>
      <w:r w:rsidRPr="009673D4">
        <w:rPr>
          <w:lang w:val="en-US"/>
        </w:rPr>
        <w:t xml:space="preserve"> because they can learn the market and gain operational experience virtually overnight.</w:t>
      </w:r>
    </w:p>
    <w:p w14:paraId="1257CB13" w14:textId="216A3FD9" w:rsidR="009673D4" w:rsidRPr="009673D4" w:rsidRDefault="009673D4" w:rsidP="009673D4">
      <w:pPr>
        <w:rPr>
          <w:lang w:val="en-US"/>
        </w:rPr>
      </w:pPr>
      <w:r w:rsidRPr="009673D4">
        <w:rPr>
          <w:lang w:val="en-US"/>
        </w:rPr>
        <w:t xml:space="preserve">The RBV model considers the firm-specific resources as the sources of sustainable competitive advantage (El </w:t>
      </w:r>
      <w:proofErr w:type="spellStart"/>
      <w:r w:rsidRPr="009673D4">
        <w:rPr>
          <w:lang w:val="en-US"/>
        </w:rPr>
        <w:t>Nemar</w:t>
      </w:r>
      <w:proofErr w:type="spellEnd"/>
      <w:r w:rsidRPr="009673D4">
        <w:rPr>
          <w:lang w:val="en-US"/>
        </w:rPr>
        <w:t xml:space="preserve"> </w:t>
      </w:r>
      <w:r w:rsidR="00067DAE" w:rsidRPr="00067DAE">
        <w:rPr>
          <w:i/>
          <w:iCs/>
          <w:lang w:val="en-US"/>
        </w:rPr>
        <w:t>et al</w:t>
      </w:r>
      <w:r w:rsidRPr="009673D4">
        <w:rPr>
          <w:lang w:val="en-US"/>
        </w:rPr>
        <w:t>., 2022). In all of these three syntheses, digital platforms become a strategic resource and not an operational tool. RQ1 notes that they play a role in operational continuity, cross-border finance, and customer engagement (</w:t>
      </w:r>
      <w:proofErr w:type="spellStart"/>
      <w:r w:rsidRPr="009673D4">
        <w:rPr>
          <w:lang w:val="en-US"/>
        </w:rPr>
        <w:t>Avgouleas</w:t>
      </w:r>
      <w:proofErr w:type="spellEnd"/>
      <w:r w:rsidRPr="009673D4">
        <w:rPr>
          <w:lang w:val="en-US"/>
        </w:rPr>
        <w:t xml:space="preserve"> and </w:t>
      </w:r>
      <w:proofErr w:type="spellStart"/>
      <w:r w:rsidRPr="009673D4">
        <w:rPr>
          <w:lang w:val="en-US"/>
        </w:rPr>
        <w:t>Seretakis</w:t>
      </w:r>
      <w:proofErr w:type="spellEnd"/>
      <w:r w:rsidRPr="009673D4">
        <w:rPr>
          <w:lang w:val="en-US"/>
        </w:rPr>
        <w:t xml:space="preserve">, 2021; Collins, 2023; Peres, 2025). RQ3 illustrates the active way SMEs involve digital tools in their routines such as e-commerce integration, AI adoption, platform-based analytics, and cybersecurity measures to work more efficiently and compete better (Muhammad </w:t>
      </w:r>
      <w:r w:rsidR="00067DAE" w:rsidRPr="00067DAE">
        <w:rPr>
          <w:i/>
          <w:iCs/>
          <w:lang w:val="en-US"/>
        </w:rPr>
        <w:t>et al</w:t>
      </w:r>
      <w:r w:rsidRPr="009673D4">
        <w:rPr>
          <w:lang w:val="en-US"/>
        </w:rPr>
        <w:t xml:space="preserve">., 2025; </w:t>
      </w:r>
      <w:proofErr w:type="spellStart"/>
      <w:r w:rsidRPr="009673D4">
        <w:rPr>
          <w:lang w:val="en-US"/>
        </w:rPr>
        <w:t>Zaschitina</w:t>
      </w:r>
      <w:proofErr w:type="spellEnd"/>
      <w:r w:rsidRPr="009673D4">
        <w:rPr>
          <w:lang w:val="en-US"/>
        </w:rPr>
        <w:t xml:space="preserve">, 2022; Ugochi, </w:t>
      </w:r>
      <w:proofErr w:type="spellStart"/>
      <w:r w:rsidRPr="009673D4">
        <w:rPr>
          <w:lang w:val="en-US"/>
        </w:rPr>
        <w:t>Onyeanuforo</w:t>
      </w:r>
      <w:proofErr w:type="spellEnd"/>
      <w:r w:rsidRPr="009673D4">
        <w:rPr>
          <w:lang w:val="en-US"/>
        </w:rPr>
        <w:t xml:space="preserve"> and Alfa, 2025). Furthermore, RQ2 </w:t>
      </w:r>
      <w:r w:rsidRPr="009673D4">
        <w:rPr>
          <w:lang w:val="en-US"/>
        </w:rPr>
        <w:lastRenderedPageBreak/>
        <w:t xml:space="preserve">demonstrates that digital resources assist SMEs to deal with uncertainty and regulatory risks after Brexit (Ahmad </w:t>
      </w:r>
      <w:r w:rsidR="00067DAE" w:rsidRPr="00067DAE">
        <w:rPr>
          <w:i/>
          <w:iCs/>
          <w:lang w:val="en-US"/>
        </w:rPr>
        <w:t>et al</w:t>
      </w:r>
      <w:r w:rsidRPr="009673D4">
        <w:rPr>
          <w:lang w:val="en-US"/>
        </w:rPr>
        <w:t>., 2023; Peres, 2025). These capabilities are valuable, rare, and inimitable resources according to the RBV view that can be viewed as resources that sustain long-term resilience and growth in the competitive international market.</w:t>
      </w:r>
    </w:p>
    <w:p w14:paraId="4D165FFC" w14:textId="74ED8658" w:rsidR="009673D4" w:rsidRPr="009673D4" w:rsidRDefault="009673D4" w:rsidP="009673D4">
      <w:pPr>
        <w:rPr>
          <w:lang w:val="en-US"/>
        </w:rPr>
      </w:pPr>
      <w:r w:rsidRPr="009673D4">
        <w:rPr>
          <w:lang w:val="en-US"/>
        </w:rPr>
        <w:t xml:space="preserve">Network theory underlines the significance of relational and business networks to succeed in </w:t>
      </w:r>
      <w:proofErr w:type="spellStart"/>
      <w:r w:rsidRPr="009673D4">
        <w:rPr>
          <w:lang w:val="en-US"/>
        </w:rPr>
        <w:t>internationalisation</w:t>
      </w:r>
      <w:proofErr w:type="spellEnd"/>
      <w:r w:rsidRPr="009673D4">
        <w:rPr>
          <w:lang w:val="en-US"/>
        </w:rPr>
        <w:t xml:space="preserve"> (Cuypers </w:t>
      </w:r>
      <w:r w:rsidR="00067DAE" w:rsidRPr="00067DAE">
        <w:rPr>
          <w:i/>
          <w:iCs/>
          <w:lang w:val="en-US"/>
        </w:rPr>
        <w:t>et al</w:t>
      </w:r>
      <w:r w:rsidRPr="009673D4">
        <w:rPr>
          <w:lang w:val="en-US"/>
        </w:rPr>
        <w:t xml:space="preserve">., 2020). According to the narrative synthesis of RQ1, digital platforms can enable international collaboration, partnerships, and knowledge sharing, which will enable SMEs to access global networks they would have been limited to by geography (Cavallaro &amp; Lepori, 2021; </w:t>
      </w:r>
      <w:proofErr w:type="spellStart"/>
      <w:r w:rsidRPr="009673D4">
        <w:rPr>
          <w:lang w:val="en-US"/>
        </w:rPr>
        <w:t>Fatorachian</w:t>
      </w:r>
      <w:proofErr w:type="spellEnd"/>
      <w:r w:rsidRPr="009673D4">
        <w:rPr>
          <w:lang w:val="en-US"/>
        </w:rPr>
        <w:t xml:space="preserve">, Arboleda and Linh, 2025; Jorgensen </w:t>
      </w:r>
      <w:r w:rsidR="00067DAE" w:rsidRPr="00067DAE">
        <w:rPr>
          <w:i/>
          <w:iCs/>
          <w:lang w:val="en-US"/>
        </w:rPr>
        <w:t>et al</w:t>
      </w:r>
      <w:r w:rsidRPr="009673D4">
        <w:rPr>
          <w:lang w:val="en-US"/>
        </w:rPr>
        <w:t xml:space="preserve">., 2024). RQ3 demonstrates that SMEs are using systematic online communication, online project management, and collaboration tools to ensure trust and involvement with foreign partners (Dowell, Bowen &amp; Morris, 2023; Trapp </w:t>
      </w:r>
      <w:r w:rsidR="00067DAE" w:rsidRPr="00067DAE">
        <w:rPr>
          <w:i/>
          <w:iCs/>
          <w:lang w:val="en-US"/>
        </w:rPr>
        <w:t>et al</w:t>
      </w:r>
      <w:r w:rsidRPr="009673D4">
        <w:rPr>
          <w:lang w:val="en-US"/>
        </w:rPr>
        <w:t xml:space="preserve">., 2023). At the same time, RQ2 </w:t>
      </w:r>
      <w:proofErr w:type="spellStart"/>
      <w:r w:rsidRPr="009673D4">
        <w:rPr>
          <w:lang w:val="en-US"/>
        </w:rPr>
        <w:t>emphasises</w:t>
      </w:r>
      <w:proofErr w:type="spellEnd"/>
      <w:r w:rsidRPr="009673D4">
        <w:rPr>
          <w:lang w:val="en-US"/>
        </w:rPr>
        <w:t xml:space="preserve"> that these networks assist SMEs in overcoming the post-Brexit obstacles, search other partners, markets, and resources (Cowling and Brown, 2024; Hassan </w:t>
      </w:r>
      <w:r w:rsidR="00067DAE" w:rsidRPr="00067DAE">
        <w:rPr>
          <w:i/>
          <w:iCs/>
          <w:lang w:val="en-US"/>
        </w:rPr>
        <w:t>et al</w:t>
      </w:r>
      <w:r w:rsidRPr="009673D4">
        <w:rPr>
          <w:lang w:val="en-US"/>
        </w:rPr>
        <w:t>., 2023). Digital networks therefore complement the old forms of relational, to give the SMEs a strong platform to grow internationally in a fragmented post-Brexit market.</w:t>
      </w:r>
    </w:p>
    <w:p w14:paraId="6E6D1658" w14:textId="2D41C669" w:rsidR="009673D4" w:rsidRPr="009673D4" w:rsidRDefault="009673D4" w:rsidP="009673D4">
      <w:pPr>
        <w:rPr>
          <w:lang w:val="en-US"/>
        </w:rPr>
      </w:pPr>
      <w:r w:rsidRPr="009673D4">
        <w:rPr>
          <w:lang w:val="en-US"/>
        </w:rPr>
        <w:t xml:space="preserve">The TAM model describes the adoption behaviour concerning the perceived ease of use and usefulness of the technology (Rahman </w:t>
      </w:r>
      <w:r w:rsidR="00067DAE" w:rsidRPr="00067DAE">
        <w:rPr>
          <w:i/>
          <w:iCs/>
          <w:lang w:val="en-US"/>
        </w:rPr>
        <w:t>et al</w:t>
      </w:r>
      <w:r w:rsidRPr="009673D4">
        <w:rPr>
          <w:lang w:val="en-US"/>
        </w:rPr>
        <w:t xml:space="preserve">., 2019). The results of RQ3 show that SMEs choose and adopt digital platforms in a strategic manner and tend to focus on intuitive and reliable tools that provide them with quantifiable advantages, including operational continuity, market analytics, or compliance monitoring (Ahmad </w:t>
      </w:r>
      <w:r w:rsidR="00067DAE" w:rsidRPr="00067DAE">
        <w:rPr>
          <w:i/>
          <w:iCs/>
          <w:lang w:val="en-US"/>
        </w:rPr>
        <w:t>et al</w:t>
      </w:r>
      <w:r w:rsidRPr="009673D4">
        <w:rPr>
          <w:lang w:val="en-US"/>
        </w:rPr>
        <w:t xml:space="preserve">., 2023; Konig, 2023; Zhang </w:t>
      </w:r>
      <w:r w:rsidR="00067DAE" w:rsidRPr="00067DAE">
        <w:rPr>
          <w:i/>
          <w:iCs/>
          <w:lang w:val="en-US"/>
        </w:rPr>
        <w:t>et al</w:t>
      </w:r>
      <w:r w:rsidRPr="009673D4">
        <w:rPr>
          <w:lang w:val="en-US"/>
        </w:rPr>
        <w:t xml:space="preserve">., 2025). RQ2 also shows that SMEs that are more digitally engaged and </w:t>
      </w:r>
      <w:proofErr w:type="spellStart"/>
      <w:r w:rsidRPr="009673D4">
        <w:rPr>
          <w:lang w:val="en-US"/>
        </w:rPr>
        <w:t>organisationally</w:t>
      </w:r>
      <w:proofErr w:type="spellEnd"/>
      <w:r w:rsidRPr="009673D4">
        <w:rPr>
          <w:lang w:val="en-US"/>
        </w:rPr>
        <w:t xml:space="preserve"> prepared can more successfully address such challenges as skills disparities and regulatory differences (Aghazadeh </w:t>
      </w:r>
      <w:r w:rsidR="00067DAE" w:rsidRPr="00067DAE">
        <w:rPr>
          <w:i/>
          <w:iCs/>
          <w:lang w:val="en-US"/>
        </w:rPr>
        <w:t>et al</w:t>
      </w:r>
      <w:r w:rsidRPr="009673D4">
        <w:rPr>
          <w:lang w:val="en-US"/>
        </w:rPr>
        <w:t xml:space="preserve">., 2023; Muhammad </w:t>
      </w:r>
      <w:r w:rsidR="00067DAE" w:rsidRPr="00067DAE">
        <w:rPr>
          <w:i/>
          <w:iCs/>
          <w:lang w:val="en-US"/>
        </w:rPr>
        <w:t>et al</w:t>
      </w:r>
      <w:r w:rsidRPr="009673D4">
        <w:rPr>
          <w:lang w:val="en-US"/>
        </w:rPr>
        <w:t xml:space="preserve">., 2025). RQ1 also supports the fact that adoption patterns have a direct impact on the results of the </w:t>
      </w:r>
      <w:proofErr w:type="spellStart"/>
      <w:r w:rsidRPr="009673D4">
        <w:rPr>
          <w:lang w:val="en-US"/>
        </w:rPr>
        <w:t>internationalisation</w:t>
      </w:r>
      <w:proofErr w:type="spellEnd"/>
      <w:r w:rsidRPr="009673D4">
        <w:rPr>
          <w:lang w:val="en-US"/>
        </w:rPr>
        <w:t xml:space="preserve"> process, and the first users of advanced platforms can enter the market faster and operate more effectively in cross-border markets. TAM therefore adds to the Uppsala, RBV and network perspectives by explaining why SMEs use particular digital platforms, and how adoption behaviour has comparative effects with strategic and network-based outcomes.</w:t>
      </w:r>
    </w:p>
    <w:p w14:paraId="4E8C83E2" w14:textId="69FF18F7" w:rsidR="00A26F4D" w:rsidRDefault="009673D4" w:rsidP="009673D4">
      <w:pPr>
        <w:rPr>
          <w:lang w:val="en-US"/>
        </w:rPr>
      </w:pPr>
      <w:r w:rsidRPr="009673D4">
        <w:rPr>
          <w:lang w:val="en-US"/>
        </w:rPr>
        <w:lastRenderedPageBreak/>
        <w:t xml:space="preserve">All three narrative syntheses together demonstrate that post-Brexit UK SMEs use digital platforms as strategic facilitators that change the traditional </w:t>
      </w:r>
      <w:proofErr w:type="spellStart"/>
      <w:r w:rsidRPr="009673D4">
        <w:rPr>
          <w:lang w:val="en-US"/>
        </w:rPr>
        <w:t>internationalisation</w:t>
      </w:r>
      <w:proofErr w:type="spellEnd"/>
      <w:r w:rsidRPr="009673D4">
        <w:rPr>
          <w:lang w:val="en-US"/>
        </w:rPr>
        <w:t xml:space="preserve"> processes. Platforms serve as a means of operation (Uppsala), strategic assets (RBV), a tool of network </w:t>
      </w:r>
      <w:proofErr w:type="gramStart"/>
      <w:r w:rsidRPr="009673D4">
        <w:rPr>
          <w:lang w:val="en-US"/>
        </w:rPr>
        <w:t>( Network</w:t>
      </w:r>
      <w:proofErr w:type="gramEnd"/>
      <w:r w:rsidRPr="009673D4">
        <w:rPr>
          <w:lang w:val="en-US"/>
        </w:rPr>
        <w:t xml:space="preserve"> Theory), and a point of adoption that is influenced by the perceptions of </w:t>
      </w:r>
      <w:proofErr w:type="spellStart"/>
      <w:r w:rsidRPr="009673D4">
        <w:rPr>
          <w:lang w:val="en-US"/>
        </w:rPr>
        <w:t>organisations</w:t>
      </w:r>
      <w:proofErr w:type="spellEnd"/>
      <w:r w:rsidRPr="009673D4">
        <w:rPr>
          <w:lang w:val="en-US"/>
        </w:rPr>
        <w:t xml:space="preserve"> (TAM). This multi-theoretical approach elucidates the opportunities as well as the challenges that have been identified, that SMEs are able to speed up </w:t>
      </w:r>
      <w:proofErr w:type="spellStart"/>
      <w:r w:rsidRPr="009673D4">
        <w:rPr>
          <w:lang w:val="en-US"/>
        </w:rPr>
        <w:t>internationalisation</w:t>
      </w:r>
      <w:proofErr w:type="spellEnd"/>
      <w:r w:rsidRPr="009673D4">
        <w:rPr>
          <w:lang w:val="en-US"/>
        </w:rPr>
        <w:t xml:space="preserve">, improve resilience, and tap into new markets, but that they will need to overcome skill shortages, regulatory complexity, and technological constraints to </w:t>
      </w:r>
      <w:proofErr w:type="spellStart"/>
      <w:r w:rsidRPr="009673D4">
        <w:rPr>
          <w:lang w:val="en-US"/>
        </w:rPr>
        <w:t>maximise</w:t>
      </w:r>
      <w:proofErr w:type="spellEnd"/>
      <w:r w:rsidRPr="009673D4">
        <w:rPr>
          <w:lang w:val="en-US"/>
        </w:rPr>
        <w:t xml:space="preserve"> the advantages.</w:t>
      </w:r>
    </w:p>
    <w:p w14:paraId="5CF9B297" w14:textId="610C8B4C" w:rsidR="00A26F4D" w:rsidRDefault="00A26F4D" w:rsidP="00A26F4D">
      <w:pPr>
        <w:pStyle w:val="Heading2"/>
        <w:rPr>
          <w:lang w:val="en-US"/>
        </w:rPr>
      </w:pPr>
      <w:bookmarkStart w:id="53" w:name="_Toc218707775"/>
      <w:r>
        <w:rPr>
          <w:lang w:val="en-US"/>
        </w:rPr>
        <w:t>4.6 Chapter Summary</w:t>
      </w:r>
      <w:bookmarkEnd w:id="53"/>
    </w:p>
    <w:p w14:paraId="361EFD33" w14:textId="476B2B10" w:rsidR="00A26F4D" w:rsidRDefault="009673D4" w:rsidP="00A26F4D">
      <w:pPr>
        <w:rPr>
          <w:lang w:val="en-US"/>
        </w:rPr>
      </w:pPr>
      <w:r w:rsidRPr="009673D4">
        <w:rPr>
          <w:lang w:val="en-US"/>
        </w:rPr>
        <w:t xml:space="preserve">Chapter 4 has discussed the systematic review findings, analysis, and discussion, which have revealed that digital platforms are critical in facilitating UK SMEs to extend internationally in the post-Brexit environment. The results of the 50 mostly high- and medium-quality studies reveal that digital platforms enable the market access, cross-border trade, customer interaction, and compliance with the regulations and speed up </w:t>
      </w:r>
      <w:proofErr w:type="spellStart"/>
      <w:r w:rsidRPr="009673D4">
        <w:rPr>
          <w:lang w:val="en-US"/>
        </w:rPr>
        <w:t>internationalisation</w:t>
      </w:r>
      <w:proofErr w:type="spellEnd"/>
      <w:r w:rsidRPr="009673D4">
        <w:rPr>
          <w:lang w:val="en-US"/>
        </w:rPr>
        <w:t xml:space="preserve"> compared to the incremental pathway suggested by the Uppsala model. Although regulatory divergence, digital capability gaps, supply chain disruption, and cybersecurity risks are challenges that face SMEs, digital platforms also provide a risk mitigation opportunity, market intelligence, innovation, and network formation. The implementation of the strategies such as the investment in digital infrastructure, the integration of e-commerce, the use of analytics as a basis of decision making, upskilling of the work force, and the inclusion of compliance systems is consistent with the Resource-Based View, Network Theory, and Technology Acceptance Model. On the whole, the chapter points out the digital platforms as the tools of operational support and strategic assets that help UK SMEs to overcome the barriers after Brexit and continue the international expansion.</w:t>
      </w:r>
    </w:p>
    <w:p w14:paraId="323830BE" w14:textId="77777777" w:rsidR="00A26F4D" w:rsidRDefault="00A26F4D">
      <w:pPr>
        <w:spacing w:before="0" w:after="0"/>
        <w:rPr>
          <w:lang w:val="en-US"/>
        </w:rPr>
      </w:pPr>
      <w:r>
        <w:rPr>
          <w:lang w:val="en-US"/>
        </w:rPr>
        <w:br w:type="page"/>
      </w:r>
    </w:p>
    <w:p w14:paraId="1F75EA70" w14:textId="1C6DFECF" w:rsidR="00A26F4D" w:rsidRPr="00A26F4D" w:rsidRDefault="00D21E15" w:rsidP="00A26F4D">
      <w:pPr>
        <w:pStyle w:val="Heading1"/>
        <w:rPr>
          <w:lang w:val="en-US"/>
        </w:rPr>
      </w:pPr>
      <w:bookmarkStart w:id="54" w:name="_Toc218707776"/>
      <w:r w:rsidRPr="00A26F4D">
        <w:rPr>
          <w:lang w:val="en-US"/>
        </w:rPr>
        <w:lastRenderedPageBreak/>
        <w:t xml:space="preserve">Chapter 5: Conclusions </w:t>
      </w:r>
      <w:r>
        <w:rPr>
          <w:lang w:val="en-US"/>
        </w:rPr>
        <w:t>and</w:t>
      </w:r>
      <w:r w:rsidRPr="00A26F4D">
        <w:rPr>
          <w:lang w:val="en-US"/>
        </w:rPr>
        <w:t xml:space="preserve"> Recommendations</w:t>
      </w:r>
      <w:bookmarkEnd w:id="54"/>
    </w:p>
    <w:p w14:paraId="06EDD359" w14:textId="77777777" w:rsidR="00A26F4D" w:rsidRPr="00A26F4D" w:rsidRDefault="00A26F4D" w:rsidP="00A26F4D">
      <w:pPr>
        <w:pStyle w:val="Heading2"/>
        <w:rPr>
          <w:lang w:val="en-US"/>
        </w:rPr>
      </w:pPr>
      <w:bookmarkStart w:id="55" w:name="_Toc218707777"/>
      <w:r w:rsidRPr="00A26F4D">
        <w:rPr>
          <w:lang w:val="en-US"/>
        </w:rPr>
        <w:t>5.1 Summary of Main Findings</w:t>
      </w:r>
      <w:bookmarkEnd w:id="55"/>
    </w:p>
    <w:p w14:paraId="222785F5" w14:textId="77777777" w:rsidR="009673D4" w:rsidRPr="009673D4" w:rsidRDefault="009673D4" w:rsidP="009673D4">
      <w:pPr>
        <w:rPr>
          <w:lang w:val="en-US"/>
        </w:rPr>
      </w:pPr>
      <w:r w:rsidRPr="009673D4">
        <w:rPr>
          <w:lang w:val="en-US"/>
        </w:rPr>
        <w:t xml:space="preserve">This systematic review discussed how digital platforms would facilitate the participation of small and medium-sized enterprises (SMEs) in the United Kingdom in expanding to global markets after the United Kingdom left the European Union. Based on an examination of fifty high- and medium-quality studies, the review established a core contribution of digital platforms to facilitating operational continuity, accessibility to the international market, customer engagement, and regulatory compliance. The initial research question concerned the presence of digital platforms and their contribution to the process of </w:t>
      </w:r>
      <w:proofErr w:type="spellStart"/>
      <w:r w:rsidRPr="009673D4">
        <w:rPr>
          <w:lang w:val="en-US"/>
        </w:rPr>
        <w:t>internationalisation</w:t>
      </w:r>
      <w:proofErr w:type="spellEnd"/>
      <w:r w:rsidRPr="009673D4">
        <w:rPr>
          <w:lang w:val="en-US"/>
        </w:rPr>
        <w:t xml:space="preserve"> and it was found that the digital platforms will equip SMEs with superior digital strength, resilience and maturity. Online markets, e-commerce solutions, social networking and digital finances enable companies to reach international markets, pilot products to overseas markets, sustain the cross-border relationships, and observe regulatory demands. This is especially important in a post-Brexit environment with the old avenues of </w:t>
      </w:r>
      <w:proofErr w:type="spellStart"/>
      <w:r w:rsidRPr="009673D4">
        <w:rPr>
          <w:lang w:val="en-US"/>
        </w:rPr>
        <w:t>internationalisation</w:t>
      </w:r>
      <w:proofErr w:type="spellEnd"/>
      <w:r w:rsidRPr="009673D4">
        <w:rPr>
          <w:lang w:val="en-US"/>
        </w:rPr>
        <w:t xml:space="preserve"> having been shaken, and SMEs being more uncertain and resource-constrained.</w:t>
      </w:r>
    </w:p>
    <w:p w14:paraId="614AC48B" w14:textId="77777777" w:rsidR="009673D4" w:rsidRPr="009673D4" w:rsidRDefault="009673D4" w:rsidP="009673D4">
      <w:pPr>
        <w:rPr>
          <w:lang w:val="en-US"/>
        </w:rPr>
      </w:pPr>
      <w:r w:rsidRPr="009673D4">
        <w:rPr>
          <w:lang w:val="en-US"/>
        </w:rPr>
        <w:t xml:space="preserve">The second research question investigated the opportunities and challenges facing SMEs that avail themselves of a digital platform in a post-Brexit environment. The evidence synthesis revealed a number of critical issues, such as regulatory variance, uncertainty of tariffs, delays at customs, digital skills shortage, cybersecurity risks, and supply chain disruptions. These issues indicate the complicated nature of operations that SMEs encounter in their </w:t>
      </w:r>
      <w:proofErr w:type="spellStart"/>
      <w:r w:rsidRPr="009673D4">
        <w:rPr>
          <w:lang w:val="en-US"/>
        </w:rPr>
        <w:t>endeavours</w:t>
      </w:r>
      <w:proofErr w:type="spellEnd"/>
      <w:r w:rsidRPr="009673D4">
        <w:rPr>
          <w:lang w:val="en-US"/>
        </w:rPr>
        <w:t xml:space="preserve"> to go global without the immediate assistance of the </w:t>
      </w:r>
      <w:proofErr w:type="spellStart"/>
      <w:proofErr w:type="gramStart"/>
      <w:r w:rsidRPr="009673D4">
        <w:rPr>
          <w:lang w:val="en-US"/>
        </w:rPr>
        <w:t>well known</w:t>
      </w:r>
      <w:proofErr w:type="spellEnd"/>
      <w:proofErr w:type="gramEnd"/>
      <w:r w:rsidRPr="009673D4">
        <w:rPr>
          <w:lang w:val="en-US"/>
        </w:rPr>
        <w:t xml:space="preserve"> EU regulatory frameworks. However, online platforms provide a significant chance to break these obstacles. Platforms help SMEs to deal with regulatory and market turbulence by monitoring risks, market intelligence, cross-border collaboration and innovative business models. The SMEs are able to keep the international networks, reach the customers as well as keep the relationship with the partners even when they are physically or geographically limited as a result of social media, digital communication channels, and e-commerce platforms.</w:t>
      </w:r>
    </w:p>
    <w:p w14:paraId="0F7E34BF" w14:textId="0C62FFB6" w:rsidR="00A26F4D" w:rsidRPr="00A26F4D" w:rsidRDefault="009673D4" w:rsidP="009673D4">
      <w:pPr>
        <w:rPr>
          <w:lang w:val="en-US"/>
        </w:rPr>
      </w:pPr>
      <w:r w:rsidRPr="009673D4">
        <w:rPr>
          <w:lang w:val="en-US"/>
        </w:rPr>
        <w:t xml:space="preserve">The third research question was focused on </w:t>
      </w:r>
      <w:proofErr w:type="spellStart"/>
      <w:r w:rsidRPr="009673D4">
        <w:rPr>
          <w:lang w:val="en-US"/>
        </w:rPr>
        <w:t>practises</w:t>
      </w:r>
      <w:proofErr w:type="spellEnd"/>
      <w:r w:rsidRPr="009673D4">
        <w:rPr>
          <w:lang w:val="en-US"/>
        </w:rPr>
        <w:t xml:space="preserve"> and strategies that the UK SMEs use in order to utilise digital platforms successfully in the international expansion. The literature also shows that SMEs use multi-dimensional strategies in order to </w:t>
      </w:r>
      <w:proofErr w:type="spellStart"/>
      <w:r w:rsidRPr="009673D4">
        <w:rPr>
          <w:lang w:val="en-US"/>
        </w:rPr>
        <w:t>optimise</w:t>
      </w:r>
      <w:proofErr w:type="spellEnd"/>
      <w:r w:rsidRPr="009673D4">
        <w:rPr>
          <w:lang w:val="en-US"/>
        </w:rPr>
        <w:t xml:space="preserve"> </w:t>
      </w:r>
      <w:r w:rsidRPr="009673D4">
        <w:rPr>
          <w:lang w:val="en-US"/>
        </w:rPr>
        <w:lastRenderedPageBreak/>
        <w:t xml:space="preserve">the potential of digital tools. These involve the investment in digital infrastructure, integration of the e-commerce and enterprise resource planning systems, use of analytics to make informed decisions, use of digital project management and collaboration tools, and upskilling of employees to ensure that the digital platforms are effectively </w:t>
      </w:r>
      <w:proofErr w:type="spellStart"/>
      <w:r w:rsidRPr="009673D4">
        <w:rPr>
          <w:lang w:val="en-US"/>
        </w:rPr>
        <w:t>utilised</w:t>
      </w:r>
      <w:proofErr w:type="spellEnd"/>
      <w:r w:rsidRPr="009673D4">
        <w:rPr>
          <w:lang w:val="en-US"/>
        </w:rPr>
        <w:t xml:space="preserve">. Besides, SMEs are doing </w:t>
      </w:r>
      <w:proofErr w:type="spellStart"/>
      <w:r w:rsidRPr="009673D4">
        <w:rPr>
          <w:lang w:val="en-US"/>
        </w:rPr>
        <w:t>organised</w:t>
      </w:r>
      <w:proofErr w:type="spellEnd"/>
      <w:r w:rsidRPr="009673D4">
        <w:rPr>
          <w:lang w:val="en-US"/>
        </w:rPr>
        <w:t xml:space="preserve"> digital marketing, social media management, and platform-based content scheduling to improve international visibility as well as brand recognition. Compliance monitoring, cybersecurity, and cloud-based solutions are some of the risk management </w:t>
      </w:r>
      <w:proofErr w:type="spellStart"/>
      <w:r w:rsidRPr="009673D4">
        <w:rPr>
          <w:lang w:val="en-US"/>
        </w:rPr>
        <w:t>practises</w:t>
      </w:r>
      <w:proofErr w:type="spellEnd"/>
      <w:r w:rsidRPr="009673D4">
        <w:rPr>
          <w:lang w:val="en-US"/>
        </w:rPr>
        <w:t xml:space="preserve"> that allow SMEs to operate safely and efficiently across borders. Together, these </w:t>
      </w:r>
      <w:proofErr w:type="spellStart"/>
      <w:r w:rsidRPr="009673D4">
        <w:rPr>
          <w:lang w:val="en-US"/>
        </w:rPr>
        <w:t>practises</w:t>
      </w:r>
      <w:proofErr w:type="spellEnd"/>
      <w:r w:rsidRPr="009673D4">
        <w:rPr>
          <w:lang w:val="en-US"/>
        </w:rPr>
        <w:t xml:space="preserve"> help to demonstrate that digital platforms are strategic resources, which allow SMEs to remain competitive, become more efficient in their operations, and go toward sustainable international development.</w:t>
      </w:r>
    </w:p>
    <w:p w14:paraId="77BA3BE1" w14:textId="77777777" w:rsidR="00A26F4D" w:rsidRPr="00A26F4D" w:rsidRDefault="00A26F4D" w:rsidP="00A26F4D">
      <w:pPr>
        <w:pStyle w:val="Heading2"/>
        <w:rPr>
          <w:lang w:val="en-US"/>
        </w:rPr>
      </w:pPr>
      <w:bookmarkStart w:id="56" w:name="_Toc218707778"/>
      <w:r w:rsidRPr="00A26F4D">
        <w:rPr>
          <w:lang w:val="en-US"/>
        </w:rPr>
        <w:t>5.2 Conclusion Based on the Research Questions</w:t>
      </w:r>
      <w:bookmarkEnd w:id="56"/>
    </w:p>
    <w:p w14:paraId="3E98254B" w14:textId="67A8B8BC" w:rsidR="00A26F4D" w:rsidRPr="00A26F4D" w:rsidRDefault="009673D4" w:rsidP="00A26F4D">
      <w:pPr>
        <w:rPr>
          <w:lang w:val="en-US"/>
        </w:rPr>
      </w:pPr>
      <w:r w:rsidRPr="009673D4">
        <w:rPr>
          <w:lang w:val="en-US"/>
        </w:rPr>
        <w:t xml:space="preserve">Regarding the initial research question, the findings confirm that digital platforms are much needed in facilitating the rapid </w:t>
      </w:r>
      <w:proofErr w:type="spellStart"/>
      <w:r w:rsidRPr="009673D4">
        <w:rPr>
          <w:lang w:val="en-US"/>
        </w:rPr>
        <w:t>internationalisation</w:t>
      </w:r>
      <w:proofErr w:type="spellEnd"/>
      <w:r w:rsidRPr="009673D4">
        <w:rPr>
          <w:lang w:val="en-US"/>
        </w:rPr>
        <w:t xml:space="preserve"> of UK SMEs in the post-Brexit environment. Platforms offer the tools to address the traditional constraints of incremental </w:t>
      </w:r>
      <w:proofErr w:type="spellStart"/>
      <w:r w:rsidRPr="009673D4">
        <w:rPr>
          <w:lang w:val="en-US"/>
        </w:rPr>
        <w:t>internationalisation</w:t>
      </w:r>
      <w:proofErr w:type="spellEnd"/>
      <w:r w:rsidRPr="009673D4">
        <w:rPr>
          <w:lang w:val="en-US"/>
        </w:rPr>
        <w:t xml:space="preserve">, as proposed by the Uppsala model, through creating experiential learning, market experimentation and customer interaction without necessarily having to be there physically. The second research question proves that despite the considerable operational, regulatory, and technological challenges, which SMEs have to address, digital platforms provide an opportunity to overcome these challenges. Risk management, strategic decision-making, innovations, and network development are opportunities available on platforms that can enable SMEs to </w:t>
      </w:r>
      <w:proofErr w:type="spellStart"/>
      <w:r w:rsidRPr="009673D4">
        <w:rPr>
          <w:lang w:val="en-US"/>
        </w:rPr>
        <w:t>manoeuvre</w:t>
      </w:r>
      <w:proofErr w:type="spellEnd"/>
      <w:r w:rsidRPr="009673D4">
        <w:rPr>
          <w:lang w:val="en-US"/>
        </w:rPr>
        <w:t xml:space="preserve"> through the uncertainties brought about by Brexit. Lastly, answering the third research question, SMEs embrace diverse strategic </w:t>
      </w:r>
      <w:proofErr w:type="spellStart"/>
      <w:r w:rsidRPr="009673D4">
        <w:rPr>
          <w:lang w:val="en-US"/>
        </w:rPr>
        <w:t>practises</w:t>
      </w:r>
      <w:proofErr w:type="spellEnd"/>
      <w:r w:rsidRPr="009673D4">
        <w:rPr>
          <w:lang w:val="en-US"/>
        </w:rPr>
        <w:t xml:space="preserve"> to take advantage of the opportunities of digital platforms. The </w:t>
      </w:r>
      <w:proofErr w:type="spellStart"/>
      <w:r w:rsidRPr="009673D4">
        <w:rPr>
          <w:lang w:val="en-US"/>
        </w:rPr>
        <w:t>practises</w:t>
      </w:r>
      <w:proofErr w:type="spellEnd"/>
      <w:r w:rsidRPr="009673D4">
        <w:rPr>
          <w:lang w:val="en-US"/>
        </w:rPr>
        <w:t xml:space="preserve"> involve investments in infrastructure, the introduction of digital tools into everyday operations, the use of analytics and data-driven insights, the development of digital competencies of the staff, and the creation of effective compliance and risk management systems. The combination of these findings shows that digital platforms can serve as sustainable competitive advantage sources, network capabilities, and accelerated </w:t>
      </w:r>
      <w:proofErr w:type="spellStart"/>
      <w:r w:rsidRPr="009673D4">
        <w:rPr>
          <w:lang w:val="en-US"/>
        </w:rPr>
        <w:t>internationalisation</w:t>
      </w:r>
      <w:proofErr w:type="spellEnd"/>
      <w:r w:rsidRPr="009673D4">
        <w:rPr>
          <w:lang w:val="en-US"/>
        </w:rPr>
        <w:t xml:space="preserve"> sources in an uncertain post-Brexit environment, making them not merely operational enablers.</w:t>
      </w:r>
    </w:p>
    <w:p w14:paraId="6DDB8024" w14:textId="77777777" w:rsidR="00A26F4D" w:rsidRPr="00A26F4D" w:rsidRDefault="00A26F4D" w:rsidP="00A26F4D">
      <w:pPr>
        <w:pStyle w:val="Heading2"/>
        <w:rPr>
          <w:lang w:val="en-US"/>
        </w:rPr>
      </w:pPr>
      <w:bookmarkStart w:id="57" w:name="_Toc218707779"/>
      <w:r w:rsidRPr="00A26F4D">
        <w:rPr>
          <w:lang w:val="en-US"/>
        </w:rPr>
        <w:lastRenderedPageBreak/>
        <w:t>5.3 Recommendations</w:t>
      </w:r>
      <w:bookmarkEnd w:id="57"/>
    </w:p>
    <w:p w14:paraId="6350E0ED" w14:textId="77777777" w:rsidR="009673D4" w:rsidRPr="009673D4" w:rsidRDefault="009673D4" w:rsidP="009673D4">
      <w:pPr>
        <w:rPr>
          <w:lang w:val="en-US"/>
        </w:rPr>
      </w:pPr>
      <w:r w:rsidRPr="009673D4">
        <w:rPr>
          <w:lang w:val="en-US"/>
        </w:rPr>
        <w:t xml:space="preserve">The practical implications of this research include the fact that SMEs need to be proactive and strategic in integrating the digital platforms. Investment in a strong digital infrastructure, such as e-commerce, enterprise resource planning, collaboration and communication systems, and analytics-based monitoring systems should become a priority of SMEs. It is important to develop digital competencies in the staff to make sure that these platforms are exploited to reach </w:t>
      </w:r>
      <w:proofErr w:type="spellStart"/>
      <w:r w:rsidRPr="009673D4">
        <w:rPr>
          <w:lang w:val="en-US"/>
        </w:rPr>
        <w:t>internationalisation</w:t>
      </w:r>
      <w:proofErr w:type="spellEnd"/>
      <w:r w:rsidRPr="009673D4">
        <w:rPr>
          <w:lang w:val="en-US"/>
        </w:rPr>
        <w:t xml:space="preserve"> goals. SMEs also need to pay attention to using the digital platforms to gather market intelligence, manage risks, and build the cross-border networks to make the operations more resilient and respond to the regulatory and market changes promptly. To policy makers and trade support </w:t>
      </w:r>
      <w:proofErr w:type="spellStart"/>
      <w:r w:rsidRPr="009673D4">
        <w:rPr>
          <w:lang w:val="en-US"/>
        </w:rPr>
        <w:t>organisations</w:t>
      </w:r>
      <w:proofErr w:type="spellEnd"/>
      <w:r w:rsidRPr="009673D4">
        <w:rPr>
          <w:lang w:val="en-US"/>
        </w:rPr>
        <w:t xml:space="preserve">, giving advice, training and support to SMEs to switch to platform-compliant digital trading systems can further eliminate barriers to </w:t>
      </w:r>
      <w:proofErr w:type="spellStart"/>
      <w:r w:rsidRPr="009673D4">
        <w:rPr>
          <w:lang w:val="en-US"/>
        </w:rPr>
        <w:t>internationalisation</w:t>
      </w:r>
      <w:proofErr w:type="spellEnd"/>
      <w:r w:rsidRPr="009673D4">
        <w:rPr>
          <w:lang w:val="en-US"/>
        </w:rPr>
        <w:t xml:space="preserve"> and enhance global competitiveness of the UK in the post-Brexit environment.</w:t>
      </w:r>
    </w:p>
    <w:p w14:paraId="77ECCBBC" w14:textId="30D1E11E" w:rsidR="00A26F4D" w:rsidRPr="00A26F4D" w:rsidRDefault="009673D4" w:rsidP="009673D4">
      <w:pPr>
        <w:rPr>
          <w:lang w:val="en-US"/>
        </w:rPr>
      </w:pPr>
      <w:r w:rsidRPr="009673D4">
        <w:rPr>
          <w:lang w:val="en-US"/>
        </w:rPr>
        <w:t xml:space="preserve">Theoretical implications encompass more in-depth research on the use of digital platforms as strategic assets within the Resource-Based View concept, especially with regards to post-Brexit </w:t>
      </w:r>
      <w:proofErr w:type="spellStart"/>
      <w:r w:rsidRPr="009673D4">
        <w:rPr>
          <w:lang w:val="en-US"/>
        </w:rPr>
        <w:t>internationalisation</w:t>
      </w:r>
      <w:proofErr w:type="spellEnd"/>
      <w:r w:rsidRPr="009673D4">
        <w:rPr>
          <w:lang w:val="en-US"/>
        </w:rPr>
        <w:t xml:space="preserve">. The Uppsala model, Network Theory, and the Technology Acceptance Model could be combined in future studies to form more detailed models that reflect the relationship between firm-specific resources, digital adoption behaviour, network development and accelerated </w:t>
      </w:r>
      <w:proofErr w:type="spellStart"/>
      <w:r w:rsidRPr="009673D4">
        <w:rPr>
          <w:lang w:val="en-US"/>
        </w:rPr>
        <w:t>internationalisation</w:t>
      </w:r>
      <w:proofErr w:type="spellEnd"/>
      <w:r w:rsidRPr="009673D4">
        <w:rPr>
          <w:lang w:val="en-US"/>
        </w:rPr>
        <w:t>. The study of the correlation between adoption of digital platforms and the firm performance indicators would be empirical evidence of the theoretical assumptions and contribute to a deeper insight into how the digital capabilities are converted into the international competitiveness.</w:t>
      </w:r>
    </w:p>
    <w:p w14:paraId="5250DE89" w14:textId="77777777" w:rsidR="00A26F4D" w:rsidRPr="00A26F4D" w:rsidRDefault="00A26F4D" w:rsidP="00A26F4D">
      <w:pPr>
        <w:pStyle w:val="Heading2"/>
        <w:rPr>
          <w:lang w:val="en-US"/>
        </w:rPr>
      </w:pPr>
      <w:bookmarkStart w:id="58" w:name="_Toc218707780"/>
      <w:r w:rsidRPr="00A26F4D">
        <w:rPr>
          <w:lang w:val="en-US"/>
        </w:rPr>
        <w:t>5.4 Limitation of Research</w:t>
      </w:r>
      <w:bookmarkEnd w:id="58"/>
    </w:p>
    <w:p w14:paraId="037615B3" w14:textId="683D5790" w:rsidR="00A26F4D" w:rsidRPr="00A26F4D" w:rsidRDefault="009673D4" w:rsidP="00A26F4D">
      <w:pPr>
        <w:rPr>
          <w:lang w:val="en-US"/>
        </w:rPr>
      </w:pPr>
      <w:r w:rsidRPr="009673D4">
        <w:rPr>
          <w:lang w:val="en-US"/>
        </w:rPr>
        <w:t xml:space="preserve">Irrespective of its contributions, this study is limited in a number of ways. To begin with, the review was limited to studies published in English and this might have left out pertinent research in non-English sources. Second, there was a narrow scope of UK SMEs, which may not be generalizable to large business ventures or SMEs in other countries. Third, the review was based on secondary data and published literature, which implies that the conclusions made depend on the quality, context and scope of the primary studies. Fourth, not all the studies that were included in the review had </w:t>
      </w:r>
      <w:r w:rsidRPr="009673D4">
        <w:rPr>
          <w:lang w:val="en-US"/>
        </w:rPr>
        <w:lastRenderedPageBreak/>
        <w:t>direct or sufficient evidence on the adoption or effectiveness of digital platforms, which limited the depth of the synthesis of some research questions. Finally, the fast-changing digital and post-Brexit world can imply that certain findings will become obsolete as platforms and regulatory conditions keep on evolving.</w:t>
      </w:r>
    </w:p>
    <w:p w14:paraId="642B2507" w14:textId="77777777" w:rsidR="00A26F4D" w:rsidRPr="00A26F4D" w:rsidRDefault="00A26F4D" w:rsidP="00A26F4D">
      <w:pPr>
        <w:pStyle w:val="Heading2"/>
        <w:rPr>
          <w:lang w:val="en-US"/>
        </w:rPr>
      </w:pPr>
      <w:bookmarkStart w:id="59" w:name="_Toc218707781"/>
      <w:r w:rsidRPr="00A26F4D">
        <w:rPr>
          <w:lang w:val="en-US"/>
        </w:rPr>
        <w:t>5.5 Recommendation for Future Work</w:t>
      </w:r>
      <w:bookmarkEnd w:id="59"/>
    </w:p>
    <w:p w14:paraId="663875CD" w14:textId="1399D28F" w:rsidR="00A26F4D" w:rsidRPr="00A26F4D" w:rsidRDefault="009673D4" w:rsidP="00A26F4D">
      <w:pPr>
        <w:rPr>
          <w:lang w:val="en-US"/>
        </w:rPr>
      </w:pPr>
      <w:r>
        <w:rPr>
          <w:lang w:val="en-US"/>
        </w:rPr>
        <w:t>Future studies</w:t>
      </w:r>
      <w:r w:rsidRPr="009673D4">
        <w:rPr>
          <w:lang w:val="en-US"/>
        </w:rPr>
        <w:t xml:space="preserve"> should embrace qualitative method</w:t>
      </w:r>
      <w:r>
        <w:rPr>
          <w:lang w:val="en-US"/>
        </w:rPr>
        <w:t>s</w:t>
      </w:r>
      <w:r w:rsidRPr="009673D4">
        <w:rPr>
          <w:lang w:val="en-US"/>
        </w:rPr>
        <w:t xml:space="preserve">, i.e. surveys, interviews, and case studies, to support the efficacy of online platform in facilitating post-Brexit </w:t>
      </w:r>
      <w:proofErr w:type="spellStart"/>
      <w:r w:rsidRPr="009673D4">
        <w:rPr>
          <w:lang w:val="en-US"/>
        </w:rPr>
        <w:t>internationalisation</w:t>
      </w:r>
      <w:proofErr w:type="spellEnd"/>
      <w:r w:rsidRPr="009673D4">
        <w:rPr>
          <w:lang w:val="en-US"/>
        </w:rPr>
        <w:t xml:space="preserve"> of UK SMEs. Studies of specific sectors would offer more directional information regarding the differences in adoption </w:t>
      </w:r>
      <w:proofErr w:type="spellStart"/>
      <w:r w:rsidRPr="009673D4">
        <w:rPr>
          <w:lang w:val="en-US"/>
        </w:rPr>
        <w:t>practises</w:t>
      </w:r>
      <w:proofErr w:type="spellEnd"/>
      <w:r w:rsidRPr="009673D4">
        <w:rPr>
          <w:lang w:val="en-US"/>
        </w:rPr>
        <w:t xml:space="preserve"> in different industries and the effect of platform integration on various operations. The longitudinal studies may focus on the long-term impact of digital platforms on the performance, resilience, and competitiveness of the SMEs. Also, new technologies, including artificial intelligence, blockchain, and digital finance solutions, should be studied and their potential to further empower the ability of SMEs to </w:t>
      </w:r>
      <w:proofErr w:type="spellStart"/>
      <w:r w:rsidRPr="009673D4">
        <w:rPr>
          <w:lang w:val="en-US"/>
        </w:rPr>
        <w:t>internationalise</w:t>
      </w:r>
      <w:proofErr w:type="spellEnd"/>
      <w:r w:rsidRPr="009673D4">
        <w:rPr>
          <w:lang w:val="en-US"/>
        </w:rPr>
        <w:t xml:space="preserve"> should be examined. By combining theoretical arguments with data, it will be possible to have a more subtle discourse on the functioning of digital platforms as a strategic facilitator in a post-Brexit global market.</w:t>
      </w:r>
    </w:p>
    <w:p w14:paraId="48A6FA9C" w14:textId="77777777" w:rsidR="00A26F4D" w:rsidRPr="00A26F4D" w:rsidRDefault="00A26F4D" w:rsidP="00A26F4D">
      <w:pPr>
        <w:rPr>
          <w:lang w:val="en-US"/>
        </w:rPr>
      </w:pPr>
    </w:p>
    <w:p w14:paraId="302B9F74" w14:textId="2BF7F450" w:rsidR="00041CD2" w:rsidRDefault="00041CD2">
      <w:pPr>
        <w:spacing w:before="0" w:after="0"/>
        <w:rPr>
          <w:b/>
          <w:sz w:val="32"/>
          <w:szCs w:val="28"/>
          <w:lang w:val="en-GB"/>
        </w:rPr>
      </w:pPr>
      <w:r>
        <w:rPr>
          <w:lang w:val="en-GB"/>
        </w:rPr>
        <w:br w:type="page"/>
      </w:r>
    </w:p>
    <w:p w14:paraId="1E1FDB1D" w14:textId="39D9BC1F" w:rsidR="00895B72" w:rsidRPr="00895B72" w:rsidRDefault="00884F2F" w:rsidP="00895B72">
      <w:pPr>
        <w:pStyle w:val="Heading1"/>
        <w:jc w:val="both"/>
        <w:rPr>
          <w:lang w:val="en-GB"/>
        </w:rPr>
      </w:pPr>
      <w:bookmarkStart w:id="60" w:name="_Toc218707782"/>
      <w:r>
        <w:rPr>
          <w:lang w:val="en-GB"/>
        </w:rPr>
        <w:lastRenderedPageBreak/>
        <w:t xml:space="preserve">6. </w:t>
      </w:r>
      <w:r w:rsidR="00000000" w:rsidRPr="00C44E80">
        <w:rPr>
          <w:lang w:val="en-GB"/>
        </w:rPr>
        <w:t>References</w:t>
      </w:r>
      <w:bookmarkEnd w:id="60"/>
      <w:r w:rsidR="00000000" w:rsidRPr="00C44E80">
        <w:rPr>
          <w:lang w:val="en-GB"/>
        </w:rPr>
        <w:t xml:space="preserve"> </w:t>
      </w:r>
    </w:p>
    <w:p w14:paraId="4A6CAB82"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Abbate, T., </w:t>
      </w:r>
      <w:proofErr w:type="spellStart"/>
      <w:r w:rsidRPr="00D21E15">
        <w:rPr>
          <w:rFonts w:cs="Arial"/>
          <w:color w:val="000000" w:themeColor="text1"/>
          <w:lang w:val="en-US"/>
        </w:rPr>
        <w:t>Codini</w:t>
      </w:r>
      <w:proofErr w:type="spellEnd"/>
      <w:r w:rsidRPr="00D21E15">
        <w:rPr>
          <w:rFonts w:cs="Arial"/>
          <w:color w:val="000000" w:themeColor="text1"/>
          <w:lang w:val="en-US"/>
        </w:rPr>
        <w:t xml:space="preserve">, A.P. and Aquilani, B. (2019) ‘Knowledge co-creation in Open Innovation Digital Platforms: processes, tools and services’, </w:t>
      </w:r>
      <w:r w:rsidRPr="00D21E15">
        <w:rPr>
          <w:rFonts w:cs="Arial"/>
          <w:i/>
          <w:iCs/>
          <w:color w:val="000000" w:themeColor="text1"/>
          <w:lang w:val="en-US"/>
        </w:rPr>
        <w:t>Journal of Business &amp; Industrial Marketing</w:t>
      </w:r>
      <w:r w:rsidRPr="00D21E15">
        <w:rPr>
          <w:rFonts w:cs="Arial"/>
          <w:color w:val="000000" w:themeColor="text1"/>
          <w:lang w:val="en-US"/>
        </w:rPr>
        <w:t xml:space="preserve">, 34(7), pp. 1434–1447. Available at: </w:t>
      </w:r>
      <w:hyperlink r:id="rId15" w:history="1">
        <w:r w:rsidRPr="00D21E15">
          <w:rPr>
            <w:rStyle w:val="Hyperlink"/>
            <w:rFonts w:cs="Arial"/>
            <w:lang w:val="en-US"/>
          </w:rPr>
          <w:t>https://doi.org/10.1108/jbim-09-2018-0276</w:t>
        </w:r>
      </w:hyperlink>
      <w:r w:rsidRPr="00D21E15">
        <w:rPr>
          <w:rFonts w:cs="Arial"/>
          <w:color w:val="000000" w:themeColor="text1"/>
          <w:lang w:val="en-US"/>
        </w:rPr>
        <w:t>.</w:t>
      </w:r>
    </w:p>
    <w:p w14:paraId="45FC7D95"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Afifi, M., Stryhn, H. and Sánchez, J. (2023) ‘Data extraction and comparison for complex systematic reviews: a step-by-step guideline and an implementation example using open-source software’, </w:t>
      </w:r>
      <w:r w:rsidRPr="00D21E15">
        <w:rPr>
          <w:rFonts w:cs="Arial"/>
          <w:i/>
          <w:iCs/>
          <w:color w:val="000000" w:themeColor="text1"/>
          <w:lang w:val="en-US"/>
        </w:rPr>
        <w:t>Systematic Reviews</w:t>
      </w:r>
      <w:r w:rsidRPr="00D21E15">
        <w:rPr>
          <w:rFonts w:cs="Arial"/>
          <w:color w:val="000000" w:themeColor="text1"/>
          <w:lang w:val="en-US"/>
        </w:rPr>
        <w:t xml:space="preserve">, 12(1). Available at: </w:t>
      </w:r>
      <w:hyperlink r:id="rId16" w:history="1">
        <w:r w:rsidRPr="00D21E15">
          <w:rPr>
            <w:rStyle w:val="Hyperlink"/>
            <w:rFonts w:cs="Arial"/>
            <w:lang w:val="en-US"/>
          </w:rPr>
          <w:t>https://doi.org/10.1186/s13643-023-02322-1</w:t>
        </w:r>
      </w:hyperlink>
      <w:r w:rsidRPr="00D21E15">
        <w:rPr>
          <w:rFonts w:cs="Arial"/>
          <w:color w:val="000000" w:themeColor="text1"/>
          <w:lang w:val="en-US"/>
        </w:rPr>
        <w:t>.</w:t>
      </w:r>
    </w:p>
    <w:p w14:paraId="026A916D"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Aghazadeh, H. </w:t>
      </w:r>
      <w:r w:rsidRPr="00067DAE">
        <w:rPr>
          <w:rFonts w:cs="Arial"/>
          <w:i/>
          <w:iCs/>
          <w:color w:val="000000" w:themeColor="text1"/>
          <w:lang w:val="en-US"/>
        </w:rPr>
        <w:t>et al</w:t>
      </w:r>
      <w:r w:rsidRPr="00D21E15">
        <w:rPr>
          <w:rFonts w:cs="Arial"/>
          <w:i/>
          <w:iCs/>
          <w:color w:val="000000" w:themeColor="text1"/>
          <w:lang w:val="en-US"/>
        </w:rPr>
        <w:t>.</w:t>
      </w:r>
      <w:r w:rsidRPr="00D21E15">
        <w:rPr>
          <w:rFonts w:cs="Arial"/>
          <w:color w:val="000000" w:themeColor="text1"/>
          <w:lang w:val="en-US"/>
        </w:rPr>
        <w:t xml:space="preserve"> (2023) ‘Digital transformation and SME </w:t>
      </w:r>
      <w:proofErr w:type="spellStart"/>
      <w:r w:rsidRPr="00D21E15">
        <w:rPr>
          <w:rFonts w:cs="Arial"/>
          <w:color w:val="000000" w:themeColor="text1"/>
          <w:lang w:val="en-US"/>
        </w:rPr>
        <w:t>internationalisation</w:t>
      </w:r>
      <w:proofErr w:type="spellEnd"/>
      <w:r w:rsidRPr="00D21E15">
        <w:rPr>
          <w:rFonts w:cs="Arial"/>
          <w:color w:val="000000" w:themeColor="text1"/>
          <w:lang w:val="en-US"/>
        </w:rPr>
        <w:t xml:space="preserve">: unravelling the moderated-mediation role of digital capabilities, digital resilience and digital maturity’, </w:t>
      </w:r>
      <w:r w:rsidRPr="00D21E15">
        <w:rPr>
          <w:rFonts w:cs="Arial"/>
          <w:i/>
          <w:iCs/>
          <w:color w:val="000000" w:themeColor="text1"/>
          <w:lang w:val="en-US"/>
        </w:rPr>
        <w:t>Journal of Enterprise Information Management</w:t>
      </w:r>
      <w:r w:rsidRPr="00D21E15">
        <w:rPr>
          <w:rFonts w:cs="Arial"/>
          <w:color w:val="000000" w:themeColor="text1"/>
          <w:lang w:val="en-US"/>
        </w:rPr>
        <w:t xml:space="preserve">, 37(5). Available at: </w:t>
      </w:r>
      <w:hyperlink r:id="rId17" w:history="1">
        <w:r w:rsidRPr="00D21E15">
          <w:rPr>
            <w:rStyle w:val="Hyperlink"/>
            <w:rFonts w:cs="Arial"/>
            <w:lang w:val="en-US"/>
          </w:rPr>
          <w:t>https://doi.org/10.1108/jeim-02-2023-0092</w:t>
        </w:r>
      </w:hyperlink>
      <w:r w:rsidRPr="00D21E15">
        <w:rPr>
          <w:rFonts w:cs="Arial"/>
          <w:color w:val="000000" w:themeColor="text1"/>
          <w:lang w:val="en-US"/>
        </w:rPr>
        <w:t>.</w:t>
      </w:r>
    </w:p>
    <w:p w14:paraId="4D59C356"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Ahmad, S. </w:t>
      </w:r>
      <w:r w:rsidRPr="00067DAE">
        <w:rPr>
          <w:rFonts w:cs="Arial"/>
          <w:i/>
          <w:iCs/>
          <w:color w:val="000000" w:themeColor="text1"/>
          <w:lang w:val="en-US"/>
        </w:rPr>
        <w:t>et al</w:t>
      </w:r>
      <w:r w:rsidRPr="00D21E15">
        <w:rPr>
          <w:rFonts w:cs="Arial"/>
          <w:i/>
          <w:iCs/>
          <w:color w:val="000000" w:themeColor="text1"/>
          <w:lang w:val="en-US"/>
        </w:rPr>
        <w:t>.</w:t>
      </w:r>
      <w:r w:rsidRPr="00D21E15">
        <w:rPr>
          <w:rFonts w:cs="Arial"/>
          <w:color w:val="000000" w:themeColor="text1"/>
          <w:lang w:val="en-US"/>
        </w:rPr>
        <w:t xml:space="preserve"> (2023) ‘Brexit Uncertainty and Its (Dis)Service Effects’, </w:t>
      </w:r>
      <w:r w:rsidRPr="00D21E15">
        <w:rPr>
          <w:rFonts w:cs="Arial"/>
          <w:i/>
          <w:iCs/>
          <w:color w:val="000000" w:themeColor="text1"/>
          <w:lang w:val="en-US"/>
        </w:rPr>
        <w:t>American Economic Journal: Economic Policy</w:t>
      </w:r>
      <w:r w:rsidRPr="00D21E15">
        <w:rPr>
          <w:rFonts w:cs="Arial"/>
          <w:color w:val="000000" w:themeColor="text1"/>
          <w:lang w:val="en-US"/>
        </w:rPr>
        <w:t xml:space="preserve">, 15(4), pp. 459–485. Available at: </w:t>
      </w:r>
      <w:hyperlink r:id="rId18" w:history="1">
        <w:r w:rsidRPr="00D21E15">
          <w:rPr>
            <w:rStyle w:val="Hyperlink"/>
            <w:rFonts w:cs="Arial"/>
            <w:lang w:val="en-US"/>
          </w:rPr>
          <w:t>https://doi.org/10.1257/pol.20200808</w:t>
        </w:r>
      </w:hyperlink>
      <w:r w:rsidRPr="00D21E15">
        <w:rPr>
          <w:rFonts w:cs="Arial"/>
          <w:color w:val="000000" w:themeColor="text1"/>
          <w:lang w:val="en-US"/>
        </w:rPr>
        <w:t>.</w:t>
      </w:r>
    </w:p>
    <w:p w14:paraId="07A791B1"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Armillei, R., Mascitelli, B. and Wilson, B. (2023) "</w:t>
      </w:r>
      <w:proofErr w:type="spellStart"/>
      <w:r w:rsidRPr="00D21E15">
        <w:rPr>
          <w:rFonts w:cs="Arial"/>
          <w:color w:val="000000" w:themeColor="text1"/>
          <w:lang w:val="en-US"/>
        </w:rPr>
        <w:t>Internationalisation</w:t>
      </w:r>
      <w:proofErr w:type="spellEnd"/>
      <w:r w:rsidRPr="00D21E15">
        <w:rPr>
          <w:rFonts w:cs="Arial"/>
          <w:color w:val="000000" w:themeColor="text1"/>
          <w:lang w:val="en-US"/>
        </w:rPr>
        <w:t xml:space="preserve"> of Australian small and medium-sized enterprises: the case of the Australia and EU Free Trade Agreement". </w:t>
      </w:r>
      <w:r w:rsidRPr="00D21E15">
        <w:rPr>
          <w:rFonts w:cs="Arial"/>
          <w:i/>
          <w:iCs/>
          <w:color w:val="000000" w:themeColor="text1"/>
          <w:lang w:val="en-US"/>
        </w:rPr>
        <w:t>Australian and New Zealand Journal of European Studies</w:t>
      </w:r>
      <w:r w:rsidRPr="00D21E15">
        <w:rPr>
          <w:rFonts w:cs="Arial"/>
          <w:color w:val="000000" w:themeColor="text1"/>
          <w:lang w:val="en-US"/>
        </w:rPr>
        <w:t xml:space="preserve">, 15(2), pp.51–75. Available at: </w:t>
      </w:r>
      <w:hyperlink r:id="rId19" w:history="1">
        <w:r w:rsidRPr="00D21E15">
          <w:rPr>
            <w:rStyle w:val="Hyperlink"/>
            <w:rFonts w:cs="Arial"/>
            <w:lang w:val="en-US"/>
          </w:rPr>
          <w:t>https://openjournals.library.sydney.edu.au/ANZJES/article/view/17978/15278</w:t>
        </w:r>
      </w:hyperlink>
      <w:r w:rsidRPr="00D21E15">
        <w:rPr>
          <w:rFonts w:cs="Arial"/>
          <w:color w:val="000000" w:themeColor="text1"/>
          <w:lang w:val="en-US"/>
        </w:rPr>
        <w:t>.</w:t>
      </w:r>
    </w:p>
    <w:p w14:paraId="428CD671" w14:textId="77777777" w:rsidR="00884F2F" w:rsidRPr="00D21E15" w:rsidRDefault="00884F2F" w:rsidP="00884F2F">
      <w:pPr>
        <w:spacing w:after="160"/>
        <w:jc w:val="left"/>
        <w:rPr>
          <w:rFonts w:cs="Arial"/>
          <w:color w:val="000000" w:themeColor="text1"/>
          <w:lang w:val="en-US"/>
        </w:rPr>
      </w:pPr>
      <w:proofErr w:type="spellStart"/>
      <w:r w:rsidRPr="00D21E15">
        <w:rPr>
          <w:rFonts w:cs="Arial"/>
          <w:color w:val="000000" w:themeColor="text1"/>
          <w:lang w:val="en-US"/>
        </w:rPr>
        <w:t>Avgouleas</w:t>
      </w:r>
      <w:proofErr w:type="spellEnd"/>
      <w:r w:rsidRPr="00D21E15">
        <w:rPr>
          <w:rFonts w:cs="Arial"/>
          <w:color w:val="000000" w:themeColor="text1"/>
          <w:lang w:val="en-US"/>
        </w:rPr>
        <w:t xml:space="preserve">, E. and </w:t>
      </w:r>
      <w:proofErr w:type="spellStart"/>
      <w:r w:rsidRPr="00D21E15">
        <w:rPr>
          <w:rFonts w:cs="Arial"/>
          <w:color w:val="000000" w:themeColor="text1"/>
          <w:lang w:val="en-US"/>
        </w:rPr>
        <w:t>Seretakis</w:t>
      </w:r>
      <w:proofErr w:type="spellEnd"/>
      <w:r w:rsidRPr="00D21E15">
        <w:rPr>
          <w:rFonts w:cs="Arial"/>
          <w:color w:val="000000" w:themeColor="text1"/>
          <w:lang w:val="en-US"/>
        </w:rPr>
        <w:t xml:space="preserve">, A. (2021) ‘Governing the Digital Finance Value-Chain in the EU: MIFID II, the Digital Package, and the Large Gaps between!’, </w:t>
      </w:r>
      <w:r w:rsidRPr="00D21E15">
        <w:rPr>
          <w:rFonts w:cs="Arial"/>
          <w:i/>
          <w:iCs/>
          <w:color w:val="000000" w:themeColor="text1"/>
          <w:lang w:val="en-US"/>
        </w:rPr>
        <w:t>Digital Finance in Europe: Law, Regulation, and Governance</w:t>
      </w:r>
      <w:r w:rsidRPr="00D21E15">
        <w:rPr>
          <w:rFonts w:cs="Arial"/>
          <w:color w:val="000000" w:themeColor="text1"/>
          <w:lang w:val="en-US"/>
        </w:rPr>
        <w:t xml:space="preserve">, pp. 1–36. Available at: </w:t>
      </w:r>
      <w:hyperlink r:id="rId20" w:history="1">
        <w:r w:rsidRPr="00D21E15">
          <w:rPr>
            <w:rStyle w:val="Hyperlink"/>
            <w:rFonts w:cs="Arial"/>
            <w:lang w:val="en-US"/>
          </w:rPr>
          <w:t>https://doi.org/10.1515/9783110749472-002</w:t>
        </w:r>
      </w:hyperlink>
      <w:r w:rsidRPr="00D21E15">
        <w:rPr>
          <w:rFonts w:cs="Arial"/>
          <w:color w:val="000000" w:themeColor="text1"/>
          <w:lang w:val="en-US"/>
        </w:rPr>
        <w:t>.</w:t>
      </w:r>
    </w:p>
    <w:p w14:paraId="300B8E29"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Bailey, D. </w:t>
      </w:r>
      <w:r w:rsidRPr="00067DAE">
        <w:rPr>
          <w:rFonts w:cs="Arial"/>
          <w:i/>
          <w:iCs/>
          <w:color w:val="000000" w:themeColor="text1"/>
          <w:lang w:val="en-US"/>
        </w:rPr>
        <w:t>et al</w:t>
      </w:r>
      <w:r w:rsidRPr="00D21E15">
        <w:rPr>
          <w:rFonts w:cs="Arial"/>
          <w:i/>
          <w:iCs/>
          <w:color w:val="000000" w:themeColor="text1"/>
          <w:lang w:val="en-US"/>
        </w:rPr>
        <w:t>.</w:t>
      </w:r>
      <w:r w:rsidRPr="00D21E15">
        <w:rPr>
          <w:rFonts w:cs="Arial"/>
          <w:color w:val="000000" w:themeColor="text1"/>
          <w:lang w:val="en-US"/>
        </w:rPr>
        <w:t xml:space="preserve"> (2022) ‘Shocks, resilience and regional industry policy: Brexit and the automotive sector in two Midlands regions’, </w:t>
      </w:r>
      <w:r w:rsidRPr="00D21E15">
        <w:rPr>
          <w:rFonts w:cs="Arial"/>
          <w:i/>
          <w:iCs/>
          <w:color w:val="000000" w:themeColor="text1"/>
          <w:lang w:val="en-US"/>
        </w:rPr>
        <w:t>Regional Studies</w:t>
      </w:r>
      <w:r w:rsidRPr="00D21E15">
        <w:rPr>
          <w:rFonts w:cs="Arial"/>
          <w:color w:val="000000" w:themeColor="text1"/>
          <w:lang w:val="en-US"/>
        </w:rPr>
        <w:t xml:space="preserve">, 57(6), pp. 1–15. Available at: </w:t>
      </w:r>
      <w:hyperlink r:id="rId21" w:history="1">
        <w:r w:rsidRPr="00D21E15">
          <w:rPr>
            <w:rStyle w:val="Hyperlink"/>
            <w:rFonts w:cs="Arial"/>
            <w:lang w:val="en-US"/>
          </w:rPr>
          <w:t>https://www.tandfonline.com/doi/full/10.1080/00343404.2022.2071421</w:t>
        </w:r>
      </w:hyperlink>
      <w:r w:rsidRPr="00D21E15">
        <w:rPr>
          <w:rFonts w:cs="Arial"/>
          <w:color w:val="000000" w:themeColor="text1"/>
          <w:lang w:val="en-US"/>
        </w:rPr>
        <w:t>.</w:t>
      </w:r>
    </w:p>
    <w:p w14:paraId="46597DF5"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Bailey, D. </w:t>
      </w:r>
      <w:r w:rsidRPr="00067DAE">
        <w:rPr>
          <w:rFonts w:cs="Arial"/>
          <w:i/>
          <w:iCs/>
          <w:color w:val="000000" w:themeColor="text1"/>
          <w:lang w:val="en-US"/>
        </w:rPr>
        <w:t>et al</w:t>
      </w:r>
      <w:r w:rsidRPr="00D21E15">
        <w:rPr>
          <w:rFonts w:cs="Arial"/>
          <w:i/>
          <w:iCs/>
          <w:color w:val="000000" w:themeColor="text1"/>
          <w:lang w:val="en-US"/>
        </w:rPr>
        <w:t>.</w:t>
      </w:r>
      <w:r w:rsidRPr="00D21E15">
        <w:rPr>
          <w:rFonts w:cs="Arial"/>
          <w:color w:val="000000" w:themeColor="text1"/>
          <w:lang w:val="en-US"/>
        </w:rPr>
        <w:t xml:space="preserve"> (2023) ‘Brexit, Trade and UK Advanced Manufacturing sectors: a Midlands’ Perspective’, </w:t>
      </w:r>
      <w:r w:rsidRPr="00D21E15">
        <w:rPr>
          <w:rFonts w:cs="Arial"/>
          <w:i/>
          <w:iCs/>
          <w:color w:val="000000" w:themeColor="text1"/>
          <w:lang w:val="en-US"/>
        </w:rPr>
        <w:t>Contemporary Social Science</w:t>
      </w:r>
      <w:r w:rsidRPr="00D21E15">
        <w:rPr>
          <w:rFonts w:cs="Arial"/>
          <w:color w:val="000000" w:themeColor="text1"/>
          <w:lang w:val="en-US"/>
        </w:rPr>
        <w:t>, 18(2), pp. 1–16.</w:t>
      </w:r>
    </w:p>
    <w:p w14:paraId="7241E948" w14:textId="77777777" w:rsidR="00884F2F" w:rsidRPr="00884F2F" w:rsidRDefault="00884F2F" w:rsidP="00884F2F">
      <w:pPr>
        <w:spacing w:after="160"/>
        <w:jc w:val="left"/>
        <w:rPr>
          <w:rFonts w:cs="Arial"/>
          <w:color w:val="000000" w:themeColor="text1"/>
          <w:lang w:val="en-US"/>
        </w:rPr>
      </w:pPr>
      <w:r w:rsidRPr="00884F2F">
        <w:rPr>
          <w:rFonts w:cs="Arial"/>
          <w:color w:val="000000" w:themeColor="text1"/>
          <w:lang w:val="en-US"/>
        </w:rPr>
        <w:lastRenderedPageBreak/>
        <w:t xml:space="preserve">Barney, J. (1991) ‘Firm resources and sustained competitive advantage’, </w:t>
      </w:r>
      <w:r w:rsidRPr="00884F2F">
        <w:rPr>
          <w:rFonts w:cs="Arial"/>
          <w:i/>
          <w:iCs/>
          <w:color w:val="000000" w:themeColor="text1"/>
          <w:lang w:val="en-US"/>
        </w:rPr>
        <w:t>Journal of Management</w:t>
      </w:r>
      <w:r w:rsidRPr="00884F2F">
        <w:rPr>
          <w:rFonts w:cs="Arial"/>
          <w:color w:val="000000" w:themeColor="text1"/>
          <w:lang w:val="en-US"/>
        </w:rPr>
        <w:t>, 17(1), pp. 99–120.</w:t>
      </w:r>
    </w:p>
    <w:p w14:paraId="659F61B8"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Barron, A. and </w:t>
      </w:r>
      <w:proofErr w:type="spellStart"/>
      <w:r w:rsidRPr="00D21E15">
        <w:rPr>
          <w:rFonts w:cs="Arial"/>
          <w:color w:val="000000" w:themeColor="text1"/>
          <w:lang w:val="en-US"/>
        </w:rPr>
        <w:t>Boutary</w:t>
      </w:r>
      <w:proofErr w:type="spellEnd"/>
      <w:r w:rsidRPr="00D21E15">
        <w:rPr>
          <w:rFonts w:cs="Arial"/>
          <w:color w:val="000000" w:themeColor="text1"/>
          <w:lang w:val="en-US"/>
        </w:rPr>
        <w:t xml:space="preserve">, M. (2020) ‘The Brexit dilemma for small business: European companies respond’, </w:t>
      </w:r>
      <w:r w:rsidRPr="00D21E15">
        <w:rPr>
          <w:rFonts w:cs="Arial"/>
          <w:i/>
          <w:iCs/>
          <w:color w:val="000000" w:themeColor="text1"/>
          <w:lang w:val="en-US"/>
        </w:rPr>
        <w:t>Journal of Business Strategy</w:t>
      </w:r>
      <w:r w:rsidRPr="00D21E15">
        <w:rPr>
          <w:rFonts w:cs="Arial"/>
          <w:color w:val="000000" w:themeColor="text1"/>
          <w:lang w:val="en-US"/>
        </w:rPr>
        <w:t xml:space="preserve">, ahead-of-print(ahead-of-print). Available at: </w:t>
      </w:r>
      <w:hyperlink r:id="rId22" w:history="1">
        <w:r w:rsidRPr="00D21E15">
          <w:rPr>
            <w:rStyle w:val="Hyperlink"/>
            <w:rFonts w:cs="Arial"/>
            <w:lang w:val="en-US"/>
          </w:rPr>
          <w:t>https://doi.org/10.1108/jbs-11-2019-0223</w:t>
        </w:r>
      </w:hyperlink>
      <w:r w:rsidRPr="00D21E15">
        <w:rPr>
          <w:rFonts w:cs="Arial"/>
          <w:color w:val="000000" w:themeColor="text1"/>
          <w:lang w:val="en-US"/>
        </w:rPr>
        <w:t>.</w:t>
      </w:r>
    </w:p>
    <w:p w14:paraId="2E74C5B5"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Berg, T. </w:t>
      </w:r>
      <w:r w:rsidRPr="00067DAE">
        <w:rPr>
          <w:rFonts w:cs="Arial"/>
          <w:i/>
          <w:iCs/>
          <w:color w:val="000000" w:themeColor="text1"/>
          <w:lang w:val="en-US"/>
        </w:rPr>
        <w:t>et al</w:t>
      </w:r>
      <w:r w:rsidRPr="00D21E15">
        <w:rPr>
          <w:rFonts w:cs="Arial"/>
          <w:i/>
          <w:iCs/>
          <w:color w:val="000000" w:themeColor="text1"/>
          <w:lang w:val="en-US"/>
        </w:rPr>
        <w:t>.</w:t>
      </w:r>
      <w:r w:rsidRPr="00D21E15">
        <w:rPr>
          <w:rFonts w:cs="Arial"/>
          <w:color w:val="000000" w:themeColor="text1"/>
          <w:lang w:val="en-US"/>
        </w:rPr>
        <w:t xml:space="preserve"> (2021) ‘Brexit and the contraction of syndicated lending’, </w:t>
      </w:r>
      <w:r w:rsidRPr="00D21E15">
        <w:rPr>
          <w:rFonts w:cs="Arial"/>
          <w:i/>
          <w:iCs/>
          <w:color w:val="000000" w:themeColor="text1"/>
          <w:lang w:val="en-US"/>
        </w:rPr>
        <w:t>Journal of Financial Economics</w:t>
      </w:r>
      <w:r w:rsidRPr="00D21E15">
        <w:rPr>
          <w:rFonts w:cs="Arial"/>
          <w:color w:val="000000" w:themeColor="text1"/>
          <w:lang w:val="en-US"/>
        </w:rPr>
        <w:t xml:space="preserve">, 141(1). Available at: </w:t>
      </w:r>
      <w:hyperlink r:id="rId23" w:history="1">
        <w:r w:rsidRPr="00D21E15">
          <w:rPr>
            <w:rStyle w:val="Hyperlink"/>
            <w:rFonts w:cs="Arial"/>
            <w:lang w:val="en-US"/>
          </w:rPr>
          <w:t>https://doi.org/10.1016/j.jfineco.2021.03.009</w:t>
        </w:r>
      </w:hyperlink>
      <w:r w:rsidRPr="00D21E15">
        <w:rPr>
          <w:rFonts w:cs="Arial"/>
          <w:color w:val="000000" w:themeColor="text1"/>
          <w:lang w:val="en-US"/>
        </w:rPr>
        <w:t>.</w:t>
      </w:r>
    </w:p>
    <w:p w14:paraId="50D17FE1"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Boland, A., Cherry, M. and Dickson, R. (2017) </w:t>
      </w:r>
      <w:r w:rsidRPr="00D21E15">
        <w:rPr>
          <w:rFonts w:cs="Arial"/>
          <w:i/>
          <w:iCs/>
          <w:color w:val="000000" w:themeColor="text1"/>
          <w:lang w:val="en-US"/>
        </w:rPr>
        <w:t xml:space="preserve">Doing a Systematic </w:t>
      </w:r>
      <w:proofErr w:type="gramStart"/>
      <w:r w:rsidRPr="00D21E15">
        <w:rPr>
          <w:rFonts w:cs="Arial"/>
          <w:i/>
          <w:iCs/>
          <w:color w:val="000000" w:themeColor="text1"/>
          <w:lang w:val="en-US"/>
        </w:rPr>
        <w:t>Review :</w:t>
      </w:r>
      <w:proofErr w:type="gramEnd"/>
      <w:r w:rsidRPr="00D21E15">
        <w:rPr>
          <w:rFonts w:cs="Arial"/>
          <w:i/>
          <w:iCs/>
          <w:color w:val="000000" w:themeColor="text1"/>
          <w:lang w:val="en-US"/>
        </w:rPr>
        <w:t xml:space="preserve"> a student’s Guide</w:t>
      </w:r>
      <w:r w:rsidRPr="00D21E15">
        <w:rPr>
          <w:rFonts w:cs="Arial"/>
          <w:color w:val="000000" w:themeColor="text1"/>
          <w:lang w:val="en-US"/>
        </w:rPr>
        <w:t xml:space="preserve">. 2nd </w:t>
      </w:r>
      <w:proofErr w:type="spellStart"/>
      <w:r w:rsidRPr="00D21E15">
        <w:rPr>
          <w:rFonts w:cs="Arial"/>
          <w:color w:val="000000" w:themeColor="text1"/>
          <w:lang w:val="en-US"/>
        </w:rPr>
        <w:t>edn</w:t>
      </w:r>
      <w:proofErr w:type="spellEnd"/>
      <w:r w:rsidRPr="00D21E15">
        <w:rPr>
          <w:rFonts w:cs="Arial"/>
          <w:color w:val="000000" w:themeColor="text1"/>
          <w:lang w:val="en-US"/>
        </w:rPr>
        <w:t>. Sage.</w:t>
      </w:r>
    </w:p>
    <w:p w14:paraId="1023AD63"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Brown, R. </w:t>
      </w:r>
      <w:r w:rsidRPr="00067DAE">
        <w:rPr>
          <w:rFonts w:cs="Arial"/>
          <w:i/>
          <w:iCs/>
          <w:color w:val="000000" w:themeColor="text1"/>
          <w:lang w:val="en-US"/>
        </w:rPr>
        <w:t>et al</w:t>
      </w:r>
      <w:r w:rsidRPr="00D21E15">
        <w:rPr>
          <w:rFonts w:cs="Arial"/>
          <w:i/>
          <w:iCs/>
          <w:color w:val="000000" w:themeColor="text1"/>
          <w:lang w:val="en-US"/>
        </w:rPr>
        <w:t>.</w:t>
      </w:r>
      <w:r w:rsidRPr="00D21E15">
        <w:rPr>
          <w:rFonts w:cs="Arial"/>
          <w:color w:val="000000" w:themeColor="text1"/>
          <w:lang w:val="en-US"/>
        </w:rPr>
        <w:t xml:space="preserve"> (2020) ‘Shocks, uncertainty and regional resilience: The case of Brexit and Scottish SMEs’, </w:t>
      </w:r>
      <w:r w:rsidRPr="00D21E15">
        <w:rPr>
          <w:rFonts w:cs="Arial"/>
          <w:i/>
          <w:iCs/>
          <w:color w:val="000000" w:themeColor="text1"/>
          <w:lang w:val="en-US"/>
        </w:rPr>
        <w:t>Local Economy: The Journal of the Local Economy Policy Unit</w:t>
      </w:r>
      <w:r w:rsidRPr="00D21E15">
        <w:rPr>
          <w:rFonts w:cs="Arial"/>
          <w:color w:val="000000" w:themeColor="text1"/>
          <w:lang w:val="en-US"/>
        </w:rPr>
        <w:t xml:space="preserve">, 35(7), pp. 655–675. Available at: </w:t>
      </w:r>
      <w:hyperlink r:id="rId24" w:history="1">
        <w:r w:rsidRPr="00D21E15">
          <w:rPr>
            <w:rStyle w:val="Hyperlink"/>
            <w:rFonts w:cs="Arial"/>
            <w:lang w:val="en-US"/>
          </w:rPr>
          <w:t>https://doi.org/10.1177/0269094220979261</w:t>
        </w:r>
      </w:hyperlink>
      <w:r w:rsidRPr="00D21E15">
        <w:rPr>
          <w:rFonts w:cs="Arial"/>
          <w:color w:val="000000" w:themeColor="text1"/>
          <w:lang w:val="en-US"/>
        </w:rPr>
        <w:t>.</w:t>
      </w:r>
    </w:p>
    <w:p w14:paraId="43BF6FDA"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Casagranda, F. (2024) ‘The Chinese online market: opportunities and challenges for Italian SMEs’, </w:t>
      </w:r>
      <w:r w:rsidRPr="00D21E15">
        <w:rPr>
          <w:rFonts w:cs="Arial"/>
          <w:i/>
          <w:iCs/>
          <w:color w:val="000000" w:themeColor="text1"/>
          <w:lang w:val="en-US"/>
        </w:rPr>
        <w:t>Handle.net</w:t>
      </w:r>
      <w:r w:rsidRPr="00D21E15">
        <w:rPr>
          <w:rFonts w:cs="Arial"/>
          <w:color w:val="000000" w:themeColor="text1"/>
          <w:lang w:val="en-US"/>
        </w:rPr>
        <w:t xml:space="preserve">, 1(1). Available at: </w:t>
      </w:r>
      <w:hyperlink r:id="rId25" w:history="1">
        <w:r w:rsidRPr="00D21E15">
          <w:rPr>
            <w:rStyle w:val="Hyperlink"/>
            <w:rFonts w:cs="Arial"/>
            <w:lang w:val="en-US"/>
          </w:rPr>
          <w:t>https://hdl.handle.net/20.500.14247/4037</w:t>
        </w:r>
      </w:hyperlink>
      <w:r w:rsidRPr="00D21E15">
        <w:rPr>
          <w:rFonts w:cs="Arial"/>
          <w:color w:val="000000" w:themeColor="text1"/>
          <w:lang w:val="en-US"/>
        </w:rPr>
        <w:t>.</w:t>
      </w:r>
    </w:p>
    <w:p w14:paraId="2232E393"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Cavallaro, M. and Lepori, B. (2020) ‘Institutional barriers to participation in EU framework programs: contrasting the Swiss and UK cases’, </w:t>
      </w:r>
      <w:proofErr w:type="spellStart"/>
      <w:r w:rsidRPr="00D21E15">
        <w:rPr>
          <w:rFonts w:cs="Arial"/>
          <w:i/>
          <w:iCs/>
          <w:color w:val="000000" w:themeColor="text1"/>
          <w:lang w:val="en-US"/>
        </w:rPr>
        <w:t>Scientometrics</w:t>
      </w:r>
      <w:proofErr w:type="spellEnd"/>
      <w:r w:rsidRPr="00D21E15">
        <w:rPr>
          <w:rFonts w:cs="Arial"/>
          <w:color w:val="000000" w:themeColor="text1"/>
          <w:lang w:val="en-US"/>
        </w:rPr>
        <w:t xml:space="preserve">, 126(2), pp. 1311–1328. Available at: </w:t>
      </w:r>
      <w:hyperlink r:id="rId26" w:history="1">
        <w:r w:rsidRPr="00D21E15">
          <w:rPr>
            <w:rStyle w:val="Hyperlink"/>
            <w:rFonts w:cs="Arial"/>
            <w:lang w:val="en-US"/>
          </w:rPr>
          <w:t>https://doi.org/10.1007/s11192-020-03810-0</w:t>
        </w:r>
      </w:hyperlink>
      <w:r w:rsidRPr="00D21E15">
        <w:rPr>
          <w:rFonts w:cs="Arial"/>
          <w:color w:val="000000" w:themeColor="text1"/>
          <w:lang w:val="en-US"/>
        </w:rPr>
        <w:t>.</w:t>
      </w:r>
    </w:p>
    <w:p w14:paraId="15514F07"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Chai, S.H., Nicholson, B., Ahmed, M.Z. and </w:t>
      </w:r>
      <w:proofErr w:type="spellStart"/>
      <w:r w:rsidRPr="00D21E15">
        <w:rPr>
          <w:rFonts w:cs="Arial"/>
          <w:color w:val="000000" w:themeColor="text1"/>
          <w:lang w:val="en-US"/>
        </w:rPr>
        <w:t>Salijeni</w:t>
      </w:r>
      <w:proofErr w:type="spellEnd"/>
      <w:r w:rsidRPr="00D21E15">
        <w:rPr>
          <w:rFonts w:cs="Arial"/>
          <w:color w:val="000000" w:themeColor="text1"/>
          <w:lang w:val="en-US"/>
        </w:rPr>
        <w:t xml:space="preserve">, G. (2024) ‘Understanding the Role of Bricolage in the Digital Transformation of Small and Medium-Sized Professional Services Firms’, ICIS 2024 Proceedings, 34. Available at: </w:t>
      </w:r>
      <w:hyperlink r:id="rId27" w:tgtFrame="_new" w:history="1">
        <w:r w:rsidRPr="00D21E15">
          <w:rPr>
            <w:rStyle w:val="Hyperlink"/>
            <w:rFonts w:cs="Arial"/>
            <w:lang w:val="en-US"/>
          </w:rPr>
          <w:t>https://aisel.aisnet.org/icis2024/diginnoventren/diginnoventren/34</w:t>
        </w:r>
      </w:hyperlink>
      <w:r w:rsidRPr="00D21E15">
        <w:rPr>
          <w:rFonts w:cs="Arial"/>
          <w:color w:val="000000" w:themeColor="text1"/>
          <w:lang w:val="en-US"/>
        </w:rPr>
        <w:t>.</w:t>
      </w:r>
    </w:p>
    <w:p w14:paraId="6B51841A"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Collins, D. (2023) ‘The liberalization of digital trade by the WTO: opportunities and challenges for SMEs’, </w:t>
      </w:r>
      <w:r w:rsidRPr="00D21E15">
        <w:rPr>
          <w:rFonts w:cs="Arial"/>
          <w:i/>
          <w:iCs/>
          <w:color w:val="000000" w:themeColor="text1"/>
          <w:lang w:val="en-US"/>
        </w:rPr>
        <w:t>Edward Elgar Publishing eBooks</w:t>
      </w:r>
      <w:r w:rsidRPr="00D21E15">
        <w:rPr>
          <w:rFonts w:cs="Arial"/>
          <w:color w:val="000000" w:themeColor="text1"/>
          <w:lang w:val="en-US"/>
        </w:rPr>
        <w:t xml:space="preserve">, pp. 51–68. Available at: </w:t>
      </w:r>
      <w:hyperlink r:id="rId28" w:history="1">
        <w:r w:rsidRPr="00D21E15">
          <w:rPr>
            <w:rStyle w:val="Hyperlink"/>
            <w:rFonts w:cs="Arial"/>
            <w:lang w:val="en-US"/>
          </w:rPr>
          <w:t>https://doi.org/10.4337/9781800882867.00011</w:t>
        </w:r>
      </w:hyperlink>
      <w:r w:rsidRPr="00D21E15">
        <w:rPr>
          <w:rFonts w:cs="Arial"/>
          <w:color w:val="000000" w:themeColor="text1"/>
          <w:lang w:val="en-US"/>
        </w:rPr>
        <w:t>.</w:t>
      </w:r>
    </w:p>
    <w:p w14:paraId="3145BB01"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Cooper, H.M. (1984) </w:t>
      </w:r>
      <w:r w:rsidRPr="00D21E15">
        <w:rPr>
          <w:rFonts w:cs="Arial"/>
          <w:i/>
          <w:iCs/>
          <w:color w:val="000000" w:themeColor="text1"/>
          <w:lang w:val="en-US"/>
        </w:rPr>
        <w:t>The integrative research review: a systematic approach</w:t>
      </w:r>
      <w:r w:rsidRPr="00D21E15">
        <w:rPr>
          <w:rFonts w:cs="Arial"/>
          <w:color w:val="000000" w:themeColor="text1"/>
          <w:lang w:val="en-US"/>
        </w:rPr>
        <w:t>. Sage Publications.</w:t>
      </w:r>
    </w:p>
    <w:p w14:paraId="5B23DC05" w14:textId="77777777" w:rsidR="00884F2F" w:rsidRPr="00D21E15" w:rsidRDefault="00884F2F" w:rsidP="00884F2F">
      <w:pPr>
        <w:spacing w:after="160"/>
        <w:jc w:val="left"/>
        <w:rPr>
          <w:rFonts w:cs="Arial"/>
          <w:color w:val="000000" w:themeColor="text1"/>
          <w:lang w:val="en-US"/>
        </w:rPr>
      </w:pPr>
      <w:proofErr w:type="spellStart"/>
      <w:r w:rsidRPr="00D21E15">
        <w:rPr>
          <w:rFonts w:cs="Arial"/>
          <w:color w:val="000000" w:themeColor="text1"/>
          <w:lang w:val="en-US"/>
        </w:rPr>
        <w:lastRenderedPageBreak/>
        <w:t>Coudounaris</w:t>
      </w:r>
      <w:proofErr w:type="spellEnd"/>
      <w:r w:rsidRPr="00D21E15">
        <w:rPr>
          <w:rFonts w:cs="Arial"/>
          <w:color w:val="000000" w:themeColor="text1"/>
          <w:lang w:val="en-US"/>
        </w:rPr>
        <w:t xml:space="preserve">, D.N. (2021) ‘The </w:t>
      </w:r>
      <w:proofErr w:type="spellStart"/>
      <w:r w:rsidRPr="00D21E15">
        <w:rPr>
          <w:rFonts w:cs="Arial"/>
          <w:color w:val="000000" w:themeColor="text1"/>
          <w:lang w:val="en-US"/>
        </w:rPr>
        <w:t>internationalisation</w:t>
      </w:r>
      <w:proofErr w:type="spellEnd"/>
      <w:r w:rsidRPr="00D21E15">
        <w:rPr>
          <w:rFonts w:cs="Arial"/>
          <w:color w:val="000000" w:themeColor="text1"/>
          <w:lang w:val="en-US"/>
        </w:rPr>
        <w:t xml:space="preserve"> process of UK SMEs: exporting and non-exporting </w:t>
      </w:r>
      <w:proofErr w:type="spellStart"/>
      <w:r w:rsidRPr="00D21E15">
        <w:rPr>
          <w:rFonts w:cs="Arial"/>
          <w:color w:val="000000" w:themeColor="text1"/>
          <w:lang w:val="en-US"/>
        </w:rPr>
        <w:t>behaviours</w:t>
      </w:r>
      <w:proofErr w:type="spellEnd"/>
      <w:r w:rsidRPr="00D21E15">
        <w:rPr>
          <w:rFonts w:cs="Arial"/>
          <w:color w:val="000000" w:themeColor="text1"/>
          <w:lang w:val="en-US"/>
        </w:rPr>
        <w:t xml:space="preserve"> based on a four forces </w:t>
      </w:r>
      <w:proofErr w:type="spellStart"/>
      <w:r w:rsidRPr="00D21E15">
        <w:rPr>
          <w:rFonts w:cs="Arial"/>
          <w:color w:val="000000" w:themeColor="text1"/>
          <w:lang w:val="en-US"/>
        </w:rPr>
        <w:t>behavioural</w:t>
      </w:r>
      <w:proofErr w:type="spellEnd"/>
      <w:r w:rsidRPr="00D21E15">
        <w:rPr>
          <w:rFonts w:cs="Arial"/>
          <w:color w:val="000000" w:themeColor="text1"/>
          <w:lang w:val="en-US"/>
        </w:rPr>
        <w:t xml:space="preserve"> model’, </w:t>
      </w:r>
      <w:r w:rsidRPr="00D21E15">
        <w:rPr>
          <w:rFonts w:cs="Arial"/>
          <w:i/>
          <w:iCs/>
          <w:color w:val="000000" w:themeColor="text1"/>
          <w:lang w:val="en-US"/>
        </w:rPr>
        <w:t>Review of International Business and Strategy</w:t>
      </w:r>
      <w:r w:rsidRPr="00D21E15">
        <w:rPr>
          <w:rFonts w:cs="Arial"/>
          <w:color w:val="000000" w:themeColor="text1"/>
          <w:lang w:val="en-US"/>
        </w:rPr>
        <w:t xml:space="preserve">, 31(2). Available at: </w:t>
      </w:r>
      <w:hyperlink r:id="rId29" w:history="1">
        <w:r w:rsidRPr="00D21E15">
          <w:rPr>
            <w:rStyle w:val="Hyperlink"/>
            <w:rFonts w:cs="Arial"/>
            <w:lang w:val="en-US"/>
          </w:rPr>
          <w:t>https://doi.org/10.1108/ribs-06-2019-0075</w:t>
        </w:r>
      </w:hyperlink>
      <w:r w:rsidRPr="00D21E15">
        <w:rPr>
          <w:rFonts w:cs="Arial"/>
          <w:color w:val="000000" w:themeColor="text1"/>
          <w:lang w:val="en-US"/>
        </w:rPr>
        <w:t>.</w:t>
      </w:r>
    </w:p>
    <w:p w14:paraId="09BC90AC"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Cowling, M. and Brown, R. (2024) ‘Discouraged exporters, regional resilience and the “Slow Burn” shock of Brexit: Unpacking the trade-related consequences for UK SMEs’, </w:t>
      </w:r>
      <w:r w:rsidRPr="00D21E15">
        <w:rPr>
          <w:rFonts w:cs="Arial"/>
          <w:i/>
          <w:iCs/>
          <w:color w:val="000000" w:themeColor="text1"/>
          <w:lang w:val="en-US"/>
        </w:rPr>
        <w:t>Papers of the Regional Science Association</w:t>
      </w:r>
      <w:r w:rsidRPr="00D21E15">
        <w:rPr>
          <w:rFonts w:cs="Arial"/>
          <w:color w:val="000000" w:themeColor="text1"/>
          <w:lang w:val="en-US"/>
        </w:rPr>
        <w:t xml:space="preserve">, 103(5), pp. 100045–100045. Available at: </w:t>
      </w:r>
      <w:hyperlink r:id="rId30" w:history="1">
        <w:r w:rsidRPr="00D21E15">
          <w:rPr>
            <w:rStyle w:val="Hyperlink"/>
            <w:rFonts w:cs="Arial"/>
            <w:lang w:val="en-US"/>
          </w:rPr>
          <w:t>https://doi.org/10.1016/j.pirs.2024.100045</w:t>
        </w:r>
      </w:hyperlink>
      <w:r w:rsidRPr="00D21E15">
        <w:rPr>
          <w:rFonts w:cs="Arial"/>
          <w:color w:val="000000" w:themeColor="text1"/>
          <w:lang w:val="en-US"/>
        </w:rPr>
        <w:t>.</w:t>
      </w:r>
    </w:p>
    <w:p w14:paraId="2206DCB2" w14:textId="77777777" w:rsidR="00884F2F" w:rsidRPr="00D21E15" w:rsidRDefault="00884F2F" w:rsidP="00884F2F">
      <w:pPr>
        <w:spacing w:after="160"/>
        <w:jc w:val="left"/>
        <w:rPr>
          <w:rFonts w:cs="Arial"/>
          <w:color w:val="000000" w:themeColor="text1"/>
          <w:lang w:val="en-US"/>
        </w:rPr>
      </w:pPr>
      <w:r w:rsidRPr="00884F2F">
        <w:rPr>
          <w:rFonts w:cs="Arial"/>
          <w:color w:val="000000" w:themeColor="text1"/>
          <w:lang w:val="nl-NL"/>
        </w:rPr>
        <w:t xml:space="preserve">Cuypers, I.R.P. </w:t>
      </w:r>
      <w:r w:rsidRPr="00884F2F">
        <w:rPr>
          <w:rFonts w:cs="Arial"/>
          <w:i/>
          <w:iCs/>
          <w:color w:val="000000" w:themeColor="text1"/>
          <w:lang w:val="nl-NL"/>
        </w:rPr>
        <w:t>et al.</w:t>
      </w:r>
      <w:r w:rsidRPr="00884F2F">
        <w:rPr>
          <w:rFonts w:cs="Arial"/>
          <w:color w:val="000000" w:themeColor="text1"/>
          <w:lang w:val="nl-NL"/>
        </w:rPr>
        <w:t xml:space="preserve"> </w:t>
      </w:r>
      <w:r w:rsidRPr="00D21E15">
        <w:rPr>
          <w:rFonts w:cs="Arial"/>
          <w:color w:val="000000" w:themeColor="text1"/>
          <w:lang w:val="en-US"/>
        </w:rPr>
        <w:t xml:space="preserve">(2020) ‘Making connections: Social networks in international business’, </w:t>
      </w:r>
      <w:r w:rsidRPr="00D21E15">
        <w:rPr>
          <w:rFonts w:cs="Arial"/>
          <w:i/>
          <w:iCs/>
          <w:color w:val="000000" w:themeColor="text1"/>
          <w:lang w:val="en-US"/>
        </w:rPr>
        <w:t>Journal of International Business Studies</w:t>
      </w:r>
      <w:r w:rsidRPr="00D21E15">
        <w:rPr>
          <w:rFonts w:cs="Arial"/>
          <w:color w:val="000000" w:themeColor="text1"/>
          <w:lang w:val="en-US"/>
        </w:rPr>
        <w:t xml:space="preserve">, 51(5), pp. 714–736. Available at: </w:t>
      </w:r>
      <w:hyperlink r:id="rId31" w:history="1">
        <w:r w:rsidRPr="00D21E15">
          <w:rPr>
            <w:rStyle w:val="Hyperlink"/>
            <w:rFonts w:cs="Arial"/>
            <w:lang w:val="en-US"/>
          </w:rPr>
          <w:t>https://link.springer.com/article/10.1057/s41267-020-00319-9</w:t>
        </w:r>
      </w:hyperlink>
      <w:r w:rsidRPr="00D21E15">
        <w:rPr>
          <w:rFonts w:cs="Arial"/>
          <w:color w:val="000000" w:themeColor="text1"/>
          <w:lang w:val="en-US"/>
        </w:rPr>
        <w:t>.</w:t>
      </w:r>
    </w:p>
    <w:p w14:paraId="7C4D53B4" w14:textId="77777777" w:rsidR="00884F2F" w:rsidRPr="00884F2F" w:rsidRDefault="00884F2F" w:rsidP="00884F2F">
      <w:pPr>
        <w:spacing w:after="160"/>
        <w:jc w:val="left"/>
        <w:rPr>
          <w:rFonts w:cs="Arial"/>
          <w:color w:val="000000" w:themeColor="text1"/>
          <w:lang w:val="en-US"/>
        </w:rPr>
      </w:pPr>
      <w:r w:rsidRPr="00884F2F">
        <w:rPr>
          <w:rFonts w:cs="Arial"/>
          <w:color w:val="000000" w:themeColor="text1"/>
          <w:lang w:val="en-US"/>
        </w:rPr>
        <w:t xml:space="preserve">Davis, F.D. (1989) ‘Perceived usefulness, perceived ease of use, and user acceptance of information technology’, </w:t>
      </w:r>
      <w:r w:rsidRPr="00884F2F">
        <w:rPr>
          <w:rFonts w:cs="Arial"/>
          <w:i/>
          <w:iCs/>
          <w:color w:val="000000" w:themeColor="text1"/>
          <w:lang w:val="en-US"/>
        </w:rPr>
        <w:t>MIS Quarterly</w:t>
      </w:r>
      <w:r w:rsidRPr="00884F2F">
        <w:rPr>
          <w:rFonts w:cs="Arial"/>
          <w:color w:val="000000" w:themeColor="text1"/>
          <w:lang w:val="en-US"/>
        </w:rPr>
        <w:t>, 13(3), pp. 319–340.</w:t>
      </w:r>
    </w:p>
    <w:p w14:paraId="3D9125B0"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Douch, M. and Huw Edwards, T. (2021) ‘The Brexit policy shock: Were UK services exports affected, and when?’, </w:t>
      </w:r>
      <w:r w:rsidRPr="00D21E15">
        <w:rPr>
          <w:rFonts w:cs="Arial"/>
          <w:i/>
          <w:iCs/>
          <w:color w:val="000000" w:themeColor="text1"/>
          <w:lang w:val="en-US"/>
        </w:rPr>
        <w:t>Journal of Economic Behavior &amp; Organization</w:t>
      </w:r>
      <w:r w:rsidRPr="00D21E15">
        <w:rPr>
          <w:rFonts w:cs="Arial"/>
          <w:color w:val="000000" w:themeColor="text1"/>
          <w:lang w:val="en-US"/>
        </w:rPr>
        <w:t xml:space="preserve">, 182, pp. 248–263. Available at: </w:t>
      </w:r>
      <w:hyperlink r:id="rId32" w:history="1">
        <w:r w:rsidRPr="00D21E15">
          <w:rPr>
            <w:rStyle w:val="Hyperlink"/>
            <w:rFonts w:cs="Arial"/>
            <w:lang w:val="en-US"/>
          </w:rPr>
          <w:t>https://doi.org/10.1016/j.jebo.2020.12.025</w:t>
        </w:r>
      </w:hyperlink>
      <w:r w:rsidRPr="00D21E15">
        <w:rPr>
          <w:rFonts w:cs="Arial"/>
          <w:color w:val="000000" w:themeColor="text1"/>
          <w:lang w:val="en-US"/>
        </w:rPr>
        <w:t>.</w:t>
      </w:r>
    </w:p>
    <w:p w14:paraId="045FB02D"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Dowell, D., Bowen, R. and Morris, W.E. (2023) ‘Hospitality SME innovation: responses to multifaceted crises’, </w:t>
      </w:r>
      <w:r w:rsidRPr="00D21E15">
        <w:rPr>
          <w:rFonts w:cs="Arial"/>
          <w:i/>
          <w:iCs/>
          <w:color w:val="000000" w:themeColor="text1"/>
          <w:lang w:val="en-US"/>
        </w:rPr>
        <w:t>British Food Journal</w:t>
      </w:r>
      <w:r w:rsidRPr="00D21E15">
        <w:rPr>
          <w:rFonts w:cs="Arial"/>
          <w:color w:val="000000" w:themeColor="text1"/>
          <w:lang w:val="en-US"/>
        </w:rPr>
        <w:t xml:space="preserve">, 125(11). Available at: </w:t>
      </w:r>
      <w:hyperlink r:id="rId33" w:history="1">
        <w:r w:rsidRPr="00D21E15">
          <w:rPr>
            <w:rStyle w:val="Hyperlink"/>
            <w:rFonts w:cs="Arial"/>
            <w:lang w:val="en-US"/>
          </w:rPr>
          <w:t>https://doi.org/10.1108/bfj-11-2022-0982</w:t>
        </w:r>
      </w:hyperlink>
      <w:r w:rsidRPr="00D21E15">
        <w:rPr>
          <w:rFonts w:cs="Arial"/>
          <w:color w:val="000000" w:themeColor="text1"/>
          <w:lang w:val="en-US"/>
        </w:rPr>
        <w:t>.</w:t>
      </w:r>
    </w:p>
    <w:p w14:paraId="65F65CA7"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Driffield, N., Surdu, I. and Yuan, X. (2024) ‘Country-level dynamic capabilities and inward FDI: a framework on future policy adaptations applied to post-Brexit UK’, </w:t>
      </w:r>
      <w:r w:rsidRPr="00D21E15">
        <w:rPr>
          <w:rFonts w:cs="Arial"/>
          <w:i/>
          <w:iCs/>
          <w:color w:val="000000" w:themeColor="text1"/>
          <w:lang w:val="en-US"/>
        </w:rPr>
        <w:t>Journal of International Business Policy</w:t>
      </w:r>
      <w:r w:rsidRPr="00D21E15">
        <w:rPr>
          <w:rFonts w:cs="Arial"/>
          <w:color w:val="000000" w:themeColor="text1"/>
          <w:lang w:val="en-US"/>
        </w:rPr>
        <w:t xml:space="preserve">, 7. Available at: </w:t>
      </w:r>
      <w:hyperlink r:id="rId34" w:history="1">
        <w:r w:rsidRPr="00D21E15">
          <w:rPr>
            <w:rStyle w:val="Hyperlink"/>
            <w:rFonts w:cs="Arial"/>
            <w:lang w:val="en-US"/>
          </w:rPr>
          <w:t>https://doi.org/10.1057/s42214-024-00196-1</w:t>
        </w:r>
      </w:hyperlink>
      <w:r w:rsidRPr="00D21E15">
        <w:rPr>
          <w:rFonts w:cs="Arial"/>
          <w:color w:val="000000" w:themeColor="text1"/>
          <w:lang w:val="en-US"/>
        </w:rPr>
        <w:t>.</w:t>
      </w:r>
    </w:p>
    <w:p w14:paraId="374D5640"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Du, J. and </w:t>
      </w:r>
      <w:proofErr w:type="spellStart"/>
      <w:r w:rsidRPr="00D21E15">
        <w:rPr>
          <w:rFonts w:cs="Arial"/>
          <w:color w:val="000000" w:themeColor="text1"/>
          <w:lang w:val="en-US"/>
        </w:rPr>
        <w:t>Shepotylo</w:t>
      </w:r>
      <w:proofErr w:type="spellEnd"/>
      <w:r w:rsidRPr="00D21E15">
        <w:rPr>
          <w:rFonts w:cs="Arial"/>
          <w:color w:val="000000" w:themeColor="text1"/>
          <w:lang w:val="en-US"/>
        </w:rPr>
        <w:t xml:space="preserve">, O. (2024) ‘Brexit and the Services Trade—A Longitudinal Analysis’, </w:t>
      </w:r>
      <w:r w:rsidRPr="00D21E15">
        <w:rPr>
          <w:rFonts w:cs="Arial"/>
          <w:i/>
          <w:iCs/>
          <w:color w:val="000000" w:themeColor="text1"/>
          <w:lang w:val="en-US"/>
        </w:rPr>
        <w:t>Journal of Service Research</w:t>
      </w:r>
      <w:r w:rsidRPr="00D21E15">
        <w:rPr>
          <w:rFonts w:cs="Arial"/>
          <w:color w:val="000000" w:themeColor="text1"/>
          <w:lang w:val="en-US"/>
        </w:rPr>
        <w:t xml:space="preserve"> [Preprint]. Available at: </w:t>
      </w:r>
      <w:hyperlink r:id="rId35" w:history="1">
        <w:r w:rsidRPr="00D21E15">
          <w:rPr>
            <w:rStyle w:val="Hyperlink"/>
            <w:rFonts w:cs="Arial"/>
            <w:lang w:val="en-US"/>
          </w:rPr>
          <w:t>https://doi.org/10.1177/10946705241271384</w:t>
        </w:r>
      </w:hyperlink>
      <w:r w:rsidRPr="00D21E15">
        <w:rPr>
          <w:rFonts w:cs="Arial"/>
          <w:color w:val="000000" w:themeColor="text1"/>
          <w:lang w:val="en-US"/>
        </w:rPr>
        <w:t>.</w:t>
      </w:r>
    </w:p>
    <w:p w14:paraId="2CF29816"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Du, J., </w:t>
      </w:r>
      <w:proofErr w:type="spellStart"/>
      <w:r w:rsidRPr="00D21E15">
        <w:rPr>
          <w:rFonts w:cs="Arial"/>
          <w:color w:val="000000" w:themeColor="text1"/>
          <w:lang w:val="en-US"/>
        </w:rPr>
        <w:t>Shepotylo</w:t>
      </w:r>
      <w:proofErr w:type="spellEnd"/>
      <w:r w:rsidRPr="00D21E15">
        <w:rPr>
          <w:rFonts w:cs="Arial"/>
          <w:color w:val="000000" w:themeColor="text1"/>
          <w:lang w:val="en-US"/>
        </w:rPr>
        <w:t xml:space="preserve">, O. and Yuan, X. (2025) ‘How Did the Brexit Uncertainty Impact Services Exports of UK firms?’, </w:t>
      </w:r>
      <w:r w:rsidRPr="00D21E15">
        <w:rPr>
          <w:rFonts w:cs="Arial"/>
          <w:i/>
          <w:iCs/>
          <w:color w:val="000000" w:themeColor="text1"/>
          <w:lang w:val="en-US"/>
        </w:rPr>
        <w:t>Journal of International Business Policy</w:t>
      </w:r>
      <w:r w:rsidRPr="00D21E15">
        <w:rPr>
          <w:rFonts w:cs="Arial"/>
          <w:color w:val="000000" w:themeColor="text1"/>
          <w:lang w:val="en-US"/>
        </w:rPr>
        <w:t xml:space="preserve">, 8(1), pp. 80–104. Available at: </w:t>
      </w:r>
      <w:hyperlink r:id="rId36" w:history="1">
        <w:r w:rsidRPr="00D21E15">
          <w:rPr>
            <w:rStyle w:val="Hyperlink"/>
            <w:rFonts w:cs="Arial"/>
            <w:lang w:val="en-US"/>
          </w:rPr>
          <w:t>https://doi.org/10.1057/s42214-024-00202-6</w:t>
        </w:r>
      </w:hyperlink>
      <w:r w:rsidRPr="00D21E15">
        <w:rPr>
          <w:rFonts w:cs="Arial"/>
          <w:color w:val="000000" w:themeColor="text1"/>
          <w:lang w:val="en-US"/>
        </w:rPr>
        <w:t>.</w:t>
      </w:r>
    </w:p>
    <w:p w14:paraId="71C15EBA" w14:textId="77777777" w:rsidR="00884F2F" w:rsidRPr="00D21E15" w:rsidRDefault="00884F2F" w:rsidP="00884F2F">
      <w:pPr>
        <w:spacing w:after="160"/>
        <w:jc w:val="left"/>
        <w:rPr>
          <w:rFonts w:cs="Arial"/>
          <w:color w:val="000000" w:themeColor="text1"/>
          <w:lang w:val="en-US"/>
        </w:rPr>
      </w:pPr>
      <w:r w:rsidRPr="00884F2F">
        <w:rPr>
          <w:rFonts w:cs="Arial"/>
          <w:color w:val="000000" w:themeColor="text1"/>
          <w:lang w:val="nl-NL"/>
        </w:rPr>
        <w:lastRenderedPageBreak/>
        <w:t xml:space="preserve">El Nemar, S. </w:t>
      </w:r>
      <w:r w:rsidRPr="00884F2F">
        <w:rPr>
          <w:rFonts w:cs="Arial"/>
          <w:i/>
          <w:iCs/>
          <w:color w:val="000000" w:themeColor="text1"/>
          <w:lang w:val="nl-NL"/>
        </w:rPr>
        <w:t>et al.</w:t>
      </w:r>
      <w:r w:rsidRPr="00884F2F">
        <w:rPr>
          <w:rFonts w:cs="Arial"/>
          <w:color w:val="000000" w:themeColor="text1"/>
          <w:lang w:val="nl-NL"/>
        </w:rPr>
        <w:t xml:space="preserve"> </w:t>
      </w:r>
      <w:r w:rsidRPr="00D21E15">
        <w:rPr>
          <w:rFonts w:cs="Arial"/>
          <w:color w:val="000000" w:themeColor="text1"/>
          <w:lang w:val="en-US"/>
        </w:rPr>
        <w:t xml:space="preserve">(2022) ‘Resource-based View and Sustainable advantage: a Framework for SMEs’, </w:t>
      </w:r>
      <w:r w:rsidRPr="00D21E15">
        <w:rPr>
          <w:rFonts w:cs="Arial"/>
          <w:i/>
          <w:iCs/>
          <w:color w:val="000000" w:themeColor="text1"/>
          <w:lang w:val="en-US"/>
        </w:rPr>
        <w:t>Journal of Strategic Marketing</w:t>
      </w:r>
      <w:r w:rsidRPr="00D21E15">
        <w:rPr>
          <w:rFonts w:cs="Arial"/>
          <w:color w:val="000000" w:themeColor="text1"/>
          <w:lang w:val="en-US"/>
        </w:rPr>
        <w:t>, 33(6), pp. 1–24.</w:t>
      </w:r>
    </w:p>
    <w:p w14:paraId="225C0480" w14:textId="77777777" w:rsidR="00884F2F" w:rsidRPr="00D21E15" w:rsidRDefault="00884F2F" w:rsidP="00884F2F">
      <w:pPr>
        <w:spacing w:after="160"/>
        <w:jc w:val="left"/>
        <w:rPr>
          <w:rFonts w:cs="Arial"/>
          <w:color w:val="000000" w:themeColor="text1"/>
          <w:lang w:val="en-US"/>
        </w:rPr>
      </w:pPr>
      <w:proofErr w:type="spellStart"/>
      <w:r w:rsidRPr="00D21E15">
        <w:rPr>
          <w:rFonts w:cs="Arial"/>
          <w:color w:val="000000" w:themeColor="text1"/>
          <w:lang w:val="en-US"/>
        </w:rPr>
        <w:t>Fatorachian</w:t>
      </w:r>
      <w:proofErr w:type="spellEnd"/>
      <w:r w:rsidRPr="00D21E15">
        <w:rPr>
          <w:rFonts w:cs="Arial"/>
          <w:color w:val="000000" w:themeColor="text1"/>
          <w:lang w:val="en-US"/>
        </w:rPr>
        <w:t>, H., Arboleda, E. and Linh, T.T. (2025) ‘</w:t>
      </w:r>
      <w:proofErr w:type="spellStart"/>
      <w:r w:rsidRPr="00D21E15">
        <w:rPr>
          <w:rFonts w:cs="Arial"/>
          <w:color w:val="000000" w:themeColor="text1"/>
          <w:lang w:val="en-US"/>
        </w:rPr>
        <w:t>Digitalisation</w:t>
      </w:r>
      <w:proofErr w:type="spellEnd"/>
      <w:r w:rsidRPr="00D21E15">
        <w:rPr>
          <w:rFonts w:cs="Arial"/>
          <w:color w:val="000000" w:themeColor="text1"/>
          <w:lang w:val="en-US"/>
        </w:rPr>
        <w:t xml:space="preserve"> and customer engagement in fast-food SMEs: enhancing brand presence through social media’, </w:t>
      </w:r>
      <w:r w:rsidRPr="00D21E15">
        <w:rPr>
          <w:rFonts w:cs="Arial"/>
          <w:i/>
          <w:iCs/>
          <w:color w:val="000000" w:themeColor="text1"/>
          <w:lang w:val="en-US"/>
        </w:rPr>
        <w:t>Cogent Business &amp; Management</w:t>
      </w:r>
      <w:r w:rsidRPr="00D21E15">
        <w:rPr>
          <w:rFonts w:cs="Arial"/>
          <w:color w:val="000000" w:themeColor="text1"/>
          <w:lang w:val="en-US"/>
        </w:rPr>
        <w:t xml:space="preserve">, 12(1). Available at: </w:t>
      </w:r>
      <w:hyperlink r:id="rId37" w:history="1">
        <w:r w:rsidRPr="00D21E15">
          <w:rPr>
            <w:rStyle w:val="Hyperlink"/>
            <w:rFonts w:cs="Arial"/>
            <w:lang w:val="en-US"/>
          </w:rPr>
          <w:t>https://doi.org/10.1080/23311975.2025.2508927</w:t>
        </w:r>
      </w:hyperlink>
      <w:r w:rsidRPr="00D21E15">
        <w:rPr>
          <w:rFonts w:cs="Arial"/>
          <w:color w:val="000000" w:themeColor="text1"/>
          <w:lang w:val="en-US"/>
        </w:rPr>
        <w:t>.</w:t>
      </w:r>
    </w:p>
    <w:p w14:paraId="3F2570F3"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Fontanelli, F. (2023) ‘The Law of UK Trade with the EU and the World after Brexit’, </w:t>
      </w:r>
      <w:r w:rsidRPr="00D21E15">
        <w:rPr>
          <w:rFonts w:cs="Arial"/>
          <w:i/>
          <w:iCs/>
          <w:color w:val="000000" w:themeColor="text1"/>
          <w:lang w:val="en-US"/>
        </w:rPr>
        <w:t>King’s Law Journal</w:t>
      </w:r>
      <w:r w:rsidRPr="00D21E15">
        <w:rPr>
          <w:rFonts w:cs="Arial"/>
          <w:color w:val="000000" w:themeColor="text1"/>
          <w:lang w:val="en-US"/>
        </w:rPr>
        <w:t xml:space="preserve">, 34(1), pp. 1–27. Available at: </w:t>
      </w:r>
      <w:hyperlink r:id="rId38" w:history="1">
        <w:r w:rsidRPr="00D21E15">
          <w:rPr>
            <w:rStyle w:val="Hyperlink"/>
            <w:rFonts w:cs="Arial"/>
            <w:lang w:val="en-US"/>
          </w:rPr>
          <w:t>https://doi.org/10.1080/09615768.2023.2187615</w:t>
        </w:r>
      </w:hyperlink>
      <w:r w:rsidRPr="00D21E15">
        <w:rPr>
          <w:rFonts w:cs="Arial"/>
          <w:color w:val="000000" w:themeColor="text1"/>
          <w:lang w:val="en-US"/>
        </w:rPr>
        <w:t>.</w:t>
      </w:r>
    </w:p>
    <w:p w14:paraId="1A6AFAF0"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Foster, M.J. and Jewell, S.T. (2017) </w:t>
      </w:r>
      <w:r w:rsidRPr="00D21E15">
        <w:rPr>
          <w:rFonts w:cs="Arial"/>
          <w:i/>
          <w:iCs/>
          <w:color w:val="000000" w:themeColor="text1"/>
          <w:lang w:val="en-US"/>
        </w:rPr>
        <w:t xml:space="preserve">Assembling the pieces of a systematic </w:t>
      </w:r>
      <w:proofErr w:type="gramStart"/>
      <w:r w:rsidRPr="00D21E15">
        <w:rPr>
          <w:rFonts w:cs="Arial"/>
          <w:i/>
          <w:iCs/>
          <w:color w:val="000000" w:themeColor="text1"/>
          <w:lang w:val="en-US"/>
        </w:rPr>
        <w:t>review :</w:t>
      </w:r>
      <w:proofErr w:type="gramEnd"/>
      <w:r w:rsidRPr="00D21E15">
        <w:rPr>
          <w:rFonts w:cs="Arial"/>
          <w:i/>
          <w:iCs/>
          <w:color w:val="000000" w:themeColor="text1"/>
          <w:lang w:val="en-US"/>
        </w:rPr>
        <w:t xml:space="preserve"> guide for librarians</w:t>
      </w:r>
      <w:r w:rsidRPr="00D21E15">
        <w:rPr>
          <w:rFonts w:cs="Arial"/>
          <w:color w:val="000000" w:themeColor="text1"/>
          <w:lang w:val="en-US"/>
        </w:rPr>
        <w:t>. Rowman &amp; Littlefield.</w:t>
      </w:r>
    </w:p>
    <w:p w14:paraId="152988CE"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Gao, J. (2022) </w:t>
      </w:r>
      <w:r w:rsidRPr="00D21E15">
        <w:rPr>
          <w:rFonts w:cs="Arial"/>
          <w:i/>
          <w:iCs/>
          <w:color w:val="000000" w:themeColor="text1"/>
          <w:lang w:val="en-US"/>
        </w:rPr>
        <w:t>Analysis on the Overall Effects of Brexit</w:t>
      </w:r>
      <w:r w:rsidRPr="00D21E15">
        <w:rPr>
          <w:rFonts w:cs="Arial"/>
          <w:color w:val="000000" w:themeColor="text1"/>
          <w:lang w:val="en-US"/>
        </w:rPr>
        <w:t xml:space="preserve">, </w:t>
      </w:r>
      <w:r w:rsidRPr="00D21E15">
        <w:rPr>
          <w:rFonts w:cs="Arial"/>
          <w:i/>
          <w:iCs/>
          <w:color w:val="000000" w:themeColor="text1"/>
          <w:lang w:val="en-US"/>
        </w:rPr>
        <w:t>www.atlantis-press.com</w:t>
      </w:r>
      <w:r w:rsidRPr="00D21E15">
        <w:rPr>
          <w:rFonts w:cs="Arial"/>
          <w:color w:val="000000" w:themeColor="text1"/>
          <w:lang w:val="en-US"/>
        </w:rPr>
        <w:t xml:space="preserve">. Atlantis Press. Available at: </w:t>
      </w:r>
      <w:hyperlink r:id="rId39" w:history="1">
        <w:r w:rsidRPr="00D21E15">
          <w:rPr>
            <w:rStyle w:val="Hyperlink"/>
            <w:rFonts w:cs="Arial"/>
            <w:lang w:val="en-US"/>
          </w:rPr>
          <w:t>https://doi.org/10.2991/assehr.k.220105.281</w:t>
        </w:r>
      </w:hyperlink>
      <w:r w:rsidRPr="00D21E15">
        <w:rPr>
          <w:rFonts w:cs="Arial"/>
          <w:color w:val="000000" w:themeColor="text1"/>
          <w:lang w:val="en-US"/>
        </w:rPr>
        <w:t>.</w:t>
      </w:r>
    </w:p>
    <w:p w14:paraId="7572027A"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Gough, D.A., Oliver, S. and Thomas, J. (2017) </w:t>
      </w:r>
      <w:r w:rsidRPr="00D21E15">
        <w:rPr>
          <w:rFonts w:cs="Arial"/>
          <w:i/>
          <w:iCs/>
          <w:color w:val="000000" w:themeColor="text1"/>
          <w:lang w:val="en-US"/>
        </w:rPr>
        <w:t>An introduction to systematic reviews</w:t>
      </w:r>
      <w:r w:rsidRPr="00D21E15">
        <w:rPr>
          <w:rFonts w:cs="Arial"/>
          <w:color w:val="000000" w:themeColor="text1"/>
          <w:lang w:val="en-US"/>
        </w:rPr>
        <w:t>. Sage.</w:t>
      </w:r>
    </w:p>
    <w:p w14:paraId="31D5F2A4"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Government Commercial Function (2024) </w:t>
      </w:r>
      <w:r w:rsidRPr="00D21E15">
        <w:rPr>
          <w:rFonts w:cs="Arial"/>
          <w:i/>
          <w:iCs/>
          <w:color w:val="000000" w:themeColor="text1"/>
          <w:lang w:val="en-US"/>
        </w:rPr>
        <w:t>Supplementary information: Small and Medium-sized Enterprises definition (HTML)</w:t>
      </w:r>
      <w:r w:rsidRPr="00D21E15">
        <w:rPr>
          <w:rFonts w:cs="Arial"/>
          <w:color w:val="000000" w:themeColor="text1"/>
          <w:lang w:val="en-US"/>
        </w:rPr>
        <w:t xml:space="preserve">, </w:t>
      </w:r>
      <w:r w:rsidRPr="00D21E15">
        <w:rPr>
          <w:rFonts w:cs="Arial"/>
          <w:i/>
          <w:iCs/>
          <w:color w:val="000000" w:themeColor="text1"/>
          <w:lang w:val="en-US"/>
        </w:rPr>
        <w:t>GOV.UK</w:t>
      </w:r>
      <w:r w:rsidRPr="00D21E15">
        <w:rPr>
          <w:rFonts w:cs="Arial"/>
          <w:color w:val="000000" w:themeColor="text1"/>
          <w:lang w:val="en-US"/>
        </w:rPr>
        <w:t xml:space="preserve">. Available at: </w:t>
      </w:r>
      <w:hyperlink r:id="rId40" w:history="1">
        <w:r w:rsidRPr="00D21E15">
          <w:rPr>
            <w:rStyle w:val="Hyperlink"/>
            <w:rFonts w:cs="Arial"/>
            <w:lang w:val="en-US"/>
          </w:rPr>
          <w:t>https://www.gov.uk/government/publications/procurement-act-2023-short-guides/supplementary-information-small-and-medium-sized-enterprises-definition-html</w:t>
        </w:r>
      </w:hyperlink>
      <w:r w:rsidRPr="00D21E15">
        <w:rPr>
          <w:rFonts w:cs="Arial"/>
          <w:color w:val="000000" w:themeColor="text1"/>
          <w:lang w:val="en-US"/>
        </w:rPr>
        <w:t>.</w:t>
      </w:r>
    </w:p>
    <w:p w14:paraId="77CA3BD7"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Gusenbauer, M. and </w:t>
      </w:r>
      <w:proofErr w:type="spellStart"/>
      <w:r w:rsidRPr="00D21E15">
        <w:rPr>
          <w:rFonts w:cs="Arial"/>
          <w:color w:val="000000" w:themeColor="text1"/>
          <w:lang w:val="en-US"/>
        </w:rPr>
        <w:t>Gauster</w:t>
      </w:r>
      <w:proofErr w:type="spellEnd"/>
      <w:r w:rsidRPr="00D21E15">
        <w:rPr>
          <w:rFonts w:cs="Arial"/>
          <w:color w:val="000000" w:themeColor="text1"/>
          <w:lang w:val="en-US"/>
        </w:rPr>
        <w:t xml:space="preserve">, S.P. (2024) ‘How to Search for Literature in Systematic Reviews and meta-analyses: a Comprehensive step-by-step Guide’, </w:t>
      </w:r>
      <w:r w:rsidRPr="00D21E15">
        <w:rPr>
          <w:rFonts w:cs="Arial"/>
          <w:i/>
          <w:iCs/>
          <w:color w:val="000000" w:themeColor="text1"/>
          <w:lang w:val="en-US"/>
        </w:rPr>
        <w:t>Technological Forecasting and Social Change</w:t>
      </w:r>
      <w:r w:rsidRPr="00D21E15">
        <w:rPr>
          <w:rFonts w:cs="Arial"/>
          <w:color w:val="000000" w:themeColor="text1"/>
          <w:lang w:val="en-US"/>
        </w:rPr>
        <w:t xml:space="preserve">, 212, p. 123833. Available at: </w:t>
      </w:r>
      <w:hyperlink r:id="rId41" w:history="1">
        <w:r w:rsidRPr="00D21E15">
          <w:rPr>
            <w:rStyle w:val="Hyperlink"/>
            <w:rFonts w:cs="Arial"/>
            <w:lang w:val="en-US"/>
          </w:rPr>
          <w:t>https://doi.org/10.1016/j.techfore.2024.123833</w:t>
        </w:r>
      </w:hyperlink>
      <w:r w:rsidRPr="00D21E15">
        <w:rPr>
          <w:rFonts w:cs="Arial"/>
          <w:color w:val="000000" w:themeColor="text1"/>
          <w:lang w:val="en-US"/>
        </w:rPr>
        <w:t>.</w:t>
      </w:r>
    </w:p>
    <w:p w14:paraId="2466A523"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Harcourt, A. (2023) </w:t>
      </w:r>
      <w:r w:rsidRPr="00D21E15">
        <w:rPr>
          <w:rFonts w:cs="Arial"/>
          <w:i/>
          <w:iCs/>
          <w:color w:val="000000" w:themeColor="text1"/>
          <w:lang w:val="en-US"/>
        </w:rPr>
        <w:t>Brexit and the digital single market</w:t>
      </w:r>
      <w:r w:rsidRPr="00D21E15">
        <w:rPr>
          <w:rFonts w:cs="Arial"/>
          <w:color w:val="000000" w:themeColor="text1"/>
          <w:lang w:val="en-US"/>
        </w:rPr>
        <w:t>. Oxford University Press.</w:t>
      </w:r>
    </w:p>
    <w:p w14:paraId="10D9F746" w14:textId="77777777" w:rsidR="00884F2F" w:rsidRPr="00D21E15" w:rsidRDefault="00884F2F" w:rsidP="00884F2F">
      <w:pPr>
        <w:spacing w:after="160"/>
        <w:jc w:val="left"/>
        <w:rPr>
          <w:rFonts w:cs="Arial"/>
          <w:color w:val="000000" w:themeColor="text1"/>
          <w:lang w:val="en-US"/>
        </w:rPr>
      </w:pPr>
      <w:r w:rsidRPr="00884F2F">
        <w:rPr>
          <w:rFonts w:cs="Arial"/>
          <w:color w:val="000000" w:themeColor="text1"/>
          <w:lang w:val="nl-NL"/>
        </w:rPr>
        <w:t xml:space="preserve">Hassan, T.A. </w:t>
      </w:r>
      <w:r w:rsidRPr="00884F2F">
        <w:rPr>
          <w:rFonts w:cs="Arial"/>
          <w:i/>
          <w:iCs/>
          <w:color w:val="000000" w:themeColor="text1"/>
          <w:lang w:val="nl-NL"/>
        </w:rPr>
        <w:t>et al.</w:t>
      </w:r>
      <w:r w:rsidRPr="00884F2F">
        <w:rPr>
          <w:rFonts w:cs="Arial"/>
          <w:color w:val="000000" w:themeColor="text1"/>
          <w:lang w:val="nl-NL"/>
        </w:rPr>
        <w:t xml:space="preserve"> </w:t>
      </w:r>
      <w:r w:rsidRPr="00D21E15">
        <w:rPr>
          <w:rFonts w:cs="Arial"/>
          <w:color w:val="000000" w:themeColor="text1"/>
          <w:lang w:val="en-US"/>
        </w:rPr>
        <w:t xml:space="preserve">(2023) ‘The Global Impact of Brexit Uncertainty’, </w:t>
      </w:r>
      <w:r w:rsidRPr="00D21E15">
        <w:rPr>
          <w:rFonts w:cs="Arial"/>
          <w:i/>
          <w:iCs/>
          <w:color w:val="000000" w:themeColor="text1"/>
          <w:lang w:val="en-US"/>
        </w:rPr>
        <w:t>The Journal of Finance</w:t>
      </w:r>
      <w:r w:rsidRPr="00D21E15">
        <w:rPr>
          <w:rFonts w:cs="Arial"/>
          <w:color w:val="000000" w:themeColor="text1"/>
          <w:lang w:val="en-US"/>
        </w:rPr>
        <w:t xml:space="preserve">, 79(1). Available at: </w:t>
      </w:r>
      <w:hyperlink r:id="rId42" w:history="1">
        <w:r w:rsidRPr="00D21E15">
          <w:rPr>
            <w:rStyle w:val="Hyperlink"/>
            <w:rFonts w:cs="Arial"/>
            <w:lang w:val="en-US"/>
          </w:rPr>
          <w:t>https://doi.org/10.1111/jofi.13293</w:t>
        </w:r>
      </w:hyperlink>
      <w:r w:rsidRPr="00D21E15">
        <w:rPr>
          <w:rFonts w:cs="Arial"/>
          <w:color w:val="000000" w:themeColor="text1"/>
          <w:lang w:val="en-US"/>
        </w:rPr>
        <w:t>.</w:t>
      </w:r>
    </w:p>
    <w:p w14:paraId="14EFFDD1"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Higgins, J.P.T. and Green, S. (2019) </w:t>
      </w:r>
      <w:r w:rsidRPr="00D21E15">
        <w:rPr>
          <w:rFonts w:cs="Arial"/>
          <w:i/>
          <w:iCs/>
          <w:color w:val="000000" w:themeColor="text1"/>
          <w:lang w:val="en-US"/>
        </w:rPr>
        <w:t>Cochrane Handbook for Systematic Reviews of Interventions</w:t>
      </w:r>
      <w:r w:rsidRPr="00D21E15">
        <w:rPr>
          <w:rFonts w:cs="Arial"/>
          <w:color w:val="000000" w:themeColor="text1"/>
          <w:lang w:val="en-US"/>
        </w:rPr>
        <w:t>. Wiley-Blackwell.</w:t>
      </w:r>
    </w:p>
    <w:p w14:paraId="55E8F60B" w14:textId="77777777" w:rsidR="00884F2F" w:rsidRPr="00D21E15" w:rsidRDefault="00884F2F" w:rsidP="00884F2F">
      <w:pPr>
        <w:spacing w:after="160"/>
        <w:jc w:val="left"/>
        <w:rPr>
          <w:rFonts w:cs="Arial"/>
          <w:color w:val="000000" w:themeColor="text1"/>
          <w:lang w:val="en-US"/>
        </w:rPr>
      </w:pPr>
      <w:proofErr w:type="spellStart"/>
      <w:r w:rsidRPr="00D21E15">
        <w:rPr>
          <w:rFonts w:cs="Arial"/>
          <w:color w:val="000000" w:themeColor="text1"/>
          <w:lang w:val="en-US"/>
        </w:rPr>
        <w:lastRenderedPageBreak/>
        <w:t>Jarasuniene</w:t>
      </w:r>
      <w:proofErr w:type="spellEnd"/>
      <w:r w:rsidRPr="00D21E15">
        <w:rPr>
          <w:rFonts w:cs="Arial"/>
          <w:color w:val="000000" w:themeColor="text1"/>
          <w:lang w:val="en-US"/>
        </w:rPr>
        <w:t xml:space="preserve">, A. and Gelzinis, M. (2025) ‘Risk and Crisis Management Strategies in the Logistics Sector: Theoretical Approaches and Practical Models’, </w:t>
      </w:r>
      <w:r w:rsidRPr="00D21E15">
        <w:rPr>
          <w:rFonts w:cs="Arial"/>
          <w:i/>
          <w:iCs/>
          <w:color w:val="000000" w:themeColor="text1"/>
          <w:lang w:val="en-US"/>
        </w:rPr>
        <w:t>Future Transportation</w:t>
      </w:r>
      <w:r w:rsidRPr="00D21E15">
        <w:rPr>
          <w:rFonts w:cs="Arial"/>
          <w:color w:val="000000" w:themeColor="text1"/>
          <w:lang w:val="en-US"/>
        </w:rPr>
        <w:t xml:space="preserve">, 5(2), p. 74. Available at: </w:t>
      </w:r>
      <w:hyperlink r:id="rId43" w:history="1">
        <w:r w:rsidRPr="00D21E15">
          <w:rPr>
            <w:rStyle w:val="Hyperlink"/>
            <w:rFonts w:cs="Arial"/>
            <w:lang w:val="en-US"/>
          </w:rPr>
          <w:t>https://doi.org/10.3390/futuretransp5020074</w:t>
        </w:r>
      </w:hyperlink>
      <w:r w:rsidRPr="00D21E15">
        <w:rPr>
          <w:rFonts w:cs="Arial"/>
          <w:color w:val="000000" w:themeColor="text1"/>
          <w:lang w:val="en-US"/>
        </w:rPr>
        <w:t>.</w:t>
      </w:r>
    </w:p>
    <w:p w14:paraId="6533E9E6"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Jin, K., Park, C. and Lee, J. (2020) ‘What Determines Innovative Performance of International Joint Ventures? Assessing the Effects of Foreign Managerial Control’, </w:t>
      </w:r>
      <w:r w:rsidRPr="00D21E15">
        <w:rPr>
          <w:rFonts w:cs="Arial"/>
          <w:i/>
          <w:iCs/>
          <w:color w:val="000000" w:themeColor="text1"/>
          <w:lang w:val="en-US"/>
        </w:rPr>
        <w:t>Sustainability</w:t>
      </w:r>
      <w:r w:rsidRPr="00D21E15">
        <w:rPr>
          <w:rFonts w:cs="Arial"/>
          <w:color w:val="000000" w:themeColor="text1"/>
          <w:lang w:val="en-US"/>
        </w:rPr>
        <w:t xml:space="preserve">, 12(21), p. 8770. Available at: </w:t>
      </w:r>
      <w:hyperlink r:id="rId44" w:history="1">
        <w:r w:rsidRPr="00D21E15">
          <w:rPr>
            <w:rStyle w:val="Hyperlink"/>
            <w:rFonts w:cs="Arial"/>
            <w:lang w:val="en-US"/>
          </w:rPr>
          <w:t>https://doi.org/10.3390/su12218770</w:t>
        </w:r>
      </w:hyperlink>
      <w:r w:rsidRPr="00D21E15">
        <w:rPr>
          <w:rFonts w:cs="Arial"/>
          <w:color w:val="000000" w:themeColor="text1"/>
          <w:lang w:val="en-US"/>
        </w:rPr>
        <w:t>.</w:t>
      </w:r>
    </w:p>
    <w:p w14:paraId="13A0F798" w14:textId="77777777" w:rsidR="00884F2F" w:rsidRPr="00884F2F" w:rsidRDefault="00884F2F" w:rsidP="00884F2F">
      <w:pPr>
        <w:spacing w:after="160"/>
        <w:jc w:val="left"/>
        <w:rPr>
          <w:rFonts w:cs="Arial"/>
          <w:color w:val="000000" w:themeColor="text1"/>
          <w:lang w:val="en-US"/>
        </w:rPr>
      </w:pPr>
      <w:r w:rsidRPr="00884F2F">
        <w:rPr>
          <w:rFonts w:cs="Arial"/>
          <w:color w:val="000000" w:themeColor="text1"/>
          <w:lang w:val="en-US"/>
        </w:rPr>
        <w:t xml:space="preserve">Johanson, J. and Vahlne, J.-E. (1977) ‘The internationalization process of the firm: A model of knowledge development and increasing foreign market commitments’, </w:t>
      </w:r>
      <w:r w:rsidRPr="00884F2F">
        <w:rPr>
          <w:rFonts w:cs="Arial"/>
          <w:i/>
          <w:iCs/>
          <w:color w:val="000000" w:themeColor="text1"/>
          <w:lang w:val="en-US"/>
        </w:rPr>
        <w:t>Journal of International Business Studies</w:t>
      </w:r>
      <w:r w:rsidRPr="00884F2F">
        <w:rPr>
          <w:rFonts w:cs="Arial"/>
          <w:color w:val="000000" w:themeColor="text1"/>
          <w:lang w:val="en-US"/>
        </w:rPr>
        <w:t>, 8(1), pp. 23–32.</w:t>
      </w:r>
    </w:p>
    <w:p w14:paraId="2147504C"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nl-NL"/>
        </w:rPr>
        <w:t xml:space="preserve">Jorgensen, P.E.F. </w:t>
      </w:r>
      <w:r w:rsidRPr="00067DAE">
        <w:rPr>
          <w:rFonts w:cs="Arial"/>
          <w:i/>
          <w:iCs/>
          <w:color w:val="000000" w:themeColor="text1"/>
          <w:lang w:val="nl-NL"/>
        </w:rPr>
        <w:t>et al</w:t>
      </w:r>
      <w:r w:rsidRPr="00D21E15">
        <w:rPr>
          <w:rFonts w:cs="Arial"/>
          <w:i/>
          <w:iCs/>
          <w:color w:val="000000" w:themeColor="text1"/>
          <w:lang w:val="nl-NL"/>
        </w:rPr>
        <w:t>.</w:t>
      </w:r>
      <w:r w:rsidRPr="00D21E15">
        <w:rPr>
          <w:rFonts w:cs="Arial"/>
          <w:color w:val="000000" w:themeColor="text1"/>
          <w:lang w:val="nl-NL"/>
        </w:rPr>
        <w:t xml:space="preserve"> </w:t>
      </w:r>
      <w:r w:rsidRPr="00D21E15">
        <w:rPr>
          <w:rFonts w:cs="Arial"/>
          <w:color w:val="000000" w:themeColor="text1"/>
          <w:lang w:val="en-US"/>
        </w:rPr>
        <w:t xml:space="preserve">(2024) ‘Trust as the antidote to Brexit and COVID-19: explaining how Danish SMEs’ confidence in the future of their British partnerships associates with trust’, </w:t>
      </w:r>
      <w:r w:rsidRPr="00D21E15">
        <w:rPr>
          <w:rFonts w:cs="Arial"/>
          <w:i/>
          <w:iCs/>
          <w:color w:val="000000" w:themeColor="text1"/>
          <w:lang w:val="en-US"/>
        </w:rPr>
        <w:t xml:space="preserve">International Journal of </w:t>
      </w:r>
      <w:proofErr w:type="spellStart"/>
      <w:r w:rsidRPr="00D21E15">
        <w:rPr>
          <w:rFonts w:cs="Arial"/>
          <w:i/>
          <w:iCs/>
          <w:color w:val="000000" w:themeColor="text1"/>
          <w:lang w:val="en-US"/>
        </w:rPr>
        <w:t>Globalisation</w:t>
      </w:r>
      <w:proofErr w:type="spellEnd"/>
      <w:r w:rsidRPr="00D21E15">
        <w:rPr>
          <w:rFonts w:cs="Arial"/>
          <w:i/>
          <w:iCs/>
          <w:color w:val="000000" w:themeColor="text1"/>
          <w:lang w:val="en-US"/>
        </w:rPr>
        <w:t xml:space="preserve"> and Small Business</w:t>
      </w:r>
      <w:r w:rsidRPr="00D21E15">
        <w:rPr>
          <w:rFonts w:cs="Arial"/>
          <w:color w:val="000000" w:themeColor="text1"/>
          <w:lang w:val="en-US"/>
        </w:rPr>
        <w:t xml:space="preserve">, 14(1), pp. 62–85. Available at: </w:t>
      </w:r>
      <w:hyperlink r:id="rId45" w:history="1">
        <w:r w:rsidRPr="00D21E15">
          <w:rPr>
            <w:rStyle w:val="Hyperlink"/>
            <w:rFonts w:cs="Arial"/>
            <w:lang w:val="en-US"/>
          </w:rPr>
          <w:t>https://doi.org/10.1504/ijgsb.2024.138680</w:t>
        </w:r>
      </w:hyperlink>
      <w:r w:rsidRPr="00D21E15">
        <w:rPr>
          <w:rFonts w:cs="Arial"/>
          <w:color w:val="000000" w:themeColor="text1"/>
          <w:lang w:val="en-US"/>
        </w:rPr>
        <w:t>.</w:t>
      </w:r>
    </w:p>
    <w:p w14:paraId="47E0316D" w14:textId="77777777" w:rsidR="00884F2F" w:rsidRPr="00D21E15" w:rsidRDefault="00884F2F" w:rsidP="00884F2F">
      <w:pPr>
        <w:spacing w:after="160"/>
        <w:jc w:val="left"/>
        <w:rPr>
          <w:rFonts w:cs="Arial"/>
          <w:color w:val="000000" w:themeColor="text1"/>
          <w:lang w:val="en-US"/>
        </w:rPr>
      </w:pPr>
      <w:r w:rsidRPr="00884F2F">
        <w:rPr>
          <w:rFonts w:cs="Arial"/>
          <w:color w:val="000000" w:themeColor="text1"/>
          <w:lang w:val="nl-NL"/>
        </w:rPr>
        <w:t xml:space="preserve">Kellard, N.M. </w:t>
      </w:r>
      <w:r w:rsidRPr="00884F2F">
        <w:rPr>
          <w:rFonts w:cs="Arial"/>
          <w:i/>
          <w:iCs/>
          <w:color w:val="000000" w:themeColor="text1"/>
          <w:lang w:val="nl-NL"/>
        </w:rPr>
        <w:t>et al.</w:t>
      </w:r>
      <w:r w:rsidRPr="00884F2F">
        <w:rPr>
          <w:rFonts w:cs="Arial"/>
          <w:color w:val="000000" w:themeColor="text1"/>
          <w:lang w:val="nl-NL"/>
        </w:rPr>
        <w:t xml:space="preserve"> </w:t>
      </w:r>
      <w:r w:rsidRPr="00D21E15">
        <w:rPr>
          <w:rFonts w:cs="Arial"/>
          <w:color w:val="000000" w:themeColor="text1"/>
          <w:lang w:val="en-US"/>
        </w:rPr>
        <w:t xml:space="preserve">(2021) ‘Deal or No Deal? Modelling the Impact of Brexit Uncertainty on UK Private Equity Activity’, </w:t>
      </w:r>
      <w:r w:rsidRPr="00D21E15">
        <w:rPr>
          <w:rFonts w:cs="Arial"/>
          <w:i/>
          <w:iCs/>
          <w:color w:val="000000" w:themeColor="text1"/>
          <w:lang w:val="en-US"/>
        </w:rPr>
        <w:t>British Journal of Management</w:t>
      </w:r>
      <w:r w:rsidRPr="00D21E15">
        <w:rPr>
          <w:rFonts w:cs="Arial"/>
          <w:color w:val="000000" w:themeColor="text1"/>
          <w:lang w:val="en-US"/>
        </w:rPr>
        <w:t xml:space="preserve">, 33(1). Available at: </w:t>
      </w:r>
      <w:hyperlink r:id="rId46" w:history="1">
        <w:r w:rsidRPr="00D21E15">
          <w:rPr>
            <w:rStyle w:val="Hyperlink"/>
            <w:rFonts w:cs="Arial"/>
            <w:lang w:val="en-US"/>
          </w:rPr>
          <w:t>https://doi.org/10.1111/1467-8551.12479</w:t>
        </w:r>
      </w:hyperlink>
      <w:r w:rsidRPr="00D21E15">
        <w:rPr>
          <w:rFonts w:cs="Arial"/>
          <w:color w:val="000000" w:themeColor="text1"/>
          <w:lang w:val="en-US"/>
        </w:rPr>
        <w:t>.</w:t>
      </w:r>
    </w:p>
    <w:p w14:paraId="7ED4F6D0"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Konig, P.D. (2023) ‘“Data, data, data” – post-Brexit data governance and its relation to the UK’s economic model’, </w:t>
      </w:r>
      <w:r w:rsidRPr="00D21E15">
        <w:rPr>
          <w:rFonts w:cs="Arial"/>
          <w:i/>
          <w:iCs/>
          <w:color w:val="000000" w:themeColor="text1"/>
          <w:lang w:val="en-US"/>
        </w:rPr>
        <w:t>Policy Studies</w:t>
      </w:r>
      <w:r w:rsidRPr="00D21E15">
        <w:rPr>
          <w:rFonts w:cs="Arial"/>
          <w:color w:val="000000" w:themeColor="text1"/>
          <w:lang w:val="en-US"/>
        </w:rPr>
        <w:t xml:space="preserve">, 45(2), pp. 1–20. Available at: </w:t>
      </w:r>
      <w:hyperlink r:id="rId47" w:history="1">
        <w:r w:rsidRPr="00D21E15">
          <w:rPr>
            <w:rStyle w:val="Hyperlink"/>
            <w:rFonts w:cs="Arial"/>
            <w:lang w:val="en-US"/>
          </w:rPr>
          <w:t>https://doi.org/10.1080/01442872.2023.2214090</w:t>
        </w:r>
      </w:hyperlink>
      <w:r w:rsidRPr="00D21E15">
        <w:rPr>
          <w:rFonts w:cs="Arial"/>
          <w:color w:val="000000" w:themeColor="text1"/>
          <w:lang w:val="en-US"/>
        </w:rPr>
        <w:t>.</w:t>
      </w:r>
    </w:p>
    <w:p w14:paraId="4B0D900F"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Kren, J. and Lawless, M. (2023) ‘How has Brexit changed EU-UK trade flows?’, </w:t>
      </w:r>
      <w:r w:rsidRPr="00D21E15">
        <w:rPr>
          <w:rFonts w:cs="Arial"/>
          <w:i/>
          <w:iCs/>
          <w:color w:val="000000" w:themeColor="text1"/>
          <w:lang w:val="en-US"/>
        </w:rPr>
        <w:t>European Economic Review</w:t>
      </w:r>
      <w:r w:rsidRPr="00D21E15">
        <w:rPr>
          <w:rFonts w:cs="Arial"/>
          <w:color w:val="000000" w:themeColor="text1"/>
          <w:lang w:val="en-US"/>
        </w:rPr>
        <w:t>, 161(104634), p. 104634.</w:t>
      </w:r>
    </w:p>
    <w:p w14:paraId="625C6B16" w14:textId="77777777" w:rsidR="00884F2F" w:rsidRPr="00D21E15" w:rsidRDefault="00884F2F" w:rsidP="00884F2F">
      <w:pPr>
        <w:spacing w:after="160"/>
        <w:jc w:val="left"/>
        <w:rPr>
          <w:rFonts w:cs="Arial"/>
          <w:color w:val="000000" w:themeColor="text1"/>
          <w:lang w:val="en-US"/>
        </w:rPr>
      </w:pPr>
      <w:proofErr w:type="spellStart"/>
      <w:r w:rsidRPr="00D21E15">
        <w:rPr>
          <w:rFonts w:cs="Arial"/>
          <w:color w:val="000000" w:themeColor="text1"/>
          <w:lang w:val="en-US"/>
        </w:rPr>
        <w:t>Lampadarios</w:t>
      </w:r>
      <w:proofErr w:type="spellEnd"/>
      <w:r w:rsidRPr="00D21E15">
        <w:rPr>
          <w:rFonts w:cs="Arial"/>
          <w:color w:val="000000" w:themeColor="text1"/>
          <w:lang w:val="en-US"/>
        </w:rPr>
        <w:t xml:space="preserve">, E. and Kyriakidou, N. (2020) ‘Critical Success Factors for SMEs in the UK Chemical Distribution Industry: The “Brexit” Effect’, </w:t>
      </w:r>
      <w:r w:rsidRPr="00D21E15">
        <w:rPr>
          <w:rFonts w:cs="Arial"/>
          <w:i/>
          <w:iCs/>
          <w:color w:val="000000" w:themeColor="text1"/>
          <w:lang w:val="en-US"/>
        </w:rPr>
        <w:t xml:space="preserve">Palgrave Studies in Cross-disciplinary Business Research, In Association with </w:t>
      </w:r>
      <w:proofErr w:type="spellStart"/>
      <w:r w:rsidRPr="00D21E15">
        <w:rPr>
          <w:rFonts w:cs="Arial"/>
          <w:i/>
          <w:iCs/>
          <w:color w:val="000000" w:themeColor="text1"/>
          <w:lang w:val="en-US"/>
        </w:rPr>
        <w:t>EuroMed</w:t>
      </w:r>
      <w:proofErr w:type="spellEnd"/>
      <w:r w:rsidRPr="00D21E15">
        <w:rPr>
          <w:rFonts w:cs="Arial"/>
          <w:i/>
          <w:iCs/>
          <w:color w:val="000000" w:themeColor="text1"/>
          <w:lang w:val="en-US"/>
        </w:rPr>
        <w:t xml:space="preserve"> Academy of Business</w:t>
      </w:r>
      <w:r w:rsidRPr="00D21E15">
        <w:rPr>
          <w:rFonts w:cs="Arial"/>
          <w:color w:val="000000" w:themeColor="text1"/>
          <w:lang w:val="en-US"/>
        </w:rPr>
        <w:t xml:space="preserve">, 2(9), pp. 155–177. Available at: </w:t>
      </w:r>
      <w:hyperlink r:id="rId48" w:history="1">
        <w:r w:rsidRPr="00D21E15">
          <w:rPr>
            <w:rStyle w:val="Hyperlink"/>
            <w:rFonts w:cs="Arial"/>
            <w:lang w:val="en-US"/>
          </w:rPr>
          <w:t>https://doi.org/10.1007/978-3-030-45831-7_8</w:t>
        </w:r>
      </w:hyperlink>
      <w:r w:rsidRPr="00D21E15">
        <w:rPr>
          <w:rFonts w:cs="Arial"/>
          <w:color w:val="000000" w:themeColor="text1"/>
          <w:lang w:val="en-US"/>
        </w:rPr>
        <w:t>.</w:t>
      </w:r>
    </w:p>
    <w:p w14:paraId="0E850A74"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Li, J. </w:t>
      </w:r>
      <w:r w:rsidRPr="00067DAE">
        <w:rPr>
          <w:rFonts w:cs="Arial"/>
          <w:i/>
          <w:iCs/>
          <w:color w:val="000000" w:themeColor="text1"/>
          <w:lang w:val="en-US"/>
        </w:rPr>
        <w:t>et al</w:t>
      </w:r>
      <w:r w:rsidRPr="00D21E15">
        <w:rPr>
          <w:rFonts w:cs="Arial"/>
          <w:i/>
          <w:iCs/>
          <w:color w:val="000000" w:themeColor="text1"/>
          <w:lang w:val="en-US"/>
        </w:rPr>
        <w:t>.</w:t>
      </w:r>
      <w:r w:rsidRPr="00D21E15">
        <w:rPr>
          <w:rFonts w:cs="Arial"/>
          <w:color w:val="000000" w:themeColor="text1"/>
          <w:lang w:val="en-US"/>
        </w:rPr>
        <w:t xml:space="preserve"> (2025) ‘The internationalization of digital platform-based firms: A systematic literature review and directions for future research’, </w:t>
      </w:r>
      <w:r w:rsidRPr="00D21E15">
        <w:rPr>
          <w:rFonts w:cs="Arial"/>
          <w:i/>
          <w:iCs/>
          <w:color w:val="000000" w:themeColor="text1"/>
          <w:lang w:val="en-US"/>
        </w:rPr>
        <w:t>Journal of World Business</w:t>
      </w:r>
      <w:r w:rsidRPr="00D21E15">
        <w:rPr>
          <w:rFonts w:cs="Arial"/>
          <w:color w:val="000000" w:themeColor="text1"/>
          <w:lang w:val="en-US"/>
        </w:rPr>
        <w:t xml:space="preserve">, 60(4), p. 101629. Available at: </w:t>
      </w:r>
      <w:hyperlink r:id="rId49" w:history="1">
        <w:r w:rsidRPr="00D21E15">
          <w:rPr>
            <w:rStyle w:val="Hyperlink"/>
            <w:rFonts w:cs="Arial"/>
            <w:lang w:val="en-US"/>
          </w:rPr>
          <w:t>https://doi.org/10.1016/j.jwb.2025.101629</w:t>
        </w:r>
      </w:hyperlink>
      <w:r w:rsidRPr="00D21E15">
        <w:rPr>
          <w:rFonts w:cs="Arial"/>
          <w:color w:val="000000" w:themeColor="text1"/>
          <w:lang w:val="en-US"/>
        </w:rPr>
        <w:t>.</w:t>
      </w:r>
    </w:p>
    <w:p w14:paraId="20EEC75B"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rPr>
        <w:t xml:space="preserve">Linares-Zegarra, J.M. and Wilson, J.O.S. (2021) ‘The impact of Brexit on the internationalisation, innovation and turnover of UK SMEs: Implications for the UK’s </w:t>
      </w:r>
      <w:r w:rsidRPr="00D21E15">
        <w:rPr>
          <w:rFonts w:cs="Arial"/>
          <w:color w:val="000000" w:themeColor="text1"/>
        </w:rPr>
        <w:lastRenderedPageBreak/>
        <w:t xml:space="preserve">industrial strategy and the 'levelling up' agenda’, </w:t>
      </w:r>
      <w:r w:rsidRPr="00D21E15">
        <w:rPr>
          <w:rFonts w:cs="Arial"/>
          <w:i/>
          <w:iCs/>
          <w:color w:val="000000" w:themeColor="text1"/>
        </w:rPr>
        <w:t>Enterprise Research Centre Research Paper, 105</w:t>
      </w:r>
      <w:r w:rsidRPr="00D21E15">
        <w:rPr>
          <w:rFonts w:cs="Arial"/>
          <w:color w:val="000000" w:themeColor="text1"/>
        </w:rPr>
        <w:t xml:space="preserve">. Available at: </w:t>
      </w:r>
      <w:hyperlink r:id="rId50" w:tgtFrame="_new" w:history="1">
        <w:r w:rsidRPr="00D21E15">
          <w:rPr>
            <w:rStyle w:val="Hyperlink"/>
            <w:rFonts w:cs="Arial"/>
          </w:rPr>
          <w:t>https://repository.essex.ac.uk/36293/3/ERC-ResPap105-The-impact-of-Brexit-on-the-internationalisation-innovation-and-turnover-of-UK-SMEs.pdf</w:t>
        </w:r>
      </w:hyperlink>
      <w:r w:rsidRPr="00D21E15">
        <w:rPr>
          <w:rFonts w:cs="Arial"/>
          <w:color w:val="000000" w:themeColor="text1"/>
        </w:rPr>
        <w:t>.</w:t>
      </w:r>
    </w:p>
    <w:p w14:paraId="03629EEA" w14:textId="77777777" w:rsidR="00884F2F" w:rsidRPr="00D21E15" w:rsidRDefault="00884F2F" w:rsidP="00884F2F">
      <w:pPr>
        <w:spacing w:after="160"/>
        <w:jc w:val="left"/>
        <w:rPr>
          <w:rFonts w:cs="Arial"/>
          <w:color w:val="000000" w:themeColor="text1"/>
          <w:lang w:val="en-US"/>
        </w:rPr>
      </w:pPr>
      <w:proofErr w:type="spellStart"/>
      <w:r w:rsidRPr="00D21E15">
        <w:rPr>
          <w:rFonts w:cs="Arial"/>
          <w:color w:val="000000" w:themeColor="text1"/>
          <w:lang w:val="en-US"/>
        </w:rPr>
        <w:t>MacLeavy</w:t>
      </w:r>
      <w:proofErr w:type="spellEnd"/>
      <w:r w:rsidRPr="00D21E15">
        <w:rPr>
          <w:rFonts w:cs="Arial"/>
          <w:color w:val="000000" w:themeColor="text1"/>
          <w:lang w:val="en-US"/>
        </w:rPr>
        <w:t xml:space="preserve">, J. and Jones, M. (2021) ‘Brexit as Britain in Decline and its Crises (Revisited)’, </w:t>
      </w:r>
      <w:r w:rsidRPr="00D21E15">
        <w:rPr>
          <w:rFonts w:cs="Arial"/>
          <w:i/>
          <w:iCs/>
          <w:color w:val="000000" w:themeColor="text1"/>
          <w:lang w:val="en-US"/>
        </w:rPr>
        <w:t>The Political Quarterly</w:t>
      </w:r>
      <w:r w:rsidRPr="00D21E15">
        <w:rPr>
          <w:rFonts w:cs="Arial"/>
          <w:color w:val="000000" w:themeColor="text1"/>
          <w:lang w:val="en-US"/>
        </w:rPr>
        <w:t xml:space="preserve">, 92(3). Available at: </w:t>
      </w:r>
      <w:hyperlink r:id="rId51" w:history="1">
        <w:r w:rsidRPr="00D21E15">
          <w:rPr>
            <w:rStyle w:val="Hyperlink"/>
            <w:rFonts w:cs="Arial"/>
            <w:lang w:val="en-US"/>
          </w:rPr>
          <w:t>https://doi.org/10.1111/1467-923x.13039</w:t>
        </w:r>
      </w:hyperlink>
      <w:r w:rsidRPr="00D21E15">
        <w:rPr>
          <w:rFonts w:cs="Arial"/>
          <w:color w:val="000000" w:themeColor="text1"/>
          <w:lang w:val="en-US"/>
        </w:rPr>
        <w:t>.</w:t>
      </w:r>
    </w:p>
    <w:p w14:paraId="79773AF7"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Mathur, S. and Gupta, A. (2025) ‘Brexit Impact on Uks Firms Lyceum India Journal of Social Sciences || ISSN: 3048-6513 (Online)’, </w:t>
      </w:r>
      <w:r w:rsidRPr="00D21E15">
        <w:rPr>
          <w:rFonts w:cs="Arial"/>
          <w:i/>
          <w:iCs/>
          <w:color w:val="000000" w:themeColor="text1"/>
          <w:lang w:val="en-US"/>
        </w:rPr>
        <w:t>Lyceum India Journal of Social Sciences ||</w:t>
      </w:r>
      <w:r w:rsidRPr="00D21E15">
        <w:rPr>
          <w:rFonts w:cs="Arial"/>
          <w:color w:val="000000" w:themeColor="text1"/>
          <w:lang w:val="en-US"/>
        </w:rPr>
        <w:t xml:space="preserve">, 2(6), pp. 3048–6513. Available at: </w:t>
      </w:r>
      <w:hyperlink r:id="rId52" w:history="1">
        <w:r w:rsidRPr="00D21E15">
          <w:rPr>
            <w:rStyle w:val="Hyperlink"/>
            <w:rFonts w:cs="Arial"/>
            <w:lang w:val="en-US"/>
          </w:rPr>
          <w:t>https://doi.org/10.5281/zenodo.17737373</w:t>
        </w:r>
      </w:hyperlink>
      <w:r w:rsidRPr="00D21E15">
        <w:rPr>
          <w:rFonts w:cs="Arial"/>
          <w:color w:val="000000" w:themeColor="text1"/>
          <w:lang w:val="en-US"/>
        </w:rPr>
        <w:t>.</w:t>
      </w:r>
    </w:p>
    <w:p w14:paraId="6E1E0C44" w14:textId="77777777" w:rsidR="00884F2F" w:rsidRPr="00D21E15" w:rsidRDefault="00884F2F" w:rsidP="00884F2F">
      <w:pPr>
        <w:spacing w:after="160"/>
        <w:jc w:val="left"/>
        <w:rPr>
          <w:rFonts w:cs="Arial"/>
          <w:color w:val="000000" w:themeColor="text1"/>
          <w:lang w:val="en-US"/>
        </w:rPr>
      </w:pPr>
      <w:proofErr w:type="spellStart"/>
      <w:r w:rsidRPr="00D21E15">
        <w:rPr>
          <w:rFonts w:cs="Arial"/>
          <w:color w:val="000000" w:themeColor="text1"/>
          <w:lang w:val="en-US"/>
        </w:rPr>
        <w:t>Mirzaye</w:t>
      </w:r>
      <w:proofErr w:type="spellEnd"/>
      <w:r w:rsidRPr="00D21E15">
        <w:rPr>
          <w:rFonts w:cs="Arial"/>
          <w:color w:val="000000" w:themeColor="text1"/>
          <w:lang w:val="en-US"/>
        </w:rPr>
        <w:t xml:space="preserve">, S. and Mohiuddin, M. (2025) ‘Digital Transformation in International Trade: Opportunities, Challenges, and Policy Implications’, </w:t>
      </w:r>
      <w:r w:rsidRPr="00D21E15">
        <w:rPr>
          <w:rFonts w:cs="Arial"/>
          <w:i/>
          <w:iCs/>
          <w:color w:val="000000" w:themeColor="text1"/>
          <w:lang w:val="en-US"/>
        </w:rPr>
        <w:t>Journal of Risk and Financial Management</w:t>
      </w:r>
      <w:r w:rsidRPr="00D21E15">
        <w:rPr>
          <w:rFonts w:cs="Arial"/>
          <w:color w:val="000000" w:themeColor="text1"/>
          <w:lang w:val="en-US"/>
        </w:rPr>
        <w:t xml:space="preserve">, 18(8), p. 421. Available at: </w:t>
      </w:r>
      <w:hyperlink r:id="rId53" w:history="1">
        <w:r w:rsidRPr="00D21E15">
          <w:rPr>
            <w:rStyle w:val="Hyperlink"/>
            <w:rFonts w:cs="Arial"/>
            <w:lang w:val="en-US"/>
          </w:rPr>
          <w:t>https://doi.org/10.3390/jrfm18080421</w:t>
        </w:r>
      </w:hyperlink>
      <w:r w:rsidRPr="00D21E15">
        <w:rPr>
          <w:rFonts w:cs="Arial"/>
          <w:color w:val="000000" w:themeColor="text1"/>
          <w:lang w:val="en-US"/>
        </w:rPr>
        <w:t>.</w:t>
      </w:r>
    </w:p>
    <w:p w14:paraId="11C97455" w14:textId="77777777" w:rsidR="00884F2F" w:rsidRPr="00D21E15" w:rsidRDefault="00884F2F" w:rsidP="00884F2F">
      <w:pPr>
        <w:spacing w:after="160"/>
        <w:jc w:val="left"/>
        <w:rPr>
          <w:rFonts w:cs="Arial"/>
          <w:color w:val="000000" w:themeColor="text1"/>
          <w:lang w:val="en-US"/>
        </w:rPr>
      </w:pPr>
      <w:r w:rsidRPr="00884F2F">
        <w:rPr>
          <w:rFonts w:cs="Arial"/>
          <w:color w:val="000000" w:themeColor="text1"/>
          <w:lang w:val="nl-NL"/>
        </w:rPr>
        <w:t xml:space="preserve">Muhammad, S.S. </w:t>
      </w:r>
      <w:r w:rsidRPr="00884F2F">
        <w:rPr>
          <w:rFonts w:cs="Arial"/>
          <w:i/>
          <w:iCs/>
          <w:color w:val="000000" w:themeColor="text1"/>
          <w:lang w:val="nl-NL"/>
        </w:rPr>
        <w:t>et al.</w:t>
      </w:r>
      <w:r w:rsidRPr="00884F2F">
        <w:rPr>
          <w:rFonts w:cs="Arial"/>
          <w:color w:val="000000" w:themeColor="text1"/>
          <w:lang w:val="nl-NL"/>
        </w:rPr>
        <w:t xml:space="preserve"> </w:t>
      </w:r>
      <w:r w:rsidRPr="00D21E15">
        <w:rPr>
          <w:rFonts w:cs="Arial"/>
          <w:color w:val="000000" w:themeColor="text1"/>
          <w:lang w:val="en-US"/>
        </w:rPr>
        <w:t xml:space="preserve">(2025) ‘Digital transformation or digital divide? </w:t>
      </w:r>
      <w:proofErr w:type="spellStart"/>
      <w:r w:rsidRPr="00D21E15">
        <w:rPr>
          <w:rFonts w:cs="Arial"/>
          <w:color w:val="000000" w:themeColor="text1"/>
          <w:lang w:val="en-US"/>
        </w:rPr>
        <w:t>Smes’</w:t>
      </w:r>
      <w:proofErr w:type="spellEnd"/>
      <w:r w:rsidRPr="00D21E15">
        <w:rPr>
          <w:rFonts w:cs="Arial"/>
          <w:color w:val="000000" w:themeColor="text1"/>
          <w:lang w:val="en-US"/>
        </w:rPr>
        <w:t xml:space="preserve"> use of AI during global crisis’, </w:t>
      </w:r>
      <w:r w:rsidRPr="00D21E15">
        <w:rPr>
          <w:rFonts w:cs="Arial"/>
          <w:i/>
          <w:iCs/>
          <w:color w:val="000000" w:themeColor="text1"/>
          <w:lang w:val="en-US"/>
        </w:rPr>
        <w:t>Technological Forecasting and Social Change</w:t>
      </w:r>
      <w:r w:rsidRPr="00D21E15">
        <w:rPr>
          <w:rFonts w:cs="Arial"/>
          <w:color w:val="000000" w:themeColor="text1"/>
          <w:lang w:val="en-US"/>
        </w:rPr>
        <w:t xml:space="preserve">, 217(1), pp. 124184–124184. Available at: </w:t>
      </w:r>
      <w:hyperlink r:id="rId54" w:history="1">
        <w:r w:rsidRPr="00D21E15">
          <w:rPr>
            <w:rStyle w:val="Hyperlink"/>
            <w:rFonts w:cs="Arial"/>
            <w:lang w:val="en-US"/>
          </w:rPr>
          <w:t>https://doi.org/10.1016/j.techfore.2025.124184</w:t>
        </w:r>
      </w:hyperlink>
      <w:r w:rsidRPr="00D21E15">
        <w:rPr>
          <w:rFonts w:cs="Arial"/>
          <w:color w:val="000000" w:themeColor="text1"/>
          <w:lang w:val="en-US"/>
        </w:rPr>
        <w:t>.</w:t>
      </w:r>
    </w:p>
    <w:p w14:paraId="78809C72"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Murphy, S. (2018) </w:t>
      </w:r>
      <w:r w:rsidRPr="00D21E15">
        <w:rPr>
          <w:rFonts w:cs="Arial"/>
          <w:i/>
          <w:iCs/>
          <w:color w:val="000000" w:themeColor="text1"/>
          <w:lang w:val="en-US"/>
        </w:rPr>
        <w:t>Impact of Brexit on technology and innovation | Industry sector analysis | Brexit | Global law firm | Norton Rose Fulbright</w:t>
      </w:r>
      <w:r w:rsidRPr="00D21E15">
        <w:rPr>
          <w:rFonts w:cs="Arial"/>
          <w:color w:val="000000" w:themeColor="text1"/>
          <w:lang w:val="en-US"/>
        </w:rPr>
        <w:t xml:space="preserve">, </w:t>
      </w:r>
      <w:r w:rsidRPr="00D21E15">
        <w:rPr>
          <w:rFonts w:cs="Arial"/>
          <w:i/>
          <w:iCs/>
          <w:color w:val="000000" w:themeColor="text1"/>
          <w:lang w:val="en-US"/>
        </w:rPr>
        <w:t>Nortonrosefulbright.com</w:t>
      </w:r>
      <w:r w:rsidRPr="00D21E15">
        <w:rPr>
          <w:rFonts w:cs="Arial"/>
          <w:color w:val="000000" w:themeColor="text1"/>
          <w:lang w:val="en-US"/>
        </w:rPr>
        <w:t xml:space="preserve">. Available at: </w:t>
      </w:r>
      <w:hyperlink r:id="rId55" w:history="1">
        <w:r w:rsidRPr="00D21E15">
          <w:rPr>
            <w:rStyle w:val="Hyperlink"/>
            <w:rFonts w:cs="Arial"/>
            <w:lang w:val="en-US"/>
          </w:rPr>
          <w:t>https://www.nortonrosefulbright.com/en/knowledge/publications/b5c7b5cc/impact-of-brexit-on-technology-and-innovation</w:t>
        </w:r>
      </w:hyperlink>
      <w:r w:rsidRPr="00D21E15">
        <w:rPr>
          <w:rFonts w:cs="Arial"/>
          <w:color w:val="000000" w:themeColor="text1"/>
          <w:lang w:val="en-US"/>
        </w:rPr>
        <w:t>.</w:t>
      </w:r>
    </w:p>
    <w:p w14:paraId="78FEAAC3" w14:textId="77777777" w:rsidR="00884F2F" w:rsidRPr="00D21E15" w:rsidRDefault="00884F2F" w:rsidP="00884F2F">
      <w:pPr>
        <w:spacing w:after="160"/>
        <w:jc w:val="left"/>
        <w:rPr>
          <w:rFonts w:cs="Arial"/>
          <w:color w:val="000000" w:themeColor="text1"/>
          <w:lang w:val="en-US"/>
        </w:rPr>
      </w:pPr>
      <w:proofErr w:type="spellStart"/>
      <w:r w:rsidRPr="00D21E15">
        <w:rPr>
          <w:rFonts w:cs="Arial"/>
          <w:color w:val="000000" w:themeColor="text1"/>
          <w:lang w:val="en-US"/>
        </w:rPr>
        <w:t>Nosike</w:t>
      </w:r>
      <w:proofErr w:type="spellEnd"/>
      <w:r w:rsidRPr="00D21E15">
        <w:rPr>
          <w:rFonts w:cs="Arial"/>
          <w:color w:val="000000" w:themeColor="text1"/>
          <w:lang w:val="en-US"/>
        </w:rPr>
        <w:t xml:space="preserve">, J., </w:t>
      </w:r>
      <w:proofErr w:type="spellStart"/>
      <w:r w:rsidRPr="00D21E15">
        <w:rPr>
          <w:rFonts w:cs="Arial"/>
          <w:color w:val="000000" w:themeColor="text1"/>
          <w:lang w:val="en-US"/>
        </w:rPr>
        <w:t>Nosike</w:t>
      </w:r>
      <w:proofErr w:type="spellEnd"/>
      <w:r w:rsidRPr="00D21E15">
        <w:rPr>
          <w:rFonts w:cs="Arial"/>
          <w:color w:val="000000" w:themeColor="text1"/>
          <w:lang w:val="en-US"/>
        </w:rPr>
        <w:t>, S. and Nwosu, C.K. (2024) ‘International Business Expansion Strategies</w:t>
      </w:r>
      <w:proofErr w:type="gramStart"/>
      <w:r w:rsidRPr="00D21E15">
        <w:rPr>
          <w:rFonts w:cs="Arial"/>
          <w:color w:val="000000" w:themeColor="text1"/>
          <w:lang w:val="en-US"/>
        </w:rPr>
        <w:t>’:,</w:t>
      </w:r>
      <w:proofErr w:type="gramEnd"/>
      <w:r w:rsidRPr="00D21E15">
        <w:rPr>
          <w:rFonts w:cs="Arial"/>
          <w:color w:val="000000" w:themeColor="text1"/>
          <w:lang w:val="en-US"/>
        </w:rPr>
        <w:t xml:space="preserve"> </w:t>
      </w:r>
      <w:proofErr w:type="spellStart"/>
      <w:r w:rsidRPr="00D21E15">
        <w:rPr>
          <w:rFonts w:cs="Arial"/>
          <w:i/>
          <w:iCs/>
          <w:color w:val="000000" w:themeColor="text1"/>
          <w:lang w:val="en-US"/>
        </w:rPr>
        <w:t>Estaga</w:t>
      </w:r>
      <w:proofErr w:type="spellEnd"/>
      <w:r w:rsidRPr="00D21E15">
        <w:rPr>
          <w:rFonts w:cs="Arial"/>
          <w:i/>
          <w:iCs/>
          <w:color w:val="000000" w:themeColor="text1"/>
          <w:lang w:val="en-US"/>
        </w:rPr>
        <w:t xml:space="preserve"> Journal of Philosophy, Arts and Humanities</w:t>
      </w:r>
      <w:r w:rsidRPr="00D21E15">
        <w:rPr>
          <w:rFonts w:cs="Arial"/>
          <w:color w:val="000000" w:themeColor="text1"/>
          <w:lang w:val="en-US"/>
        </w:rPr>
        <w:t xml:space="preserve">, 1(1). Available at: </w:t>
      </w:r>
      <w:hyperlink r:id="rId56" w:history="1">
        <w:r w:rsidRPr="00D21E15">
          <w:rPr>
            <w:rStyle w:val="Hyperlink"/>
            <w:rFonts w:cs="Arial"/>
            <w:lang w:val="en-US"/>
          </w:rPr>
          <w:t>https://acjol.org/index.php/ejopah/article/view/5885</w:t>
        </w:r>
      </w:hyperlink>
      <w:r w:rsidRPr="00D21E15">
        <w:rPr>
          <w:rFonts w:cs="Arial"/>
          <w:color w:val="000000" w:themeColor="text1"/>
          <w:lang w:val="en-US"/>
        </w:rPr>
        <w:t>.</w:t>
      </w:r>
    </w:p>
    <w:p w14:paraId="5CE9E3AA"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nl-NL"/>
        </w:rPr>
        <w:t xml:space="preserve">Oyegoke, A.S. </w:t>
      </w:r>
      <w:r w:rsidRPr="00067DAE">
        <w:rPr>
          <w:rFonts w:cs="Arial"/>
          <w:i/>
          <w:iCs/>
          <w:color w:val="000000" w:themeColor="text1"/>
          <w:lang w:val="nl-NL"/>
        </w:rPr>
        <w:t>et al</w:t>
      </w:r>
      <w:r w:rsidRPr="00D21E15">
        <w:rPr>
          <w:rFonts w:cs="Arial"/>
          <w:i/>
          <w:iCs/>
          <w:color w:val="000000" w:themeColor="text1"/>
          <w:lang w:val="nl-NL"/>
        </w:rPr>
        <w:t>.</w:t>
      </w:r>
      <w:r w:rsidRPr="00D21E15">
        <w:rPr>
          <w:rFonts w:cs="Arial"/>
          <w:color w:val="000000" w:themeColor="text1"/>
          <w:lang w:val="nl-NL"/>
        </w:rPr>
        <w:t xml:space="preserve"> </w:t>
      </w:r>
      <w:r w:rsidRPr="00D21E15">
        <w:rPr>
          <w:rFonts w:cs="Arial"/>
          <w:color w:val="000000" w:themeColor="text1"/>
          <w:lang w:val="en-US"/>
        </w:rPr>
        <w:t xml:space="preserve">(2023) ‘The disruptive factors and longevity effects of Covid-19 and Brexit on the SMEs construction supply chain in the UK’, </w:t>
      </w:r>
      <w:r w:rsidRPr="00D21E15">
        <w:rPr>
          <w:rFonts w:cs="Arial"/>
          <w:i/>
          <w:iCs/>
          <w:color w:val="000000" w:themeColor="text1"/>
          <w:lang w:val="en-US"/>
        </w:rPr>
        <w:t>The disruptive factors and longevity effects of Covid-19 and Brexit on the SMEs construction supply chain in the UK</w:t>
      </w:r>
      <w:r w:rsidRPr="00D21E15">
        <w:rPr>
          <w:rFonts w:cs="Arial"/>
          <w:color w:val="000000" w:themeColor="text1"/>
          <w:lang w:val="en-US"/>
        </w:rPr>
        <w:t xml:space="preserve">, 29(1). Available at: </w:t>
      </w:r>
      <w:hyperlink r:id="rId57" w:history="1">
        <w:r w:rsidRPr="00D21E15">
          <w:rPr>
            <w:rStyle w:val="Hyperlink"/>
            <w:rFonts w:cs="Arial"/>
            <w:lang w:val="en-US"/>
          </w:rPr>
          <w:t>https://doi.org/10.1108/jfmpc-11-2022-0057</w:t>
        </w:r>
      </w:hyperlink>
      <w:r w:rsidRPr="00D21E15">
        <w:rPr>
          <w:rFonts w:cs="Arial"/>
          <w:color w:val="000000" w:themeColor="text1"/>
          <w:lang w:val="en-US"/>
        </w:rPr>
        <w:t>.</w:t>
      </w:r>
    </w:p>
    <w:p w14:paraId="13CFCF18" w14:textId="77777777" w:rsidR="00884F2F" w:rsidRPr="00D21E15" w:rsidRDefault="00884F2F" w:rsidP="00884F2F">
      <w:pPr>
        <w:spacing w:after="160"/>
        <w:jc w:val="left"/>
        <w:rPr>
          <w:rFonts w:cs="Arial"/>
          <w:color w:val="000000" w:themeColor="text1"/>
          <w:lang w:val="en-US"/>
        </w:rPr>
      </w:pPr>
      <w:r w:rsidRPr="00884F2F">
        <w:rPr>
          <w:rFonts w:cs="Arial"/>
          <w:color w:val="000000" w:themeColor="text1"/>
          <w:lang w:val="nl-NL"/>
        </w:rPr>
        <w:lastRenderedPageBreak/>
        <w:t xml:space="preserve">Page, M.J. </w:t>
      </w:r>
      <w:r w:rsidRPr="00884F2F">
        <w:rPr>
          <w:rFonts w:cs="Arial"/>
          <w:i/>
          <w:iCs/>
          <w:color w:val="000000" w:themeColor="text1"/>
          <w:lang w:val="nl-NL"/>
        </w:rPr>
        <w:t>et al.</w:t>
      </w:r>
      <w:r w:rsidRPr="00884F2F">
        <w:rPr>
          <w:rFonts w:cs="Arial"/>
          <w:color w:val="000000" w:themeColor="text1"/>
          <w:lang w:val="nl-NL"/>
        </w:rPr>
        <w:t xml:space="preserve"> </w:t>
      </w:r>
      <w:r w:rsidRPr="00D21E15">
        <w:rPr>
          <w:rFonts w:cs="Arial"/>
          <w:color w:val="000000" w:themeColor="text1"/>
          <w:lang w:val="en-US"/>
        </w:rPr>
        <w:t xml:space="preserve">(2021) ‘The PRISMA 2020 statement: an Updated Guideline for Reporting Systematic Reviews’, </w:t>
      </w:r>
      <w:r w:rsidRPr="00D21E15">
        <w:rPr>
          <w:rFonts w:cs="Arial"/>
          <w:i/>
          <w:iCs/>
          <w:color w:val="000000" w:themeColor="text1"/>
          <w:lang w:val="en-US"/>
        </w:rPr>
        <w:t>Systematic Reviews</w:t>
      </w:r>
      <w:r w:rsidRPr="00D21E15">
        <w:rPr>
          <w:rFonts w:cs="Arial"/>
          <w:color w:val="000000" w:themeColor="text1"/>
          <w:lang w:val="en-US"/>
        </w:rPr>
        <w:t xml:space="preserve">, 10(1). Available at: </w:t>
      </w:r>
      <w:hyperlink r:id="rId58" w:history="1">
        <w:r w:rsidRPr="00D21E15">
          <w:rPr>
            <w:rStyle w:val="Hyperlink"/>
            <w:rFonts w:cs="Arial"/>
            <w:lang w:val="en-US"/>
          </w:rPr>
          <w:t>https://doi.org/10.1186/s13643-021-01626-4</w:t>
        </w:r>
      </w:hyperlink>
      <w:r w:rsidRPr="00D21E15">
        <w:rPr>
          <w:rFonts w:cs="Arial"/>
          <w:color w:val="000000" w:themeColor="text1"/>
          <w:lang w:val="en-US"/>
        </w:rPr>
        <w:t>.</w:t>
      </w:r>
    </w:p>
    <w:p w14:paraId="2648997F"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rPr>
        <w:t xml:space="preserve">Pardy, M. and Ampudia, D. (2023) ‘Brexit and Digital Technology Adoption of UK SMEs’, </w:t>
      </w:r>
      <w:r w:rsidRPr="00D21E15">
        <w:rPr>
          <w:rFonts w:cs="Arial"/>
          <w:i/>
          <w:iCs/>
          <w:color w:val="000000" w:themeColor="text1"/>
        </w:rPr>
        <w:t>Enterprise Research Centre Research Paper</w:t>
      </w:r>
      <w:r w:rsidRPr="00D21E15">
        <w:rPr>
          <w:rFonts w:cs="Arial"/>
          <w:color w:val="000000" w:themeColor="text1"/>
        </w:rPr>
        <w:t xml:space="preserve">, 106. Available at: </w:t>
      </w:r>
      <w:hyperlink r:id="rId59" w:tgtFrame="_new" w:history="1">
        <w:r w:rsidRPr="00D21E15">
          <w:rPr>
            <w:rStyle w:val="Hyperlink"/>
            <w:rFonts w:cs="Arial"/>
          </w:rPr>
          <w:t>https://www.enterpriseresearch.ac.uk/wp-content/uploads/2023/07/ERC-ResPap106-Brexit-and-Digital-Technology-Adoption-of-UK-SMEs.pdf</w:t>
        </w:r>
      </w:hyperlink>
    </w:p>
    <w:p w14:paraId="4A356571"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Peres, A. (2025) </w:t>
      </w:r>
      <w:r w:rsidRPr="00D21E15">
        <w:rPr>
          <w:rFonts w:cs="Arial"/>
          <w:i/>
          <w:iCs/>
          <w:color w:val="000000" w:themeColor="text1"/>
          <w:lang w:val="en-US"/>
        </w:rPr>
        <w:t>Digital trade governance: the UK’s approach</w:t>
      </w:r>
      <w:r w:rsidRPr="00D21E15">
        <w:rPr>
          <w:rFonts w:cs="Arial"/>
          <w:color w:val="000000" w:themeColor="text1"/>
          <w:lang w:val="en-US"/>
        </w:rPr>
        <w:t xml:space="preserve">. [online] House of Commons Library. Available at: </w:t>
      </w:r>
      <w:hyperlink r:id="rId60" w:history="1">
        <w:r w:rsidRPr="00D21E15">
          <w:rPr>
            <w:rStyle w:val="Hyperlink"/>
            <w:rFonts w:cs="Arial"/>
            <w:lang w:val="en-US"/>
          </w:rPr>
          <w:t>https://commonslibrary.parliament.uk/research-briefings/cbp-10162/?utm</w:t>
        </w:r>
      </w:hyperlink>
      <w:r w:rsidRPr="00D21E15">
        <w:rPr>
          <w:rFonts w:cs="Arial"/>
          <w:color w:val="000000" w:themeColor="text1"/>
          <w:lang w:val="en-US"/>
        </w:rPr>
        <w:t xml:space="preserve"> [Accessed 3 Oct. 2025].</w:t>
      </w:r>
    </w:p>
    <w:p w14:paraId="7D8184C0"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Rahman, M. </w:t>
      </w:r>
      <w:r w:rsidRPr="00067DAE">
        <w:rPr>
          <w:rFonts w:cs="Arial"/>
          <w:i/>
          <w:iCs/>
          <w:color w:val="000000" w:themeColor="text1"/>
          <w:lang w:val="en-US"/>
        </w:rPr>
        <w:t>et al</w:t>
      </w:r>
      <w:r w:rsidRPr="00D21E15">
        <w:rPr>
          <w:rFonts w:cs="Arial"/>
          <w:i/>
          <w:iCs/>
          <w:color w:val="000000" w:themeColor="text1"/>
          <w:lang w:val="en-US"/>
        </w:rPr>
        <w:t>.</w:t>
      </w:r>
      <w:r w:rsidRPr="00D21E15">
        <w:rPr>
          <w:rFonts w:cs="Arial"/>
          <w:color w:val="000000" w:themeColor="text1"/>
          <w:lang w:val="en-US"/>
        </w:rPr>
        <w:t xml:space="preserve"> (2019) ‘Examining economic and technology-related barriers of small- and medium-sized enterprises </w:t>
      </w:r>
      <w:proofErr w:type="spellStart"/>
      <w:r w:rsidRPr="00D21E15">
        <w:rPr>
          <w:rFonts w:cs="Arial"/>
          <w:color w:val="000000" w:themeColor="text1"/>
          <w:lang w:val="en-US"/>
        </w:rPr>
        <w:t>internationalisation</w:t>
      </w:r>
      <w:proofErr w:type="spellEnd"/>
      <w:r w:rsidRPr="00D21E15">
        <w:rPr>
          <w:rFonts w:cs="Arial"/>
          <w:color w:val="000000" w:themeColor="text1"/>
          <w:lang w:val="en-US"/>
        </w:rPr>
        <w:t xml:space="preserve">: An emerging economy context’, </w:t>
      </w:r>
      <w:r w:rsidRPr="00D21E15">
        <w:rPr>
          <w:rFonts w:cs="Arial"/>
          <w:i/>
          <w:iCs/>
          <w:color w:val="000000" w:themeColor="text1"/>
          <w:lang w:val="en-US"/>
        </w:rPr>
        <w:t>Business Strategy &amp; Development</w:t>
      </w:r>
      <w:r w:rsidRPr="00D21E15">
        <w:rPr>
          <w:rFonts w:cs="Arial"/>
          <w:color w:val="000000" w:themeColor="text1"/>
          <w:lang w:val="en-US"/>
        </w:rPr>
        <w:t xml:space="preserve">, 3(1). Available at: </w:t>
      </w:r>
      <w:hyperlink r:id="rId61" w:history="1">
        <w:r w:rsidRPr="00D21E15">
          <w:rPr>
            <w:rStyle w:val="Hyperlink"/>
            <w:rFonts w:cs="Arial"/>
            <w:lang w:val="en-US"/>
          </w:rPr>
          <w:t>https://doi.org/10.1002/bsd2.71</w:t>
        </w:r>
      </w:hyperlink>
      <w:r w:rsidRPr="00D21E15">
        <w:rPr>
          <w:rFonts w:cs="Arial"/>
          <w:color w:val="000000" w:themeColor="text1"/>
          <w:lang w:val="en-US"/>
        </w:rPr>
        <w:t>.</w:t>
      </w:r>
    </w:p>
    <w:p w14:paraId="6CCEBEBF" w14:textId="77777777" w:rsidR="00884F2F" w:rsidRPr="00D21E15" w:rsidRDefault="00884F2F" w:rsidP="00884F2F">
      <w:pPr>
        <w:spacing w:after="160"/>
        <w:jc w:val="left"/>
        <w:rPr>
          <w:rFonts w:cs="Arial"/>
          <w:color w:val="000000" w:themeColor="text1"/>
          <w:lang w:val="en-US"/>
        </w:rPr>
      </w:pPr>
      <w:proofErr w:type="spellStart"/>
      <w:r w:rsidRPr="00D21E15">
        <w:rPr>
          <w:rFonts w:cs="Arial"/>
          <w:color w:val="000000" w:themeColor="text1"/>
          <w:lang w:val="en-US"/>
        </w:rPr>
        <w:t>Rawindaran</w:t>
      </w:r>
      <w:proofErr w:type="spellEnd"/>
      <w:r w:rsidRPr="00D21E15">
        <w:rPr>
          <w:rFonts w:cs="Arial"/>
          <w:color w:val="000000" w:themeColor="text1"/>
          <w:lang w:val="en-US"/>
        </w:rPr>
        <w:t xml:space="preserve">, N., Jayal, A. and Prakash, E. (2021) ‘Machine Learning Cybersecurity Adoption in Small and Medium Enterprises in Developed Countries’, </w:t>
      </w:r>
      <w:r w:rsidRPr="00D21E15">
        <w:rPr>
          <w:rFonts w:cs="Arial"/>
          <w:i/>
          <w:iCs/>
          <w:color w:val="000000" w:themeColor="text1"/>
          <w:lang w:val="en-US"/>
        </w:rPr>
        <w:t>Computers</w:t>
      </w:r>
      <w:r w:rsidRPr="00D21E15">
        <w:rPr>
          <w:rFonts w:cs="Arial"/>
          <w:color w:val="000000" w:themeColor="text1"/>
          <w:lang w:val="en-US"/>
        </w:rPr>
        <w:t xml:space="preserve">, 10(11), p. 150. Available at: </w:t>
      </w:r>
      <w:hyperlink r:id="rId62" w:history="1">
        <w:r w:rsidRPr="00D21E15">
          <w:rPr>
            <w:rStyle w:val="Hyperlink"/>
            <w:rFonts w:cs="Arial"/>
            <w:lang w:val="en-US"/>
          </w:rPr>
          <w:t>https://doi.org/10.3390/computers10110150</w:t>
        </w:r>
      </w:hyperlink>
      <w:r w:rsidRPr="00D21E15">
        <w:rPr>
          <w:rFonts w:cs="Arial"/>
          <w:color w:val="000000" w:themeColor="text1"/>
          <w:lang w:val="en-US"/>
        </w:rPr>
        <w:t>.</w:t>
      </w:r>
    </w:p>
    <w:p w14:paraId="52788F1C"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Roscoe, S. </w:t>
      </w:r>
      <w:r w:rsidRPr="00067DAE">
        <w:rPr>
          <w:rFonts w:cs="Arial"/>
          <w:i/>
          <w:iCs/>
          <w:color w:val="000000" w:themeColor="text1"/>
          <w:lang w:val="en-US"/>
        </w:rPr>
        <w:t>et al</w:t>
      </w:r>
      <w:r w:rsidRPr="00D21E15">
        <w:rPr>
          <w:rFonts w:cs="Arial"/>
          <w:i/>
          <w:iCs/>
          <w:color w:val="000000" w:themeColor="text1"/>
          <w:lang w:val="en-US"/>
        </w:rPr>
        <w:t>.</w:t>
      </w:r>
      <w:r w:rsidRPr="00D21E15">
        <w:rPr>
          <w:rFonts w:cs="Arial"/>
          <w:color w:val="000000" w:themeColor="text1"/>
          <w:lang w:val="en-US"/>
        </w:rPr>
        <w:t xml:space="preserve"> (2020) ‘Managing supply chain uncertainty arising from geopolitical disruptions: evidence from the pharmaceutical industry and Brexit’, </w:t>
      </w:r>
      <w:r w:rsidRPr="00D21E15">
        <w:rPr>
          <w:rFonts w:cs="Arial"/>
          <w:i/>
          <w:iCs/>
          <w:color w:val="000000" w:themeColor="text1"/>
          <w:lang w:val="en-US"/>
        </w:rPr>
        <w:t>International Journal of Operations and Production Management</w:t>
      </w:r>
      <w:r w:rsidRPr="00D21E15">
        <w:rPr>
          <w:rFonts w:cs="Arial"/>
          <w:color w:val="000000" w:themeColor="text1"/>
          <w:lang w:val="en-US"/>
        </w:rPr>
        <w:t xml:space="preserve">, 40(9). Available at: </w:t>
      </w:r>
      <w:hyperlink r:id="rId63" w:history="1">
        <w:r w:rsidRPr="00D21E15">
          <w:rPr>
            <w:rStyle w:val="Hyperlink"/>
            <w:rFonts w:cs="Arial"/>
            <w:lang w:val="en-US"/>
          </w:rPr>
          <w:t>https://doi.org/10.1108/IJOPM-10-2019-0668</w:t>
        </w:r>
      </w:hyperlink>
      <w:r w:rsidRPr="00D21E15">
        <w:rPr>
          <w:rFonts w:cs="Arial"/>
          <w:color w:val="000000" w:themeColor="text1"/>
          <w:lang w:val="en-US"/>
        </w:rPr>
        <w:t>.</w:t>
      </w:r>
    </w:p>
    <w:p w14:paraId="76170A66"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Sassi, T. (2024) </w:t>
      </w:r>
      <w:r w:rsidRPr="00D21E15">
        <w:rPr>
          <w:rFonts w:cs="Arial"/>
          <w:i/>
          <w:iCs/>
          <w:color w:val="000000" w:themeColor="text1"/>
          <w:lang w:val="en-US"/>
        </w:rPr>
        <w:t>Holdings: E-Commerce Platforms as a Form of Foreign Market Entry for Finnish SMEs: A Dynamic Capability Perspective: JYX</w:t>
      </w:r>
      <w:r w:rsidRPr="00D21E15">
        <w:rPr>
          <w:rFonts w:cs="Arial"/>
          <w:color w:val="000000" w:themeColor="text1"/>
          <w:lang w:val="en-US"/>
        </w:rPr>
        <w:t xml:space="preserve">, </w:t>
      </w:r>
      <w:r w:rsidRPr="00D21E15">
        <w:rPr>
          <w:rFonts w:cs="Arial"/>
          <w:i/>
          <w:iCs/>
          <w:color w:val="000000" w:themeColor="text1"/>
          <w:lang w:val="en-US"/>
        </w:rPr>
        <w:t>Jyx.jyu.fi</w:t>
      </w:r>
      <w:r w:rsidRPr="00D21E15">
        <w:rPr>
          <w:rFonts w:cs="Arial"/>
          <w:color w:val="000000" w:themeColor="text1"/>
          <w:lang w:val="en-US"/>
        </w:rPr>
        <w:t xml:space="preserve">. Available at: </w:t>
      </w:r>
      <w:hyperlink r:id="rId64" w:history="1">
        <w:r w:rsidRPr="00D21E15">
          <w:rPr>
            <w:rStyle w:val="Hyperlink"/>
            <w:rFonts w:cs="Arial"/>
            <w:lang w:val="en-US"/>
          </w:rPr>
          <w:t>https://jyx.jyu.fi/jyx/Record/jyx_123456789_99057</w:t>
        </w:r>
      </w:hyperlink>
      <w:r w:rsidRPr="00D21E15">
        <w:rPr>
          <w:rFonts w:cs="Arial"/>
          <w:color w:val="000000" w:themeColor="text1"/>
          <w:lang w:val="en-US"/>
        </w:rPr>
        <w:t>.</w:t>
      </w:r>
    </w:p>
    <w:p w14:paraId="6CF6D41A"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Shaheen, N. </w:t>
      </w:r>
      <w:r w:rsidRPr="00067DAE">
        <w:rPr>
          <w:rFonts w:cs="Arial"/>
          <w:i/>
          <w:iCs/>
          <w:color w:val="000000" w:themeColor="text1"/>
          <w:lang w:val="en-US"/>
        </w:rPr>
        <w:t>et al</w:t>
      </w:r>
      <w:r w:rsidRPr="00D21E15">
        <w:rPr>
          <w:rFonts w:cs="Arial"/>
          <w:i/>
          <w:iCs/>
          <w:color w:val="000000" w:themeColor="text1"/>
          <w:lang w:val="en-US"/>
        </w:rPr>
        <w:t>.</w:t>
      </w:r>
      <w:r w:rsidRPr="00D21E15">
        <w:rPr>
          <w:rFonts w:cs="Arial"/>
          <w:color w:val="000000" w:themeColor="text1"/>
          <w:lang w:val="en-US"/>
        </w:rPr>
        <w:t xml:space="preserve"> (2023) ‘Appraising Systematic reviews: a Comprehensive Guide to Ensuring Validity and Reliability’, </w:t>
      </w:r>
      <w:r w:rsidRPr="00D21E15">
        <w:rPr>
          <w:rFonts w:cs="Arial"/>
          <w:i/>
          <w:iCs/>
          <w:color w:val="000000" w:themeColor="text1"/>
          <w:lang w:val="en-US"/>
        </w:rPr>
        <w:t>Frontiers in Research Metrics and Analytics</w:t>
      </w:r>
      <w:r w:rsidRPr="00D21E15">
        <w:rPr>
          <w:rFonts w:cs="Arial"/>
          <w:color w:val="000000" w:themeColor="text1"/>
          <w:lang w:val="en-US"/>
        </w:rPr>
        <w:t xml:space="preserve">, 8(8). Available at: </w:t>
      </w:r>
      <w:hyperlink r:id="rId65" w:history="1">
        <w:r w:rsidRPr="00D21E15">
          <w:rPr>
            <w:rStyle w:val="Hyperlink"/>
            <w:rFonts w:cs="Arial"/>
            <w:lang w:val="en-US"/>
          </w:rPr>
          <w:t>https://doi.org/10.3389/frma.2023.1268045</w:t>
        </w:r>
      </w:hyperlink>
      <w:r w:rsidRPr="00D21E15">
        <w:rPr>
          <w:rFonts w:cs="Arial"/>
          <w:color w:val="000000" w:themeColor="text1"/>
          <w:lang w:val="en-US"/>
        </w:rPr>
        <w:t>.</w:t>
      </w:r>
    </w:p>
    <w:p w14:paraId="5433DCC2" w14:textId="77777777" w:rsidR="00884F2F" w:rsidRPr="00D21E15" w:rsidRDefault="00884F2F" w:rsidP="00884F2F">
      <w:pPr>
        <w:spacing w:after="160"/>
        <w:jc w:val="left"/>
        <w:rPr>
          <w:rFonts w:cs="Arial"/>
          <w:color w:val="000000" w:themeColor="text1"/>
          <w:lang w:val="en-US"/>
        </w:rPr>
      </w:pPr>
      <w:proofErr w:type="spellStart"/>
      <w:r w:rsidRPr="00D21E15">
        <w:rPr>
          <w:rFonts w:cs="Arial"/>
          <w:color w:val="000000" w:themeColor="text1"/>
          <w:lang w:val="en-US"/>
        </w:rPr>
        <w:t>Sharabati</w:t>
      </w:r>
      <w:proofErr w:type="spellEnd"/>
      <w:r w:rsidRPr="00D21E15">
        <w:rPr>
          <w:rFonts w:cs="Arial"/>
          <w:color w:val="000000" w:themeColor="text1"/>
          <w:lang w:val="en-US"/>
        </w:rPr>
        <w:t xml:space="preserve">, A.-A.A. </w:t>
      </w:r>
      <w:r w:rsidRPr="00067DAE">
        <w:rPr>
          <w:rFonts w:cs="Arial"/>
          <w:i/>
          <w:iCs/>
          <w:color w:val="000000" w:themeColor="text1"/>
          <w:lang w:val="en-US"/>
        </w:rPr>
        <w:t>et al</w:t>
      </w:r>
      <w:r w:rsidRPr="00D21E15">
        <w:rPr>
          <w:rFonts w:cs="Arial"/>
          <w:i/>
          <w:iCs/>
          <w:color w:val="000000" w:themeColor="text1"/>
          <w:lang w:val="en-US"/>
        </w:rPr>
        <w:t>.</w:t>
      </w:r>
      <w:r w:rsidRPr="00D21E15">
        <w:rPr>
          <w:rFonts w:cs="Arial"/>
          <w:color w:val="000000" w:themeColor="text1"/>
          <w:lang w:val="en-US"/>
        </w:rPr>
        <w:t xml:space="preserve"> (2024) ‘The Impact of Digital Marketing on the Performance of SMEs: An Analytical Study in Light of Modern Digital Transformations’, </w:t>
      </w:r>
      <w:r w:rsidRPr="00D21E15">
        <w:rPr>
          <w:rFonts w:cs="Arial"/>
          <w:i/>
          <w:iCs/>
          <w:color w:val="000000" w:themeColor="text1"/>
          <w:lang w:val="en-US"/>
        </w:rPr>
        <w:t>Sustainability</w:t>
      </w:r>
      <w:r w:rsidRPr="00D21E15">
        <w:rPr>
          <w:rFonts w:cs="Arial"/>
          <w:color w:val="000000" w:themeColor="text1"/>
          <w:lang w:val="en-US"/>
        </w:rPr>
        <w:t xml:space="preserve">, 16(19). Available at: </w:t>
      </w:r>
      <w:hyperlink r:id="rId66" w:history="1">
        <w:r w:rsidRPr="00D21E15">
          <w:rPr>
            <w:rStyle w:val="Hyperlink"/>
            <w:rFonts w:cs="Arial"/>
            <w:lang w:val="en-US"/>
          </w:rPr>
          <w:t>https://doi.org/10.3390/su16198667</w:t>
        </w:r>
      </w:hyperlink>
      <w:r w:rsidRPr="00D21E15">
        <w:rPr>
          <w:rFonts w:cs="Arial"/>
          <w:color w:val="000000" w:themeColor="text1"/>
          <w:lang w:val="en-US"/>
        </w:rPr>
        <w:t>.</w:t>
      </w:r>
    </w:p>
    <w:p w14:paraId="64A8ED4B" w14:textId="77777777" w:rsidR="00884F2F" w:rsidRDefault="00884F2F" w:rsidP="00884F2F">
      <w:pPr>
        <w:spacing w:after="160"/>
        <w:jc w:val="left"/>
        <w:rPr>
          <w:rFonts w:cs="Arial"/>
        </w:rPr>
      </w:pPr>
      <w:proofErr w:type="spellStart"/>
      <w:r w:rsidRPr="00D21E15">
        <w:rPr>
          <w:rFonts w:cs="Arial"/>
          <w:color w:val="000000" w:themeColor="text1"/>
        </w:rPr>
        <w:lastRenderedPageBreak/>
        <w:t>Sindakis</w:t>
      </w:r>
      <w:proofErr w:type="spellEnd"/>
      <w:r w:rsidRPr="00D21E15">
        <w:rPr>
          <w:rFonts w:cs="Arial"/>
          <w:color w:val="000000" w:themeColor="text1"/>
        </w:rPr>
        <w:t xml:space="preserve">, S. and Aggarwal, S. (2022) ‘E-business Adoption by Small Businesses: Benefits and Drawbacks’, in </w:t>
      </w:r>
      <w:proofErr w:type="spellStart"/>
      <w:r w:rsidRPr="00D21E15">
        <w:rPr>
          <w:rFonts w:cs="Arial"/>
          <w:color w:val="000000" w:themeColor="text1"/>
        </w:rPr>
        <w:t>Biginas</w:t>
      </w:r>
      <w:proofErr w:type="spellEnd"/>
      <w:r w:rsidRPr="00D21E15">
        <w:rPr>
          <w:rFonts w:cs="Arial"/>
          <w:color w:val="000000" w:themeColor="text1"/>
        </w:rPr>
        <w:t xml:space="preserve">, K., </w:t>
      </w:r>
      <w:proofErr w:type="spellStart"/>
      <w:r w:rsidRPr="00D21E15">
        <w:rPr>
          <w:rFonts w:cs="Arial"/>
          <w:color w:val="000000" w:themeColor="text1"/>
        </w:rPr>
        <w:t>Sindakis</w:t>
      </w:r>
      <w:proofErr w:type="spellEnd"/>
      <w:r w:rsidRPr="00D21E15">
        <w:rPr>
          <w:rFonts w:cs="Arial"/>
          <w:color w:val="000000" w:themeColor="text1"/>
        </w:rPr>
        <w:t xml:space="preserve">, S., </w:t>
      </w:r>
      <w:proofErr w:type="spellStart"/>
      <w:r w:rsidRPr="00D21E15">
        <w:rPr>
          <w:rFonts w:cs="Arial"/>
          <w:color w:val="000000" w:themeColor="text1"/>
        </w:rPr>
        <w:t>Koumproglou</w:t>
      </w:r>
      <w:proofErr w:type="spellEnd"/>
      <w:r w:rsidRPr="00D21E15">
        <w:rPr>
          <w:rFonts w:cs="Arial"/>
          <w:color w:val="000000" w:themeColor="text1"/>
        </w:rPr>
        <w:t xml:space="preserve">, A., </w:t>
      </w:r>
      <w:proofErr w:type="spellStart"/>
      <w:r w:rsidRPr="00D21E15">
        <w:rPr>
          <w:rFonts w:cs="Arial"/>
          <w:color w:val="000000" w:themeColor="text1"/>
        </w:rPr>
        <w:t>Sarantinos</w:t>
      </w:r>
      <w:proofErr w:type="spellEnd"/>
      <w:r w:rsidRPr="00D21E15">
        <w:rPr>
          <w:rFonts w:cs="Arial"/>
          <w:color w:val="000000" w:themeColor="text1"/>
        </w:rPr>
        <w:t xml:space="preserve">, V. and Wyer, P. (eds.) </w:t>
      </w:r>
      <w:r w:rsidRPr="00D21E15">
        <w:rPr>
          <w:rFonts w:cs="Arial"/>
          <w:i/>
          <w:iCs/>
          <w:color w:val="000000" w:themeColor="text1"/>
        </w:rPr>
        <w:t>Environment</w:t>
      </w:r>
      <w:r w:rsidRPr="00D21E15">
        <w:rPr>
          <w:rFonts w:cs="Arial"/>
          <w:color w:val="000000" w:themeColor="text1"/>
        </w:rPr>
        <w:t xml:space="preserve">. Bingley: Emerald Publishing Limited. Available at: </w:t>
      </w:r>
      <w:hyperlink r:id="rId67" w:tgtFrame="_new" w:history="1">
        <w:r w:rsidRPr="00D21E15">
          <w:rPr>
            <w:rStyle w:val="Hyperlink"/>
            <w:rFonts w:cs="Arial"/>
          </w:rPr>
          <w:t>https://doi.org/10.1108/978-1-83909-624-220211013</w:t>
        </w:r>
      </w:hyperlink>
    </w:p>
    <w:p w14:paraId="3FA448E3" w14:textId="77777777" w:rsidR="00884F2F" w:rsidRPr="00D21E15" w:rsidRDefault="00884F2F" w:rsidP="00884F2F">
      <w:pPr>
        <w:spacing w:after="160"/>
        <w:jc w:val="left"/>
        <w:rPr>
          <w:rFonts w:cs="Arial"/>
          <w:color w:val="000000" w:themeColor="text1"/>
          <w:lang w:val="en-US"/>
        </w:rPr>
      </w:pPr>
      <w:proofErr w:type="spellStart"/>
      <w:r w:rsidRPr="00D21E15">
        <w:rPr>
          <w:rFonts w:cs="Arial"/>
          <w:color w:val="000000" w:themeColor="text1"/>
          <w:lang w:val="en-US"/>
        </w:rPr>
        <w:t>Sindakis</w:t>
      </w:r>
      <w:proofErr w:type="spellEnd"/>
      <w:r w:rsidRPr="00D21E15">
        <w:rPr>
          <w:rFonts w:cs="Arial"/>
          <w:color w:val="000000" w:themeColor="text1"/>
          <w:lang w:val="en-US"/>
        </w:rPr>
        <w:t xml:space="preserve">, S. and Aggarwal, S. (2022) ‘The Implications of Brexit for Small Businesses in the UK’, </w:t>
      </w:r>
      <w:r w:rsidRPr="00D21E15">
        <w:rPr>
          <w:rFonts w:cs="Arial"/>
          <w:i/>
          <w:iCs/>
          <w:color w:val="000000" w:themeColor="text1"/>
          <w:lang w:val="en-US"/>
        </w:rPr>
        <w:t>Small Business Management and Control of the Uncertain External Environment</w:t>
      </w:r>
      <w:r w:rsidRPr="00D21E15">
        <w:rPr>
          <w:rFonts w:cs="Arial"/>
          <w:color w:val="000000" w:themeColor="text1"/>
          <w:lang w:val="en-US"/>
        </w:rPr>
        <w:t xml:space="preserve">, pp. 179–196. Available at: </w:t>
      </w:r>
      <w:hyperlink r:id="rId68" w:history="1">
        <w:r w:rsidRPr="00D21E15">
          <w:rPr>
            <w:rStyle w:val="Hyperlink"/>
            <w:rFonts w:cs="Arial"/>
            <w:lang w:val="en-US"/>
          </w:rPr>
          <w:t>https://doi.org/10.1108/978-1-83909-624-220211011</w:t>
        </w:r>
      </w:hyperlink>
      <w:r w:rsidRPr="00D21E15">
        <w:rPr>
          <w:rFonts w:cs="Arial"/>
          <w:color w:val="000000" w:themeColor="text1"/>
          <w:lang w:val="en-US"/>
        </w:rPr>
        <w:t>.</w:t>
      </w:r>
    </w:p>
    <w:p w14:paraId="1C8D02DC"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Smith, H., </w:t>
      </w:r>
      <w:proofErr w:type="spellStart"/>
      <w:r w:rsidRPr="00D21E15">
        <w:rPr>
          <w:rFonts w:cs="Arial"/>
          <w:color w:val="000000" w:themeColor="text1"/>
          <w:lang w:val="en-US"/>
        </w:rPr>
        <w:t>Discetti</w:t>
      </w:r>
      <w:proofErr w:type="spellEnd"/>
      <w:r w:rsidRPr="00D21E15">
        <w:rPr>
          <w:rFonts w:cs="Arial"/>
          <w:color w:val="000000" w:themeColor="text1"/>
          <w:lang w:val="en-US"/>
        </w:rPr>
        <w:t xml:space="preserve">, R., Bellucci, M. and </w:t>
      </w:r>
      <w:proofErr w:type="spellStart"/>
      <w:r w:rsidRPr="00D21E15">
        <w:rPr>
          <w:rFonts w:cs="Arial"/>
          <w:color w:val="000000" w:themeColor="text1"/>
          <w:lang w:val="en-US"/>
        </w:rPr>
        <w:t>Acuti</w:t>
      </w:r>
      <w:proofErr w:type="spellEnd"/>
      <w:r w:rsidRPr="00D21E15">
        <w:rPr>
          <w:rFonts w:cs="Arial"/>
          <w:color w:val="000000" w:themeColor="text1"/>
          <w:lang w:val="en-US"/>
        </w:rPr>
        <w:t xml:space="preserve">, D. (2022) "SMEs engagement with the Sustainable Development Goals: a power perspective". </w:t>
      </w:r>
      <w:r w:rsidRPr="00D21E15">
        <w:rPr>
          <w:rFonts w:cs="Arial"/>
          <w:i/>
          <w:iCs/>
          <w:color w:val="000000" w:themeColor="text1"/>
          <w:lang w:val="en-US"/>
        </w:rPr>
        <w:t>Journal of Business Research</w:t>
      </w:r>
      <w:r w:rsidRPr="00D21E15">
        <w:rPr>
          <w:rFonts w:cs="Arial"/>
          <w:color w:val="000000" w:themeColor="text1"/>
          <w:lang w:val="en-US"/>
        </w:rPr>
        <w:t xml:space="preserve">, 149, pp.112–122. Available at: </w:t>
      </w:r>
      <w:hyperlink r:id="rId69" w:history="1">
        <w:r w:rsidRPr="00D21E15">
          <w:rPr>
            <w:rStyle w:val="Hyperlink"/>
            <w:rFonts w:cs="Arial"/>
            <w:lang w:val="en-US"/>
          </w:rPr>
          <w:t>https://researchportal.port.ac.uk/files/52101445/SMEs_engagement_with_the_Sustainable_Development_Goals_a_power_perspective.pdf</w:t>
        </w:r>
      </w:hyperlink>
      <w:r w:rsidRPr="00D21E15">
        <w:rPr>
          <w:rFonts w:cs="Arial"/>
          <w:color w:val="000000" w:themeColor="text1"/>
          <w:lang w:val="en-US"/>
        </w:rPr>
        <w:t xml:space="preserve"> [Accessed 3 Oct. 2025].</w:t>
      </w:r>
    </w:p>
    <w:p w14:paraId="68B375F4"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Soner, C., </w:t>
      </w:r>
      <w:proofErr w:type="spellStart"/>
      <w:r w:rsidRPr="00D21E15">
        <w:rPr>
          <w:rFonts w:cs="Arial"/>
          <w:color w:val="000000" w:themeColor="text1"/>
          <w:lang w:val="en-US"/>
        </w:rPr>
        <w:t>Alsakka</w:t>
      </w:r>
      <w:proofErr w:type="spellEnd"/>
      <w:r w:rsidRPr="00D21E15">
        <w:rPr>
          <w:rFonts w:cs="Arial"/>
          <w:color w:val="000000" w:themeColor="text1"/>
          <w:lang w:val="en-US"/>
        </w:rPr>
        <w:t xml:space="preserve">, R. and </w:t>
      </w:r>
      <w:proofErr w:type="spellStart"/>
      <w:r w:rsidRPr="00D21E15">
        <w:rPr>
          <w:rFonts w:cs="Arial"/>
          <w:color w:val="000000" w:themeColor="text1"/>
          <w:lang w:val="en-US"/>
        </w:rPr>
        <w:t>Mantovan</w:t>
      </w:r>
      <w:proofErr w:type="spellEnd"/>
      <w:r w:rsidRPr="00D21E15">
        <w:rPr>
          <w:rFonts w:cs="Arial"/>
          <w:color w:val="000000" w:themeColor="text1"/>
          <w:lang w:val="en-US"/>
        </w:rPr>
        <w:t xml:space="preserve">, N. (2025) ‘The impact of Brexit on SME lending in the UK’, </w:t>
      </w:r>
      <w:r w:rsidRPr="00D21E15">
        <w:rPr>
          <w:rFonts w:cs="Arial"/>
          <w:i/>
          <w:iCs/>
          <w:color w:val="000000" w:themeColor="text1"/>
          <w:lang w:val="en-US"/>
        </w:rPr>
        <w:t>Journal of Rural Studies</w:t>
      </w:r>
      <w:r w:rsidRPr="00D21E15">
        <w:rPr>
          <w:rFonts w:cs="Arial"/>
          <w:color w:val="000000" w:themeColor="text1"/>
          <w:lang w:val="en-US"/>
        </w:rPr>
        <w:t xml:space="preserve">, 118, p. 103683. Available at: </w:t>
      </w:r>
      <w:hyperlink r:id="rId70" w:history="1">
        <w:r w:rsidRPr="00D21E15">
          <w:rPr>
            <w:rStyle w:val="Hyperlink"/>
            <w:rFonts w:cs="Arial"/>
            <w:lang w:val="en-US"/>
          </w:rPr>
          <w:t>https://doi.org/10.1016/j.jrurstud.2025.103683</w:t>
        </w:r>
      </w:hyperlink>
      <w:r w:rsidRPr="00D21E15">
        <w:rPr>
          <w:rFonts w:cs="Arial"/>
          <w:color w:val="000000" w:themeColor="text1"/>
          <w:lang w:val="en-US"/>
        </w:rPr>
        <w:t>.</w:t>
      </w:r>
    </w:p>
    <w:p w14:paraId="47C10F25"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Suri, H. (2020) ‘Ethical Considerations of Conducting Systematic Reviews in Educational Research’, </w:t>
      </w:r>
      <w:r w:rsidRPr="00D21E15">
        <w:rPr>
          <w:rFonts w:cs="Arial"/>
          <w:i/>
          <w:iCs/>
          <w:color w:val="000000" w:themeColor="text1"/>
          <w:lang w:val="en-US"/>
        </w:rPr>
        <w:t>Systematic Reviews in Educational Research</w:t>
      </w:r>
      <w:r w:rsidRPr="00D21E15">
        <w:rPr>
          <w:rFonts w:cs="Arial"/>
          <w:color w:val="000000" w:themeColor="text1"/>
          <w:lang w:val="en-US"/>
        </w:rPr>
        <w:t xml:space="preserve">, 1(1), pp. 41–54. Available at: </w:t>
      </w:r>
      <w:hyperlink r:id="rId71" w:history="1">
        <w:r w:rsidRPr="00D21E15">
          <w:rPr>
            <w:rStyle w:val="Hyperlink"/>
            <w:rFonts w:cs="Arial"/>
            <w:lang w:val="en-US"/>
          </w:rPr>
          <w:t>https://doi.org/10.1007/978-3-658-27602-7_3</w:t>
        </w:r>
      </w:hyperlink>
      <w:r w:rsidRPr="00D21E15">
        <w:rPr>
          <w:rFonts w:cs="Arial"/>
          <w:color w:val="000000" w:themeColor="text1"/>
          <w:lang w:val="en-US"/>
        </w:rPr>
        <w:t>.</w:t>
      </w:r>
    </w:p>
    <w:p w14:paraId="546EE1CC"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Thissen, M. </w:t>
      </w:r>
      <w:r w:rsidRPr="00067DAE">
        <w:rPr>
          <w:rFonts w:cs="Arial"/>
          <w:i/>
          <w:iCs/>
          <w:color w:val="000000" w:themeColor="text1"/>
          <w:lang w:val="en-US"/>
        </w:rPr>
        <w:t>et al</w:t>
      </w:r>
      <w:r w:rsidRPr="00D21E15">
        <w:rPr>
          <w:rFonts w:cs="Arial"/>
          <w:i/>
          <w:iCs/>
          <w:color w:val="000000" w:themeColor="text1"/>
          <w:lang w:val="en-US"/>
        </w:rPr>
        <w:t>.</w:t>
      </w:r>
      <w:r w:rsidRPr="00D21E15">
        <w:rPr>
          <w:rFonts w:cs="Arial"/>
          <w:color w:val="000000" w:themeColor="text1"/>
          <w:lang w:val="en-US"/>
        </w:rPr>
        <w:t xml:space="preserve"> (2020) ‘The Implications of Brexit for UK and EU Regional Competitiveness’, </w:t>
      </w:r>
      <w:r w:rsidRPr="00D21E15">
        <w:rPr>
          <w:rFonts w:cs="Arial"/>
          <w:i/>
          <w:iCs/>
          <w:color w:val="000000" w:themeColor="text1"/>
          <w:lang w:val="en-US"/>
        </w:rPr>
        <w:t>Economic Geography</w:t>
      </w:r>
      <w:r w:rsidRPr="00D21E15">
        <w:rPr>
          <w:rFonts w:cs="Arial"/>
          <w:color w:val="000000" w:themeColor="text1"/>
          <w:lang w:val="en-US"/>
        </w:rPr>
        <w:t xml:space="preserve">, 96(5), pp. 1–25. Available at: </w:t>
      </w:r>
      <w:hyperlink r:id="rId72" w:anchor="d1e500" w:history="1">
        <w:r w:rsidRPr="00D21E15">
          <w:rPr>
            <w:rStyle w:val="Hyperlink"/>
            <w:rFonts w:cs="Arial"/>
            <w:lang w:val="en-US"/>
          </w:rPr>
          <w:t>https://www.tandfonline.com/doi/full/10.1080/00130095.2020.1820862#d1e500</w:t>
        </w:r>
      </w:hyperlink>
      <w:r w:rsidRPr="00D21E15">
        <w:rPr>
          <w:rFonts w:cs="Arial"/>
          <w:color w:val="000000" w:themeColor="text1"/>
          <w:lang w:val="en-US"/>
        </w:rPr>
        <w:t>.</w:t>
      </w:r>
    </w:p>
    <w:p w14:paraId="3CD92367" w14:textId="77777777" w:rsidR="00884F2F" w:rsidRPr="00D21E15" w:rsidRDefault="00884F2F" w:rsidP="00884F2F">
      <w:pPr>
        <w:spacing w:after="160"/>
        <w:jc w:val="left"/>
        <w:rPr>
          <w:rFonts w:cs="Arial"/>
          <w:color w:val="000000" w:themeColor="text1"/>
          <w:lang w:val="en-US"/>
        </w:rPr>
      </w:pPr>
      <w:r w:rsidRPr="00884F2F">
        <w:rPr>
          <w:rFonts w:cs="Arial"/>
          <w:color w:val="000000" w:themeColor="text1"/>
          <w:lang w:val="nl-NL"/>
        </w:rPr>
        <w:t xml:space="preserve">Trapp, N.L. </w:t>
      </w:r>
      <w:r w:rsidRPr="00884F2F">
        <w:rPr>
          <w:rFonts w:cs="Arial"/>
          <w:i/>
          <w:iCs/>
          <w:color w:val="000000" w:themeColor="text1"/>
          <w:lang w:val="nl-NL"/>
        </w:rPr>
        <w:t>et al.</w:t>
      </w:r>
      <w:r w:rsidRPr="00884F2F">
        <w:rPr>
          <w:rFonts w:cs="Arial"/>
          <w:color w:val="000000" w:themeColor="text1"/>
          <w:lang w:val="nl-NL"/>
        </w:rPr>
        <w:t xml:space="preserve"> </w:t>
      </w:r>
      <w:r w:rsidRPr="00D21E15">
        <w:rPr>
          <w:rFonts w:cs="Arial"/>
          <w:color w:val="000000" w:themeColor="text1"/>
          <w:lang w:val="en-US"/>
        </w:rPr>
        <w:t xml:space="preserve">(2023) ‘Relationship Quality Between Small and Medium-Sized Enterprise Partners During Threatening Times: The Role of Contact Frequency and Social Exchanges’, </w:t>
      </w:r>
      <w:r w:rsidRPr="00D21E15">
        <w:rPr>
          <w:rFonts w:cs="Arial"/>
          <w:i/>
          <w:iCs/>
          <w:color w:val="000000" w:themeColor="text1"/>
          <w:lang w:val="en-US"/>
        </w:rPr>
        <w:t>Journal of Business-to-Business Marketing</w:t>
      </w:r>
      <w:r w:rsidRPr="00D21E15">
        <w:rPr>
          <w:rFonts w:cs="Arial"/>
          <w:color w:val="000000" w:themeColor="text1"/>
          <w:lang w:val="en-US"/>
        </w:rPr>
        <w:t xml:space="preserve">, 30(2), pp. 187–200. Available at: </w:t>
      </w:r>
      <w:hyperlink r:id="rId73" w:history="1">
        <w:r w:rsidRPr="00D21E15">
          <w:rPr>
            <w:rStyle w:val="Hyperlink"/>
            <w:rFonts w:cs="Arial"/>
            <w:lang w:val="en-US"/>
          </w:rPr>
          <w:t>https://doi.org/10.1080/1051712x.2023.2214551</w:t>
        </w:r>
      </w:hyperlink>
      <w:r w:rsidRPr="00D21E15">
        <w:rPr>
          <w:rFonts w:cs="Arial"/>
          <w:color w:val="000000" w:themeColor="text1"/>
          <w:lang w:val="en-US"/>
        </w:rPr>
        <w:t>.</w:t>
      </w:r>
    </w:p>
    <w:p w14:paraId="71300D84"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Tsang, E.W.K. (2016) </w:t>
      </w:r>
      <w:r w:rsidRPr="00D21E15">
        <w:rPr>
          <w:rFonts w:cs="Arial"/>
          <w:i/>
          <w:iCs/>
          <w:color w:val="000000" w:themeColor="text1"/>
          <w:lang w:val="en-US"/>
        </w:rPr>
        <w:t>The philosophy of management research</w:t>
      </w:r>
      <w:r w:rsidRPr="00D21E15">
        <w:rPr>
          <w:rFonts w:cs="Arial"/>
          <w:color w:val="000000" w:themeColor="text1"/>
          <w:lang w:val="en-US"/>
        </w:rPr>
        <w:t>. Routledge.</w:t>
      </w:r>
    </w:p>
    <w:p w14:paraId="5B837EC2"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Uddin, M., Chowdhury, A. and Wood, G. (2022) ‘The resilience of the British and European goods industry: Challenge of Brexit’, Industrial and Corporate Change, 31(4), pp. 934–954.</w:t>
      </w:r>
    </w:p>
    <w:p w14:paraId="5EA2B16A"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lastRenderedPageBreak/>
        <w:t xml:space="preserve">Ugochi, L., </w:t>
      </w:r>
      <w:proofErr w:type="spellStart"/>
      <w:r w:rsidRPr="00D21E15">
        <w:rPr>
          <w:rFonts w:cs="Arial"/>
          <w:color w:val="000000" w:themeColor="text1"/>
          <w:lang w:val="en-US"/>
        </w:rPr>
        <w:t>Onyeanuforo</w:t>
      </w:r>
      <w:proofErr w:type="spellEnd"/>
      <w:r w:rsidRPr="00D21E15">
        <w:rPr>
          <w:rFonts w:cs="Arial"/>
          <w:color w:val="000000" w:themeColor="text1"/>
          <w:lang w:val="en-US"/>
        </w:rPr>
        <w:t xml:space="preserve">, U.L. and Alfa, C. (2025) ‘Leveraging Cross-Border E-commerce Analytics in Shaping UK SMEs’ Post-Brexit International Market Entry...’, </w:t>
      </w:r>
      <w:r w:rsidRPr="00D21E15">
        <w:rPr>
          <w:rFonts w:cs="Arial"/>
          <w:i/>
          <w:iCs/>
          <w:color w:val="000000" w:themeColor="text1"/>
          <w:lang w:val="en-US"/>
        </w:rPr>
        <w:t>IIARD INTERNATIONAL JOURNAL OF ECONOMICS AND BUSINESS MANAGEMENT</w:t>
      </w:r>
      <w:r w:rsidRPr="00D21E15">
        <w:rPr>
          <w:rFonts w:cs="Arial"/>
          <w:color w:val="000000" w:themeColor="text1"/>
          <w:lang w:val="en-US"/>
        </w:rPr>
        <w:t xml:space="preserve">, 11(6). Available at: </w:t>
      </w:r>
      <w:hyperlink r:id="rId74" w:history="1">
        <w:r w:rsidRPr="00D21E15">
          <w:rPr>
            <w:rStyle w:val="Hyperlink"/>
            <w:rFonts w:cs="Arial"/>
            <w:lang w:val="en-US"/>
          </w:rPr>
          <w:t>https://doi.org/10.56201/ijebm.vol.11.no6.2025.pg266.284</w:t>
        </w:r>
      </w:hyperlink>
      <w:r w:rsidRPr="00D21E15">
        <w:rPr>
          <w:rFonts w:cs="Arial"/>
          <w:color w:val="000000" w:themeColor="text1"/>
          <w:lang w:val="en-US"/>
        </w:rPr>
        <w:t>.</w:t>
      </w:r>
    </w:p>
    <w:p w14:paraId="227D20A7"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Ugochi, L., </w:t>
      </w:r>
      <w:proofErr w:type="spellStart"/>
      <w:r w:rsidRPr="00D21E15">
        <w:rPr>
          <w:rFonts w:cs="Arial"/>
          <w:color w:val="000000" w:themeColor="text1"/>
          <w:lang w:val="en-US"/>
        </w:rPr>
        <w:t>Onyeanuforo</w:t>
      </w:r>
      <w:proofErr w:type="spellEnd"/>
      <w:r w:rsidRPr="00D21E15">
        <w:rPr>
          <w:rFonts w:cs="Arial"/>
          <w:color w:val="000000" w:themeColor="text1"/>
          <w:lang w:val="en-US"/>
        </w:rPr>
        <w:t xml:space="preserve">, U.L. and Magaji, F.I. (2023) ‘The Influence of International Regulatory Frameworks on UK SMEs’ Export Strategies’, </w:t>
      </w:r>
      <w:r w:rsidRPr="00D21E15">
        <w:rPr>
          <w:rFonts w:cs="Arial"/>
          <w:i/>
          <w:iCs/>
          <w:color w:val="000000" w:themeColor="text1"/>
          <w:lang w:val="en-US"/>
        </w:rPr>
        <w:t>ResearchGate</w:t>
      </w:r>
      <w:r w:rsidRPr="00D21E15">
        <w:rPr>
          <w:rFonts w:cs="Arial"/>
          <w:color w:val="000000" w:themeColor="text1"/>
          <w:lang w:val="en-US"/>
        </w:rPr>
        <w:t xml:space="preserve">, 2(9), pp. 13–22. Available at: </w:t>
      </w:r>
      <w:hyperlink r:id="rId75" w:history="1">
        <w:r w:rsidRPr="00D21E15">
          <w:rPr>
            <w:rStyle w:val="Hyperlink"/>
            <w:rFonts w:cs="Arial"/>
            <w:lang w:val="en-US"/>
          </w:rPr>
          <w:t>https://doi.org/10.5281/zenodo.17109827</w:t>
        </w:r>
      </w:hyperlink>
      <w:r w:rsidRPr="00D21E15">
        <w:rPr>
          <w:rFonts w:cs="Arial"/>
          <w:color w:val="000000" w:themeColor="text1"/>
          <w:lang w:val="en-US"/>
        </w:rPr>
        <w:t>.</w:t>
      </w:r>
    </w:p>
    <w:p w14:paraId="355A64C9"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UWTSD (2022) </w:t>
      </w:r>
      <w:r w:rsidRPr="00D21E15">
        <w:rPr>
          <w:rFonts w:cs="Arial"/>
          <w:i/>
          <w:iCs/>
          <w:color w:val="000000" w:themeColor="text1"/>
          <w:lang w:val="en-US"/>
        </w:rPr>
        <w:t>Research Integrity and Ethics</w:t>
      </w:r>
      <w:r w:rsidRPr="00D21E15">
        <w:rPr>
          <w:rFonts w:cs="Arial"/>
          <w:color w:val="000000" w:themeColor="text1"/>
          <w:lang w:val="en-US"/>
        </w:rPr>
        <w:t xml:space="preserve">, </w:t>
      </w:r>
      <w:r w:rsidRPr="00D21E15">
        <w:rPr>
          <w:rFonts w:cs="Arial"/>
          <w:i/>
          <w:iCs/>
          <w:color w:val="000000" w:themeColor="text1"/>
          <w:lang w:val="en-US"/>
        </w:rPr>
        <w:t>The University of Wales Trinity Saint David</w:t>
      </w:r>
      <w:r w:rsidRPr="00D21E15">
        <w:rPr>
          <w:rFonts w:cs="Arial"/>
          <w:color w:val="000000" w:themeColor="text1"/>
          <w:lang w:val="en-US"/>
        </w:rPr>
        <w:t xml:space="preserve">. Available at: </w:t>
      </w:r>
      <w:hyperlink r:id="rId76" w:history="1">
        <w:r w:rsidRPr="00D21E15">
          <w:rPr>
            <w:rStyle w:val="Hyperlink"/>
            <w:rFonts w:cs="Arial"/>
            <w:lang w:val="en-US"/>
          </w:rPr>
          <w:t>https://www.uwtsd.ac.uk/research/research-integrity-and-ethics</w:t>
        </w:r>
      </w:hyperlink>
      <w:r w:rsidRPr="00D21E15">
        <w:rPr>
          <w:rFonts w:cs="Arial"/>
          <w:color w:val="000000" w:themeColor="text1"/>
          <w:lang w:val="en-US"/>
        </w:rPr>
        <w:t>.</w:t>
      </w:r>
    </w:p>
    <w:p w14:paraId="67D93CBF"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Vahlne, J. (2020) ‘Development of the Uppsala Model of Internationalization process: from Internationalization to Evolution’, </w:t>
      </w:r>
      <w:r w:rsidRPr="00D21E15">
        <w:rPr>
          <w:rFonts w:cs="Arial"/>
          <w:i/>
          <w:iCs/>
          <w:color w:val="000000" w:themeColor="text1"/>
          <w:lang w:val="en-US"/>
        </w:rPr>
        <w:t>Global Strategy Journal</w:t>
      </w:r>
      <w:r w:rsidRPr="00D21E15">
        <w:rPr>
          <w:rFonts w:cs="Arial"/>
          <w:color w:val="000000" w:themeColor="text1"/>
          <w:lang w:val="en-US"/>
        </w:rPr>
        <w:t xml:space="preserve">, 10(2), pp. 239–250. Available at: </w:t>
      </w:r>
      <w:hyperlink r:id="rId77" w:history="1">
        <w:r w:rsidRPr="00D21E15">
          <w:rPr>
            <w:rStyle w:val="Hyperlink"/>
            <w:rFonts w:cs="Arial"/>
            <w:lang w:val="en-US"/>
          </w:rPr>
          <w:t>https://doi.org/10.1002/gsj.1375</w:t>
        </w:r>
      </w:hyperlink>
      <w:r w:rsidRPr="00D21E15">
        <w:rPr>
          <w:rFonts w:cs="Arial"/>
          <w:color w:val="000000" w:themeColor="text1"/>
          <w:lang w:val="en-US"/>
        </w:rPr>
        <w:t>.</w:t>
      </w:r>
    </w:p>
    <w:p w14:paraId="13FC6167"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Vu, A.N. and Christian, J. (2023) ‘UK Equity Crowdfunding Success: The Impact of Competition, Brexit and Covid</w:t>
      </w:r>
      <w:r w:rsidRPr="00D21E15">
        <w:rPr>
          <w:rFonts w:ascii="Cambria Math" w:hAnsi="Cambria Math" w:cs="Cambria Math"/>
          <w:color w:val="000000" w:themeColor="text1"/>
          <w:lang w:val="en-US"/>
        </w:rPr>
        <w:t>‐</w:t>
      </w:r>
      <w:r w:rsidRPr="00D21E15">
        <w:rPr>
          <w:rFonts w:cs="Arial"/>
          <w:color w:val="000000" w:themeColor="text1"/>
          <w:lang w:val="en-US"/>
        </w:rPr>
        <w:t xml:space="preserve">19’, </w:t>
      </w:r>
      <w:r w:rsidRPr="00D21E15">
        <w:rPr>
          <w:rFonts w:cs="Arial"/>
          <w:i/>
          <w:iCs/>
          <w:color w:val="000000" w:themeColor="text1"/>
          <w:lang w:val="en-US"/>
        </w:rPr>
        <w:t>British Journal of Management</w:t>
      </w:r>
      <w:r w:rsidRPr="00D21E15">
        <w:rPr>
          <w:rFonts w:cs="Arial"/>
          <w:color w:val="000000" w:themeColor="text1"/>
          <w:lang w:val="en-US"/>
        </w:rPr>
        <w:t xml:space="preserve">, 35(1). Available at: </w:t>
      </w:r>
      <w:hyperlink r:id="rId78" w:history="1">
        <w:r w:rsidRPr="00D21E15">
          <w:rPr>
            <w:rStyle w:val="Hyperlink"/>
            <w:rFonts w:cs="Arial"/>
            <w:lang w:val="en-US"/>
          </w:rPr>
          <w:t>https://doi.org/10.1111/1467-8551.12714</w:t>
        </w:r>
      </w:hyperlink>
      <w:r w:rsidRPr="00D21E15">
        <w:rPr>
          <w:rFonts w:cs="Arial"/>
          <w:color w:val="000000" w:themeColor="text1"/>
          <w:lang w:val="en-US"/>
        </w:rPr>
        <w:t>.</w:t>
      </w:r>
    </w:p>
    <w:p w14:paraId="5431631D"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Wager, E. and Wiffen, P.J. (2011) ‘Ethical issues in preparing and publishing systematic reviews’, </w:t>
      </w:r>
      <w:r w:rsidRPr="00D21E15">
        <w:rPr>
          <w:rFonts w:cs="Arial"/>
          <w:i/>
          <w:iCs/>
          <w:color w:val="000000" w:themeColor="text1"/>
          <w:lang w:val="en-US"/>
        </w:rPr>
        <w:t>Journal of Evidence-Based Medicine</w:t>
      </w:r>
      <w:r w:rsidRPr="00D21E15">
        <w:rPr>
          <w:rFonts w:cs="Arial"/>
          <w:color w:val="000000" w:themeColor="text1"/>
          <w:lang w:val="en-US"/>
        </w:rPr>
        <w:t xml:space="preserve">, 4(2), pp. 130–134. Available at: </w:t>
      </w:r>
      <w:hyperlink r:id="rId79" w:history="1">
        <w:r w:rsidRPr="00D21E15">
          <w:rPr>
            <w:rStyle w:val="Hyperlink"/>
            <w:rFonts w:cs="Arial"/>
            <w:lang w:val="en-US"/>
          </w:rPr>
          <w:t>https://doi.org/10.1111/j.1756-5391.2011.01122.x</w:t>
        </w:r>
      </w:hyperlink>
      <w:r w:rsidRPr="00D21E15">
        <w:rPr>
          <w:rFonts w:cs="Arial"/>
          <w:color w:val="000000" w:themeColor="text1"/>
          <w:lang w:val="en-US"/>
        </w:rPr>
        <w:t>.</w:t>
      </w:r>
    </w:p>
    <w:p w14:paraId="05B4404E"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Wong, H. (2022) </w:t>
      </w:r>
      <w:r w:rsidRPr="00D21E15">
        <w:rPr>
          <w:rFonts w:cs="Arial"/>
          <w:i/>
          <w:iCs/>
          <w:color w:val="000000" w:themeColor="text1"/>
          <w:lang w:val="en-US"/>
        </w:rPr>
        <w:t>Doing Business After Brexit: A Practical Guide to the Legal Changes</w:t>
      </w:r>
      <w:r w:rsidRPr="00D21E15">
        <w:rPr>
          <w:rFonts w:cs="Arial"/>
          <w:color w:val="000000" w:themeColor="text1"/>
          <w:lang w:val="en-US"/>
        </w:rPr>
        <w:t xml:space="preserve">. Bloomsbury Professional. Available at: </w:t>
      </w:r>
      <w:hyperlink r:id="rId80" w:history="1">
        <w:r w:rsidRPr="00D21E15">
          <w:rPr>
            <w:rStyle w:val="Hyperlink"/>
            <w:rFonts w:cs="Arial"/>
            <w:lang w:val="en-US"/>
          </w:rPr>
          <w:t>https://doi.org/10.5040/9781526520395</w:t>
        </w:r>
      </w:hyperlink>
      <w:r w:rsidRPr="00D21E15">
        <w:rPr>
          <w:rFonts w:cs="Arial"/>
          <w:color w:val="000000" w:themeColor="text1"/>
          <w:lang w:val="en-US"/>
        </w:rPr>
        <w:t>.</w:t>
      </w:r>
    </w:p>
    <w:p w14:paraId="6F13B1F8"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t xml:space="preserve">Yang, Y., Chen, N. and Chen, H. (2023) "The digital platform, enterprise digital transformation, and enterprise performance of cross-border e-commerce – from the perspective of digital transformation and data elements". </w:t>
      </w:r>
      <w:r w:rsidRPr="00D21E15">
        <w:rPr>
          <w:rFonts w:cs="Arial"/>
          <w:i/>
          <w:iCs/>
          <w:color w:val="000000" w:themeColor="text1"/>
          <w:lang w:val="en-US"/>
        </w:rPr>
        <w:t>Journal of Theoretical and Applied Electronic Commerce Research</w:t>
      </w:r>
      <w:r w:rsidRPr="00D21E15">
        <w:rPr>
          <w:rFonts w:cs="Arial"/>
          <w:color w:val="000000" w:themeColor="text1"/>
          <w:lang w:val="en-US"/>
        </w:rPr>
        <w:t xml:space="preserve">, 18(2), pp.777–794. Available at: </w:t>
      </w:r>
      <w:hyperlink r:id="rId81" w:history="1">
        <w:r w:rsidRPr="00D21E15">
          <w:rPr>
            <w:rStyle w:val="Hyperlink"/>
            <w:rFonts w:cs="Arial"/>
            <w:lang w:val="en-US"/>
          </w:rPr>
          <w:t>https://www.mdpi.com/0718-1876/18/2/40</w:t>
        </w:r>
      </w:hyperlink>
      <w:r w:rsidRPr="00D21E15">
        <w:rPr>
          <w:rFonts w:cs="Arial"/>
          <w:color w:val="000000" w:themeColor="text1"/>
          <w:lang w:val="en-US"/>
        </w:rPr>
        <w:t xml:space="preserve"> [Accessed 3 Oct. 2025].</w:t>
      </w:r>
    </w:p>
    <w:p w14:paraId="619F7BCA"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rPr>
        <w:t>Zaschitina, A.I. (2022) ‘Global market trends and prospects for e</w:t>
      </w:r>
      <w:r w:rsidRPr="00D21E15">
        <w:rPr>
          <w:rFonts w:cs="Arial"/>
          <w:color w:val="000000" w:themeColor="text1"/>
        </w:rPr>
        <w:noBreakHyphen/>
        <w:t xml:space="preserve">commerce company to enter the foreign market’, Modern Scientific Researches and Innovations, (6). Available at: </w:t>
      </w:r>
      <w:hyperlink r:id="rId82" w:tgtFrame="_new" w:history="1">
        <w:r w:rsidRPr="00D21E15">
          <w:rPr>
            <w:rStyle w:val="Hyperlink"/>
            <w:rFonts w:cs="Arial"/>
          </w:rPr>
          <w:t>https://web.snauka.ru/en/issues/2022/06/98509</w:t>
        </w:r>
      </w:hyperlink>
    </w:p>
    <w:p w14:paraId="3E5CE899" w14:textId="77777777" w:rsidR="00884F2F" w:rsidRPr="00D21E15" w:rsidRDefault="00884F2F" w:rsidP="00884F2F">
      <w:pPr>
        <w:spacing w:after="160"/>
        <w:jc w:val="left"/>
        <w:rPr>
          <w:rFonts w:cs="Arial"/>
          <w:color w:val="000000" w:themeColor="text1"/>
          <w:lang w:val="en-US"/>
        </w:rPr>
      </w:pPr>
      <w:r w:rsidRPr="00D21E15">
        <w:rPr>
          <w:rFonts w:cs="Arial"/>
          <w:color w:val="000000" w:themeColor="text1"/>
          <w:lang w:val="en-US"/>
        </w:rPr>
        <w:lastRenderedPageBreak/>
        <w:t xml:space="preserve">Zhang, C. </w:t>
      </w:r>
      <w:r w:rsidRPr="00067DAE">
        <w:rPr>
          <w:rFonts w:cs="Arial"/>
          <w:i/>
          <w:iCs/>
          <w:color w:val="000000" w:themeColor="text1"/>
          <w:lang w:val="en-US"/>
        </w:rPr>
        <w:t>et al</w:t>
      </w:r>
      <w:r w:rsidRPr="00D21E15">
        <w:rPr>
          <w:rFonts w:cs="Arial"/>
          <w:i/>
          <w:iCs/>
          <w:color w:val="000000" w:themeColor="text1"/>
          <w:lang w:val="en-US"/>
        </w:rPr>
        <w:t>.</w:t>
      </w:r>
      <w:r w:rsidRPr="00D21E15">
        <w:rPr>
          <w:rFonts w:cs="Arial"/>
          <w:color w:val="000000" w:themeColor="text1"/>
          <w:lang w:val="en-US"/>
        </w:rPr>
        <w:t xml:space="preserve"> (2025) ‘Digital platforms, internal digitalization, and internationalization of SMES’, </w:t>
      </w:r>
      <w:r w:rsidRPr="00D21E15">
        <w:rPr>
          <w:rFonts w:cs="Arial"/>
          <w:i/>
          <w:iCs/>
          <w:color w:val="000000" w:themeColor="text1"/>
          <w:lang w:val="en-US"/>
        </w:rPr>
        <w:t>Long Range Planning</w:t>
      </w:r>
      <w:r w:rsidRPr="00D21E15">
        <w:rPr>
          <w:rFonts w:cs="Arial"/>
          <w:color w:val="000000" w:themeColor="text1"/>
          <w:lang w:val="en-US"/>
        </w:rPr>
        <w:t xml:space="preserve">, 58(6), p. 102588. Available at: </w:t>
      </w:r>
      <w:hyperlink r:id="rId83" w:history="1">
        <w:r w:rsidRPr="00D21E15">
          <w:rPr>
            <w:rStyle w:val="Hyperlink"/>
            <w:rFonts w:cs="Arial"/>
            <w:lang w:val="en-US"/>
          </w:rPr>
          <w:t>https://doi.org/10.1016/j.lrp.2025.102588</w:t>
        </w:r>
      </w:hyperlink>
      <w:r w:rsidRPr="00D21E15">
        <w:rPr>
          <w:rFonts w:cs="Arial"/>
          <w:color w:val="000000" w:themeColor="text1"/>
          <w:lang w:val="en-US"/>
        </w:rPr>
        <w:t>.</w:t>
      </w:r>
    </w:p>
    <w:p w14:paraId="0D5404DC" w14:textId="77777777" w:rsidR="00884F2F" w:rsidRDefault="00884F2F" w:rsidP="00884F2F">
      <w:pPr>
        <w:spacing w:after="160"/>
        <w:jc w:val="left"/>
        <w:rPr>
          <w:rFonts w:cs="Arial"/>
          <w:color w:val="000000" w:themeColor="text1"/>
          <w:lang w:val="en-US"/>
        </w:rPr>
      </w:pPr>
      <w:r w:rsidRPr="00D21E15">
        <w:rPr>
          <w:rFonts w:cs="Arial"/>
          <w:color w:val="000000" w:themeColor="text1"/>
          <w:lang w:val="en-US"/>
        </w:rPr>
        <w:t xml:space="preserve">Zhang, K. </w:t>
      </w:r>
      <w:r w:rsidRPr="00067DAE">
        <w:rPr>
          <w:rFonts w:cs="Arial"/>
          <w:i/>
          <w:iCs/>
          <w:color w:val="000000" w:themeColor="text1"/>
          <w:lang w:val="en-US"/>
        </w:rPr>
        <w:t>et al</w:t>
      </w:r>
      <w:r w:rsidRPr="00D21E15">
        <w:rPr>
          <w:rFonts w:cs="Arial"/>
          <w:i/>
          <w:iCs/>
          <w:color w:val="000000" w:themeColor="text1"/>
          <w:lang w:val="en-US"/>
        </w:rPr>
        <w:t>.</w:t>
      </w:r>
      <w:r w:rsidRPr="00D21E15">
        <w:rPr>
          <w:rFonts w:cs="Arial"/>
          <w:color w:val="000000" w:themeColor="text1"/>
          <w:lang w:val="en-US"/>
        </w:rPr>
        <w:t xml:space="preserve"> (2023) ‘Effects of social media usage on exploratory innovation, exploitative innovation and organizational agility: the moderating role of learning goal orientation’, </w:t>
      </w:r>
      <w:r w:rsidRPr="00D21E15">
        <w:rPr>
          <w:rFonts w:cs="Arial"/>
          <w:i/>
          <w:iCs/>
          <w:color w:val="000000" w:themeColor="text1"/>
          <w:lang w:val="en-US"/>
        </w:rPr>
        <w:t>Internet Research</w:t>
      </w:r>
      <w:r w:rsidRPr="00D21E15">
        <w:rPr>
          <w:rFonts w:cs="Arial"/>
          <w:color w:val="000000" w:themeColor="text1"/>
          <w:lang w:val="en-US"/>
        </w:rPr>
        <w:t xml:space="preserve">, 34(2). Available at: </w:t>
      </w:r>
      <w:hyperlink r:id="rId84" w:history="1">
        <w:r w:rsidRPr="00D21E15">
          <w:rPr>
            <w:rStyle w:val="Hyperlink"/>
            <w:rFonts w:cs="Arial"/>
            <w:lang w:val="en-US"/>
          </w:rPr>
          <w:t>https://doi.org/10.1108/intr-07-2021-0503</w:t>
        </w:r>
      </w:hyperlink>
      <w:r w:rsidRPr="00D21E15">
        <w:rPr>
          <w:rFonts w:cs="Arial"/>
          <w:color w:val="000000" w:themeColor="text1"/>
          <w:lang w:val="en-US"/>
        </w:rPr>
        <w:t>.</w:t>
      </w:r>
    </w:p>
    <w:p w14:paraId="7CDAE9E9" w14:textId="77777777" w:rsidR="00507BB8" w:rsidRDefault="00507BB8" w:rsidP="00BA150C">
      <w:pPr>
        <w:jc w:val="left"/>
        <w:rPr>
          <w:rFonts w:cs="Arial"/>
        </w:rPr>
      </w:pPr>
    </w:p>
    <w:p w14:paraId="69701684" w14:textId="77777777" w:rsidR="00507BB8" w:rsidRPr="00D21E15" w:rsidRDefault="00507BB8" w:rsidP="00507BB8">
      <w:pPr>
        <w:sectPr w:rsidR="00507BB8" w:rsidRPr="00D21E15" w:rsidSect="00507BB8">
          <w:pgSz w:w="11906" w:h="16838" w:code="9"/>
          <w:pgMar w:top="1440" w:right="1440" w:bottom="1440" w:left="1440" w:header="720" w:footer="720" w:gutter="0"/>
          <w:pgBorders w:offsetFrom="page">
            <w:top w:val="single" w:sz="12" w:space="24" w:color="0F243E" w:themeColor="text2" w:themeShade="80"/>
            <w:left w:val="single" w:sz="12" w:space="24" w:color="0F243E" w:themeColor="text2" w:themeShade="80"/>
            <w:bottom w:val="single" w:sz="12" w:space="24" w:color="0F243E" w:themeColor="text2" w:themeShade="80"/>
            <w:right w:val="single" w:sz="12" w:space="24" w:color="0F243E" w:themeColor="text2" w:themeShade="80"/>
          </w:pgBorders>
          <w:pgNumType w:start="49"/>
          <w:cols w:space="720"/>
          <w:titlePg/>
          <w:docGrid w:linePitch="326"/>
        </w:sectPr>
      </w:pPr>
    </w:p>
    <w:p w14:paraId="193A5F28" w14:textId="0E3E7418" w:rsidR="00D21E15" w:rsidRDefault="00884F2F" w:rsidP="00507BB8">
      <w:pPr>
        <w:pStyle w:val="Heading1"/>
      </w:pPr>
      <w:bookmarkStart w:id="61" w:name="_Toc218707783"/>
      <w:r>
        <w:lastRenderedPageBreak/>
        <w:t xml:space="preserve">6. </w:t>
      </w:r>
      <w:r w:rsidR="00D21E15">
        <w:t>Appendices</w:t>
      </w:r>
      <w:bookmarkEnd w:id="61"/>
    </w:p>
    <w:p w14:paraId="74B9AD46" w14:textId="4F531DDE" w:rsidR="00D02FA7" w:rsidRPr="00D21E15" w:rsidRDefault="00D21E15" w:rsidP="00D21E15">
      <w:pPr>
        <w:pStyle w:val="Caption"/>
        <w:rPr>
          <w:b/>
          <w:bCs/>
          <w:sz w:val="20"/>
          <w:szCs w:val="20"/>
        </w:rPr>
      </w:pPr>
      <w:bookmarkStart w:id="62" w:name="_Toc218707714"/>
      <w:r w:rsidRPr="00D21E15">
        <w:rPr>
          <w:b/>
          <w:bCs/>
          <w:sz w:val="20"/>
          <w:szCs w:val="20"/>
        </w:rPr>
        <w:t xml:space="preserve">Table </w:t>
      </w:r>
      <w:r w:rsidRPr="00D21E15">
        <w:rPr>
          <w:b/>
          <w:bCs/>
          <w:sz w:val="20"/>
          <w:szCs w:val="20"/>
        </w:rPr>
        <w:fldChar w:fldCharType="begin"/>
      </w:r>
      <w:r w:rsidRPr="00D21E15">
        <w:rPr>
          <w:b/>
          <w:bCs/>
          <w:sz w:val="20"/>
          <w:szCs w:val="20"/>
        </w:rPr>
        <w:instrText xml:space="preserve"> SEQ Table \* ARABIC </w:instrText>
      </w:r>
      <w:r w:rsidRPr="00D21E15">
        <w:rPr>
          <w:b/>
          <w:bCs/>
          <w:sz w:val="20"/>
          <w:szCs w:val="20"/>
        </w:rPr>
        <w:fldChar w:fldCharType="separate"/>
      </w:r>
      <w:r w:rsidR="003F5EBC">
        <w:rPr>
          <w:b/>
          <w:bCs/>
          <w:noProof/>
          <w:sz w:val="20"/>
          <w:szCs w:val="20"/>
        </w:rPr>
        <w:t>3</w:t>
      </w:r>
      <w:r w:rsidRPr="00D21E15">
        <w:rPr>
          <w:b/>
          <w:bCs/>
          <w:sz w:val="20"/>
          <w:szCs w:val="20"/>
        </w:rPr>
        <w:fldChar w:fldCharType="end"/>
      </w:r>
      <w:r w:rsidRPr="00D21E15">
        <w:rPr>
          <w:b/>
          <w:bCs/>
          <w:sz w:val="20"/>
          <w:szCs w:val="20"/>
        </w:rPr>
        <w:t xml:space="preserve"> Critical Appraisal Skills Programme (CASP) Quality Assessment of Included Studies</w:t>
      </w:r>
      <w:bookmarkEnd w:id="62"/>
    </w:p>
    <w:tbl>
      <w:tblPr>
        <w:tblStyle w:val="TableGridLight"/>
        <w:tblW w:w="17275" w:type="dxa"/>
        <w:tblLook w:val="04A0" w:firstRow="1" w:lastRow="0" w:firstColumn="1" w:lastColumn="0" w:noHBand="0" w:noVBand="1"/>
      </w:tblPr>
      <w:tblGrid>
        <w:gridCol w:w="2515"/>
        <w:gridCol w:w="1170"/>
        <w:gridCol w:w="1620"/>
        <w:gridCol w:w="1170"/>
        <w:gridCol w:w="1530"/>
        <w:gridCol w:w="1260"/>
        <w:gridCol w:w="1620"/>
        <w:gridCol w:w="1530"/>
        <w:gridCol w:w="1170"/>
        <w:gridCol w:w="1350"/>
        <w:gridCol w:w="1170"/>
        <w:gridCol w:w="1170"/>
      </w:tblGrid>
      <w:tr w:rsidR="00D21E15" w:rsidRPr="00D21E15" w14:paraId="107D849B" w14:textId="77777777" w:rsidTr="00D21E15">
        <w:trPr>
          <w:trHeight w:val="288"/>
        </w:trPr>
        <w:tc>
          <w:tcPr>
            <w:tcW w:w="2515" w:type="dxa"/>
            <w:noWrap/>
            <w:vAlign w:val="center"/>
            <w:hideMark/>
          </w:tcPr>
          <w:p w14:paraId="1572DADA" w14:textId="025017F0" w:rsidR="00D21E15" w:rsidRPr="00D21E15" w:rsidRDefault="00D21E15" w:rsidP="00D21E15">
            <w:pPr>
              <w:spacing w:line="276" w:lineRule="auto"/>
              <w:jc w:val="left"/>
              <w:rPr>
                <w:rFonts w:cs="Arial"/>
                <w:b/>
                <w:bCs/>
                <w:color w:val="000000"/>
                <w:sz w:val="20"/>
                <w:szCs w:val="20"/>
                <w:lang w:val="en-US" w:eastAsia="zh-CN" w:bidi="bn-IN"/>
              </w:rPr>
            </w:pPr>
            <w:r>
              <w:rPr>
                <w:rFonts w:cs="Arial"/>
                <w:b/>
                <w:bCs/>
                <w:color w:val="000000"/>
                <w:sz w:val="20"/>
                <w:szCs w:val="20"/>
                <w:lang w:val="en-US" w:eastAsia="zh-CN" w:bidi="bn-IN"/>
              </w:rPr>
              <w:t>Article Citation</w:t>
            </w:r>
          </w:p>
        </w:tc>
        <w:tc>
          <w:tcPr>
            <w:tcW w:w="1170" w:type="dxa"/>
            <w:noWrap/>
            <w:vAlign w:val="center"/>
            <w:hideMark/>
          </w:tcPr>
          <w:p w14:paraId="72429D1C" w14:textId="77777777" w:rsidR="00D21E15" w:rsidRPr="00D21E15" w:rsidRDefault="00D21E15" w:rsidP="00D21E15">
            <w:pPr>
              <w:spacing w:line="276" w:lineRule="auto"/>
              <w:jc w:val="left"/>
              <w:rPr>
                <w:rFonts w:cs="Arial"/>
                <w:b/>
                <w:bCs/>
                <w:color w:val="000000"/>
                <w:sz w:val="20"/>
                <w:szCs w:val="20"/>
                <w:lang w:val="en-US" w:eastAsia="zh-CN" w:bidi="bn-IN"/>
              </w:rPr>
            </w:pPr>
            <w:r w:rsidRPr="00D21E15">
              <w:rPr>
                <w:rFonts w:cs="Arial"/>
                <w:b/>
                <w:bCs/>
                <w:color w:val="000000"/>
                <w:sz w:val="20"/>
                <w:szCs w:val="20"/>
                <w:lang w:val="en-US" w:eastAsia="zh-CN" w:bidi="bn-IN"/>
              </w:rPr>
              <w:t>Clear Research Aims</w:t>
            </w:r>
          </w:p>
        </w:tc>
        <w:tc>
          <w:tcPr>
            <w:tcW w:w="1620" w:type="dxa"/>
            <w:noWrap/>
            <w:vAlign w:val="center"/>
            <w:hideMark/>
          </w:tcPr>
          <w:p w14:paraId="00921E32" w14:textId="77777777" w:rsidR="00D21E15" w:rsidRPr="00D21E15" w:rsidRDefault="00D21E15" w:rsidP="00D21E15">
            <w:pPr>
              <w:spacing w:line="276" w:lineRule="auto"/>
              <w:jc w:val="left"/>
              <w:rPr>
                <w:rFonts w:cs="Arial"/>
                <w:b/>
                <w:bCs/>
                <w:color w:val="000000"/>
                <w:sz w:val="20"/>
                <w:szCs w:val="20"/>
                <w:lang w:val="en-US" w:eastAsia="zh-CN" w:bidi="bn-IN"/>
              </w:rPr>
            </w:pPr>
            <w:r w:rsidRPr="00D21E15">
              <w:rPr>
                <w:rFonts w:cs="Arial"/>
                <w:b/>
                <w:bCs/>
                <w:color w:val="000000"/>
                <w:sz w:val="20"/>
                <w:szCs w:val="20"/>
                <w:lang w:val="en-US" w:eastAsia="zh-CN" w:bidi="bn-IN"/>
              </w:rPr>
              <w:t>Appropriate Methodology</w:t>
            </w:r>
          </w:p>
        </w:tc>
        <w:tc>
          <w:tcPr>
            <w:tcW w:w="1170" w:type="dxa"/>
            <w:noWrap/>
            <w:vAlign w:val="center"/>
            <w:hideMark/>
          </w:tcPr>
          <w:p w14:paraId="009D05F6" w14:textId="77777777" w:rsidR="00D21E15" w:rsidRPr="00D21E15" w:rsidRDefault="00D21E15" w:rsidP="00D21E15">
            <w:pPr>
              <w:spacing w:line="276" w:lineRule="auto"/>
              <w:jc w:val="left"/>
              <w:rPr>
                <w:rFonts w:cs="Arial"/>
                <w:b/>
                <w:bCs/>
                <w:color w:val="000000"/>
                <w:sz w:val="20"/>
                <w:szCs w:val="20"/>
                <w:lang w:val="en-US" w:eastAsia="zh-CN" w:bidi="bn-IN"/>
              </w:rPr>
            </w:pPr>
            <w:r w:rsidRPr="00D21E15">
              <w:rPr>
                <w:rFonts w:cs="Arial"/>
                <w:b/>
                <w:bCs/>
                <w:color w:val="000000"/>
                <w:sz w:val="20"/>
                <w:szCs w:val="20"/>
                <w:lang w:val="en-US" w:eastAsia="zh-CN" w:bidi="bn-IN"/>
              </w:rPr>
              <w:t>Research Design Suitable</w:t>
            </w:r>
          </w:p>
        </w:tc>
        <w:tc>
          <w:tcPr>
            <w:tcW w:w="1530" w:type="dxa"/>
            <w:noWrap/>
            <w:vAlign w:val="center"/>
            <w:hideMark/>
          </w:tcPr>
          <w:p w14:paraId="22FA5EC6" w14:textId="77777777" w:rsidR="00D21E15" w:rsidRPr="00D21E15" w:rsidRDefault="00D21E15" w:rsidP="00D21E15">
            <w:pPr>
              <w:spacing w:line="276" w:lineRule="auto"/>
              <w:jc w:val="left"/>
              <w:rPr>
                <w:rFonts w:cs="Arial"/>
                <w:b/>
                <w:bCs/>
                <w:color w:val="000000"/>
                <w:sz w:val="20"/>
                <w:szCs w:val="20"/>
                <w:lang w:val="en-US" w:eastAsia="zh-CN" w:bidi="bn-IN"/>
              </w:rPr>
            </w:pPr>
            <w:r w:rsidRPr="00D21E15">
              <w:rPr>
                <w:rFonts w:cs="Arial"/>
                <w:b/>
                <w:bCs/>
                <w:color w:val="000000"/>
                <w:sz w:val="20"/>
                <w:szCs w:val="20"/>
                <w:lang w:val="en-US" w:eastAsia="zh-CN" w:bidi="bn-IN"/>
              </w:rPr>
              <w:t>Sampling Strategy Appropriate</w:t>
            </w:r>
          </w:p>
        </w:tc>
        <w:tc>
          <w:tcPr>
            <w:tcW w:w="1260" w:type="dxa"/>
            <w:noWrap/>
            <w:vAlign w:val="center"/>
            <w:hideMark/>
          </w:tcPr>
          <w:p w14:paraId="7A129DF0" w14:textId="77777777" w:rsidR="00D21E15" w:rsidRPr="00D21E15" w:rsidRDefault="00D21E15" w:rsidP="00D21E15">
            <w:pPr>
              <w:spacing w:line="276" w:lineRule="auto"/>
              <w:jc w:val="left"/>
              <w:rPr>
                <w:rFonts w:cs="Arial"/>
                <w:b/>
                <w:bCs/>
                <w:color w:val="000000"/>
                <w:sz w:val="20"/>
                <w:szCs w:val="20"/>
                <w:lang w:val="en-US" w:eastAsia="zh-CN" w:bidi="bn-IN"/>
              </w:rPr>
            </w:pPr>
            <w:r w:rsidRPr="00D21E15">
              <w:rPr>
                <w:rFonts w:cs="Arial"/>
                <w:b/>
                <w:bCs/>
                <w:color w:val="000000"/>
                <w:sz w:val="20"/>
                <w:szCs w:val="20"/>
                <w:lang w:val="en-US" w:eastAsia="zh-CN" w:bidi="bn-IN"/>
              </w:rPr>
              <w:t>Data Collection Rigorous</w:t>
            </w:r>
          </w:p>
        </w:tc>
        <w:tc>
          <w:tcPr>
            <w:tcW w:w="1620" w:type="dxa"/>
            <w:noWrap/>
            <w:vAlign w:val="center"/>
            <w:hideMark/>
          </w:tcPr>
          <w:p w14:paraId="37420719" w14:textId="77777777" w:rsidR="00D21E15" w:rsidRPr="00D21E15" w:rsidRDefault="00D21E15" w:rsidP="00D21E15">
            <w:pPr>
              <w:spacing w:line="276" w:lineRule="auto"/>
              <w:jc w:val="left"/>
              <w:rPr>
                <w:rFonts w:cs="Arial"/>
                <w:b/>
                <w:bCs/>
                <w:color w:val="000000"/>
                <w:sz w:val="20"/>
                <w:szCs w:val="20"/>
                <w:lang w:val="en-US" w:eastAsia="zh-CN" w:bidi="bn-IN"/>
              </w:rPr>
            </w:pPr>
            <w:r w:rsidRPr="00D21E15">
              <w:rPr>
                <w:rFonts w:cs="Arial"/>
                <w:b/>
                <w:bCs/>
                <w:color w:val="000000"/>
                <w:sz w:val="20"/>
                <w:szCs w:val="20"/>
                <w:lang w:val="en-US" w:eastAsia="zh-CN" w:bidi="bn-IN"/>
              </w:rPr>
              <w:t>Researcher–Participant Relationship Considered</w:t>
            </w:r>
          </w:p>
        </w:tc>
        <w:tc>
          <w:tcPr>
            <w:tcW w:w="1530" w:type="dxa"/>
            <w:noWrap/>
            <w:vAlign w:val="center"/>
            <w:hideMark/>
          </w:tcPr>
          <w:p w14:paraId="7B171289" w14:textId="77777777" w:rsidR="00D21E15" w:rsidRPr="00D21E15" w:rsidRDefault="00D21E15" w:rsidP="00D21E15">
            <w:pPr>
              <w:spacing w:line="276" w:lineRule="auto"/>
              <w:jc w:val="left"/>
              <w:rPr>
                <w:rFonts w:cs="Arial"/>
                <w:b/>
                <w:bCs/>
                <w:color w:val="000000"/>
                <w:sz w:val="20"/>
                <w:szCs w:val="20"/>
                <w:lang w:val="en-US" w:eastAsia="zh-CN" w:bidi="bn-IN"/>
              </w:rPr>
            </w:pPr>
            <w:r w:rsidRPr="00D21E15">
              <w:rPr>
                <w:rFonts w:cs="Arial"/>
                <w:b/>
                <w:bCs/>
                <w:color w:val="000000"/>
                <w:sz w:val="20"/>
                <w:szCs w:val="20"/>
                <w:lang w:val="en-US" w:eastAsia="zh-CN" w:bidi="bn-IN"/>
              </w:rPr>
              <w:t>Ethical Issues Addressed</w:t>
            </w:r>
          </w:p>
        </w:tc>
        <w:tc>
          <w:tcPr>
            <w:tcW w:w="1170" w:type="dxa"/>
            <w:noWrap/>
            <w:vAlign w:val="center"/>
            <w:hideMark/>
          </w:tcPr>
          <w:p w14:paraId="3F2F0469" w14:textId="77777777" w:rsidR="00D21E15" w:rsidRPr="00D21E15" w:rsidRDefault="00D21E15" w:rsidP="00D21E15">
            <w:pPr>
              <w:spacing w:line="276" w:lineRule="auto"/>
              <w:jc w:val="left"/>
              <w:rPr>
                <w:rFonts w:cs="Arial"/>
                <w:b/>
                <w:bCs/>
                <w:color w:val="000000"/>
                <w:sz w:val="20"/>
                <w:szCs w:val="20"/>
                <w:lang w:val="en-US" w:eastAsia="zh-CN" w:bidi="bn-IN"/>
              </w:rPr>
            </w:pPr>
            <w:r w:rsidRPr="00D21E15">
              <w:rPr>
                <w:rFonts w:cs="Arial"/>
                <w:b/>
                <w:bCs/>
                <w:color w:val="000000"/>
                <w:sz w:val="20"/>
                <w:szCs w:val="20"/>
                <w:lang w:val="en-US" w:eastAsia="zh-CN" w:bidi="bn-IN"/>
              </w:rPr>
              <w:t>Data Analysis Rigorous</w:t>
            </w:r>
          </w:p>
        </w:tc>
        <w:tc>
          <w:tcPr>
            <w:tcW w:w="1350" w:type="dxa"/>
            <w:noWrap/>
            <w:vAlign w:val="center"/>
            <w:hideMark/>
          </w:tcPr>
          <w:p w14:paraId="09C906B1" w14:textId="77777777" w:rsidR="00D21E15" w:rsidRPr="00D21E15" w:rsidRDefault="00D21E15" w:rsidP="00D21E15">
            <w:pPr>
              <w:spacing w:line="276" w:lineRule="auto"/>
              <w:jc w:val="left"/>
              <w:rPr>
                <w:rFonts w:cs="Arial"/>
                <w:b/>
                <w:bCs/>
                <w:color w:val="000000"/>
                <w:sz w:val="20"/>
                <w:szCs w:val="20"/>
                <w:lang w:val="en-US" w:eastAsia="zh-CN" w:bidi="bn-IN"/>
              </w:rPr>
            </w:pPr>
            <w:r w:rsidRPr="00D21E15">
              <w:rPr>
                <w:rFonts w:cs="Arial"/>
                <w:b/>
                <w:bCs/>
                <w:color w:val="000000"/>
                <w:sz w:val="20"/>
                <w:szCs w:val="20"/>
                <w:lang w:val="en-US" w:eastAsia="zh-CN" w:bidi="bn-IN"/>
              </w:rPr>
              <w:t>Clear Statement of Findings</w:t>
            </w:r>
          </w:p>
        </w:tc>
        <w:tc>
          <w:tcPr>
            <w:tcW w:w="1170" w:type="dxa"/>
            <w:noWrap/>
            <w:vAlign w:val="center"/>
            <w:hideMark/>
          </w:tcPr>
          <w:p w14:paraId="00125FEA" w14:textId="77777777" w:rsidR="00D21E15" w:rsidRPr="00D21E15" w:rsidRDefault="00D21E15" w:rsidP="00D21E15">
            <w:pPr>
              <w:spacing w:line="276" w:lineRule="auto"/>
              <w:jc w:val="left"/>
              <w:rPr>
                <w:rFonts w:cs="Arial"/>
                <w:b/>
                <w:bCs/>
                <w:color w:val="000000"/>
                <w:sz w:val="20"/>
                <w:szCs w:val="20"/>
                <w:lang w:val="en-US" w:eastAsia="zh-CN" w:bidi="bn-IN"/>
              </w:rPr>
            </w:pPr>
            <w:r w:rsidRPr="00D21E15">
              <w:rPr>
                <w:rFonts w:cs="Arial"/>
                <w:b/>
                <w:bCs/>
                <w:color w:val="000000"/>
                <w:sz w:val="20"/>
                <w:szCs w:val="20"/>
                <w:lang w:val="en-US" w:eastAsia="zh-CN" w:bidi="bn-IN"/>
              </w:rPr>
              <w:t>Research Value</w:t>
            </w:r>
          </w:p>
        </w:tc>
        <w:tc>
          <w:tcPr>
            <w:tcW w:w="1170" w:type="dxa"/>
            <w:vAlign w:val="center"/>
          </w:tcPr>
          <w:p w14:paraId="5AA1F106" w14:textId="3ABA5069" w:rsidR="00D21E15" w:rsidRPr="00D21E15" w:rsidRDefault="00D21E15" w:rsidP="00D21E15">
            <w:pPr>
              <w:spacing w:line="276" w:lineRule="auto"/>
              <w:jc w:val="left"/>
              <w:rPr>
                <w:rFonts w:cs="Arial"/>
                <w:b/>
                <w:bCs/>
                <w:color w:val="000000"/>
                <w:sz w:val="20"/>
                <w:szCs w:val="20"/>
                <w:lang w:val="en-US" w:eastAsia="zh-CN" w:bidi="bn-IN"/>
              </w:rPr>
            </w:pPr>
            <w:r w:rsidRPr="00D21E15">
              <w:rPr>
                <w:rFonts w:cs="Arial"/>
                <w:b/>
                <w:bCs/>
                <w:color w:val="000000"/>
                <w:sz w:val="20"/>
                <w:szCs w:val="20"/>
                <w:lang w:val="en-US" w:eastAsia="zh-CN" w:bidi="bn-IN"/>
              </w:rPr>
              <w:t>Overall CASP Rating</w:t>
            </w:r>
          </w:p>
        </w:tc>
      </w:tr>
      <w:tr w:rsidR="00D21E15" w:rsidRPr="00D21E15" w14:paraId="40E1AFF6" w14:textId="77777777" w:rsidTr="00D21E15">
        <w:trPr>
          <w:trHeight w:val="288"/>
        </w:trPr>
        <w:tc>
          <w:tcPr>
            <w:tcW w:w="2515" w:type="dxa"/>
            <w:noWrap/>
            <w:vAlign w:val="center"/>
            <w:hideMark/>
          </w:tcPr>
          <w:p w14:paraId="3A54E2D6" w14:textId="73B15C64"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Aghazadeh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(2023)</w:t>
            </w:r>
          </w:p>
        </w:tc>
        <w:tc>
          <w:tcPr>
            <w:tcW w:w="1170" w:type="dxa"/>
            <w:noWrap/>
            <w:vAlign w:val="center"/>
            <w:hideMark/>
          </w:tcPr>
          <w:p w14:paraId="658EEBE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36FC032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170" w:type="dxa"/>
            <w:noWrap/>
            <w:vAlign w:val="center"/>
            <w:hideMark/>
          </w:tcPr>
          <w:p w14:paraId="7D120F5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38E449F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260" w:type="dxa"/>
            <w:noWrap/>
            <w:vAlign w:val="center"/>
            <w:hideMark/>
          </w:tcPr>
          <w:p w14:paraId="28F640D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0A22C6E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733598B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A303D3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57A8F1F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758920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0293B3FD" w14:textId="6BA7976F"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Low</w:t>
            </w:r>
          </w:p>
        </w:tc>
      </w:tr>
      <w:tr w:rsidR="00D21E15" w:rsidRPr="00D21E15" w14:paraId="636652CA" w14:textId="77777777" w:rsidTr="00D21E15">
        <w:trPr>
          <w:trHeight w:val="288"/>
        </w:trPr>
        <w:tc>
          <w:tcPr>
            <w:tcW w:w="2515" w:type="dxa"/>
            <w:noWrap/>
            <w:vAlign w:val="center"/>
            <w:hideMark/>
          </w:tcPr>
          <w:p w14:paraId="2D283DEB" w14:textId="08062DF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Ahmad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(2023)</w:t>
            </w:r>
          </w:p>
        </w:tc>
        <w:tc>
          <w:tcPr>
            <w:tcW w:w="1170" w:type="dxa"/>
            <w:noWrap/>
            <w:vAlign w:val="center"/>
            <w:hideMark/>
          </w:tcPr>
          <w:p w14:paraId="7BDC3A2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4AAF1B6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ABBB57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4E2D1E5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33F1214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44978E4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053AAEB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74E33D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4E26CAB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13CB17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1FA027FC" w14:textId="17697D28"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2CC8E505" w14:textId="77777777" w:rsidTr="00D21E15">
        <w:trPr>
          <w:trHeight w:val="288"/>
        </w:trPr>
        <w:tc>
          <w:tcPr>
            <w:tcW w:w="2515" w:type="dxa"/>
            <w:noWrap/>
            <w:vAlign w:val="center"/>
            <w:hideMark/>
          </w:tcPr>
          <w:p w14:paraId="67830684" w14:textId="77777777" w:rsidR="00D21E15" w:rsidRPr="00D21E15" w:rsidRDefault="00D21E15" w:rsidP="00D21E15">
            <w:pPr>
              <w:spacing w:line="276" w:lineRule="auto"/>
              <w:jc w:val="left"/>
              <w:rPr>
                <w:rFonts w:cs="Arial"/>
                <w:color w:val="000000"/>
                <w:sz w:val="20"/>
                <w:szCs w:val="20"/>
                <w:lang w:val="en-US" w:eastAsia="zh-CN" w:bidi="bn-IN"/>
              </w:rPr>
            </w:pPr>
            <w:proofErr w:type="spellStart"/>
            <w:r w:rsidRPr="00D21E15">
              <w:rPr>
                <w:rFonts w:cs="Arial"/>
                <w:color w:val="000000"/>
                <w:sz w:val="20"/>
                <w:szCs w:val="20"/>
                <w:lang w:val="en-US" w:eastAsia="zh-CN" w:bidi="bn-IN"/>
              </w:rPr>
              <w:t>Avgouleas</w:t>
            </w:r>
            <w:proofErr w:type="spellEnd"/>
            <w:r w:rsidRPr="00D21E15">
              <w:rPr>
                <w:rFonts w:cs="Arial"/>
                <w:color w:val="000000"/>
                <w:sz w:val="20"/>
                <w:szCs w:val="20"/>
                <w:lang w:val="en-US" w:eastAsia="zh-CN" w:bidi="bn-IN"/>
              </w:rPr>
              <w:t xml:space="preserve"> and </w:t>
            </w:r>
            <w:proofErr w:type="spellStart"/>
            <w:r w:rsidRPr="00D21E15">
              <w:rPr>
                <w:rFonts w:cs="Arial"/>
                <w:color w:val="000000"/>
                <w:sz w:val="20"/>
                <w:szCs w:val="20"/>
                <w:lang w:val="en-US" w:eastAsia="zh-CN" w:bidi="bn-IN"/>
              </w:rPr>
              <w:t>Seretakis</w:t>
            </w:r>
            <w:proofErr w:type="spellEnd"/>
            <w:r w:rsidRPr="00D21E15">
              <w:rPr>
                <w:rFonts w:cs="Arial"/>
                <w:color w:val="000000"/>
                <w:sz w:val="20"/>
                <w:szCs w:val="20"/>
                <w:lang w:val="en-US" w:eastAsia="zh-CN" w:bidi="bn-IN"/>
              </w:rPr>
              <w:t xml:space="preserve"> (2021)</w:t>
            </w:r>
          </w:p>
        </w:tc>
        <w:tc>
          <w:tcPr>
            <w:tcW w:w="1170" w:type="dxa"/>
            <w:noWrap/>
            <w:vAlign w:val="center"/>
            <w:hideMark/>
          </w:tcPr>
          <w:p w14:paraId="289DEED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4DDF7AE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179D10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0953968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66C1EB3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38689B3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2017030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DDB843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596C5B6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CFAFF9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2617C086" w14:textId="44F31683"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322B5FA2" w14:textId="77777777" w:rsidTr="00D21E15">
        <w:trPr>
          <w:trHeight w:val="288"/>
        </w:trPr>
        <w:tc>
          <w:tcPr>
            <w:tcW w:w="2515" w:type="dxa"/>
            <w:noWrap/>
            <w:vAlign w:val="center"/>
            <w:hideMark/>
          </w:tcPr>
          <w:p w14:paraId="3206AD0F" w14:textId="4D9CC4B3"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Bailey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(2022)</w:t>
            </w:r>
          </w:p>
        </w:tc>
        <w:tc>
          <w:tcPr>
            <w:tcW w:w="1170" w:type="dxa"/>
            <w:noWrap/>
            <w:vAlign w:val="center"/>
            <w:hideMark/>
          </w:tcPr>
          <w:p w14:paraId="4529F3C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757A4FF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705AB0C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23D0B2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5AE2967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41B21F6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96B8EA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E4C8D8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Can't tell</w:t>
            </w:r>
          </w:p>
        </w:tc>
        <w:tc>
          <w:tcPr>
            <w:tcW w:w="1350" w:type="dxa"/>
            <w:noWrap/>
            <w:vAlign w:val="center"/>
            <w:hideMark/>
          </w:tcPr>
          <w:p w14:paraId="39DDA33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6CA8F6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087B10E4" w14:textId="3CB37529"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78BA3C48" w14:textId="77777777" w:rsidTr="00D21E15">
        <w:trPr>
          <w:trHeight w:val="288"/>
        </w:trPr>
        <w:tc>
          <w:tcPr>
            <w:tcW w:w="2515" w:type="dxa"/>
            <w:noWrap/>
            <w:vAlign w:val="center"/>
            <w:hideMark/>
          </w:tcPr>
          <w:p w14:paraId="4500AA5C" w14:textId="45E66AF1"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Bailey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(2023)</w:t>
            </w:r>
          </w:p>
        </w:tc>
        <w:tc>
          <w:tcPr>
            <w:tcW w:w="1170" w:type="dxa"/>
            <w:noWrap/>
            <w:vAlign w:val="center"/>
            <w:hideMark/>
          </w:tcPr>
          <w:p w14:paraId="4594637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8B8901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170" w:type="dxa"/>
            <w:noWrap/>
            <w:vAlign w:val="center"/>
            <w:hideMark/>
          </w:tcPr>
          <w:p w14:paraId="0B7D981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C41090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260" w:type="dxa"/>
            <w:noWrap/>
            <w:vAlign w:val="center"/>
            <w:hideMark/>
          </w:tcPr>
          <w:p w14:paraId="1604BE8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4F0EA25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7F7737F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BAA5CA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71B0C0B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4DD1A3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657121C3" w14:textId="4BA26A01"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Low</w:t>
            </w:r>
          </w:p>
        </w:tc>
      </w:tr>
      <w:tr w:rsidR="00D21E15" w:rsidRPr="00D21E15" w14:paraId="26618412" w14:textId="77777777" w:rsidTr="00D21E15">
        <w:trPr>
          <w:trHeight w:val="288"/>
        </w:trPr>
        <w:tc>
          <w:tcPr>
            <w:tcW w:w="2515" w:type="dxa"/>
            <w:noWrap/>
            <w:vAlign w:val="center"/>
            <w:hideMark/>
          </w:tcPr>
          <w:p w14:paraId="1BA791F1"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Barron and </w:t>
            </w:r>
            <w:proofErr w:type="spellStart"/>
            <w:r w:rsidRPr="00D21E15">
              <w:rPr>
                <w:rFonts w:cs="Arial"/>
                <w:color w:val="000000"/>
                <w:sz w:val="20"/>
                <w:szCs w:val="20"/>
                <w:lang w:val="en-US" w:eastAsia="zh-CN" w:bidi="bn-IN"/>
              </w:rPr>
              <w:t>Boutary</w:t>
            </w:r>
            <w:proofErr w:type="spellEnd"/>
            <w:r w:rsidRPr="00D21E15">
              <w:rPr>
                <w:rFonts w:cs="Arial"/>
                <w:color w:val="000000"/>
                <w:sz w:val="20"/>
                <w:szCs w:val="20"/>
                <w:lang w:val="en-US" w:eastAsia="zh-CN" w:bidi="bn-IN"/>
              </w:rPr>
              <w:t xml:space="preserve"> (2020)</w:t>
            </w:r>
          </w:p>
        </w:tc>
        <w:tc>
          <w:tcPr>
            <w:tcW w:w="1170" w:type="dxa"/>
            <w:noWrap/>
            <w:vAlign w:val="center"/>
            <w:hideMark/>
          </w:tcPr>
          <w:p w14:paraId="069680B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6D51F8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9288F6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3413710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68E44CB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195F2E1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73790C7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5E0FE3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23853F8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9E3C73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054235BF" w14:textId="30C98679"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32D5BB83" w14:textId="77777777" w:rsidTr="00D21E15">
        <w:trPr>
          <w:trHeight w:val="288"/>
        </w:trPr>
        <w:tc>
          <w:tcPr>
            <w:tcW w:w="2515" w:type="dxa"/>
            <w:noWrap/>
            <w:vAlign w:val="center"/>
            <w:hideMark/>
          </w:tcPr>
          <w:p w14:paraId="06147238" w14:textId="520EA1C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Berg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(2021)</w:t>
            </w:r>
          </w:p>
        </w:tc>
        <w:tc>
          <w:tcPr>
            <w:tcW w:w="1170" w:type="dxa"/>
            <w:noWrap/>
            <w:vAlign w:val="center"/>
            <w:hideMark/>
          </w:tcPr>
          <w:p w14:paraId="596E935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0217C8B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57B4F2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4699242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7C0CBC7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0FA7FCD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3A9AF66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5EBBFC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2028565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685DBF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26572F88" w14:textId="3E38AF31"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31B276A1" w14:textId="77777777" w:rsidTr="00D21E15">
        <w:trPr>
          <w:trHeight w:val="288"/>
        </w:trPr>
        <w:tc>
          <w:tcPr>
            <w:tcW w:w="2515" w:type="dxa"/>
            <w:noWrap/>
            <w:vAlign w:val="center"/>
            <w:hideMark/>
          </w:tcPr>
          <w:p w14:paraId="4C877033" w14:textId="2BA42A4C"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Brown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(2020)</w:t>
            </w:r>
          </w:p>
        </w:tc>
        <w:tc>
          <w:tcPr>
            <w:tcW w:w="1170" w:type="dxa"/>
            <w:noWrap/>
            <w:vAlign w:val="center"/>
            <w:hideMark/>
          </w:tcPr>
          <w:p w14:paraId="02E825A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1EFA2CD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7E965F5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9D552E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37DADD0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25D752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366575A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D5F388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790830A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A3ED3D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6A9C4063" w14:textId="1FA5BF79"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6604B8A4" w14:textId="77777777" w:rsidTr="00D21E15">
        <w:trPr>
          <w:trHeight w:val="288"/>
        </w:trPr>
        <w:tc>
          <w:tcPr>
            <w:tcW w:w="2515" w:type="dxa"/>
            <w:noWrap/>
            <w:vAlign w:val="center"/>
            <w:hideMark/>
          </w:tcPr>
          <w:p w14:paraId="267DC107"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Cavallaro and Lepori (2021)</w:t>
            </w:r>
          </w:p>
        </w:tc>
        <w:tc>
          <w:tcPr>
            <w:tcW w:w="1170" w:type="dxa"/>
            <w:noWrap/>
            <w:vAlign w:val="center"/>
            <w:hideMark/>
          </w:tcPr>
          <w:p w14:paraId="4162E86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0A7AC6D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32AA62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3636138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5397A2D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7B4FF86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45F9C53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A0F863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609C4DB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75E0A4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66553C1E" w14:textId="34AF422D"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7CC015B3" w14:textId="77777777" w:rsidTr="00D21E15">
        <w:trPr>
          <w:trHeight w:val="288"/>
        </w:trPr>
        <w:tc>
          <w:tcPr>
            <w:tcW w:w="2515" w:type="dxa"/>
            <w:noWrap/>
            <w:vAlign w:val="center"/>
            <w:hideMark/>
          </w:tcPr>
          <w:p w14:paraId="5E2C5D65" w14:textId="55E492D9"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Chai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(2024)</w:t>
            </w:r>
          </w:p>
        </w:tc>
        <w:tc>
          <w:tcPr>
            <w:tcW w:w="1170" w:type="dxa"/>
            <w:noWrap/>
            <w:vAlign w:val="center"/>
            <w:hideMark/>
          </w:tcPr>
          <w:p w14:paraId="6707C22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2FB069E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DDB6F9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06543E2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68E06F1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0513F12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9160B9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DC6F40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Can't tell</w:t>
            </w:r>
          </w:p>
        </w:tc>
        <w:tc>
          <w:tcPr>
            <w:tcW w:w="1350" w:type="dxa"/>
            <w:noWrap/>
            <w:vAlign w:val="center"/>
            <w:hideMark/>
          </w:tcPr>
          <w:p w14:paraId="248C5A0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76796B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11B7CA8E" w14:textId="428A7B2F"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4B369F09" w14:textId="77777777" w:rsidTr="00D21E15">
        <w:trPr>
          <w:trHeight w:val="288"/>
        </w:trPr>
        <w:tc>
          <w:tcPr>
            <w:tcW w:w="2515" w:type="dxa"/>
            <w:noWrap/>
            <w:vAlign w:val="center"/>
            <w:hideMark/>
          </w:tcPr>
          <w:p w14:paraId="700D7713"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Collins (2023)</w:t>
            </w:r>
          </w:p>
        </w:tc>
        <w:tc>
          <w:tcPr>
            <w:tcW w:w="1170" w:type="dxa"/>
            <w:noWrap/>
            <w:vAlign w:val="center"/>
            <w:hideMark/>
          </w:tcPr>
          <w:p w14:paraId="4F9E084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7CAFF5F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57CCA3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1F66A1F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3F60F9A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0655F22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2A37996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2042EE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65890A4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55BE08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50DF8312" w14:textId="55A494D0"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10319173" w14:textId="77777777" w:rsidTr="00D21E15">
        <w:trPr>
          <w:trHeight w:val="288"/>
        </w:trPr>
        <w:tc>
          <w:tcPr>
            <w:tcW w:w="2515" w:type="dxa"/>
            <w:noWrap/>
            <w:vAlign w:val="center"/>
            <w:hideMark/>
          </w:tcPr>
          <w:p w14:paraId="097FF36A" w14:textId="77777777" w:rsidR="00D21E15" w:rsidRPr="00D21E15" w:rsidRDefault="00D21E15" w:rsidP="00D21E15">
            <w:pPr>
              <w:spacing w:line="276" w:lineRule="auto"/>
              <w:jc w:val="left"/>
              <w:rPr>
                <w:rFonts w:cs="Arial"/>
                <w:color w:val="000000"/>
                <w:sz w:val="20"/>
                <w:szCs w:val="20"/>
                <w:lang w:val="en-US" w:eastAsia="zh-CN" w:bidi="bn-IN"/>
              </w:rPr>
            </w:pPr>
            <w:proofErr w:type="spellStart"/>
            <w:r w:rsidRPr="00D21E15">
              <w:rPr>
                <w:rFonts w:cs="Arial"/>
                <w:color w:val="000000"/>
                <w:sz w:val="20"/>
                <w:szCs w:val="20"/>
                <w:lang w:val="en-US" w:eastAsia="zh-CN" w:bidi="bn-IN"/>
              </w:rPr>
              <w:lastRenderedPageBreak/>
              <w:t>Coudounaris</w:t>
            </w:r>
            <w:proofErr w:type="spellEnd"/>
            <w:r w:rsidRPr="00D21E15">
              <w:rPr>
                <w:rFonts w:cs="Arial"/>
                <w:color w:val="000000"/>
                <w:sz w:val="20"/>
                <w:szCs w:val="20"/>
                <w:lang w:val="en-US" w:eastAsia="zh-CN" w:bidi="bn-IN"/>
              </w:rPr>
              <w:t xml:space="preserve"> (2021)</w:t>
            </w:r>
          </w:p>
        </w:tc>
        <w:tc>
          <w:tcPr>
            <w:tcW w:w="1170" w:type="dxa"/>
            <w:noWrap/>
            <w:vAlign w:val="center"/>
            <w:hideMark/>
          </w:tcPr>
          <w:p w14:paraId="0CA9E68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CFC90C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04BA2D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0B3364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5635F44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EE9CB6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1A2DB07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5D7DB4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25055F3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A234C1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7F8748DB" w14:textId="25EDC821"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7277C20E" w14:textId="77777777" w:rsidTr="00D21E15">
        <w:trPr>
          <w:trHeight w:val="288"/>
        </w:trPr>
        <w:tc>
          <w:tcPr>
            <w:tcW w:w="2515" w:type="dxa"/>
            <w:noWrap/>
            <w:vAlign w:val="center"/>
            <w:hideMark/>
          </w:tcPr>
          <w:p w14:paraId="58A5AD56"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Cowling and Brown (2024)</w:t>
            </w:r>
          </w:p>
        </w:tc>
        <w:tc>
          <w:tcPr>
            <w:tcW w:w="1170" w:type="dxa"/>
            <w:noWrap/>
            <w:vAlign w:val="center"/>
            <w:hideMark/>
          </w:tcPr>
          <w:p w14:paraId="66F79DC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446D87F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9067F1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4946D6E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3DAEEFD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7B343DC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1E34103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E5E8B3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1C0F54C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33559E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7E26A2C3" w14:textId="2E23684A"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420F6501" w14:textId="77777777" w:rsidTr="00D21E15">
        <w:trPr>
          <w:trHeight w:val="288"/>
        </w:trPr>
        <w:tc>
          <w:tcPr>
            <w:tcW w:w="2515" w:type="dxa"/>
            <w:noWrap/>
            <w:vAlign w:val="center"/>
            <w:hideMark/>
          </w:tcPr>
          <w:p w14:paraId="775C984E"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Douch and Edwards (2021)</w:t>
            </w:r>
          </w:p>
        </w:tc>
        <w:tc>
          <w:tcPr>
            <w:tcW w:w="1170" w:type="dxa"/>
            <w:noWrap/>
            <w:vAlign w:val="center"/>
            <w:hideMark/>
          </w:tcPr>
          <w:p w14:paraId="364BE70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18EB4A7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5949D4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0162BC2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43D82A2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6D7320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18A6290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97FE0A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79D9757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67BAB6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2A46A74C" w14:textId="1F64B19B"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3553ADA8" w14:textId="77777777" w:rsidTr="00D21E15">
        <w:trPr>
          <w:trHeight w:val="288"/>
        </w:trPr>
        <w:tc>
          <w:tcPr>
            <w:tcW w:w="2515" w:type="dxa"/>
            <w:noWrap/>
            <w:vAlign w:val="center"/>
            <w:hideMark/>
          </w:tcPr>
          <w:p w14:paraId="63A2A0A4"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Dowell, Bowen and Morris (2023)</w:t>
            </w:r>
          </w:p>
        </w:tc>
        <w:tc>
          <w:tcPr>
            <w:tcW w:w="1170" w:type="dxa"/>
            <w:noWrap/>
            <w:vAlign w:val="center"/>
            <w:hideMark/>
          </w:tcPr>
          <w:p w14:paraId="70F9A62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3467A8D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7C614C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5518F99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3A2C6FD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5CAB43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5C6F7AA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BC1B4C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1142360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41E7EC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7F98F720" w14:textId="74FE4F29"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71F3C41C" w14:textId="77777777" w:rsidTr="00D21E15">
        <w:trPr>
          <w:trHeight w:val="288"/>
        </w:trPr>
        <w:tc>
          <w:tcPr>
            <w:tcW w:w="2515" w:type="dxa"/>
            <w:noWrap/>
            <w:vAlign w:val="center"/>
            <w:hideMark/>
          </w:tcPr>
          <w:p w14:paraId="6639E39D"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Du and </w:t>
            </w:r>
            <w:proofErr w:type="spellStart"/>
            <w:r w:rsidRPr="00D21E15">
              <w:rPr>
                <w:rFonts w:cs="Arial"/>
                <w:color w:val="000000"/>
                <w:sz w:val="20"/>
                <w:szCs w:val="20"/>
                <w:lang w:val="en-US" w:eastAsia="zh-CN" w:bidi="bn-IN"/>
              </w:rPr>
              <w:t>Shepotylo</w:t>
            </w:r>
            <w:proofErr w:type="spellEnd"/>
            <w:r w:rsidRPr="00D21E15">
              <w:rPr>
                <w:rFonts w:cs="Arial"/>
                <w:color w:val="000000"/>
                <w:sz w:val="20"/>
                <w:szCs w:val="20"/>
                <w:lang w:val="en-US" w:eastAsia="zh-CN" w:bidi="bn-IN"/>
              </w:rPr>
              <w:t xml:space="preserve"> (2024)</w:t>
            </w:r>
          </w:p>
        </w:tc>
        <w:tc>
          <w:tcPr>
            <w:tcW w:w="1170" w:type="dxa"/>
            <w:noWrap/>
            <w:vAlign w:val="center"/>
            <w:hideMark/>
          </w:tcPr>
          <w:p w14:paraId="55DDF93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3FAEA47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9E97D1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7D70DD3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6DE30BC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3A479CB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85521E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503796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Can't tell</w:t>
            </w:r>
          </w:p>
        </w:tc>
        <w:tc>
          <w:tcPr>
            <w:tcW w:w="1350" w:type="dxa"/>
            <w:noWrap/>
            <w:vAlign w:val="center"/>
            <w:hideMark/>
          </w:tcPr>
          <w:p w14:paraId="1156663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A9C7CD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7D736B27" w14:textId="5B2FDF83"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0A89C2B3" w14:textId="77777777" w:rsidTr="00D21E15">
        <w:trPr>
          <w:trHeight w:val="288"/>
        </w:trPr>
        <w:tc>
          <w:tcPr>
            <w:tcW w:w="2515" w:type="dxa"/>
            <w:noWrap/>
            <w:vAlign w:val="center"/>
            <w:hideMark/>
          </w:tcPr>
          <w:p w14:paraId="2FB7688C"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Du, </w:t>
            </w:r>
            <w:proofErr w:type="spellStart"/>
            <w:r w:rsidRPr="00D21E15">
              <w:rPr>
                <w:rFonts w:cs="Arial"/>
                <w:color w:val="000000"/>
                <w:sz w:val="20"/>
                <w:szCs w:val="20"/>
                <w:lang w:val="en-US" w:eastAsia="zh-CN" w:bidi="bn-IN"/>
              </w:rPr>
              <w:t>Shepotylo</w:t>
            </w:r>
            <w:proofErr w:type="spellEnd"/>
            <w:r w:rsidRPr="00D21E15">
              <w:rPr>
                <w:rFonts w:cs="Arial"/>
                <w:color w:val="000000"/>
                <w:sz w:val="20"/>
                <w:szCs w:val="20"/>
                <w:lang w:val="en-US" w:eastAsia="zh-CN" w:bidi="bn-IN"/>
              </w:rPr>
              <w:t xml:space="preserve"> and Yuan (2025)</w:t>
            </w:r>
          </w:p>
        </w:tc>
        <w:tc>
          <w:tcPr>
            <w:tcW w:w="1170" w:type="dxa"/>
            <w:noWrap/>
            <w:vAlign w:val="center"/>
            <w:hideMark/>
          </w:tcPr>
          <w:p w14:paraId="2A329EC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7302CD1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D82515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1B77E8D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622CB00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76A35F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70A61A4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F4A064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45E0BE5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9F21D6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470EEFC7" w14:textId="569E9C19"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093E6E40" w14:textId="77777777" w:rsidTr="00D21E15">
        <w:trPr>
          <w:trHeight w:val="288"/>
        </w:trPr>
        <w:tc>
          <w:tcPr>
            <w:tcW w:w="2515" w:type="dxa"/>
            <w:noWrap/>
            <w:vAlign w:val="center"/>
            <w:hideMark/>
          </w:tcPr>
          <w:p w14:paraId="61FEF0FE" w14:textId="77777777" w:rsidR="00D21E15" w:rsidRPr="00D21E15" w:rsidRDefault="00D21E15" w:rsidP="00D21E15">
            <w:pPr>
              <w:spacing w:line="276" w:lineRule="auto"/>
              <w:jc w:val="left"/>
              <w:rPr>
                <w:rFonts w:cs="Arial"/>
                <w:color w:val="000000"/>
                <w:sz w:val="20"/>
                <w:szCs w:val="20"/>
                <w:lang w:val="en-US" w:eastAsia="zh-CN" w:bidi="bn-IN"/>
              </w:rPr>
            </w:pPr>
            <w:proofErr w:type="spellStart"/>
            <w:r w:rsidRPr="00D21E15">
              <w:rPr>
                <w:rFonts w:cs="Arial"/>
                <w:color w:val="000000"/>
                <w:sz w:val="20"/>
                <w:szCs w:val="20"/>
                <w:lang w:val="en-US" w:eastAsia="zh-CN" w:bidi="bn-IN"/>
              </w:rPr>
              <w:t>Fatorachian</w:t>
            </w:r>
            <w:proofErr w:type="spellEnd"/>
            <w:r w:rsidRPr="00D21E15">
              <w:rPr>
                <w:rFonts w:cs="Arial"/>
                <w:color w:val="000000"/>
                <w:sz w:val="20"/>
                <w:szCs w:val="20"/>
                <w:lang w:val="en-US" w:eastAsia="zh-CN" w:bidi="bn-IN"/>
              </w:rPr>
              <w:t>, Arboleda and Linh (2025)</w:t>
            </w:r>
          </w:p>
        </w:tc>
        <w:tc>
          <w:tcPr>
            <w:tcW w:w="1170" w:type="dxa"/>
            <w:noWrap/>
            <w:vAlign w:val="center"/>
            <w:hideMark/>
          </w:tcPr>
          <w:p w14:paraId="0C70214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44BA8FC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42B2C2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474979A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68CC0EC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776084D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4CD633E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0921D7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Can't tell</w:t>
            </w:r>
          </w:p>
        </w:tc>
        <w:tc>
          <w:tcPr>
            <w:tcW w:w="1350" w:type="dxa"/>
            <w:noWrap/>
            <w:vAlign w:val="center"/>
            <w:hideMark/>
          </w:tcPr>
          <w:p w14:paraId="1081B52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B0E645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73F60E1D" w14:textId="1DD7606C"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60A7DB5A" w14:textId="77777777" w:rsidTr="00D21E15">
        <w:trPr>
          <w:trHeight w:val="288"/>
        </w:trPr>
        <w:tc>
          <w:tcPr>
            <w:tcW w:w="2515" w:type="dxa"/>
            <w:noWrap/>
            <w:vAlign w:val="center"/>
            <w:hideMark/>
          </w:tcPr>
          <w:p w14:paraId="3B184885"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Gao (2022)</w:t>
            </w:r>
          </w:p>
        </w:tc>
        <w:tc>
          <w:tcPr>
            <w:tcW w:w="1170" w:type="dxa"/>
            <w:noWrap/>
            <w:vAlign w:val="center"/>
            <w:hideMark/>
          </w:tcPr>
          <w:p w14:paraId="2DA2E3C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D09B58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886645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36C37AE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044FA77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7ED88A7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544522A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7B4FC45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3E2D70F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70528DE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261C27BA" w14:textId="6A9AD3F1"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0B0F7889" w14:textId="77777777" w:rsidTr="00D21E15">
        <w:trPr>
          <w:trHeight w:val="288"/>
        </w:trPr>
        <w:tc>
          <w:tcPr>
            <w:tcW w:w="2515" w:type="dxa"/>
            <w:noWrap/>
            <w:vAlign w:val="center"/>
            <w:hideMark/>
          </w:tcPr>
          <w:p w14:paraId="2296FDD0"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Harcourt (2023)</w:t>
            </w:r>
          </w:p>
        </w:tc>
        <w:tc>
          <w:tcPr>
            <w:tcW w:w="1170" w:type="dxa"/>
            <w:noWrap/>
            <w:vAlign w:val="center"/>
            <w:hideMark/>
          </w:tcPr>
          <w:p w14:paraId="1593E08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519EF0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EF340F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4510661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2129BE8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97EF4A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767D23B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9D08E1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10E78AA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DC000E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5080161F" w14:textId="50C1B40B"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13847EF4" w14:textId="77777777" w:rsidTr="00D21E15">
        <w:trPr>
          <w:trHeight w:val="288"/>
        </w:trPr>
        <w:tc>
          <w:tcPr>
            <w:tcW w:w="2515" w:type="dxa"/>
            <w:noWrap/>
            <w:vAlign w:val="center"/>
            <w:hideMark/>
          </w:tcPr>
          <w:p w14:paraId="6B8FD292" w14:textId="58123AE9"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Hassan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(2023)</w:t>
            </w:r>
          </w:p>
        </w:tc>
        <w:tc>
          <w:tcPr>
            <w:tcW w:w="1170" w:type="dxa"/>
            <w:noWrap/>
            <w:vAlign w:val="center"/>
            <w:hideMark/>
          </w:tcPr>
          <w:p w14:paraId="078E0AB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F3E336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046A1E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70BCF5B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1C2AC06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2F22EF8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A4BE0E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7C0046C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31A8FF7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B5E302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373D89D1" w14:textId="3224EEA0"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648CB8C1" w14:textId="77777777" w:rsidTr="00D21E15">
        <w:trPr>
          <w:trHeight w:val="288"/>
        </w:trPr>
        <w:tc>
          <w:tcPr>
            <w:tcW w:w="2515" w:type="dxa"/>
            <w:noWrap/>
            <w:vAlign w:val="center"/>
            <w:hideMark/>
          </w:tcPr>
          <w:p w14:paraId="5D071F18" w14:textId="73FDE15A"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Jorgensen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(2024)</w:t>
            </w:r>
          </w:p>
        </w:tc>
        <w:tc>
          <w:tcPr>
            <w:tcW w:w="1170" w:type="dxa"/>
            <w:noWrap/>
            <w:vAlign w:val="center"/>
            <w:hideMark/>
          </w:tcPr>
          <w:p w14:paraId="7540CE5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23975D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169970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4AD4126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44D1F27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454FEC1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262109E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C8654D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2872699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84AA93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0D4F7DE7" w14:textId="4DE347CA"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46DF705A" w14:textId="77777777" w:rsidTr="00D21E15">
        <w:trPr>
          <w:trHeight w:val="288"/>
        </w:trPr>
        <w:tc>
          <w:tcPr>
            <w:tcW w:w="2515" w:type="dxa"/>
            <w:noWrap/>
            <w:vAlign w:val="center"/>
            <w:hideMark/>
          </w:tcPr>
          <w:p w14:paraId="0598B09D" w14:textId="43C8715E"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Kellard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(2021)</w:t>
            </w:r>
          </w:p>
        </w:tc>
        <w:tc>
          <w:tcPr>
            <w:tcW w:w="1170" w:type="dxa"/>
            <w:noWrap/>
            <w:vAlign w:val="center"/>
            <w:hideMark/>
          </w:tcPr>
          <w:p w14:paraId="4DBC2B1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46CEB43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170" w:type="dxa"/>
            <w:noWrap/>
            <w:vAlign w:val="center"/>
            <w:hideMark/>
          </w:tcPr>
          <w:p w14:paraId="02E4F3D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246BE9C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260" w:type="dxa"/>
            <w:noWrap/>
            <w:vAlign w:val="center"/>
            <w:hideMark/>
          </w:tcPr>
          <w:p w14:paraId="5AF4739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F03B28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7BE5189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EEC7AF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7136658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EE1689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69FE4417" w14:textId="2345FE28"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Low</w:t>
            </w:r>
          </w:p>
        </w:tc>
      </w:tr>
      <w:tr w:rsidR="00D21E15" w:rsidRPr="00D21E15" w14:paraId="5BC14210" w14:textId="77777777" w:rsidTr="00D21E15">
        <w:trPr>
          <w:trHeight w:val="288"/>
        </w:trPr>
        <w:tc>
          <w:tcPr>
            <w:tcW w:w="2515" w:type="dxa"/>
            <w:noWrap/>
            <w:vAlign w:val="center"/>
            <w:hideMark/>
          </w:tcPr>
          <w:p w14:paraId="04E60437"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Konig (2023)</w:t>
            </w:r>
          </w:p>
        </w:tc>
        <w:tc>
          <w:tcPr>
            <w:tcW w:w="1170" w:type="dxa"/>
            <w:noWrap/>
            <w:vAlign w:val="center"/>
            <w:hideMark/>
          </w:tcPr>
          <w:p w14:paraId="073C6B7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33F300D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C73ADF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4CE6AF1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48D883B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3542B6D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5B6D0D0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199A4D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7E561AD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8503CD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0B1ECD4F" w14:textId="4F33FBFA"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7AB6898F" w14:textId="77777777" w:rsidTr="00D21E15">
        <w:trPr>
          <w:trHeight w:val="288"/>
        </w:trPr>
        <w:tc>
          <w:tcPr>
            <w:tcW w:w="2515" w:type="dxa"/>
            <w:noWrap/>
            <w:vAlign w:val="center"/>
            <w:hideMark/>
          </w:tcPr>
          <w:p w14:paraId="20104365"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Kren and Lawless (2023)</w:t>
            </w:r>
          </w:p>
        </w:tc>
        <w:tc>
          <w:tcPr>
            <w:tcW w:w="1170" w:type="dxa"/>
            <w:noWrap/>
            <w:vAlign w:val="center"/>
            <w:hideMark/>
          </w:tcPr>
          <w:p w14:paraId="2AF63C8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437CE1C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8EE8E3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2D2EF0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5127F27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048CEDA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2D85411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C1FA02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1450790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E3FA82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04C4F2B8" w14:textId="18568F8C"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5E067594" w14:textId="77777777" w:rsidTr="00D21E15">
        <w:trPr>
          <w:trHeight w:val="288"/>
        </w:trPr>
        <w:tc>
          <w:tcPr>
            <w:tcW w:w="2515" w:type="dxa"/>
            <w:noWrap/>
            <w:vAlign w:val="center"/>
            <w:hideMark/>
          </w:tcPr>
          <w:p w14:paraId="47C83B3E" w14:textId="77777777" w:rsidR="00D21E15" w:rsidRPr="00D21E15" w:rsidRDefault="00D21E15" w:rsidP="00D21E15">
            <w:pPr>
              <w:spacing w:line="276" w:lineRule="auto"/>
              <w:jc w:val="left"/>
              <w:rPr>
                <w:rFonts w:cs="Arial"/>
                <w:color w:val="000000"/>
                <w:sz w:val="20"/>
                <w:szCs w:val="20"/>
                <w:lang w:val="en-US" w:eastAsia="zh-CN" w:bidi="bn-IN"/>
              </w:rPr>
            </w:pPr>
            <w:proofErr w:type="spellStart"/>
            <w:r w:rsidRPr="00D21E15">
              <w:rPr>
                <w:rFonts w:cs="Arial"/>
                <w:color w:val="000000"/>
                <w:sz w:val="20"/>
                <w:szCs w:val="20"/>
                <w:lang w:val="en-US" w:eastAsia="zh-CN" w:bidi="bn-IN"/>
              </w:rPr>
              <w:lastRenderedPageBreak/>
              <w:t>Lampadarios</w:t>
            </w:r>
            <w:proofErr w:type="spellEnd"/>
            <w:r w:rsidRPr="00D21E15">
              <w:rPr>
                <w:rFonts w:cs="Arial"/>
                <w:color w:val="000000"/>
                <w:sz w:val="20"/>
                <w:szCs w:val="20"/>
                <w:lang w:val="en-US" w:eastAsia="zh-CN" w:bidi="bn-IN"/>
              </w:rPr>
              <w:t xml:space="preserve"> and Kyriakidou (2020)</w:t>
            </w:r>
          </w:p>
        </w:tc>
        <w:tc>
          <w:tcPr>
            <w:tcW w:w="1170" w:type="dxa"/>
            <w:noWrap/>
            <w:vAlign w:val="center"/>
            <w:hideMark/>
          </w:tcPr>
          <w:p w14:paraId="6795A2F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72990D8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74A9F32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36E1EEA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148DE55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22A3546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6EE9D68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BD89E9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6049BA4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77C66C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271FA351" w14:textId="4BCDACA6"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7BA797CE" w14:textId="77777777" w:rsidTr="00D21E15">
        <w:trPr>
          <w:trHeight w:val="288"/>
        </w:trPr>
        <w:tc>
          <w:tcPr>
            <w:tcW w:w="2515" w:type="dxa"/>
            <w:noWrap/>
            <w:vAlign w:val="center"/>
            <w:hideMark/>
          </w:tcPr>
          <w:p w14:paraId="38D9AA19" w14:textId="78BBAB21"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Li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(2025)</w:t>
            </w:r>
          </w:p>
        </w:tc>
        <w:tc>
          <w:tcPr>
            <w:tcW w:w="1170" w:type="dxa"/>
            <w:noWrap/>
            <w:vAlign w:val="center"/>
            <w:hideMark/>
          </w:tcPr>
          <w:p w14:paraId="115F5A2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121322B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327094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Can't tell</w:t>
            </w:r>
          </w:p>
        </w:tc>
        <w:tc>
          <w:tcPr>
            <w:tcW w:w="1530" w:type="dxa"/>
            <w:noWrap/>
            <w:vAlign w:val="center"/>
            <w:hideMark/>
          </w:tcPr>
          <w:p w14:paraId="0B9B402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5DFA13A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DD1EB6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5941440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7DBD0C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06E5556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7096A7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546BF9FA" w14:textId="2C653E63"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41C8145F" w14:textId="77777777" w:rsidTr="00D21E15">
        <w:trPr>
          <w:trHeight w:val="288"/>
        </w:trPr>
        <w:tc>
          <w:tcPr>
            <w:tcW w:w="2515" w:type="dxa"/>
            <w:noWrap/>
            <w:vAlign w:val="center"/>
            <w:hideMark/>
          </w:tcPr>
          <w:p w14:paraId="6777ABF3"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Linares-Zegarra and Wilson (2021)</w:t>
            </w:r>
          </w:p>
        </w:tc>
        <w:tc>
          <w:tcPr>
            <w:tcW w:w="1170" w:type="dxa"/>
            <w:noWrap/>
            <w:vAlign w:val="center"/>
            <w:hideMark/>
          </w:tcPr>
          <w:p w14:paraId="750C7BB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7AF21D2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55531B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20611D8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48B5F0D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06E6836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544B47C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70D7CD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0B7A9B3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79A0A04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3A0B6006" w14:textId="43172CE3"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62FBF0AF" w14:textId="77777777" w:rsidTr="00D21E15">
        <w:trPr>
          <w:trHeight w:val="288"/>
        </w:trPr>
        <w:tc>
          <w:tcPr>
            <w:tcW w:w="2515" w:type="dxa"/>
            <w:noWrap/>
            <w:vAlign w:val="center"/>
            <w:hideMark/>
          </w:tcPr>
          <w:p w14:paraId="33C2564E" w14:textId="77777777" w:rsidR="00D21E15" w:rsidRPr="00D21E15" w:rsidRDefault="00D21E15" w:rsidP="00D21E15">
            <w:pPr>
              <w:spacing w:line="276" w:lineRule="auto"/>
              <w:jc w:val="left"/>
              <w:rPr>
                <w:rFonts w:cs="Arial"/>
                <w:color w:val="000000"/>
                <w:sz w:val="20"/>
                <w:szCs w:val="20"/>
                <w:lang w:val="en-US" w:eastAsia="zh-CN" w:bidi="bn-IN"/>
              </w:rPr>
            </w:pPr>
            <w:proofErr w:type="spellStart"/>
            <w:r w:rsidRPr="00D21E15">
              <w:rPr>
                <w:rFonts w:cs="Arial"/>
                <w:color w:val="000000"/>
                <w:sz w:val="20"/>
                <w:szCs w:val="20"/>
                <w:lang w:val="en-US" w:eastAsia="zh-CN" w:bidi="bn-IN"/>
              </w:rPr>
              <w:t>MacLeavy</w:t>
            </w:r>
            <w:proofErr w:type="spellEnd"/>
            <w:r w:rsidRPr="00D21E15">
              <w:rPr>
                <w:rFonts w:cs="Arial"/>
                <w:color w:val="000000"/>
                <w:sz w:val="20"/>
                <w:szCs w:val="20"/>
                <w:lang w:val="en-US" w:eastAsia="zh-CN" w:bidi="bn-IN"/>
              </w:rPr>
              <w:t xml:space="preserve"> and Jones (2021)</w:t>
            </w:r>
          </w:p>
        </w:tc>
        <w:tc>
          <w:tcPr>
            <w:tcW w:w="1170" w:type="dxa"/>
            <w:noWrap/>
            <w:vAlign w:val="center"/>
            <w:hideMark/>
          </w:tcPr>
          <w:p w14:paraId="4175C75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E6D997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DA4646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16ACDA4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003D956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59872B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5474E2F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3331C5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7AD2A81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7E886C6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13D9004A" w14:textId="6B21E0E5"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08CA8D64" w14:textId="77777777" w:rsidTr="00D21E15">
        <w:trPr>
          <w:trHeight w:val="288"/>
        </w:trPr>
        <w:tc>
          <w:tcPr>
            <w:tcW w:w="2515" w:type="dxa"/>
            <w:noWrap/>
            <w:vAlign w:val="center"/>
            <w:hideMark/>
          </w:tcPr>
          <w:p w14:paraId="764D4BCD"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Mathur and Gupta (2025)</w:t>
            </w:r>
          </w:p>
        </w:tc>
        <w:tc>
          <w:tcPr>
            <w:tcW w:w="1170" w:type="dxa"/>
            <w:noWrap/>
            <w:vAlign w:val="center"/>
            <w:hideMark/>
          </w:tcPr>
          <w:p w14:paraId="0E61FCB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028110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7C21331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20B30B5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0FC71C2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48F5D8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B03023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D77F3F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2DD6D60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5DE4E5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4923EEAA" w14:textId="0DBDA8A1"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70E97E48" w14:textId="77777777" w:rsidTr="00D21E15">
        <w:trPr>
          <w:trHeight w:val="288"/>
        </w:trPr>
        <w:tc>
          <w:tcPr>
            <w:tcW w:w="2515" w:type="dxa"/>
            <w:noWrap/>
            <w:vAlign w:val="center"/>
            <w:hideMark/>
          </w:tcPr>
          <w:p w14:paraId="5D9EF996" w14:textId="77777777" w:rsidR="00D21E15" w:rsidRPr="00D21E15" w:rsidRDefault="00D21E15" w:rsidP="00D21E15">
            <w:pPr>
              <w:spacing w:line="276" w:lineRule="auto"/>
              <w:jc w:val="left"/>
              <w:rPr>
                <w:rFonts w:cs="Arial"/>
                <w:color w:val="000000"/>
                <w:sz w:val="20"/>
                <w:szCs w:val="20"/>
                <w:lang w:val="en-US" w:eastAsia="zh-CN" w:bidi="bn-IN"/>
              </w:rPr>
            </w:pPr>
            <w:proofErr w:type="spellStart"/>
            <w:r w:rsidRPr="00D21E15">
              <w:rPr>
                <w:rFonts w:cs="Arial"/>
                <w:color w:val="000000"/>
                <w:sz w:val="20"/>
                <w:szCs w:val="20"/>
                <w:lang w:val="en-US" w:eastAsia="zh-CN" w:bidi="bn-IN"/>
              </w:rPr>
              <w:t>Mirzaye</w:t>
            </w:r>
            <w:proofErr w:type="spellEnd"/>
            <w:r w:rsidRPr="00D21E15">
              <w:rPr>
                <w:rFonts w:cs="Arial"/>
                <w:color w:val="000000"/>
                <w:sz w:val="20"/>
                <w:szCs w:val="20"/>
                <w:lang w:val="en-US" w:eastAsia="zh-CN" w:bidi="bn-IN"/>
              </w:rPr>
              <w:t xml:space="preserve"> and Mohiuddin (2025)</w:t>
            </w:r>
          </w:p>
        </w:tc>
        <w:tc>
          <w:tcPr>
            <w:tcW w:w="1170" w:type="dxa"/>
            <w:noWrap/>
            <w:vAlign w:val="center"/>
            <w:hideMark/>
          </w:tcPr>
          <w:p w14:paraId="36D9DB8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EC8141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CB8E50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1C37B38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1FEF4EC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3AAD46F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2488271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65010B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189D3BC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30A32B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30BD8831" w14:textId="3FFAF0A5"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1881781E" w14:textId="77777777" w:rsidTr="00D21E15">
        <w:trPr>
          <w:trHeight w:val="288"/>
        </w:trPr>
        <w:tc>
          <w:tcPr>
            <w:tcW w:w="2515" w:type="dxa"/>
            <w:noWrap/>
            <w:vAlign w:val="center"/>
            <w:hideMark/>
          </w:tcPr>
          <w:p w14:paraId="489E78FB" w14:textId="046E80F8"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Muhammad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(2025)</w:t>
            </w:r>
          </w:p>
        </w:tc>
        <w:tc>
          <w:tcPr>
            <w:tcW w:w="1170" w:type="dxa"/>
            <w:noWrap/>
            <w:vAlign w:val="center"/>
            <w:hideMark/>
          </w:tcPr>
          <w:p w14:paraId="0294138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05BDA31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726980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7EA319E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5224930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0290F5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223E655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EC32B5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3062E6A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D36542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191EC698" w14:textId="18EEC0B6"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0DA807FD" w14:textId="77777777" w:rsidTr="00D21E15">
        <w:trPr>
          <w:trHeight w:val="288"/>
        </w:trPr>
        <w:tc>
          <w:tcPr>
            <w:tcW w:w="2515" w:type="dxa"/>
            <w:noWrap/>
            <w:vAlign w:val="center"/>
            <w:hideMark/>
          </w:tcPr>
          <w:p w14:paraId="39E9DE75" w14:textId="74A380F0" w:rsidR="00D21E15" w:rsidRPr="00D21E15" w:rsidRDefault="00D21E15" w:rsidP="00D21E15">
            <w:pPr>
              <w:spacing w:line="276" w:lineRule="auto"/>
              <w:jc w:val="left"/>
              <w:rPr>
                <w:rFonts w:cs="Arial"/>
                <w:color w:val="000000"/>
                <w:sz w:val="20"/>
                <w:szCs w:val="20"/>
                <w:lang w:val="en-US" w:eastAsia="zh-CN" w:bidi="bn-IN"/>
              </w:rPr>
            </w:pPr>
            <w:proofErr w:type="spellStart"/>
            <w:r w:rsidRPr="00D21E15">
              <w:rPr>
                <w:rFonts w:cs="Arial"/>
                <w:color w:val="000000"/>
                <w:sz w:val="20"/>
                <w:szCs w:val="20"/>
                <w:lang w:val="en-US" w:eastAsia="zh-CN" w:bidi="bn-IN"/>
              </w:rPr>
              <w:t>Oyegoke</w:t>
            </w:r>
            <w:proofErr w:type="spellEnd"/>
            <w:r w:rsidRPr="00D21E15">
              <w:rPr>
                <w:rFonts w:cs="Arial"/>
                <w:color w:val="000000"/>
                <w:sz w:val="20"/>
                <w:szCs w:val="20"/>
                <w:lang w:val="en-US" w:eastAsia="zh-CN" w:bidi="bn-IN"/>
              </w:rPr>
              <w:t xml:space="preserve">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(2024)</w:t>
            </w:r>
          </w:p>
        </w:tc>
        <w:tc>
          <w:tcPr>
            <w:tcW w:w="1170" w:type="dxa"/>
            <w:noWrap/>
            <w:vAlign w:val="center"/>
            <w:hideMark/>
          </w:tcPr>
          <w:p w14:paraId="5C07F3E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38242CF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EDD25D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5009DF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63B8DAC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45AEF50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3FA6EA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9749C9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Can't tell</w:t>
            </w:r>
          </w:p>
        </w:tc>
        <w:tc>
          <w:tcPr>
            <w:tcW w:w="1350" w:type="dxa"/>
            <w:noWrap/>
            <w:vAlign w:val="center"/>
            <w:hideMark/>
          </w:tcPr>
          <w:p w14:paraId="29A934F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B6199D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693BA6C7" w14:textId="1A63C6A2"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4F8DF7DD" w14:textId="77777777" w:rsidTr="00D21E15">
        <w:trPr>
          <w:trHeight w:val="288"/>
        </w:trPr>
        <w:tc>
          <w:tcPr>
            <w:tcW w:w="2515" w:type="dxa"/>
            <w:noWrap/>
            <w:vAlign w:val="center"/>
            <w:hideMark/>
          </w:tcPr>
          <w:p w14:paraId="02473354"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Pardy and Ampudia (2023)</w:t>
            </w:r>
          </w:p>
        </w:tc>
        <w:tc>
          <w:tcPr>
            <w:tcW w:w="1170" w:type="dxa"/>
            <w:noWrap/>
            <w:vAlign w:val="center"/>
            <w:hideMark/>
          </w:tcPr>
          <w:p w14:paraId="0088DCC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1D89BDA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83D322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EB92F2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515404B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1F4627B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16E70A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4E4499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24E9573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6C4B06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56F5C88D" w14:textId="00C7F764"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1D610581" w14:textId="77777777" w:rsidTr="00D21E15">
        <w:trPr>
          <w:trHeight w:val="288"/>
        </w:trPr>
        <w:tc>
          <w:tcPr>
            <w:tcW w:w="2515" w:type="dxa"/>
            <w:noWrap/>
            <w:vAlign w:val="center"/>
            <w:hideMark/>
          </w:tcPr>
          <w:p w14:paraId="146AB2D4"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Peres (2025)</w:t>
            </w:r>
          </w:p>
        </w:tc>
        <w:tc>
          <w:tcPr>
            <w:tcW w:w="1170" w:type="dxa"/>
            <w:noWrap/>
            <w:vAlign w:val="center"/>
            <w:hideMark/>
          </w:tcPr>
          <w:p w14:paraId="5C5B24D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2FA0297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E627A6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12FF0E5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5DD63E0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7F1585C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77B90B5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0F4D45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1B83997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2A39EC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76A45EF6" w14:textId="126A7632"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4E2DDEF1" w14:textId="77777777" w:rsidTr="00D21E15">
        <w:trPr>
          <w:trHeight w:val="288"/>
        </w:trPr>
        <w:tc>
          <w:tcPr>
            <w:tcW w:w="2515" w:type="dxa"/>
            <w:noWrap/>
            <w:vAlign w:val="center"/>
            <w:hideMark/>
          </w:tcPr>
          <w:p w14:paraId="2E1CEB40" w14:textId="77777777" w:rsidR="00D21E15" w:rsidRPr="00D21E15" w:rsidRDefault="00D21E15" w:rsidP="00D21E15">
            <w:pPr>
              <w:spacing w:line="276" w:lineRule="auto"/>
              <w:jc w:val="left"/>
              <w:rPr>
                <w:rFonts w:cs="Arial"/>
                <w:color w:val="000000"/>
                <w:sz w:val="20"/>
                <w:szCs w:val="20"/>
                <w:lang w:val="en-US" w:eastAsia="zh-CN" w:bidi="bn-IN"/>
              </w:rPr>
            </w:pPr>
            <w:proofErr w:type="spellStart"/>
            <w:r w:rsidRPr="00D21E15">
              <w:rPr>
                <w:rFonts w:cs="Arial"/>
                <w:color w:val="000000"/>
                <w:sz w:val="20"/>
                <w:szCs w:val="20"/>
                <w:lang w:val="en-US" w:eastAsia="zh-CN" w:bidi="bn-IN"/>
              </w:rPr>
              <w:t>Rawindaran</w:t>
            </w:r>
            <w:proofErr w:type="spellEnd"/>
            <w:r w:rsidRPr="00D21E15">
              <w:rPr>
                <w:rFonts w:cs="Arial"/>
                <w:color w:val="000000"/>
                <w:sz w:val="20"/>
                <w:szCs w:val="20"/>
                <w:lang w:val="en-US" w:eastAsia="zh-CN" w:bidi="bn-IN"/>
              </w:rPr>
              <w:t>, Jayal and Prakash (2021)</w:t>
            </w:r>
          </w:p>
        </w:tc>
        <w:tc>
          <w:tcPr>
            <w:tcW w:w="1170" w:type="dxa"/>
            <w:noWrap/>
            <w:vAlign w:val="center"/>
            <w:hideMark/>
          </w:tcPr>
          <w:p w14:paraId="2679B15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2596490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17D52C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Can't tell</w:t>
            </w:r>
          </w:p>
        </w:tc>
        <w:tc>
          <w:tcPr>
            <w:tcW w:w="1530" w:type="dxa"/>
            <w:noWrap/>
            <w:vAlign w:val="center"/>
            <w:hideMark/>
          </w:tcPr>
          <w:p w14:paraId="0FDCD0E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2547853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43CD56A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37824B2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C8A65D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047101C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7E5E1CF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06118353" w14:textId="19451EDB"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49860592" w14:textId="77777777" w:rsidTr="00D21E15">
        <w:trPr>
          <w:trHeight w:val="288"/>
        </w:trPr>
        <w:tc>
          <w:tcPr>
            <w:tcW w:w="2515" w:type="dxa"/>
            <w:noWrap/>
            <w:vAlign w:val="center"/>
            <w:hideMark/>
          </w:tcPr>
          <w:p w14:paraId="50CEAC00" w14:textId="0901F96E"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Roscoe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(2020)</w:t>
            </w:r>
          </w:p>
        </w:tc>
        <w:tc>
          <w:tcPr>
            <w:tcW w:w="1170" w:type="dxa"/>
            <w:noWrap/>
            <w:vAlign w:val="center"/>
            <w:hideMark/>
          </w:tcPr>
          <w:p w14:paraId="23A95DC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337F9D1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1B9861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055A164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6C16115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25A4052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2065AA9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774F2AE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Can't tell</w:t>
            </w:r>
          </w:p>
        </w:tc>
        <w:tc>
          <w:tcPr>
            <w:tcW w:w="1350" w:type="dxa"/>
            <w:noWrap/>
            <w:vAlign w:val="center"/>
            <w:hideMark/>
          </w:tcPr>
          <w:p w14:paraId="332D4F3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C44911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1BC7717C" w14:textId="0BBD6980"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31556040" w14:textId="77777777" w:rsidTr="00D21E15">
        <w:trPr>
          <w:trHeight w:val="288"/>
        </w:trPr>
        <w:tc>
          <w:tcPr>
            <w:tcW w:w="2515" w:type="dxa"/>
            <w:noWrap/>
            <w:vAlign w:val="center"/>
            <w:hideMark/>
          </w:tcPr>
          <w:p w14:paraId="35909804" w14:textId="77777777" w:rsidR="00D21E15" w:rsidRPr="00D21E15" w:rsidRDefault="00D21E15" w:rsidP="00D21E15">
            <w:pPr>
              <w:spacing w:line="276" w:lineRule="auto"/>
              <w:jc w:val="left"/>
              <w:rPr>
                <w:rFonts w:cs="Arial"/>
                <w:color w:val="000000"/>
                <w:sz w:val="20"/>
                <w:szCs w:val="20"/>
                <w:lang w:val="en-US" w:eastAsia="zh-CN" w:bidi="bn-IN"/>
              </w:rPr>
            </w:pPr>
            <w:proofErr w:type="spellStart"/>
            <w:r w:rsidRPr="00D21E15">
              <w:rPr>
                <w:rFonts w:cs="Arial"/>
                <w:color w:val="000000"/>
                <w:sz w:val="20"/>
                <w:szCs w:val="20"/>
                <w:lang w:val="en-US" w:eastAsia="zh-CN" w:bidi="bn-IN"/>
              </w:rPr>
              <w:t>Sindakis</w:t>
            </w:r>
            <w:proofErr w:type="spellEnd"/>
            <w:r w:rsidRPr="00D21E15">
              <w:rPr>
                <w:rFonts w:cs="Arial"/>
                <w:color w:val="000000"/>
                <w:sz w:val="20"/>
                <w:szCs w:val="20"/>
                <w:lang w:val="en-US" w:eastAsia="zh-CN" w:bidi="bn-IN"/>
              </w:rPr>
              <w:t xml:space="preserve"> and Aggarwal (2022)</w:t>
            </w:r>
          </w:p>
        </w:tc>
        <w:tc>
          <w:tcPr>
            <w:tcW w:w="1170" w:type="dxa"/>
            <w:noWrap/>
            <w:vAlign w:val="center"/>
            <w:hideMark/>
          </w:tcPr>
          <w:p w14:paraId="0724B37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26057FD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C057FD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3A06522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1F8B072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339E1A3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5361836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EFB002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5E429E8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CC9901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778063DB" w14:textId="7C851C9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67FF06E5" w14:textId="77777777" w:rsidTr="00D21E15">
        <w:trPr>
          <w:trHeight w:val="288"/>
        </w:trPr>
        <w:tc>
          <w:tcPr>
            <w:tcW w:w="2515" w:type="dxa"/>
            <w:noWrap/>
            <w:vAlign w:val="center"/>
            <w:hideMark/>
          </w:tcPr>
          <w:p w14:paraId="335A507E" w14:textId="77777777" w:rsidR="00D21E15" w:rsidRPr="00D21E15" w:rsidRDefault="00D21E15" w:rsidP="00D21E15">
            <w:pPr>
              <w:spacing w:line="276" w:lineRule="auto"/>
              <w:jc w:val="left"/>
              <w:rPr>
                <w:rFonts w:cs="Arial"/>
                <w:color w:val="000000"/>
                <w:sz w:val="20"/>
                <w:szCs w:val="20"/>
                <w:lang w:val="en-US" w:eastAsia="zh-CN" w:bidi="bn-IN"/>
              </w:rPr>
            </w:pPr>
            <w:proofErr w:type="spellStart"/>
            <w:r w:rsidRPr="00D21E15">
              <w:rPr>
                <w:rFonts w:cs="Arial"/>
                <w:color w:val="000000"/>
                <w:sz w:val="20"/>
                <w:szCs w:val="20"/>
                <w:lang w:val="en-US" w:eastAsia="zh-CN" w:bidi="bn-IN"/>
              </w:rPr>
              <w:lastRenderedPageBreak/>
              <w:t>Sindakis</w:t>
            </w:r>
            <w:proofErr w:type="spellEnd"/>
            <w:r w:rsidRPr="00D21E15">
              <w:rPr>
                <w:rFonts w:cs="Arial"/>
                <w:color w:val="000000"/>
                <w:sz w:val="20"/>
                <w:szCs w:val="20"/>
                <w:lang w:val="en-US" w:eastAsia="zh-CN" w:bidi="bn-IN"/>
              </w:rPr>
              <w:t xml:space="preserve"> and Aggarwal (2022)</w:t>
            </w:r>
          </w:p>
        </w:tc>
        <w:tc>
          <w:tcPr>
            <w:tcW w:w="1170" w:type="dxa"/>
            <w:noWrap/>
            <w:vAlign w:val="center"/>
            <w:hideMark/>
          </w:tcPr>
          <w:p w14:paraId="2ACEB21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691E3C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5DD476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050A088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6CF5D40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2DD4A24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516185F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55DDD6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1D029AF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800EA6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423B0CB1" w14:textId="19A6C12F"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2DF1C54D" w14:textId="77777777" w:rsidTr="00D21E15">
        <w:trPr>
          <w:trHeight w:val="288"/>
        </w:trPr>
        <w:tc>
          <w:tcPr>
            <w:tcW w:w="2515" w:type="dxa"/>
            <w:noWrap/>
            <w:vAlign w:val="center"/>
            <w:hideMark/>
          </w:tcPr>
          <w:p w14:paraId="3DB85CDA" w14:textId="15F3E6CE"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Smith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(2022)</w:t>
            </w:r>
          </w:p>
        </w:tc>
        <w:tc>
          <w:tcPr>
            <w:tcW w:w="1170" w:type="dxa"/>
            <w:noWrap/>
            <w:vAlign w:val="center"/>
            <w:hideMark/>
          </w:tcPr>
          <w:p w14:paraId="64CEF2F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724C749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7A21331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6B21E1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5A3A759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0FBDCBA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7F3B203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A5071B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1B27641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138257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5DBB9888" w14:textId="2D4DEEBC"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2C2C6DB9" w14:textId="77777777" w:rsidTr="00D21E15">
        <w:trPr>
          <w:trHeight w:val="288"/>
        </w:trPr>
        <w:tc>
          <w:tcPr>
            <w:tcW w:w="2515" w:type="dxa"/>
            <w:noWrap/>
            <w:vAlign w:val="center"/>
            <w:hideMark/>
          </w:tcPr>
          <w:p w14:paraId="2F2ADB0A"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Soner, </w:t>
            </w:r>
            <w:proofErr w:type="spellStart"/>
            <w:r w:rsidRPr="00D21E15">
              <w:rPr>
                <w:rFonts w:cs="Arial"/>
                <w:color w:val="000000"/>
                <w:sz w:val="20"/>
                <w:szCs w:val="20"/>
                <w:lang w:val="en-US" w:eastAsia="zh-CN" w:bidi="bn-IN"/>
              </w:rPr>
              <w:t>Alsakka</w:t>
            </w:r>
            <w:proofErr w:type="spellEnd"/>
            <w:r w:rsidRPr="00D21E15">
              <w:rPr>
                <w:rFonts w:cs="Arial"/>
                <w:color w:val="000000"/>
                <w:sz w:val="20"/>
                <w:szCs w:val="20"/>
                <w:lang w:val="en-US" w:eastAsia="zh-CN" w:bidi="bn-IN"/>
              </w:rPr>
              <w:t xml:space="preserve"> and </w:t>
            </w:r>
            <w:proofErr w:type="spellStart"/>
            <w:r w:rsidRPr="00D21E15">
              <w:rPr>
                <w:rFonts w:cs="Arial"/>
                <w:color w:val="000000"/>
                <w:sz w:val="20"/>
                <w:szCs w:val="20"/>
                <w:lang w:val="en-US" w:eastAsia="zh-CN" w:bidi="bn-IN"/>
              </w:rPr>
              <w:t>Mantovan</w:t>
            </w:r>
            <w:proofErr w:type="spellEnd"/>
            <w:r w:rsidRPr="00D21E15">
              <w:rPr>
                <w:rFonts w:cs="Arial"/>
                <w:color w:val="000000"/>
                <w:sz w:val="20"/>
                <w:szCs w:val="20"/>
                <w:lang w:val="en-US" w:eastAsia="zh-CN" w:bidi="bn-IN"/>
              </w:rPr>
              <w:t xml:space="preserve"> (2025)</w:t>
            </w:r>
          </w:p>
        </w:tc>
        <w:tc>
          <w:tcPr>
            <w:tcW w:w="1170" w:type="dxa"/>
            <w:noWrap/>
            <w:vAlign w:val="center"/>
            <w:hideMark/>
          </w:tcPr>
          <w:p w14:paraId="1A21CDB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1DDE09C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A2ABDE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04C4759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7FDF71B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3A1BBB6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54F214F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61C50A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674F049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D6FDA3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6752A831" w14:textId="21CC60CA"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High</w:t>
            </w:r>
          </w:p>
        </w:tc>
      </w:tr>
      <w:tr w:rsidR="00D21E15" w:rsidRPr="00D21E15" w14:paraId="22FE4198" w14:textId="77777777" w:rsidTr="00D21E15">
        <w:trPr>
          <w:trHeight w:val="288"/>
        </w:trPr>
        <w:tc>
          <w:tcPr>
            <w:tcW w:w="2515" w:type="dxa"/>
            <w:noWrap/>
            <w:vAlign w:val="center"/>
            <w:hideMark/>
          </w:tcPr>
          <w:p w14:paraId="3F7A2048" w14:textId="5A92BB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Thissen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(2020)</w:t>
            </w:r>
          </w:p>
        </w:tc>
        <w:tc>
          <w:tcPr>
            <w:tcW w:w="1170" w:type="dxa"/>
            <w:noWrap/>
            <w:vAlign w:val="center"/>
            <w:hideMark/>
          </w:tcPr>
          <w:p w14:paraId="4B354E5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70B0D7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E10480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Can't tell</w:t>
            </w:r>
          </w:p>
        </w:tc>
        <w:tc>
          <w:tcPr>
            <w:tcW w:w="1530" w:type="dxa"/>
            <w:noWrap/>
            <w:vAlign w:val="center"/>
            <w:hideMark/>
          </w:tcPr>
          <w:p w14:paraId="31A7039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6F4083C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190D3D2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2BF0717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23DA9B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52A48FE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E3129C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7041939B" w14:textId="38A9EB9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23054B63" w14:textId="77777777" w:rsidTr="00D21E15">
        <w:trPr>
          <w:trHeight w:val="288"/>
        </w:trPr>
        <w:tc>
          <w:tcPr>
            <w:tcW w:w="2515" w:type="dxa"/>
            <w:noWrap/>
            <w:vAlign w:val="center"/>
            <w:hideMark/>
          </w:tcPr>
          <w:p w14:paraId="0F27203D" w14:textId="79590B5F"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Trapp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(2023)</w:t>
            </w:r>
          </w:p>
        </w:tc>
        <w:tc>
          <w:tcPr>
            <w:tcW w:w="1170" w:type="dxa"/>
            <w:noWrap/>
            <w:vAlign w:val="center"/>
            <w:hideMark/>
          </w:tcPr>
          <w:p w14:paraId="6B0C8A9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B2DB92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425794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2CAA0CF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12BFD20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3E8DA7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7710E59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E45733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2962651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ECD083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106AA19D" w14:textId="69BFE143"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1FE696F9" w14:textId="77777777" w:rsidTr="00D21E15">
        <w:trPr>
          <w:trHeight w:val="288"/>
        </w:trPr>
        <w:tc>
          <w:tcPr>
            <w:tcW w:w="2515" w:type="dxa"/>
            <w:noWrap/>
            <w:vAlign w:val="center"/>
            <w:hideMark/>
          </w:tcPr>
          <w:p w14:paraId="1D29CDC3"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Uddin, Chowdhury and Wood (2022)</w:t>
            </w:r>
          </w:p>
        </w:tc>
        <w:tc>
          <w:tcPr>
            <w:tcW w:w="1170" w:type="dxa"/>
            <w:noWrap/>
            <w:vAlign w:val="center"/>
            <w:hideMark/>
          </w:tcPr>
          <w:p w14:paraId="67C77F8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B74B8D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77E3AC3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7452253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0E6AEFE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3783001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37A70D2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EB1789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Can't tell</w:t>
            </w:r>
          </w:p>
        </w:tc>
        <w:tc>
          <w:tcPr>
            <w:tcW w:w="1350" w:type="dxa"/>
            <w:noWrap/>
            <w:vAlign w:val="center"/>
            <w:hideMark/>
          </w:tcPr>
          <w:p w14:paraId="196C6C1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F7B4E0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1726E3FA" w14:textId="0131A64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76612748" w14:textId="77777777" w:rsidTr="00D21E15">
        <w:trPr>
          <w:trHeight w:val="288"/>
        </w:trPr>
        <w:tc>
          <w:tcPr>
            <w:tcW w:w="2515" w:type="dxa"/>
            <w:noWrap/>
            <w:vAlign w:val="center"/>
            <w:hideMark/>
          </w:tcPr>
          <w:p w14:paraId="6C3A9AF5"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Ugochi, </w:t>
            </w:r>
            <w:proofErr w:type="spellStart"/>
            <w:r w:rsidRPr="00D21E15">
              <w:rPr>
                <w:rFonts w:cs="Arial"/>
                <w:color w:val="000000"/>
                <w:sz w:val="20"/>
                <w:szCs w:val="20"/>
                <w:lang w:val="en-US" w:eastAsia="zh-CN" w:bidi="bn-IN"/>
              </w:rPr>
              <w:t>Onyeanuforo</w:t>
            </w:r>
            <w:proofErr w:type="spellEnd"/>
            <w:r w:rsidRPr="00D21E15">
              <w:rPr>
                <w:rFonts w:cs="Arial"/>
                <w:color w:val="000000"/>
                <w:sz w:val="20"/>
                <w:szCs w:val="20"/>
                <w:lang w:val="en-US" w:eastAsia="zh-CN" w:bidi="bn-IN"/>
              </w:rPr>
              <w:t xml:space="preserve"> and Alfa (2025)</w:t>
            </w:r>
          </w:p>
        </w:tc>
        <w:tc>
          <w:tcPr>
            <w:tcW w:w="1170" w:type="dxa"/>
            <w:noWrap/>
            <w:vAlign w:val="center"/>
            <w:hideMark/>
          </w:tcPr>
          <w:p w14:paraId="1F57944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7DE12C0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26220F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4998893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7BD4CDC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2DE66FF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7C61D3C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00782D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Can't tell</w:t>
            </w:r>
          </w:p>
        </w:tc>
        <w:tc>
          <w:tcPr>
            <w:tcW w:w="1350" w:type="dxa"/>
            <w:noWrap/>
            <w:vAlign w:val="center"/>
            <w:hideMark/>
          </w:tcPr>
          <w:p w14:paraId="4B3264D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6754636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2DE09B77" w14:textId="68C4AA96"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5A5FC8D6" w14:textId="77777777" w:rsidTr="00D21E15">
        <w:trPr>
          <w:trHeight w:val="288"/>
        </w:trPr>
        <w:tc>
          <w:tcPr>
            <w:tcW w:w="2515" w:type="dxa"/>
            <w:noWrap/>
            <w:vAlign w:val="center"/>
            <w:hideMark/>
          </w:tcPr>
          <w:p w14:paraId="082CF896"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Ugochi, </w:t>
            </w:r>
            <w:proofErr w:type="spellStart"/>
            <w:r w:rsidRPr="00D21E15">
              <w:rPr>
                <w:rFonts w:cs="Arial"/>
                <w:color w:val="000000"/>
                <w:sz w:val="20"/>
                <w:szCs w:val="20"/>
                <w:lang w:val="en-US" w:eastAsia="zh-CN" w:bidi="bn-IN"/>
              </w:rPr>
              <w:t>Onyeanuforo</w:t>
            </w:r>
            <w:proofErr w:type="spellEnd"/>
            <w:r w:rsidRPr="00D21E15">
              <w:rPr>
                <w:rFonts w:cs="Arial"/>
                <w:color w:val="000000"/>
                <w:sz w:val="20"/>
                <w:szCs w:val="20"/>
                <w:lang w:val="en-US" w:eastAsia="zh-CN" w:bidi="bn-IN"/>
              </w:rPr>
              <w:t xml:space="preserve"> and Magaji (2023)</w:t>
            </w:r>
          </w:p>
        </w:tc>
        <w:tc>
          <w:tcPr>
            <w:tcW w:w="1170" w:type="dxa"/>
            <w:noWrap/>
            <w:vAlign w:val="center"/>
            <w:hideMark/>
          </w:tcPr>
          <w:p w14:paraId="404936A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3C3A72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3F032E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00DD701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4A2196E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05A68AB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6123496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1C472A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086F2FE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C8DBCD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7DC183AF" w14:textId="5BD1308E"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12839039" w14:textId="77777777" w:rsidTr="00D21E15">
        <w:trPr>
          <w:trHeight w:val="288"/>
        </w:trPr>
        <w:tc>
          <w:tcPr>
            <w:tcW w:w="2515" w:type="dxa"/>
            <w:noWrap/>
            <w:vAlign w:val="center"/>
            <w:hideMark/>
          </w:tcPr>
          <w:p w14:paraId="27A89F92"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Vu and Christian (2024)</w:t>
            </w:r>
          </w:p>
        </w:tc>
        <w:tc>
          <w:tcPr>
            <w:tcW w:w="1170" w:type="dxa"/>
            <w:noWrap/>
            <w:vAlign w:val="center"/>
            <w:hideMark/>
          </w:tcPr>
          <w:p w14:paraId="0AFE781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F529C5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7F45A5F3"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Can't tell</w:t>
            </w:r>
          </w:p>
        </w:tc>
        <w:tc>
          <w:tcPr>
            <w:tcW w:w="1530" w:type="dxa"/>
            <w:noWrap/>
            <w:vAlign w:val="center"/>
            <w:hideMark/>
          </w:tcPr>
          <w:p w14:paraId="2DFC5962"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44FDD30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8967A6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1FE1C13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2BE3CF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47367FD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10D425D8"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23648A02" w14:textId="0340AAC1"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7E4B9E45" w14:textId="77777777" w:rsidTr="00D21E15">
        <w:trPr>
          <w:trHeight w:val="288"/>
        </w:trPr>
        <w:tc>
          <w:tcPr>
            <w:tcW w:w="2515" w:type="dxa"/>
            <w:noWrap/>
            <w:vAlign w:val="center"/>
            <w:hideMark/>
          </w:tcPr>
          <w:p w14:paraId="5C40A196" w14:textId="77777777"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Wong (2022)</w:t>
            </w:r>
          </w:p>
        </w:tc>
        <w:tc>
          <w:tcPr>
            <w:tcW w:w="1170" w:type="dxa"/>
            <w:noWrap/>
            <w:vAlign w:val="center"/>
            <w:hideMark/>
          </w:tcPr>
          <w:p w14:paraId="3683F14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7ECB047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D76DF0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645730B6"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7FF4AB2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856ECBA"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69C49B9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6930CD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4261358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2650561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5ABEE719" w14:textId="62E3688E"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r w:rsidR="00D21E15" w:rsidRPr="00D21E15" w14:paraId="386C878F" w14:textId="77777777" w:rsidTr="00D21E15">
        <w:trPr>
          <w:trHeight w:val="288"/>
        </w:trPr>
        <w:tc>
          <w:tcPr>
            <w:tcW w:w="2515" w:type="dxa"/>
            <w:noWrap/>
            <w:vAlign w:val="center"/>
            <w:hideMark/>
          </w:tcPr>
          <w:p w14:paraId="3603B4CE" w14:textId="77777777" w:rsidR="00D21E15" w:rsidRPr="00D21E15" w:rsidRDefault="00D21E15" w:rsidP="00D21E15">
            <w:pPr>
              <w:spacing w:line="276" w:lineRule="auto"/>
              <w:jc w:val="left"/>
              <w:rPr>
                <w:rFonts w:cs="Arial"/>
                <w:color w:val="000000"/>
                <w:sz w:val="20"/>
                <w:szCs w:val="20"/>
                <w:lang w:val="en-US" w:eastAsia="zh-CN" w:bidi="bn-IN"/>
              </w:rPr>
            </w:pPr>
            <w:proofErr w:type="spellStart"/>
            <w:r w:rsidRPr="00D21E15">
              <w:rPr>
                <w:rFonts w:cs="Arial"/>
                <w:color w:val="000000"/>
                <w:sz w:val="20"/>
                <w:szCs w:val="20"/>
                <w:lang w:val="en-US" w:eastAsia="zh-CN" w:bidi="bn-IN"/>
              </w:rPr>
              <w:t>Zaschitina</w:t>
            </w:r>
            <w:proofErr w:type="spellEnd"/>
            <w:r w:rsidRPr="00D21E15">
              <w:rPr>
                <w:rFonts w:cs="Arial"/>
                <w:color w:val="000000"/>
                <w:sz w:val="20"/>
                <w:szCs w:val="20"/>
                <w:lang w:val="en-US" w:eastAsia="zh-CN" w:bidi="bn-IN"/>
              </w:rPr>
              <w:t xml:space="preserve"> (2022)</w:t>
            </w:r>
          </w:p>
        </w:tc>
        <w:tc>
          <w:tcPr>
            <w:tcW w:w="1170" w:type="dxa"/>
            <w:noWrap/>
            <w:vAlign w:val="center"/>
            <w:hideMark/>
          </w:tcPr>
          <w:p w14:paraId="473C008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63EC1B2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170" w:type="dxa"/>
            <w:noWrap/>
            <w:vAlign w:val="center"/>
            <w:hideMark/>
          </w:tcPr>
          <w:p w14:paraId="73DA42D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174226B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260" w:type="dxa"/>
            <w:noWrap/>
            <w:vAlign w:val="center"/>
            <w:hideMark/>
          </w:tcPr>
          <w:p w14:paraId="5FD50031"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0975485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No</w:t>
            </w:r>
          </w:p>
        </w:tc>
        <w:tc>
          <w:tcPr>
            <w:tcW w:w="1530" w:type="dxa"/>
            <w:noWrap/>
            <w:vAlign w:val="center"/>
            <w:hideMark/>
          </w:tcPr>
          <w:p w14:paraId="73652B1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B31EF84"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350" w:type="dxa"/>
            <w:noWrap/>
            <w:vAlign w:val="center"/>
            <w:hideMark/>
          </w:tcPr>
          <w:p w14:paraId="15BE413F"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3ED9BA6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73748107" w14:textId="492F0381"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Low</w:t>
            </w:r>
          </w:p>
        </w:tc>
      </w:tr>
      <w:tr w:rsidR="00D21E15" w:rsidRPr="00D21E15" w14:paraId="5FAF466E" w14:textId="77777777" w:rsidTr="00D21E15">
        <w:trPr>
          <w:trHeight w:val="288"/>
        </w:trPr>
        <w:tc>
          <w:tcPr>
            <w:tcW w:w="2515" w:type="dxa"/>
            <w:noWrap/>
            <w:vAlign w:val="center"/>
            <w:hideMark/>
          </w:tcPr>
          <w:p w14:paraId="36995962" w14:textId="37BB9021" w:rsidR="00D21E15" w:rsidRPr="00D21E15" w:rsidRDefault="00D21E15" w:rsidP="00D21E15">
            <w:pPr>
              <w:spacing w:line="276" w:lineRule="auto"/>
              <w:jc w:val="left"/>
              <w:rPr>
                <w:rFonts w:cs="Arial"/>
                <w:color w:val="000000"/>
                <w:sz w:val="20"/>
                <w:szCs w:val="20"/>
                <w:lang w:val="en-US" w:eastAsia="zh-CN" w:bidi="bn-IN"/>
              </w:rPr>
            </w:pPr>
            <w:r w:rsidRPr="00D21E15">
              <w:rPr>
                <w:rFonts w:cs="Arial"/>
                <w:color w:val="000000"/>
                <w:sz w:val="20"/>
                <w:szCs w:val="20"/>
                <w:lang w:val="en-US" w:eastAsia="zh-CN" w:bidi="bn-IN"/>
              </w:rPr>
              <w:t xml:space="preserve">Zhang </w:t>
            </w:r>
            <w:r w:rsidR="00067DAE" w:rsidRPr="00067DAE">
              <w:rPr>
                <w:rFonts w:cs="Arial"/>
                <w:i/>
                <w:iCs/>
                <w:color w:val="000000"/>
                <w:sz w:val="20"/>
                <w:szCs w:val="20"/>
                <w:lang w:val="en-US" w:eastAsia="zh-CN" w:bidi="bn-IN"/>
              </w:rPr>
              <w:t>et al</w:t>
            </w:r>
            <w:r w:rsidRPr="00D21E15">
              <w:rPr>
                <w:rFonts w:cs="Arial"/>
                <w:color w:val="000000"/>
                <w:sz w:val="20"/>
                <w:szCs w:val="20"/>
                <w:lang w:val="en-US" w:eastAsia="zh-CN" w:bidi="bn-IN"/>
              </w:rPr>
              <w:t>. (2025)</w:t>
            </w:r>
          </w:p>
        </w:tc>
        <w:tc>
          <w:tcPr>
            <w:tcW w:w="1170" w:type="dxa"/>
            <w:noWrap/>
            <w:vAlign w:val="center"/>
            <w:hideMark/>
          </w:tcPr>
          <w:p w14:paraId="3406D5AD"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054015DC"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06933B6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595A3415"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260" w:type="dxa"/>
            <w:noWrap/>
            <w:vAlign w:val="center"/>
            <w:hideMark/>
          </w:tcPr>
          <w:p w14:paraId="748CF1C7"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620" w:type="dxa"/>
            <w:noWrap/>
            <w:vAlign w:val="center"/>
            <w:hideMark/>
          </w:tcPr>
          <w:p w14:paraId="5E244B90"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530" w:type="dxa"/>
            <w:noWrap/>
            <w:vAlign w:val="center"/>
            <w:hideMark/>
          </w:tcPr>
          <w:p w14:paraId="3173BF4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407E238B"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Can't tell</w:t>
            </w:r>
          </w:p>
        </w:tc>
        <w:tc>
          <w:tcPr>
            <w:tcW w:w="1350" w:type="dxa"/>
            <w:noWrap/>
            <w:vAlign w:val="center"/>
            <w:hideMark/>
          </w:tcPr>
          <w:p w14:paraId="42266509"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noWrap/>
            <w:vAlign w:val="center"/>
            <w:hideMark/>
          </w:tcPr>
          <w:p w14:paraId="55FEE66E" w14:textId="77777777"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Yes</w:t>
            </w:r>
          </w:p>
        </w:tc>
        <w:tc>
          <w:tcPr>
            <w:tcW w:w="1170" w:type="dxa"/>
            <w:vAlign w:val="center"/>
          </w:tcPr>
          <w:p w14:paraId="6D6EB9F5" w14:textId="2BA63645" w:rsidR="00D21E15" w:rsidRPr="00D21E15" w:rsidRDefault="00D21E15" w:rsidP="00D21E15">
            <w:pPr>
              <w:spacing w:line="276" w:lineRule="auto"/>
              <w:jc w:val="center"/>
              <w:rPr>
                <w:rFonts w:cs="Arial"/>
                <w:color w:val="000000"/>
                <w:sz w:val="20"/>
                <w:szCs w:val="20"/>
                <w:lang w:val="en-US" w:eastAsia="zh-CN" w:bidi="bn-IN"/>
              </w:rPr>
            </w:pPr>
            <w:r w:rsidRPr="00D21E15">
              <w:rPr>
                <w:rFonts w:cs="Arial"/>
                <w:color w:val="000000"/>
                <w:sz w:val="20"/>
                <w:szCs w:val="20"/>
                <w:lang w:val="en-US" w:eastAsia="zh-CN" w:bidi="bn-IN"/>
              </w:rPr>
              <w:t>Medium</w:t>
            </w:r>
          </w:p>
        </w:tc>
      </w:tr>
    </w:tbl>
    <w:p w14:paraId="5D69AA33" w14:textId="77777777" w:rsidR="00D21E15" w:rsidRDefault="00D21E15" w:rsidP="00BA150C">
      <w:pPr>
        <w:jc w:val="left"/>
      </w:pPr>
    </w:p>
    <w:p w14:paraId="3A127A70" w14:textId="641299C8" w:rsidR="003A6E38" w:rsidRPr="00D21E15" w:rsidRDefault="003A6E38" w:rsidP="00D21E15">
      <w:pPr>
        <w:spacing w:before="0" w:after="0"/>
      </w:pPr>
    </w:p>
    <w:sectPr w:rsidR="003A6E38" w:rsidRPr="00D21E15" w:rsidSect="00507BB8">
      <w:pgSz w:w="20160" w:h="12240" w:orient="landscape" w:code="5"/>
      <w:pgMar w:top="1440" w:right="1440" w:bottom="1440" w:left="1440" w:header="720" w:footer="720" w:gutter="0"/>
      <w:pgBorders w:offsetFrom="page">
        <w:top w:val="single" w:sz="12" w:space="24" w:color="0F243E" w:themeColor="text2" w:themeShade="80"/>
        <w:left w:val="single" w:sz="12" w:space="24" w:color="0F243E" w:themeColor="text2" w:themeShade="80"/>
        <w:bottom w:val="single" w:sz="12" w:space="24" w:color="0F243E" w:themeColor="text2" w:themeShade="80"/>
        <w:right w:val="single" w:sz="12" w:space="24" w:color="0F243E" w:themeColor="text2" w:themeShade="80"/>
      </w:pgBorders>
      <w:pgNumType w:start="7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0FCE50D" w14:textId="77777777" w:rsidR="00591F48" w:rsidRDefault="00591F48">
      <w:pPr>
        <w:spacing w:line="240" w:lineRule="auto"/>
      </w:pPr>
      <w:r>
        <w:separator/>
      </w:r>
    </w:p>
  </w:endnote>
  <w:endnote w:type="continuationSeparator" w:id="0">
    <w:p w14:paraId="70194ED0" w14:textId="77777777" w:rsidR="00591F48" w:rsidRDefault="00591F4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Mangal">
    <w:panose1 w:val="00000400000000000000"/>
    <w:charset w:val="00"/>
    <w:family w:val="roman"/>
    <w:pitch w:val="variable"/>
    <w:sig w:usb0="00008003" w:usb1="00000000" w:usb2="00000000" w:usb3="00000000" w:csb0="00000001"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7108797"/>
      <w:docPartObj>
        <w:docPartGallery w:val="Page Numbers (Bottom of Page)"/>
        <w:docPartUnique/>
      </w:docPartObj>
    </w:sdtPr>
    <w:sdtEndPr>
      <w:rPr>
        <w:noProof/>
      </w:rPr>
    </w:sdtEndPr>
    <w:sdtContent>
      <w:p w14:paraId="466E75BB" w14:textId="50DE353B" w:rsidR="00895B72" w:rsidRDefault="00895B7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1F5D2FD" w14:textId="77777777" w:rsidR="000D2118" w:rsidRDefault="000D2118">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EF654A" w14:textId="77777777" w:rsidR="00591F48" w:rsidRDefault="00591F48">
      <w:pPr>
        <w:spacing w:line="240" w:lineRule="auto"/>
      </w:pPr>
      <w:r>
        <w:separator/>
      </w:r>
    </w:p>
  </w:footnote>
  <w:footnote w:type="continuationSeparator" w:id="0">
    <w:p w14:paraId="6CB776C0" w14:textId="77777777" w:rsidR="00591F48" w:rsidRDefault="00591F4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CD6B2F"/>
    <w:multiLevelType w:val="multilevel"/>
    <w:tmpl w:val="568A60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BE71FD"/>
    <w:multiLevelType w:val="hybridMultilevel"/>
    <w:tmpl w:val="7536F778"/>
    <w:lvl w:ilvl="0" w:tplc="3009000F">
      <w:start w:val="1"/>
      <w:numFmt w:val="decimal"/>
      <w:lvlText w:val="%1."/>
      <w:lvlJc w:val="left"/>
      <w:pPr>
        <w:ind w:left="720" w:hanging="360"/>
      </w:pPr>
    </w:lvl>
    <w:lvl w:ilvl="1" w:tplc="30090019" w:tentative="1">
      <w:start w:val="1"/>
      <w:numFmt w:val="lowerLetter"/>
      <w:lvlText w:val="%2."/>
      <w:lvlJc w:val="left"/>
      <w:pPr>
        <w:ind w:left="1440" w:hanging="360"/>
      </w:pPr>
    </w:lvl>
    <w:lvl w:ilvl="2" w:tplc="3009001B" w:tentative="1">
      <w:start w:val="1"/>
      <w:numFmt w:val="lowerRoman"/>
      <w:lvlText w:val="%3."/>
      <w:lvlJc w:val="right"/>
      <w:pPr>
        <w:ind w:left="2160" w:hanging="180"/>
      </w:pPr>
    </w:lvl>
    <w:lvl w:ilvl="3" w:tplc="3009000F" w:tentative="1">
      <w:start w:val="1"/>
      <w:numFmt w:val="decimal"/>
      <w:lvlText w:val="%4."/>
      <w:lvlJc w:val="left"/>
      <w:pPr>
        <w:ind w:left="2880" w:hanging="360"/>
      </w:pPr>
    </w:lvl>
    <w:lvl w:ilvl="4" w:tplc="30090019" w:tentative="1">
      <w:start w:val="1"/>
      <w:numFmt w:val="lowerLetter"/>
      <w:lvlText w:val="%5."/>
      <w:lvlJc w:val="left"/>
      <w:pPr>
        <w:ind w:left="3600" w:hanging="360"/>
      </w:pPr>
    </w:lvl>
    <w:lvl w:ilvl="5" w:tplc="3009001B" w:tentative="1">
      <w:start w:val="1"/>
      <w:numFmt w:val="lowerRoman"/>
      <w:lvlText w:val="%6."/>
      <w:lvlJc w:val="right"/>
      <w:pPr>
        <w:ind w:left="4320" w:hanging="180"/>
      </w:pPr>
    </w:lvl>
    <w:lvl w:ilvl="6" w:tplc="3009000F" w:tentative="1">
      <w:start w:val="1"/>
      <w:numFmt w:val="decimal"/>
      <w:lvlText w:val="%7."/>
      <w:lvlJc w:val="left"/>
      <w:pPr>
        <w:ind w:left="5040" w:hanging="360"/>
      </w:pPr>
    </w:lvl>
    <w:lvl w:ilvl="7" w:tplc="30090019" w:tentative="1">
      <w:start w:val="1"/>
      <w:numFmt w:val="lowerLetter"/>
      <w:lvlText w:val="%8."/>
      <w:lvlJc w:val="left"/>
      <w:pPr>
        <w:ind w:left="5760" w:hanging="360"/>
      </w:pPr>
    </w:lvl>
    <w:lvl w:ilvl="8" w:tplc="3009001B" w:tentative="1">
      <w:start w:val="1"/>
      <w:numFmt w:val="lowerRoman"/>
      <w:lvlText w:val="%9."/>
      <w:lvlJc w:val="right"/>
      <w:pPr>
        <w:ind w:left="6480" w:hanging="180"/>
      </w:pPr>
    </w:lvl>
  </w:abstractNum>
  <w:abstractNum w:abstractNumId="2" w15:restartNumberingAfterBreak="0">
    <w:nsid w:val="6EDC2F55"/>
    <w:multiLevelType w:val="multilevel"/>
    <w:tmpl w:val="F95CD7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F834C5E"/>
    <w:multiLevelType w:val="hybridMultilevel"/>
    <w:tmpl w:val="06E02D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4484DCB"/>
    <w:multiLevelType w:val="hybridMultilevel"/>
    <w:tmpl w:val="65FCF9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605532860">
    <w:abstractNumId w:val="1"/>
  </w:num>
  <w:num w:numId="2" w16cid:durableId="2133010820">
    <w:abstractNumId w:val="3"/>
  </w:num>
  <w:num w:numId="3" w16cid:durableId="843473852">
    <w:abstractNumId w:val="4"/>
  </w:num>
  <w:num w:numId="4" w16cid:durableId="1312640160">
    <w:abstractNumId w:val="2"/>
  </w:num>
  <w:num w:numId="5" w16cid:durableId="14996186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D2118"/>
    <w:rsid w:val="00023297"/>
    <w:rsid w:val="00041CD2"/>
    <w:rsid w:val="00067DAE"/>
    <w:rsid w:val="000B4769"/>
    <w:rsid w:val="000D2118"/>
    <w:rsid w:val="001921C4"/>
    <w:rsid w:val="001E6208"/>
    <w:rsid w:val="001F2D14"/>
    <w:rsid w:val="00217BDF"/>
    <w:rsid w:val="00226DEC"/>
    <w:rsid w:val="00265C0B"/>
    <w:rsid w:val="002A21FD"/>
    <w:rsid w:val="002D0325"/>
    <w:rsid w:val="002D488A"/>
    <w:rsid w:val="002F1492"/>
    <w:rsid w:val="002F266C"/>
    <w:rsid w:val="002F7832"/>
    <w:rsid w:val="0030004D"/>
    <w:rsid w:val="00312412"/>
    <w:rsid w:val="003228BD"/>
    <w:rsid w:val="00371054"/>
    <w:rsid w:val="003A6E38"/>
    <w:rsid w:val="003B0139"/>
    <w:rsid w:val="003B5FDC"/>
    <w:rsid w:val="003F5EBC"/>
    <w:rsid w:val="004030D9"/>
    <w:rsid w:val="00417539"/>
    <w:rsid w:val="004319FC"/>
    <w:rsid w:val="00450EB8"/>
    <w:rsid w:val="004E5AB8"/>
    <w:rsid w:val="00507BB8"/>
    <w:rsid w:val="005214EB"/>
    <w:rsid w:val="00586544"/>
    <w:rsid w:val="00591F48"/>
    <w:rsid w:val="005C7029"/>
    <w:rsid w:val="005E5095"/>
    <w:rsid w:val="005E68B3"/>
    <w:rsid w:val="00600FB5"/>
    <w:rsid w:val="00633DB0"/>
    <w:rsid w:val="00646B01"/>
    <w:rsid w:val="00681220"/>
    <w:rsid w:val="006A28A3"/>
    <w:rsid w:val="006B69BB"/>
    <w:rsid w:val="006D5EC0"/>
    <w:rsid w:val="006F173A"/>
    <w:rsid w:val="007278D1"/>
    <w:rsid w:val="00774EB5"/>
    <w:rsid w:val="007A4C8F"/>
    <w:rsid w:val="007B04AD"/>
    <w:rsid w:val="007F3A32"/>
    <w:rsid w:val="007F733F"/>
    <w:rsid w:val="008156CA"/>
    <w:rsid w:val="00822531"/>
    <w:rsid w:val="0083752E"/>
    <w:rsid w:val="008443E7"/>
    <w:rsid w:val="00874A7B"/>
    <w:rsid w:val="00884F2F"/>
    <w:rsid w:val="00887CFD"/>
    <w:rsid w:val="00895B72"/>
    <w:rsid w:val="008B60F3"/>
    <w:rsid w:val="008C6D93"/>
    <w:rsid w:val="008D1069"/>
    <w:rsid w:val="008D585A"/>
    <w:rsid w:val="009673D4"/>
    <w:rsid w:val="00986B20"/>
    <w:rsid w:val="009A00FC"/>
    <w:rsid w:val="00A26F4D"/>
    <w:rsid w:val="00A73B9F"/>
    <w:rsid w:val="00A91041"/>
    <w:rsid w:val="00AC1616"/>
    <w:rsid w:val="00AE49B8"/>
    <w:rsid w:val="00AF6660"/>
    <w:rsid w:val="00AF6E26"/>
    <w:rsid w:val="00B63D4A"/>
    <w:rsid w:val="00BA150C"/>
    <w:rsid w:val="00BC796F"/>
    <w:rsid w:val="00BF3318"/>
    <w:rsid w:val="00C44E80"/>
    <w:rsid w:val="00C52467"/>
    <w:rsid w:val="00D02FA7"/>
    <w:rsid w:val="00D15394"/>
    <w:rsid w:val="00D21E15"/>
    <w:rsid w:val="00D272A6"/>
    <w:rsid w:val="00DB5B22"/>
    <w:rsid w:val="00E01E76"/>
    <w:rsid w:val="00EB7967"/>
    <w:rsid w:val="00EE14E2"/>
    <w:rsid w:val="00EE5A24"/>
    <w:rsid w:val="00F15271"/>
    <w:rsid w:val="00F868EE"/>
    <w:rsid w:val="00FC63D8"/>
    <w:rsid w:val="00FE627E"/>
  </w:rsids>
  <m:mathPr>
    <m:mathFont m:val="Cambria Math"/>
    <m:brkBin m:val="before"/>
    <m:brkBinSub m:val="--"/>
    <m:smallFrac m:val="0"/>
    <m:dispDef/>
    <m:lMargin m:val="0"/>
    <m:rMargin m:val="0"/>
    <m:defJc m:val="centerGroup"/>
    <m:wrapIndent m:val="1440"/>
    <m:intLim m:val="subSup"/>
    <m:naryLim m:val="undOvr"/>
  </m:mathPr>
  <w:themeFontLang w:val="en-ZW" w:eastAsia="zh-CN" w:bidi="hi-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F65A72"/>
  <w15:docId w15:val="{1EC3B27A-D7AD-4C59-B51C-42B03E368D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IN" w:eastAsia="en-ZW"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5394"/>
    <w:pPr>
      <w:spacing w:before="120" w:after="120"/>
    </w:pPr>
    <w:rPr>
      <w:rFonts w:ascii="Arial" w:hAnsi="Arial"/>
    </w:rPr>
  </w:style>
  <w:style w:type="paragraph" w:styleId="Heading1">
    <w:name w:val="heading 1"/>
    <w:basedOn w:val="Normal"/>
    <w:next w:val="Normal"/>
    <w:uiPriority w:val="9"/>
    <w:qFormat/>
    <w:rsid w:val="003228BD"/>
    <w:pPr>
      <w:keepNext/>
      <w:keepLines/>
      <w:jc w:val="center"/>
      <w:outlineLvl w:val="0"/>
    </w:pPr>
    <w:rPr>
      <w:b/>
      <w:sz w:val="32"/>
      <w:szCs w:val="28"/>
    </w:rPr>
  </w:style>
  <w:style w:type="paragraph" w:styleId="Heading2">
    <w:name w:val="heading 2"/>
    <w:basedOn w:val="Normal"/>
    <w:next w:val="Normal"/>
    <w:uiPriority w:val="9"/>
    <w:unhideWhenUsed/>
    <w:qFormat/>
    <w:rsid w:val="00AE49B8"/>
    <w:pPr>
      <w:keepNext/>
      <w:keepLines/>
      <w:spacing w:after="160" w:line="240" w:lineRule="auto"/>
      <w:outlineLvl w:val="1"/>
    </w:pPr>
    <w:rPr>
      <w:b/>
      <w:sz w:val="28"/>
    </w:rPr>
  </w:style>
  <w:style w:type="paragraph" w:styleId="Heading3">
    <w:name w:val="heading 3"/>
    <w:basedOn w:val="Normal"/>
    <w:next w:val="Normal"/>
    <w:uiPriority w:val="9"/>
    <w:unhideWhenUsed/>
    <w:qFormat/>
    <w:rsid w:val="00041CD2"/>
    <w:pPr>
      <w:keepNext/>
      <w:keepLines/>
      <w:spacing w:before="320" w:after="80"/>
      <w:outlineLvl w:val="2"/>
    </w:pPr>
    <w:rPr>
      <w:b/>
      <w:color w:val="0D0D0D" w:themeColor="text1" w:themeTint="F2"/>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eastAsia="Arial" w:cs="Arial"/>
      <w:color w:val="666666"/>
      <w:sz w:val="30"/>
      <w:szCs w:val="30"/>
    </w:rPr>
  </w:style>
  <w:style w:type="character" w:styleId="Hyperlink">
    <w:name w:val="Hyperlink"/>
    <w:basedOn w:val="DefaultParagraphFont"/>
    <w:uiPriority w:val="99"/>
    <w:unhideWhenUsed/>
    <w:rsid w:val="008D1069"/>
    <w:rPr>
      <w:color w:val="0000FF" w:themeColor="hyperlink"/>
      <w:u w:val="single"/>
    </w:rPr>
  </w:style>
  <w:style w:type="character" w:styleId="UnresolvedMention">
    <w:name w:val="Unresolved Mention"/>
    <w:basedOn w:val="DefaultParagraphFont"/>
    <w:uiPriority w:val="99"/>
    <w:semiHidden/>
    <w:unhideWhenUsed/>
    <w:rsid w:val="008D1069"/>
    <w:rPr>
      <w:color w:val="605E5C"/>
      <w:shd w:val="clear" w:color="auto" w:fill="E1DFDD"/>
    </w:rPr>
  </w:style>
  <w:style w:type="paragraph" w:styleId="ListParagraph">
    <w:name w:val="List Paragraph"/>
    <w:basedOn w:val="Normal"/>
    <w:uiPriority w:val="34"/>
    <w:qFormat/>
    <w:rsid w:val="008D1069"/>
    <w:pPr>
      <w:ind w:left="720"/>
      <w:contextualSpacing/>
    </w:pPr>
  </w:style>
  <w:style w:type="paragraph" w:styleId="TOC1">
    <w:name w:val="toc 1"/>
    <w:basedOn w:val="Normal"/>
    <w:next w:val="Normal"/>
    <w:autoRedefine/>
    <w:uiPriority w:val="39"/>
    <w:unhideWhenUsed/>
    <w:rsid w:val="00C44E80"/>
    <w:pPr>
      <w:tabs>
        <w:tab w:val="right" w:leader="dot" w:pos="9016"/>
      </w:tabs>
      <w:spacing w:after="100"/>
    </w:pPr>
  </w:style>
  <w:style w:type="paragraph" w:styleId="TOC2">
    <w:name w:val="toc 2"/>
    <w:basedOn w:val="Normal"/>
    <w:next w:val="Normal"/>
    <w:autoRedefine/>
    <w:uiPriority w:val="39"/>
    <w:unhideWhenUsed/>
    <w:rsid w:val="00A73B9F"/>
    <w:pPr>
      <w:spacing w:after="100"/>
      <w:ind w:left="240"/>
    </w:pPr>
  </w:style>
  <w:style w:type="paragraph" w:styleId="Header">
    <w:name w:val="header"/>
    <w:basedOn w:val="Normal"/>
    <w:link w:val="HeaderChar"/>
    <w:uiPriority w:val="99"/>
    <w:unhideWhenUsed/>
    <w:rsid w:val="002F266C"/>
    <w:pPr>
      <w:tabs>
        <w:tab w:val="center" w:pos="4513"/>
        <w:tab w:val="right" w:pos="9026"/>
      </w:tabs>
      <w:spacing w:line="240" w:lineRule="auto"/>
    </w:pPr>
  </w:style>
  <w:style w:type="character" w:customStyle="1" w:styleId="HeaderChar">
    <w:name w:val="Header Char"/>
    <w:basedOn w:val="DefaultParagraphFont"/>
    <w:link w:val="Header"/>
    <w:uiPriority w:val="99"/>
    <w:rsid w:val="002F266C"/>
  </w:style>
  <w:style w:type="paragraph" w:styleId="Footer">
    <w:name w:val="footer"/>
    <w:basedOn w:val="Normal"/>
    <w:link w:val="FooterChar"/>
    <w:uiPriority w:val="99"/>
    <w:unhideWhenUsed/>
    <w:rsid w:val="002F266C"/>
    <w:pPr>
      <w:tabs>
        <w:tab w:val="center" w:pos="4513"/>
        <w:tab w:val="right" w:pos="9026"/>
      </w:tabs>
      <w:spacing w:line="240" w:lineRule="auto"/>
    </w:pPr>
  </w:style>
  <w:style w:type="character" w:customStyle="1" w:styleId="FooterChar">
    <w:name w:val="Footer Char"/>
    <w:basedOn w:val="DefaultParagraphFont"/>
    <w:link w:val="Footer"/>
    <w:uiPriority w:val="99"/>
    <w:rsid w:val="002F266C"/>
  </w:style>
  <w:style w:type="paragraph" w:styleId="NormalWeb">
    <w:name w:val="Normal (Web)"/>
    <w:basedOn w:val="Normal"/>
    <w:uiPriority w:val="99"/>
    <w:semiHidden/>
    <w:unhideWhenUsed/>
    <w:rsid w:val="003228BD"/>
    <w:rPr>
      <w:rFonts w:ascii="Times New Roman" w:hAnsi="Times New Roman"/>
    </w:rPr>
  </w:style>
  <w:style w:type="character" w:styleId="FollowedHyperlink">
    <w:name w:val="FollowedHyperlink"/>
    <w:basedOn w:val="DefaultParagraphFont"/>
    <w:uiPriority w:val="99"/>
    <w:semiHidden/>
    <w:unhideWhenUsed/>
    <w:rsid w:val="006F173A"/>
    <w:rPr>
      <w:color w:val="800080" w:themeColor="followedHyperlink"/>
      <w:u w:val="single"/>
    </w:rPr>
  </w:style>
  <w:style w:type="table" w:styleId="PlainTable1">
    <w:name w:val="Plain Table 1"/>
    <w:basedOn w:val="TableNormal"/>
    <w:uiPriority w:val="41"/>
    <w:rsid w:val="00AE49B8"/>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
    <w:name w:val="Table Grid"/>
    <w:basedOn w:val="TableNormal"/>
    <w:uiPriority w:val="39"/>
    <w:rsid w:val="000B476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D488A"/>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774EB5"/>
    <w:pPr>
      <w:spacing w:before="0" w:after="200" w:line="240" w:lineRule="auto"/>
    </w:pPr>
    <w:rPr>
      <w:i/>
      <w:iCs/>
      <w:color w:val="1F497D" w:themeColor="text2"/>
      <w:sz w:val="18"/>
      <w:szCs w:val="18"/>
    </w:rPr>
  </w:style>
  <w:style w:type="paragraph" w:styleId="TOC3">
    <w:name w:val="toc 3"/>
    <w:basedOn w:val="Normal"/>
    <w:next w:val="Normal"/>
    <w:autoRedefine/>
    <w:uiPriority w:val="39"/>
    <w:unhideWhenUsed/>
    <w:rsid w:val="00A26F4D"/>
    <w:pPr>
      <w:spacing w:after="100"/>
      <w:ind w:left="480"/>
    </w:pPr>
  </w:style>
  <w:style w:type="paragraph" w:customStyle="1" w:styleId="paragraph">
    <w:name w:val="paragraph"/>
    <w:basedOn w:val="Normal"/>
    <w:rsid w:val="00067DAE"/>
    <w:pPr>
      <w:spacing w:before="100" w:beforeAutospacing="1" w:after="100" w:afterAutospacing="1" w:line="240" w:lineRule="auto"/>
    </w:pPr>
    <w:rPr>
      <w:rFonts w:ascii="Times New Roman" w:hAnsi="Times New Roman"/>
      <w:lang w:val="en-GB" w:eastAsia="zh-CN"/>
    </w:rPr>
  </w:style>
  <w:style w:type="character" w:customStyle="1" w:styleId="normaltextrun">
    <w:name w:val="normaltextrun"/>
    <w:basedOn w:val="DefaultParagraphFont"/>
    <w:rsid w:val="00067DAE"/>
  </w:style>
  <w:style w:type="character" w:customStyle="1" w:styleId="eop">
    <w:name w:val="eop"/>
    <w:basedOn w:val="DefaultParagraphFont"/>
    <w:rsid w:val="00067DAE"/>
  </w:style>
  <w:style w:type="paragraph" w:styleId="NoSpacing">
    <w:name w:val="No Spacing"/>
    <w:uiPriority w:val="1"/>
    <w:qFormat/>
    <w:rsid w:val="00884F2F"/>
    <w:rPr>
      <w:rFonts w:ascii="Arial" w:hAnsi="Arial"/>
      <w:i/>
      <w:color w:val="0070C0"/>
      <w:sz w:val="20"/>
    </w:rPr>
  </w:style>
  <w:style w:type="paragraph" w:styleId="TableofFigures">
    <w:name w:val="table of figures"/>
    <w:basedOn w:val="Normal"/>
    <w:next w:val="Normal"/>
    <w:uiPriority w:val="99"/>
    <w:unhideWhenUsed/>
    <w:rsid w:val="00884F2F"/>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doi.org/10.1007/s11192-020-03810-0" TargetMode="External"/><Relationship Id="rId21" Type="http://schemas.openxmlformats.org/officeDocument/2006/relationships/hyperlink" Target="https://www.tandfonline.com/doi/full/10.1080/00343404.2022.2071421" TargetMode="External"/><Relationship Id="rId42" Type="http://schemas.openxmlformats.org/officeDocument/2006/relationships/hyperlink" Target="https://doi.org/10.1111/jofi.13293" TargetMode="External"/><Relationship Id="rId47" Type="http://schemas.openxmlformats.org/officeDocument/2006/relationships/hyperlink" Target="https://doi.org/10.1080/01442872.2023.2214090" TargetMode="External"/><Relationship Id="rId63" Type="http://schemas.openxmlformats.org/officeDocument/2006/relationships/hyperlink" Target="https://doi.org/10.1108/IJOPM-10-2019-0668" TargetMode="External"/><Relationship Id="rId68" Type="http://schemas.openxmlformats.org/officeDocument/2006/relationships/hyperlink" Target="https://doi.org/10.1108/978-1-83909-624-220211011" TargetMode="External"/><Relationship Id="rId84" Type="http://schemas.openxmlformats.org/officeDocument/2006/relationships/hyperlink" Target="https://doi.org/10.1108/intr-07-2021-0503" TargetMode="External"/><Relationship Id="rId16" Type="http://schemas.openxmlformats.org/officeDocument/2006/relationships/hyperlink" Target="https://doi.org/10.1186/s13643-023-02322-1" TargetMode="External"/><Relationship Id="rId11" Type="http://schemas.openxmlformats.org/officeDocument/2006/relationships/image" Target="media/image4.jpeg"/><Relationship Id="rId32" Type="http://schemas.openxmlformats.org/officeDocument/2006/relationships/hyperlink" Target="https://doi.org/10.1016/j.jebo.2020.12.025" TargetMode="External"/><Relationship Id="rId37" Type="http://schemas.openxmlformats.org/officeDocument/2006/relationships/hyperlink" Target="https://doi.org/10.1080/23311975.2025.2508927" TargetMode="External"/><Relationship Id="rId53" Type="http://schemas.openxmlformats.org/officeDocument/2006/relationships/hyperlink" Target="https://doi.org/10.3390/jrfm18080421" TargetMode="External"/><Relationship Id="rId58" Type="http://schemas.openxmlformats.org/officeDocument/2006/relationships/hyperlink" Target="https://doi.org/10.1186/s13643-021-01626-4" TargetMode="External"/><Relationship Id="rId74" Type="http://schemas.openxmlformats.org/officeDocument/2006/relationships/hyperlink" Target="https://doi.org/10.56201/ijebm.vol.11.no6.2025.pg266.284" TargetMode="External"/><Relationship Id="rId79" Type="http://schemas.openxmlformats.org/officeDocument/2006/relationships/hyperlink" Target="https://doi.org/10.1111/j.1756-5391.2011.01122.x" TargetMode="External"/><Relationship Id="rId5" Type="http://schemas.openxmlformats.org/officeDocument/2006/relationships/webSettings" Target="webSettings.xml"/><Relationship Id="rId19" Type="http://schemas.openxmlformats.org/officeDocument/2006/relationships/hyperlink" Target="https://openjournals.library.sydney.edu.au/ANZJES/article/view/17978/15278" TargetMode="External"/><Relationship Id="rId14" Type="http://schemas.openxmlformats.org/officeDocument/2006/relationships/footer" Target="footer1.xml"/><Relationship Id="rId22" Type="http://schemas.openxmlformats.org/officeDocument/2006/relationships/hyperlink" Target="https://doi.org/10.1108/jbs-11-2019-0223" TargetMode="External"/><Relationship Id="rId27" Type="http://schemas.openxmlformats.org/officeDocument/2006/relationships/hyperlink" Target="https://aisel.aisnet.org/icis2024/diginnoventren/diginnoventren/34" TargetMode="External"/><Relationship Id="rId30" Type="http://schemas.openxmlformats.org/officeDocument/2006/relationships/hyperlink" Target="https://doi.org/10.1016/j.pirs.2024.100045" TargetMode="External"/><Relationship Id="rId35" Type="http://schemas.openxmlformats.org/officeDocument/2006/relationships/hyperlink" Target="https://doi.org/10.1177/10946705241271384" TargetMode="External"/><Relationship Id="rId43" Type="http://schemas.openxmlformats.org/officeDocument/2006/relationships/hyperlink" Target="https://doi.org/10.3390/futuretransp5020074" TargetMode="External"/><Relationship Id="rId48" Type="http://schemas.openxmlformats.org/officeDocument/2006/relationships/hyperlink" Target="https://doi.org/10.1007/978-3-030-45831-7_8" TargetMode="External"/><Relationship Id="rId56" Type="http://schemas.openxmlformats.org/officeDocument/2006/relationships/hyperlink" Target="https://acjol.org/index.php/ejopah/article/view/5885" TargetMode="External"/><Relationship Id="rId64" Type="http://schemas.openxmlformats.org/officeDocument/2006/relationships/hyperlink" Target="https://jyx.jyu.fi/jyx/Record/jyx_123456789_99057" TargetMode="External"/><Relationship Id="rId69" Type="http://schemas.openxmlformats.org/officeDocument/2006/relationships/hyperlink" Target="https://researchportal.port.ac.uk/files/52101445/SMEs_engagement_with_the_Sustainable_Development_Goals_a_power_perspective.pdf" TargetMode="External"/><Relationship Id="rId77" Type="http://schemas.openxmlformats.org/officeDocument/2006/relationships/hyperlink" Target="https://doi.org/10.1002/gsj.1375" TargetMode="External"/><Relationship Id="rId8" Type="http://schemas.openxmlformats.org/officeDocument/2006/relationships/image" Target="media/image1.jpeg"/><Relationship Id="rId51" Type="http://schemas.openxmlformats.org/officeDocument/2006/relationships/hyperlink" Target="https://doi.org/10.1111/1467-923x.13039" TargetMode="External"/><Relationship Id="rId72" Type="http://schemas.openxmlformats.org/officeDocument/2006/relationships/hyperlink" Target="https://www.tandfonline.com/doi/full/10.1080/00130095.2020.1820862" TargetMode="External"/><Relationship Id="rId80" Type="http://schemas.openxmlformats.org/officeDocument/2006/relationships/hyperlink" Target="https://doi.org/10.5040/9781526520395" TargetMode="External"/><Relationship Id="rId85"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doi.org/10.1108/jeim-02-2023-0092" TargetMode="External"/><Relationship Id="rId25" Type="http://schemas.openxmlformats.org/officeDocument/2006/relationships/hyperlink" Target="https://hdl.handle.net/20.500.14247/4037" TargetMode="External"/><Relationship Id="rId33" Type="http://schemas.openxmlformats.org/officeDocument/2006/relationships/hyperlink" Target="https://doi.org/10.1108/bfj-11-2022-0982" TargetMode="External"/><Relationship Id="rId38" Type="http://schemas.openxmlformats.org/officeDocument/2006/relationships/hyperlink" Target="https://doi.org/10.1080/09615768.2023.2187615" TargetMode="External"/><Relationship Id="rId46" Type="http://schemas.openxmlformats.org/officeDocument/2006/relationships/hyperlink" Target="https://doi.org/10.1111/1467-8551.12479" TargetMode="External"/><Relationship Id="rId59" Type="http://schemas.openxmlformats.org/officeDocument/2006/relationships/hyperlink" Target="https://www.enterpriseresearch.ac.uk/wp-content/uploads/2023/07/ERC-ResPap106-Brexit-and-Digital-Technology-Adoption-of-UK-SMEs.pdf" TargetMode="External"/><Relationship Id="rId67" Type="http://schemas.openxmlformats.org/officeDocument/2006/relationships/hyperlink" Target="https://doi.org/10.1108/978-1-83909-624-220211013" TargetMode="External"/><Relationship Id="rId20" Type="http://schemas.openxmlformats.org/officeDocument/2006/relationships/hyperlink" Target="https://doi.org/10.1515/9783110749472-002" TargetMode="External"/><Relationship Id="rId41" Type="http://schemas.openxmlformats.org/officeDocument/2006/relationships/hyperlink" Target="https://doi.org/10.1016/j.techfore.2024.123833" TargetMode="External"/><Relationship Id="rId54" Type="http://schemas.openxmlformats.org/officeDocument/2006/relationships/hyperlink" Target="https://doi.org/10.1016/j.techfore.2025.124184" TargetMode="External"/><Relationship Id="rId62" Type="http://schemas.openxmlformats.org/officeDocument/2006/relationships/hyperlink" Target="https://doi.org/10.3390/computers10110150" TargetMode="External"/><Relationship Id="rId70" Type="http://schemas.openxmlformats.org/officeDocument/2006/relationships/hyperlink" Target="https://doi.org/10.1016/j.jrurstud.2025.103683" TargetMode="External"/><Relationship Id="rId75" Type="http://schemas.openxmlformats.org/officeDocument/2006/relationships/hyperlink" Target="https://doi.org/10.5281/zenodo.17109827" TargetMode="External"/><Relationship Id="rId83" Type="http://schemas.openxmlformats.org/officeDocument/2006/relationships/hyperlink" Target="https://doi.org/10.1016/j.lrp.2025.102588"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08/jbim-09-2018-0276" TargetMode="External"/><Relationship Id="rId23" Type="http://schemas.openxmlformats.org/officeDocument/2006/relationships/hyperlink" Target="https://doi.org/10.1016/j.jfineco.2021.03.009" TargetMode="External"/><Relationship Id="rId28" Type="http://schemas.openxmlformats.org/officeDocument/2006/relationships/hyperlink" Target="https://doi.org/10.4337/9781800882867.00011" TargetMode="External"/><Relationship Id="rId36" Type="http://schemas.openxmlformats.org/officeDocument/2006/relationships/hyperlink" Target="https://doi.org/10.1057/s42214-024-00202-6" TargetMode="External"/><Relationship Id="rId49" Type="http://schemas.openxmlformats.org/officeDocument/2006/relationships/hyperlink" Target="https://doi.org/10.1016/j.jwb.2025.101629" TargetMode="External"/><Relationship Id="rId57" Type="http://schemas.openxmlformats.org/officeDocument/2006/relationships/hyperlink" Target="https://doi.org/10.1108/jfmpc-11-2022-0057" TargetMode="External"/><Relationship Id="rId10" Type="http://schemas.openxmlformats.org/officeDocument/2006/relationships/image" Target="media/image3.png"/><Relationship Id="rId31" Type="http://schemas.openxmlformats.org/officeDocument/2006/relationships/hyperlink" Target="https://link.springer.com/article/10.1057/s41267-020-00319-9" TargetMode="External"/><Relationship Id="rId44" Type="http://schemas.openxmlformats.org/officeDocument/2006/relationships/hyperlink" Target="https://doi.org/10.3390/su12218770" TargetMode="External"/><Relationship Id="rId52" Type="http://schemas.openxmlformats.org/officeDocument/2006/relationships/hyperlink" Target="https://doi.org/10.5281/zenodo.17737373" TargetMode="External"/><Relationship Id="rId60" Type="http://schemas.openxmlformats.org/officeDocument/2006/relationships/hyperlink" Target="https://commonslibrary.parliament.uk/research-briefings/cbp-10162/?utm" TargetMode="External"/><Relationship Id="rId65" Type="http://schemas.openxmlformats.org/officeDocument/2006/relationships/hyperlink" Target="https://doi.org/10.3389/frma.2023.1268045" TargetMode="External"/><Relationship Id="rId73" Type="http://schemas.openxmlformats.org/officeDocument/2006/relationships/hyperlink" Target="https://doi.org/10.1080/1051712x.2023.2214551" TargetMode="External"/><Relationship Id="rId78" Type="http://schemas.openxmlformats.org/officeDocument/2006/relationships/hyperlink" Target="https://doi.org/10.1111/1467-8551.12714" TargetMode="External"/><Relationship Id="rId81" Type="http://schemas.openxmlformats.org/officeDocument/2006/relationships/hyperlink" Target="https://www.mdpi.com/0718-1876/18/2/40" TargetMode="External"/><Relationship Id="rId86"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hyperlink" Target="https://doi.org/10.1257/pol.20200808" TargetMode="External"/><Relationship Id="rId39" Type="http://schemas.openxmlformats.org/officeDocument/2006/relationships/hyperlink" Target="https://doi.org/10.2991/assehr.k.220105.281" TargetMode="External"/><Relationship Id="rId34" Type="http://schemas.openxmlformats.org/officeDocument/2006/relationships/hyperlink" Target="https://doi.org/10.1057/s42214-024-00196-1" TargetMode="External"/><Relationship Id="rId50" Type="http://schemas.openxmlformats.org/officeDocument/2006/relationships/hyperlink" Target="https://repository.essex.ac.uk/36293/3/ERC-ResPap105-The-impact-of-Brexit-on-the-internationalisation-innovation-and-turnover-of-UK-SMEs.pdf" TargetMode="External"/><Relationship Id="rId55" Type="http://schemas.openxmlformats.org/officeDocument/2006/relationships/hyperlink" Target="https://www.nortonrosefulbright.com/en/knowledge/publications/b5c7b5cc/impact-of-brexit-on-technology-and-innovation" TargetMode="External"/><Relationship Id="rId76" Type="http://schemas.openxmlformats.org/officeDocument/2006/relationships/hyperlink" Target="https://www.uwtsd.ac.uk/research/research-integrity-and-ethics" TargetMode="External"/><Relationship Id="rId7" Type="http://schemas.openxmlformats.org/officeDocument/2006/relationships/endnotes" Target="endnotes.xml"/><Relationship Id="rId71" Type="http://schemas.openxmlformats.org/officeDocument/2006/relationships/hyperlink" Target="https://doi.org/10.1007/978-3-658-27602-7_3" TargetMode="External"/><Relationship Id="rId2" Type="http://schemas.openxmlformats.org/officeDocument/2006/relationships/numbering" Target="numbering.xml"/><Relationship Id="rId29" Type="http://schemas.openxmlformats.org/officeDocument/2006/relationships/hyperlink" Target="https://doi.org/10.1108/ribs-06-2019-0075" TargetMode="External"/><Relationship Id="rId24" Type="http://schemas.openxmlformats.org/officeDocument/2006/relationships/hyperlink" Target="https://doi.org/10.1177/0269094220979261" TargetMode="External"/><Relationship Id="rId40" Type="http://schemas.openxmlformats.org/officeDocument/2006/relationships/hyperlink" Target="https://www.gov.uk/government/publications/procurement-act-2023-short-guides/supplementary-information-small-and-medium-sized-enterprises-definition-html" TargetMode="External"/><Relationship Id="rId45" Type="http://schemas.openxmlformats.org/officeDocument/2006/relationships/hyperlink" Target="https://doi.org/10.1504/ijgsb.2024.138680" TargetMode="External"/><Relationship Id="rId66" Type="http://schemas.openxmlformats.org/officeDocument/2006/relationships/hyperlink" Target="https://doi.org/10.3390/su16198667" TargetMode="External"/><Relationship Id="rId61" Type="http://schemas.openxmlformats.org/officeDocument/2006/relationships/hyperlink" Target="https://doi.org/10.1002/bsd2.71" TargetMode="External"/><Relationship Id="rId82" Type="http://schemas.openxmlformats.org/officeDocument/2006/relationships/hyperlink" Target="https://web.snauka.ru/en/issues/2022/06/98509?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B76C2D-856E-48A5-AFD1-DA77181DE1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TotalTime>
  <Pages>77</Pages>
  <Words>22516</Words>
  <Characters>128344</Characters>
  <DocSecurity>0</DocSecurity>
  <Lines>1069</Lines>
  <Paragraphs>301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150559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2026-01-07T10:40:00Z</dcterms:created>
  <dcterms:modified xsi:type="dcterms:W3CDTF">2026-01-07T13:48:00Z</dcterms:modified>
</cp:coreProperties>
</file>