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57290269"/>
        <w:docPartObj>
          <w:docPartGallery w:val="Cover Pages"/>
          <w:docPartUnique/>
        </w:docPartObj>
      </w:sdtPr>
      <w:sdtEndPr>
        <w:rPr>
          <w:rFonts w:eastAsiaTheme="majorEastAsia" w:cs="Arial"/>
          <w:b/>
          <w:bCs/>
          <w:sz w:val="40"/>
          <w:szCs w:val="40"/>
        </w:rPr>
      </w:sdtEndPr>
      <w:sdtContent>
        <w:p w14:paraId="701DA30B" w14:textId="77777777" w:rsidR="00825EDA" w:rsidRPr="00835089" w:rsidRDefault="00825EDA" w:rsidP="00825EDA"/>
        <w:p w14:paraId="1F7ED81B" w14:textId="77777777" w:rsidR="00825EDA" w:rsidRPr="00835089" w:rsidRDefault="00825EDA" w:rsidP="00825EDA"/>
        <w:p w14:paraId="7928A88D" w14:textId="77777777" w:rsidR="00825EDA" w:rsidRPr="00835089" w:rsidRDefault="00825EDA" w:rsidP="00825EDA"/>
        <w:p w14:paraId="05E6DA8E" w14:textId="77777777" w:rsidR="00825EDA" w:rsidRPr="00835089" w:rsidRDefault="00825EDA" w:rsidP="00825EDA"/>
        <w:p w14:paraId="3A6C1E82" w14:textId="77777777" w:rsidR="00825EDA" w:rsidRPr="00835089" w:rsidRDefault="00825EDA" w:rsidP="00825EDA"/>
        <w:p w14:paraId="5A9F8F34" w14:textId="01B4B85D" w:rsidR="004A1574" w:rsidRPr="00835089" w:rsidRDefault="00B03FB7" w:rsidP="00835089">
          <w:pPr>
            <w:jc w:val="center"/>
            <w:rPr>
              <w:rFonts w:eastAsiaTheme="majorEastAsia" w:cs="Arial"/>
              <w:b/>
              <w:bCs/>
              <w:sz w:val="40"/>
              <w:szCs w:val="40"/>
            </w:rPr>
          </w:pPr>
          <w:r w:rsidRPr="00B03FB7">
            <w:rPr>
              <w:b/>
              <w:color w:val="FFFFFF" w:themeColor="background1"/>
              <w:sz w:val="72"/>
              <w:szCs w:val="72"/>
            </w:rPr>
            <w:t>Management Accounting for Managers: Tesco PLC</w:t>
          </w:r>
          <w:r w:rsidR="00E40E4E" w:rsidRPr="00835089">
            <w:rPr>
              <w:noProof/>
            </w:rPr>
            <mc:AlternateContent>
              <mc:Choice Requires="wps">
                <w:drawing>
                  <wp:anchor distT="0" distB="0" distL="114300" distR="114300" simplePos="0" relativeHeight="251662336" behindDoc="0" locked="0" layoutInCell="1" allowOverlap="1" wp14:anchorId="76F54A56" wp14:editId="076B6D95">
                    <wp:simplePos x="0" y="0"/>
                    <wp:positionH relativeFrom="page">
                      <wp:posOffset>476250</wp:posOffset>
                    </wp:positionH>
                    <wp:positionV relativeFrom="margin">
                      <wp:posOffset>8220075</wp:posOffset>
                    </wp:positionV>
                    <wp:extent cx="5753100" cy="142875"/>
                    <wp:effectExtent l="0" t="0" r="0" b="952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2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0C1624" w14:textId="5708ED78" w:rsidR="00E40E4E" w:rsidRPr="00835089" w:rsidRDefault="00B03FB7" w:rsidP="00E40E4E">
                                <w:pPr>
                                  <w:pStyle w:val="NoSpacing"/>
                                  <w:rPr>
                                    <w:color w:val="7F7F7F" w:themeColor="text1" w:themeTint="80"/>
                                    <w:sz w:val="18"/>
                                    <w:szCs w:val="18"/>
                                    <w:lang w:val="en-GB"/>
                                  </w:rPr>
                                </w:pPr>
                                <w:sdt>
                                  <w:sdtPr>
                                    <w:rPr>
                                      <w:caps/>
                                      <w:color w:val="7F7F7F" w:themeColor="text1" w:themeTint="80"/>
                                      <w:sz w:val="18"/>
                                      <w:szCs w:val="18"/>
                                      <w:lang w:val="en-GB"/>
                                    </w:rPr>
                                    <w:alias w:val="Company"/>
                                    <w:tag w:val=""/>
                                    <w:id w:val="-1880927279"/>
                                    <w:dataBinding w:prefixMappings="xmlns:ns0='http://schemas.openxmlformats.org/officeDocument/2006/extended-properties' " w:xpath="/ns0:Properties[1]/ns0:Company[1]" w:storeItemID="{6668398D-A668-4E3E-A5EB-62B293D839F1}"/>
                                    <w:text/>
                                  </w:sdtPr>
                                  <w:sdtContent>
                                    <w:r w:rsidRPr="00B03FB7">
                                      <w:rPr>
                                        <w:caps/>
                                        <w:color w:val="7F7F7F" w:themeColor="text1" w:themeTint="80"/>
                                        <w:sz w:val="18"/>
                                        <w:szCs w:val="18"/>
                                        <w:lang w:val="en-GB"/>
                                      </w:rPr>
                                      <w:t>Dr Patrick Yeboah</w:t>
                                    </w:r>
                                  </w:sdtContent>
                                </w:sdt>
                                <w:r w:rsidR="00E40E4E" w:rsidRPr="00835089">
                                  <w:rPr>
                                    <w:caps/>
                                    <w:color w:val="7F7F7F" w:themeColor="text1" w:themeTint="80"/>
                                    <w:sz w:val="18"/>
                                    <w:szCs w:val="18"/>
                                    <w:lang w:val="en-GB"/>
                                  </w:rPr>
                                  <w:t> </w:t>
                                </w:r>
                                <w:r w:rsidR="00E40E4E" w:rsidRPr="00835089">
                                  <w:rPr>
                                    <w:color w:val="7F7F7F" w:themeColor="text1" w:themeTint="80"/>
                                    <w:sz w:val="18"/>
                                    <w:szCs w:val="18"/>
                                    <w:lang w:val="en-GB"/>
                                  </w:rPr>
                                  <w:t>| </w:t>
                                </w:r>
                                <w:sdt>
                                  <w:sdtPr>
                                    <w:rPr>
                                      <w:color w:val="7F7F7F" w:themeColor="text1" w:themeTint="80"/>
                                      <w:sz w:val="18"/>
                                      <w:szCs w:val="18"/>
                                      <w:lang w:val="en-GB"/>
                                    </w:rPr>
                                    <w:alias w:val="Address"/>
                                    <w:tag w:val=""/>
                                    <w:id w:val="-1023088507"/>
                                    <w:dataBinding w:prefixMappings="xmlns:ns0='http://schemas.microsoft.com/office/2006/coverPageProps' " w:xpath="/ns0:CoverPageProperties[1]/ns0:CompanyAddress[1]" w:storeItemID="{55AF091B-3C7A-41E3-B477-F2FDAA23CFDA}"/>
                                    <w:text/>
                                  </w:sdtPr>
                                  <w:sdtContent>
                                    <w:r w:rsidRPr="00B03FB7">
                                      <w:rPr>
                                        <w:color w:val="7F7F7F" w:themeColor="text1" w:themeTint="80"/>
                                        <w:sz w:val="18"/>
                                        <w:szCs w:val="18"/>
                                        <w:lang w:val="en-GB"/>
                                      </w:rPr>
                                      <w:t>LCBB5010</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76F54A56" id="_x0000_t202" coordsize="21600,21600" o:spt="202" path="m,l,21600r21600,l21600,xe">
                    <v:stroke joinstyle="miter"/>
                    <v:path gradientshapeok="t" o:connecttype="rect"/>
                  </v:shapetype>
                  <v:shape id="Text Box 128" o:spid="_x0000_s1026" type="#_x0000_t202" style="position:absolute;left:0;text-align:left;margin-left:37.5pt;margin-top:647.25pt;width:453pt;height:11.2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" filled="f" stroked="f" strokeweight=".5pt">
                    <v:textbox inset="1in,0,86.4pt,0">
                      <w:txbxContent>
                        <w:p w14:paraId="7D0C1624" w14:textId="5708ED78" w:rsidR="00E40E4E" w:rsidRPr="00835089" w:rsidRDefault="00B03FB7" w:rsidP="00E40E4E">
                          <w:pPr>
                            <w:pStyle w:val="NoSpacing"/>
                            <w:rPr>
                              <w:color w:val="7F7F7F" w:themeColor="text1" w:themeTint="80"/>
                              <w:sz w:val="18"/>
                              <w:szCs w:val="18"/>
                              <w:lang w:val="en-GB"/>
                            </w:rPr>
                          </w:pPr>
                          <w:sdt>
                            <w:sdtPr>
                              <w:rPr>
                                <w:caps/>
                                <w:color w:val="7F7F7F" w:themeColor="text1" w:themeTint="80"/>
                                <w:sz w:val="18"/>
                                <w:szCs w:val="18"/>
                                <w:lang w:val="en-GB"/>
                              </w:rPr>
                              <w:alias w:val="Company"/>
                              <w:tag w:val=""/>
                              <w:id w:val="-1880927279"/>
                              <w:dataBinding w:prefixMappings="xmlns:ns0='http://schemas.openxmlformats.org/officeDocument/2006/extended-properties' " w:xpath="/ns0:Properties[1]/ns0:Company[1]" w:storeItemID="{6668398D-A668-4E3E-A5EB-62B293D839F1}"/>
                              <w:text/>
                            </w:sdtPr>
                            <w:sdtContent>
                              <w:r w:rsidRPr="00B03FB7">
                                <w:rPr>
                                  <w:caps/>
                                  <w:color w:val="7F7F7F" w:themeColor="text1" w:themeTint="80"/>
                                  <w:sz w:val="18"/>
                                  <w:szCs w:val="18"/>
                                  <w:lang w:val="en-GB"/>
                                </w:rPr>
                                <w:t>Dr Patrick Yeboah</w:t>
                              </w:r>
                            </w:sdtContent>
                          </w:sdt>
                          <w:r w:rsidR="00E40E4E" w:rsidRPr="00835089">
                            <w:rPr>
                              <w:caps/>
                              <w:color w:val="7F7F7F" w:themeColor="text1" w:themeTint="80"/>
                              <w:sz w:val="18"/>
                              <w:szCs w:val="18"/>
                              <w:lang w:val="en-GB"/>
                            </w:rPr>
                            <w:t> </w:t>
                          </w:r>
                          <w:r w:rsidR="00E40E4E" w:rsidRPr="00835089">
                            <w:rPr>
                              <w:color w:val="7F7F7F" w:themeColor="text1" w:themeTint="80"/>
                              <w:sz w:val="18"/>
                              <w:szCs w:val="18"/>
                              <w:lang w:val="en-GB"/>
                            </w:rPr>
                            <w:t>| </w:t>
                          </w:r>
                          <w:sdt>
                            <w:sdtPr>
                              <w:rPr>
                                <w:color w:val="7F7F7F" w:themeColor="text1" w:themeTint="80"/>
                                <w:sz w:val="18"/>
                                <w:szCs w:val="18"/>
                                <w:lang w:val="en-GB"/>
                              </w:rPr>
                              <w:alias w:val="Address"/>
                              <w:tag w:val=""/>
                              <w:id w:val="-1023088507"/>
                              <w:dataBinding w:prefixMappings="xmlns:ns0='http://schemas.microsoft.com/office/2006/coverPageProps' " w:xpath="/ns0:CoverPageProperties[1]/ns0:CompanyAddress[1]" w:storeItemID="{55AF091B-3C7A-41E3-B477-F2FDAA23CFDA}"/>
                              <w:text/>
                            </w:sdtPr>
                            <w:sdtContent>
                              <w:r w:rsidRPr="00B03FB7">
                                <w:rPr>
                                  <w:color w:val="7F7F7F" w:themeColor="text1" w:themeTint="80"/>
                                  <w:sz w:val="18"/>
                                  <w:szCs w:val="18"/>
                                  <w:lang w:val="en-GB"/>
                                </w:rPr>
                                <w:t>LCBB5010</w:t>
                              </w:r>
                            </w:sdtContent>
                          </w:sdt>
                        </w:p>
                      </w:txbxContent>
                    </v:textbox>
                    <w10:wrap type="square" anchorx="page" anchory="margin"/>
                  </v:shape>
                </w:pict>
              </mc:Fallback>
            </mc:AlternateContent>
          </w:r>
          <w:r w:rsidR="00E40E4E" w:rsidRPr="00835089">
            <w:rPr>
              <w:noProof/>
            </w:rPr>
            <mc:AlternateContent>
              <mc:Choice Requires="wpg">
                <w:drawing>
                  <wp:anchor distT="0" distB="0" distL="114300" distR="114300" simplePos="0" relativeHeight="251659264" behindDoc="1" locked="0" layoutInCell="1" allowOverlap="1" wp14:anchorId="7D2332BF" wp14:editId="4A5EB18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7998" cy="716343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7998" cy="7163435"/>
                              <a:chOff x="0" y="0"/>
                              <a:chExt cx="5561330" cy="5477217"/>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0A4F126" w14:textId="77777777" w:rsidR="00E40E4E" w:rsidRPr="00835089" w:rsidRDefault="00000000" w:rsidP="00E40E4E">
                                  <w:pPr>
                                    <w:jc w:val="cente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E40E4E" w:rsidRPr="00835089">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D2332BF" id="Group 126" o:spid="_x0000_s1027" style="position:absolute;left:0;text-align:left;margin-left:0;margin-top:0;width:540pt;height:564.05pt;z-index:-251657216;mso-width-percent:1154;mso-height-percent:670;mso-top-percent:45;mso-position-horizontal:center;mso-position-horizontal-relative:margin;mso-position-vertical-relative:page;mso-width-percent:1154;mso-height-percent:670;mso-top-percent:45;mso-width-relative:margin" coordsize="55613,54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0A4F126" w14:textId="77777777" w:rsidR="00E40E4E" w:rsidRPr="00835089" w:rsidRDefault="00000000" w:rsidP="00E40E4E">
                            <w:pPr>
                              <w:jc w:val="cente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E40E4E" w:rsidRPr="00835089">
                                  <w:rPr>
                                    <w:color w:val="FFFFFF" w:themeColor="background1"/>
                                    <w:sz w:val="72"/>
                                    <w:szCs w:val="72"/>
                                  </w:rPr>
                                  <w:t xml:space="preserve">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40E4E" w:rsidRPr="00835089">
            <w:rPr>
              <w:noProof/>
            </w:rPr>
            <mc:AlternateContent>
              <mc:Choice Requires="wps">
                <w:drawing>
                  <wp:anchor distT="0" distB="0" distL="114300" distR="114300" simplePos="0" relativeHeight="251661312" behindDoc="0" locked="0" layoutInCell="1" allowOverlap="1" wp14:anchorId="2DCDC131" wp14:editId="4979484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997EA4" w14:textId="66792B01" w:rsidR="00E40E4E" w:rsidRPr="00835089" w:rsidRDefault="00825EDA" w:rsidP="00E40E4E">
                                    <w:pPr>
                                      <w:pStyle w:val="NoSpacing"/>
                                      <w:spacing w:before="40" w:after="40"/>
                                      <w:rPr>
                                        <w:caps/>
                                        <w:color w:val="156082" w:themeColor="accent1"/>
                                        <w:sz w:val="28"/>
                                        <w:szCs w:val="28"/>
                                        <w:lang w:val="en-GB"/>
                                      </w:rPr>
                                    </w:pPr>
                                    <w:r w:rsidRPr="00835089">
                                      <w:rPr>
                                        <w:caps/>
                                        <w:color w:val="156082" w:themeColor="accent1"/>
                                        <w:sz w:val="28"/>
                                        <w:szCs w:val="28"/>
                                        <w:lang w:val="en-GB"/>
                                      </w:rPr>
                                      <w:t>PENKO KOYCHEV: 2332008</w:t>
                                    </w:r>
                                  </w:p>
                                </w:sdtContent>
                              </w:sdt>
                              <w:p w14:paraId="1C9C4447" w14:textId="35070FEB" w:rsidR="00E40E4E" w:rsidRPr="00835089" w:rsidRDefault="00B03FB7" w:rsidP="00B03FB7">
                                <w:pPr>
                                  <w:pStyle w:val="NoSpacing"/>
                                  <w:spacing w:before="40" w:after="40"/>
                                  <w:rPr>
                                    <w:caps/>
                                    <w:color w:val="A02B93" w:themeColor="accent5"/>
                                    <w:sz w:val="24"/>
                                    <w:szCs w:val="24"/>
                                    <w:lang w:val="en-GB"/>
                                  </w:rPr>
                                </w:pPr>
                                <w:r w:rsidRPr="00B03FB7">
                                  <w:rPr>
                                    <w:b/>
                                    <w:caps/>
                                    <w:color w:val="A02B93" w:themeColor="accent5"/>
                                    <w:sz w:val="24"/>
                                    <w:szCs w:val="24"/>
                                    <w:lang w:val="en-GB"/>
                                  </w:rPr>
                                  <w:t>Management Accounting for Managers</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DCDC131"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997EA4" w14:textId="66792B01" w:rsidR="00E40E4E" w:rsidRPr="00835089" w:rsidRDefault="00825EDA" w:rsidP="00E40E4E">
                              <w:pPr>
                                <w:pStyle w:val="NoSpacing"/>
                                <w:spacing w:before="40" w:after="40"/>
                                <w:rPr>
                                  <w:caps/>
                                  <w:color w:val="156082" w:themeColor="accent1"/>
                                  <w:sz w:val="28"/>
                                  <w:szCs w:val="28"/>
                                  <w:lang w:val="en-GB"/>
                                </w:rPr>
                              </w:pPr>
                              <w:r w:rsidRPr="00835089">
                                <w:rPr>
                                  <w:caps/>
                                  <w:color w:val="156082" w:themeColor="accent1"/>
                                  <w:sz w:val="28"/>
                                  <w:szCs w:val="28"/>
                                  <w:lang w:val="en-GB"/>
                                </w:rPr>
                                <w:t>PENKO KOYCHEV: 2332008</w:t>
                              </w:r>
                            </w:p>
                          </w:sdtContent>
                        </w:sdt>
                        <w:p w14:paraId="1C9C4447" w14:textId="35070FEB" w:rsidR="00E40E4E" w:rsidRPr="00835089" w:rsidRDefault="00B03FB7" w:rsidP="00B03FB7">
                          <w:pPr>
                            <w:pStyle w:val="NoSpacing"/>
                            <w:spacing w:before="40" w:after="40"/>
                            <w:rPr>
                              <w:caps/>
                              <w:color w:val="A02B93" w:themeColor="accent5"/>
                              <w:sz w:val="24"/>
                              <w:szCs w:val="24"/>
                              <w:lang w:val="en-GB"/>
                            </w:rPr>
                          </w:pPr>
                          <w:r w:rsidRPr="00B03FB7">
                            <w:rPr>
                              <w:b/>
                              <w:caps/>
                              <w:color w:val="A02B93" w:themeColor="accent5"/>
                              <w:sz w:val="24"/>
                              <w:szCs w:val="24"/>
                              <w:lang w:val="en-GB"/>
                            </w:rPr>
                            <w:t>Management Accounting for Managers</w:t>
                          </w:r>
                        </w:p>
                      </w:txbxContent>
                    </v:textbox>
                    <w10:wrap type="square" anchorx="page" anchory="page"/>
                  </v:shape>
                </w:pict>
              </mc:Fallback>
            </mc:AlternateContent>
          </w:r>
          <w:r w:rsidR="00E40E4E" w:rsidRPr="00835089">
            <w:rPr>
              <w:rFonts w:eastAsiaTheme="majorEastAsia" w:cs="Arial"/>
              <w:b/>
              <w:bCs/>
              <w:sz w:val="40"/>
              <w:szCs w:val="40"/>
            </w:rPr>
            <w:br w:type="page"/>
          </w:r>
        </w:p>
      </w:sdtContent>
    </w:sdt>
    <w:sdt>
      <w:sdtPr>
        <w:rPr>
          <w:rFonts w:ascii="Arial" w:eastAsiaTheme="minorHAnsi" w:hAnsi="Arial" w:cstheme="minorBidi"/>
          <w:color w:val="auto"/>
          <w:kern w:val="2"/>
          <w:sz w:val="22"/>
          <w:szCs w:val="22"/>
          <w:lang w:val="en-GB"/>
          <w14:ligatures w14:val="standardContextual"/>
        </w:rPr>
        <w:id w:val="13352125"/>
        <w:docPartObj>
          <w:docPartGallery w:val="Table of Contents"/>
          <w:docPartUnique/>
        </w:docPartObj>
      </w:sdtPr>
      <w:sdtEndPr>
        <w:rPr>
          <w:b/>
          <w:bCs/>
        </w:rPr>
      </w:sdtEndPr>
      <w:sdtContent>
        <w:p w14:paraId="17673393" w14:textId="30AD38B9" w:rsidR="00987D14" w:rsidRPr="00835089" w:rsidRDefault="00987D14" w:rsidP="008D469C">
          <w:pPr>
            <w:pStyle w:val="TOCHeading"/>
            <w:spacing w:line="360" w:lineRule="auto"/>
            <w:rPr>
              <w:b/>
              <w:bCs/>
              <w:lang w:val="en-GB"/>
            </w:rPr>
          </w:pPr>
          <w:r w:rsidRPr="00835089">
            <w:rPr>
              <w:b/>
              <w:bCs/>
              <w:lang w:val="en-GB"/>
            </w:rPr>
            <w:t>Table of Contents</w:t>
          </w:r>
        </w:p>
        <w:p w14:paraId="2BFE7A26" w14:textId="353B9CE3" w:rsidR="00005914" w:rsidRDefault="00987D14">
          <w:pPr>
            <w:pStyle w:val="TOC1"/>
            <w:tabs>
              <w:tab w:val="left" w:pos="480"/>
              <w:tab w:val="right" w:leader="dot" w:pos="9016"/>
            </w:tabs>
            <w:rPr>
              <w:rFonts w:asciiTheme="minorHAnsi" w:eastAsiaTheme="minorEastAsia" w:hAnsiTheme="minorHAnsi"/>
              <w:noProof/>
              <w:sz w:val="24"/>
              <w:szCs w:val="24"/>
              <w:lang w:eastAsia="en-GB"/>
            </w:rPr>
          </w:pPr>
          <w:r w:rsidRPr="00835089">
            <w:rPr>
              <w:b/>
              <w:bCs/>
            </w:rPr>
            <w:fldChar w:fldCharType="begin"/>
          </w:r>
          <w:r w:rsidRPr="00835089">
            <w:rPr>
              <w:b/>
              <w:bCs/>
            </w:rPr>
            <w:instrText xml:space="preserve"> TOC \o "1-3" \h \z \u </w:instrText>
          </w:r>
          <w:r w:rsidRPr="00835089">
            <w:rPr>
              <w:b/>
              <w:bCs/>
            </w:rPr>
            <w:fldChar w:fldCharType="separate"/>
          </w:r>
          <w:hyperlink w:anchor="_Toc222920401" w:history="1">
            <w:r w:rsidR="00005914" w:rsidRPr="00AE2122">
              <w:rPr>
                <w:rStyle w:val="Hyperlink"/>
                <w:noProof/>
              </w:rPr>
              <w:t>1.</w:t>
            </w:r>
            <w:r w:rsidR="00005914">
              <w:rPr>
                <w:rFonts w:asciiTheme="minorHAnsi" w:eastAsiaTheme="minorEastAsia" w:hAnsiTheme="minorHAnsi"/>
                <w:noProof/>
                <w:sz w:val="24"/>
                <w:szCs w:val="24"/>
                <w:lang w:eastAsia="en-GB"/>
              </w:rPr>
              <w:tab/>
            </w:r>
            <w:r w:rsidR="00005914" w:rsidRPr="00AE2122">
              <w:rPr>
                <w:rStyle w:val="Hyperlink"/>
                <w:noProof/>
              </w:rPr>
              <w:t>Introduction</w:t>
            </w:r>
            <w:r w:rsidR="00005914">
              <w:rPr>
                <w:noProof/>
                <w:webHidden/>
              </w:rPr>
              <w:tab/>
            </w:r>
            <w:r w:rsidR="00005914">
              <w:rPr>
                <w:noProof/>
                <w:webHidden/>
              </w:rPr>
              <w:fldChar w:fldCharType="begin"/>
            </w:r>
            <w:r w:rsidR="00005914">
              <w:rPr>
                <w:noProof/>
                <w:webHidden/>
              </w:rPr>
              <w:instrText xml:space="preserve"> PAGEREF _Toc222920401 \h </w:instrText>
            </w:r>
            <w:r w:rsidR="00005914">
              <w:rPr>
                <w:noProof/>
                <w:webHidden/>
              </w:rPr>
            </w:r>
            <w:r w:rsidR="00005914">
              <w:rPr>
                <w:noProof/>
                <w:webHidden/>
              </w:rPr>
              <w:fldChar w:fldCharType="separate"/>
            </w:r>
            <w:r w:rsidR="00005914">
              <w:rPr>
                <w:noProof/>
                <w:webHidden/>
              </w:rPr>
              <w:t>2</w:t>
            </w:r>
            <w:r w:rsidR="00005914">
              <w:rPr>
                <w:noProof/>
                <w:webHidden/>
              </w:rPr>
              <w:fldChar w:fldCharType="end"/>
            </w:r>
          </w:hyperlink>
        </w:p>
        <w:p w14:paraId="5CA0CD9C" w14:textId="1E2730E3" w:rsidR="00005914" w:rsidRDefault="00005914">
          <w:pPr>
            <w:pStyle w:val="TOC1"/>
            <w:tabs>
              <w:tab w:val="left" w:pos="480"/>
              <w:tab w:val="right" w:leader="dot" w:pos="9016"/>
            </w:tabs>
            <w:rPr>
              <w:rFonts w:asciiTheme="minorHAnsi" w:eastAsiaTheme="minorEastAsia" w:hAnsiTheme="minorHAnsi"/>
              <w:noProof/>
              <w:sz w:val="24"/>
              <w:szCs w:val="24"/>
              <w:lang w:eastAsia="en-GB"/>
            </w:rPr>
          </w:pPr>
          <w:hyperlink w:anchor="_Toc222920402" w:history="1">
            <w:r w:rsidRPr="00AE2122">
              <w:rPr>
                <w:rStyle w:val="Hyperlink"/>
                <w:noProof/>
              </w:rPr>
              <w:t>2.</w:t>
            </w:r>
            <w:r>
              <w:rPr>
                <w:rFonts w:asciiTheme="minorHAnsi" w:eastAsiaTheme="minorEastAsia" w:hAnsiTheme="minorHAnsi"/>
                <w:noProof/>
                <w:sz w:val="24"/>
                <w:szCs w:val="24"/>
                <w:lang w:eastAsia="en-GB"/>
              </w:rPr>
              <w:tab/>
            </w:r>
            <w:r w:rsidRPr="00AE2122">
              <w:rPr>
                <w:rStyle w:val="Hyperlink"/>
                <w:noProof/>
              </w:rPr>
              <w:t>Cost Analysis and Business Model</w:t>
            </w:r>
            <w:r>
              <w:rPr>
                <w:noProof/>
                <w:webHidden/>
              </w:rPr>
              <w:tab/>
            </w:r>
            <w:r>
              <w:rPr>
                <w:noProof/>
                <w:webHidden/>
              </w:rPr>
              <w:fldChar w:fldCharType="begin"/>
            </w:r>
            <w:r>
              <w:rPr>
                <w:noProof/>
                <w:webHidden/>
              </w:rPr>
              <w:instrText xml:space="preserve"> PAGEREF _Toc222920402 \h </w:instrText>
            </w:r>
            <w:r>
              <w:rPr>
                <w:noProof/>
                <w:webHidden/>
              </w:rPr>
            </w:r>
            <w:r>
              <w:rPr>
                <w:noProof/>
                <w:webHidden/>
              </w:rPr>
              <w:fldChar w:fldCharType="separate"/>
            </w:r>
            <w:r>
              <w:rPr>
                <w:noProof/>
                <w:webHidden/>
              </w:rPr>
              <w:t>2</w:t>
            </w:r>
            <w:r>
              <w:rPr>
                <w:noProof/>
                <w:webHidden/>
              </w:rPr>
              <w:fldChar w:fldCharType="end"/>
            </w:r>
          </w:hyperlink>
        </w:p>
        <w:p w14:paraId="1FFCB04B" w14:textId="570C28C3" w:rsidR="00005914" w:rsidRDefault="00005914">
          <w:pPr>
            <w:pStyle w:val="TOC1"/>
            <w:tabs>
              <w:tab w:val="left" w:pos="480"/>
              <w:tab w:val="right" w:leader="dot" w:pos="9016"/>
            </w:tabs>
            <w:rPr>
              <w:rFonts w:asciiTheme="minorHAnsi" w:eastAsiaTheme="minorEastAsia" w:hAnsiTheme="minorHAnsi"/>
              <w:noProof/>
              <w:sz w:val="24"/>
              <w:szCs w:val="24"/>
              <w:lang w:eastAsia="en-GB"/>
            </w:rPr>
          </w:pPr>
          <w:hyperlink w:anchor="_Toc222920403" w:history="1">
            <w:r w:rsidRPr="00AE2122">
              <w:rPr>
                <w:rStyle w:val="Hyperlink"/>
                <w:noProof/>
              </w:rPr>
              <w:t>3.</w:t>
            </w:r>
            <w:r>
              <w:rPr>
                <w:rFonts w:asciiTheme="minorHAnsi" w:eastAsiaTheme="minorEastAsia" w:hAnsiTheme="minorHAnsi"/>
                <w:noProof/>
                <w:sz w:val="24"/>
                <w:szCs w:val="24"/>
                <w:lang w:eastAsia="en-GB"/>
              </w:rPr>
              <w:tab/>
            </w:r>
            <w:r w:rsidRPr="00AE2122">
              <w:rPr>
                <w:rStyle w:val="Hyperlink"/>
                <w:noProof/>
              </w:rPr>
              <w:t>Budgeting and Financial Planning</w:t>
            </w:r>
            <w:r>
              <w:rPr>
                <w:noProof/>
                <w:webHidden/>
              </w:rPr>
              <w:tab/>
            </w:r>
            <w:r>
              <w:rPr>
                <w:noProof/>
                <w:webHidden/>
              </w:rPr>
              <w:fldChar w:fldCharType="begin"/>
            </w:r>
            <w:r>
              <w:rPr>
                <w:noProof/>
                <w:webHidden/>
              </w:rPr>
              <w:instrText xml:space="preserve"> PAGEREF _Toc222920403 \h </w:instrText>
            </w:r>
            <w:r>
              <w:rPr>
                <w:noProof/>
                <w:webHidden/>
              </w:rPr>
            </w:r>
            <w:r>
              <w:rPr>
                <w:noProof/>
                <w:webHidden/>
              </w:rPr>
              <w:fldChar w:fldCharType="separate"/>
            </w:r>
            <w:r>
              <w:rPr>
                <w:noProof/>
                <w:webHidden/>
              </w:rPr>
              <w:t>4</w:t>
            </w:r>
            <w:r>
              <w:rPr>
                <w:noProof/>
                <w:webHidden/>
              </w:rPr>
              <w:fldChar w:fldCharType="end"/>
            </w:r>
          </w:hyperlink>
        </w:p>
        <w:p w14:paraId="3C03DFD3" w14:textId="64FA96AE" w:rsidR="00005914" w:rsidRDefault="00005914">
          <w:pPr>
            <w:pStyle w:val="TOC1"/>
            <w:tabs>
              <w:tab w:val="left" w:pos="480"/>
              <w:tab w:val="right" w:leader="dot" w:pos="9016"/>
            </w:tabs>
            <w:rPr>
              <w:rFonts w:asciiTheme="minorHAnsi" w:eastAsiaTheme="minorEastAsia" w:hAnsiTheme="minorHAnsi"/>
              <w:noProof/>
              <w:sz w:val="24"/>
              <w:szCs w:val="24"/>
              <w:lang w:eastAsia="en-GB"/>
            </w:rPr>
          </w:pPr>
          <w:hyperlink w:anchor="_Toc222920404" w:history="1">
            <w:r w:rsidRPr="00AE2122">
              <w:rPr>
                <w:rStyle w:val="Hyperlink"/>
                <w:noProof/>
              </w:rPr>
              <w:t>4.</w:t>
            </w:r>
            <w:r>
              <w:rPr>
                <w:rFonts w:asciiTheme="minorHAnsi" w:eastAsiaTheme="minorEastAsia" w:hAnsiTheme="minorHAnsi"/>
                <w:noProof/>
                <w:sz w:val="24"/>
                <w:szCs w:val="24"/>
                <w:lang w:eastAsia="en-GB"/>
              </w:rPr>
              <w:tab/>
            </w:r>
            <w:r w:rsidRPr="00AE2122">
              <w:rPr>
                <w:rStyle w:val="Hyperlink"/>
                <w:noProof/>
              </w:rPr>
              <w:t>Performance Measurement and Decision-Making</w:t>
            </w:r>
            <w:r>
              <w:rPr>
                <w:noProof/>
                <w:webHidden/>
              </w:rPr>
              <w:tab/>
            </w:r>
            <w:r>
              <w:rPr>
                <w:noProof/>
                <w:webHidden/>
              </w:rPr>
              <w:fldChar w:fldCharType="begin"/>
            </w:r>
            <w:r>
              <w:rPr>
                <w:noProof/>
                <w:webHidden/>
              </w:rPr>
              <w:instrText xml:space="preserve"> PAGEREF _Toc222920404 \h </w:instrText>
            </w:r>
            <w:r>
              <w:rPr>
                <w:noProof/>
                <w:webHidden/>
              </w:rPr>
            </w:r>
            <w:r>
              <w:rPr>
                <w:noProof/>
                <w:webHidden/>
              </w:rPr>
              <w:fldChar w:fldCharType="separate"/>
            </w:r>
            <w:r>
              <w:rPr>
                <w:noProof/>
                <w:webHidden/>
              </w:rPr>
              <w:t>6</w:t>
            </w:r>
            <w:r>
              <w:rPr>
                <w:noProof/>
                <w:webHidden/>
              </w:rPr>
              <w:fldChar w:fldCharType="end"/>
            </w:r>
          </w:hyperlink>
        </w:p>
        <w:p w14:paraId="7BAE6C6D" w14:textId="7440337C" w:rsidR="00005914" w:rsidRDefault="00005914">
          <w:pPr>
            <w:pStyle w:val="TOC1"/>
            <w:tabs>
              <w:tab w:val="left" w:pos="480"/>
              <w:tab w:val="right" w:leader="dot" w:pos="9016"/>
            </w:tabs>
            <w:rPr>
              <w:rFonts w:asciiTheme="minorHAnsi" w:eastAsiaTheme="minorEastAsia" w:hAnsiTheme="minorHAnsi"/>
              <w:noProof/>
              <w:sz w:val="24"/>
              <w:szCs w:val="24"/>
              <w:lang w:eastAsia="en-GB"/>
            </w:rPr>
          </w:pPr>
          <w:hyperlink w:anchor="_Toc222920405" w:history="1">
            <w:r w:rsidRPr="00AE2122">
              <w:rPr>
                <w:rStyle w:val="Hyperlink"/>
                <w:noProof/>
              </w:rPr>
              <w:t>5.</w:t>
            </w:r>
            <w:r>
              <w:rPr>
                <w:rFonts w:asciiTheme="minorHAnsi" w:eastAsiaTheme="minorEastAsia" w:hAnsiTheme="minorHAnsi"/>
                <w:noProof/>
                <w:sz w:val="24"/>
                <w:szCs w:val="24"/>
                <w:lang w:eastAsia="en-GB"/>
              </w:rPr>
              <w:tab/>
            </w:r>
            <w:r w:rsidRPr="00AE2122">
              <w:rPr>
                <w:rStyle w:val="Hyperlink"/>
                <w:noProof/>
              </w:rPr>
              <w:t>Sustainability and Ethical Considerations</w:t>
            </w:r>
            <w:r>
              <w:rPr>
                <w:noProof/>
                <w:webHidden/>
              </w:rPr>
              <w:tab/>
            </w:r>
            <w:r>
              <w:rPr>
                <w:noProof/>
                <w:webHidden/>
              </w:rPr>
              <w:fldChar w:fldCharType="begin"/>
            </w:r>
            <w:r>
              <w:rPr>
                <w:noProof/>
                <w:webHidden/>
              </w:rPr>
              <w:instrText xml:space="preserve"> PAGEREF _Toc222920405 \h </w:instrText>
            </w:r>
            <w:r>
              <w:rPr>
                <w:noProof/>
                <w:webHidden/>
              </w:rPr>
            </w:r>
            <w:r>
              <w:rPr>
                <w:noProof/>
                <w:webHidden/>
              </w:rPr>
              <w:fldChar w:fldCharType="separate"/>
            </w:r>
            <w:r>
              <w:rPr>
                <w:noProof/>
                <w:webHidden/>
              </w:rPr>
              <w:t>8</w:t>
            </w:r>
            <w:r>
              <w:rPr>
                <w:noProof/>
                <w:webHidden/>
              </w:rPr>
              <w:fldChar w:fldCharType="end"/>
            </w:r>
          </w:hyperlink>
        </w:p>
        <w:p w14:paraId="6D829C70" w14:textId="5D74E3BD" w:rsidR="00005914" w:rsidRDefault="00005914">
          <w:pPr>
            <w:pStyle w:val="TOC1"/>
            <w:tabs>
              <w:tab w:val="left" w:pos="480"/>
              <w:tab w:val="right" w:leader="dot" w:pos="9016"/>
            </w:tabs>
            <w:rPr>
              <w:rFonts w:asciiTheme="minorHAnsi" w:eastAsiaTheme="minorEastAsia" w:hAnsiTheme="minorHAnsi"/>
              <w:noProof/>
              <w:sz w:val="24"/>
              <w:szCs w:val="24"/>
              <w:lang w:eastAsia="en-GB"/>
            </w:rPr>
          </w:pPr>
          <w:hyperlink w:anchor="_Toc222920406" w:history="1">
            <w:r w:rsidRPr="00AE2122">
              <w:rPr>
                <w:rStyle w:val="Hyperlink"/>
                <w:noProof/>
              </w:rPr>
              <w:t>6.</w:t>
            </w:r>
            <w:r>
              <w:rPr>
                <w:rFonts w:asciiTheme="minorHAnsi" w:eastAsiaTheme="minorEastAsia" w:hAnsiTheme="minorHAnsi"/>
                <w:noProof/>
                <w:sz w:val="24"/>
                <w:szCs w:val="24"/>
                <w:lang w:eastAsia="en-GB"/>
              </w:rPr>
              <w:tab/>
            </w:r>
            <w:r w:rsidRPr="00AE2122">
              <w:rPr>
                <w:rStyle w:val="Hyperlink"/>
                <w:noProof/>
              </w:rPr>
              <w:t>Conclusion and Recommendations</w:t>
            </w:r>
            <w:r>
              <w:rPr>
                <w:noProof/>
                <w:webHidden/>
              </w:rPr>
              <w:tab/>
            </w:r>
            <w:r>
              <w:rPr>
                <w:noProof/>
                <w:webHidden/>
              </w:rPr>
              <w:fldChar w:fldCharType="begin"/>
            </w:r>
            <w:r>
              <w:rPr>
                <w:noProof/>
                <w:webHidden/>
              </w:rPr>
              <w:instrText xml:space="preserve"> PAGEREF _Toc222920406 \h </w:instrText>
            </w:r>
            <w:r>
              <w:rPr>
                <w:noProof/>
                <w:webHidden/>
              </w:rPr>
            </w:r>
            <w:r>
              <w:rPr>
                <w:noProof/>
                <w:webHidden/>
              </w:rPr>
              <w:fldChar w:fldCharType="separate"/>
            </w:r>
            <w:r>
              <w:rPr>
                <w:noProof/>
                <w:webHidden/>
              </w:rPr>
              <w:t>9</w:t>
            </w:r>
            <w:r>
              <w:rPr>
                <w:noProof/>
                <w:webHidden/>
              </w:rPr>
              <w:fldChar w:fldCharType="end"/>
            </w:r>
          </w:hyperlink>
        </w:p>
        <w:p w14:paraId="46B864DB" w14:textId="215E7BA1" w:rsidR="00005914" w:rsidRDefault="00005914">
          <w:pPr>
            <w:pStyle w:val="TOC1"/>
            <w:tabs>
              <w:tab w:val="left" w:pos="480"/>
              <w:tab w:val="right" w:leader="dot" w:pos="9016"/>
            </w:tabs>
            <w:rPr>
              <w:rFonts w:asciiTheme="minorHAnsi" w:eastAsiaTheme="minorEastAsia" w:hAnsiTheme="minorHAnsi"/>
              <w:noProof/>
              <w:sz w:val="24"/>
              <w:szCs w:val="24"/>
              <w:lang w:eastAsia="en-GB"/>
            </w:rPr>
          </w:pPr>
          <w:hyperlink w:anchor="_Toc222920407" w:history="1">
            <w:r w:rsidRPr="00AE2122">
              <w:rPr>
                <w:rStyle w:val="Hyperlink"/>
                <w:noProof/>
              </w:rPr>
              <w:t>7.</w:t>
            </w:r>
            <w:r>
              <w:rPr>
                <w:rFonts w:asciiTheme="minorHAnsi" w:eastAsiaTheme="minorEastAsia" w:hAnsiTheme="minorHAnsi"/>
                <w:noProof/>
                <w:sz w:val="24"/>
                <w:szCs w:val="24"/>
                <w:lang w:eastAsia="en-GB"/>
              </w:rPr>
              <w:tab/>
            </w:r>
            <w:r w:rsidRPr="00AE2122">
              <w:rPr>
                <w:rStyle w:val="Hyperlink"/>
                <w:noProof/>
              </w:rPr>
              <w:t>References</w:t>
            </w:r>
            <w:r>
              <w:rPr>
                <w:noProof/>
                <w:webHidden/>
              </w:rPr>
              <w:tab/>
            </w:r>
            <w:r>
              <w:rPr>
                <w:noProof/>
                <w:webHidden/>
              </w:rPr>
              <w:fldChar w:fldCharType="begin"/>
            </w:r>
            <w:r>
              <w:rPr>
                <w:noProof/>
                <w:webHidden/>
              </w:rPr>
              <w:instrText xml:space="preserve"> PAGEREF _Toc222920407 \h </w:instrText>
            </w:r>
            <w:r>
              <w:rPr>
                <w:noProof/>
                <w:webHidden/>
              </w:rPr>
            </w:r>
            <w:r>
              <w:rPr>
                <w:noProof/>
                <w:webHidden/>
              </w:rPr>
              <w:fldChar w:fldCharType="separate"/>
            </w:r>
            <w:r>
              <w:rPr>
                <w:noProof/>
                <w:webHidden/>
              </w:rPr>
              <w:t>11</w:t>
            </w:r>
            <w:r>
              <w:rPr>
                <w:noProof/>
                <w:webHidden/>
              </w:rPr>
              <w:fldChar w:fldCharType="end"/>
            </w:r>
          </w:hyperlink>
        </w:p>
        <w:p w14:paraId="6D324CE4" w14:textId="2B01FC41" w:rsidR="00987D14" w:rsidRPr="00835089" w:rsidRDefault="00987D14" w:rsidP="008D469C">
          <w:pPr>
            <w:spacing w:line="360" w:lineRule="auto"/>
          </w:pPr>
          <w:r w:rsidRPr="00835089">
            <w:rPr>
              <w:b/>
              <w:bCs/>
            </w:rPr>
            <w:fldChar w:fldCharType="end"/>
          </w:r>
        </w:p>
      </w:sdtContent>
    </w:sdt>
    <w:p w14:paraId="475B29B9" w14:textId="77777777" w:rsidR="0075587D" w:rsidRPr="00835089" w:rsidRDefault="0075587D" w:rsidP="00B90BDB">
      <w:pPr>
        <w:spacing w:line="360" w:lineRule="auto"/>
        <w:rPr>
          <w:b/>
          <w:bCs/>
        </w:rPr>
      </w:pPr>
    </w:p>
    <w:p w14:paraId="683FC3FF" w14:textId="77777777" w:rsidR="0075587D" w:rsidRPr="00835089" w:rsidRDefault="0075587D" w:rsidP="00B90BDB">
      <w:pPr>
        <w:spacing w:line="360" w:lineRule="auto"/>
        <w:rPr>
          <w:b/>
          <w:bCs/>
        </w:rPr>
      </w:pPr>
    </w:p>
    <w:p w14:paraId="7E771DEF" w14:textId="77777777" w:rsidR="0075587D" w:rsidRPr="00835089" w:rsidRDefault="0075587D" w:rsidP="00B90BDB">
      <w:pPr>
        <w:spacing w:line="360" w:lineRule="auto"/>
        <w:rPr>
          <w:b/>
          <w:bCs/>
        </w:rPr>
      </w:pPr>
    </w:p>
    <w:p w14:paraId="1723AE4C" w14:textId="77777777" w:rsidR="0075587D" w:rsidRPr="00835089" w:rsidRDefault="0075587D" w:rsidP="00B90BDB">
      <w:pPr>
        <w:spacing w:line="360" w:lineRule="auto"/>
        <w:rPr>
          <w:b/>
          <w:bCs/>
        </w:rPr>
      </w:pPr>
    </w:p>
    <w:p w14:paraId="5B3B3096" w14:textId="77777777" w:rsidR="0075587D" w:rsidRPr="00835089" w:rsidRDefault="0075587D" w:rsidP="00B90BDB">
      <w:pPr>
        <w:spacing w:line="360" w:lineRule="auto"/>
        <w:rPr>
          <w:b/>
          <w:bCs/>
        </w:rPr>
      </w:pPr>
    </w:p>
    <w:p w14:paraId="58F6A68F" w14:textId="77777777" w:rsidR="0075587D" w:rsidRDefault="0075587D" w:rsidP="00B90BDB">
      <w:pPr>
        <w:spacing w:line="360" w:lineRule="auto"/>
        <w:rPr>
          <w:b/>
          <w:bCs/>
        </w:rPr>
      </w:pPr>
    </w:p>
    <w:p w14:paraId="577BB285" w14:textId="77777777" w:rsidR="008863F5" w:rsidRDefault="008863F5" w:rsidP="00B90BDB">
      <w:pPr>
        <w:spacing w:line="360" w:lineRule="auto"/>
        <w:rPr>
          <w:b/>
          <w:bCs/>
        </w:rPr>
      </w:pPr>
    </w:p>
    <w:p w14:paraId="0ECE44E5" w14:textId="77777777" w:rsidR="008863F5" w:rsidRDefault="008863F5" w:rsidP="00B90BDB">
      <w:pPr>
        <w:spacing w:line="360" w:lineRule="auto"/>
        <w:rPr>
          <w:b/>
          <w:bCs/>
        </w:rPr>
      </w:pPr>
    </w:p>
    <w:p w14:paraId="1BCBF4D8" w14:textId="77777777" w:rsidR="008863F5" w:rsidRDefault="008863F5" w:rsidP="00B90BDB">
      <w:pPr>
        <w:spacing w:line="360" w:lineRule="auto"/>
        <w:rPr>
          <w:b/>
          <w:bCs/>
        </w:rPr>
      </w:pPr>
    </w:p>
    <w:p w14:paraId="20BB2FCA" w14:textId="77777777" w:rsidR="008863F5" w:rsidRDefault="008863F5" w:rsidP="00B90BDB">
      <w:pPr>
        <w:spacing w:line="360" w:lineRule="auto"/>
        <w:rPr>
          <w:b/>
          <w:bCs/>
        </w:rPr>
      </w:pPr>
    </w:p>
    <w:p w14:paraId="54AB95E6" w14:textId="77777777" w:rsidR="008863F5" w:rsidRDefault="008863F5" w:rsidP="00B90BDB">
      <w:pPr>
        <w:spacing w:line="360" w:lineRule="auto"/>
        <w:rPr>
          <w:b/>
          <w:bCs/>
        </w:rPr>
      </w:pPr>
    </w:p>
    <w:p w14:paraId="53592661" w14:textId="77777777" w:rsidR="008863F5" w:rsidRPr="00835089" w:rsidRDefault="008863F5" w:rsidP="00B90BDB">
      <w:pPr>
        <w:spacing w:line="360" w:lineRule="auto"/>
        <w:rPr>
          <w:b/>
          <w:bCs/>
        </w:rPr>
      </w:pPr>
    </w:p>
    <w:p w14:paraId="5B33C2F9" w14:textId="77777777" w:rsidR="0075587D" w:rsidRPr="00835089" w:rsidRDefault="0075587D" w:rsidP="00B90BDB">
      <w:pPr>
        <w:spacing w:line="360" w:lineRule="auto"/>
        <w:rPr>
          <w:b/>
          <w:bCs/>
        </w:rPr>
      </w:pPr>
    </w:p>
    <w:p w14:paraId="012B099A" w14:textId="77777777" w:rsidR="0075587D" w:rsidRDefault="0075587D" w:rsidP="00B90BDB">
      <w:pPr>
        <w:spacing w:line="360" w:lineRule="auto"/>
        <w:rPr>
          <w:b/>
          <w:bCs/>
        </w:rPr>
      </w:pPr>
    </w:p>
    <w:p w14:paraId="79B5BC2B" w14:textId="77777777" w:rsidR="002732DD" w:rsidRDefault="002732DD" w:rsidP="00B90BDB">
      <w:pPr>
        <w:spacing w:line="360" w:lineRule="auto"/>
        <w:rPr>
          <w:b/>
          <w:bCs/>
        </w:rPr>
      </w:pPr>
    </w:p>
    <w:p w14:paraId="22EF1A69" w14:textId="77777777" w:rsidR="002732DD" w:rsidRDefault="002732DD" w:rsidP="00B90BDB">
      <w:pPr>
        <w:spacing w:line="360" w:lineRule="auto"/>
        <w:rPr>
          <w:b/>
          <w:bCs/>
        </w:rPr>
      </w:pPr>
    </w:p>
    <w:p w14:paraId="47FF0FFC" w14:textId="77777777" w:rsidR="002732DD" w:rsidRPr="00835089" w:rsidRDefault="002732DD" w:rsidP="00B90BDB">
      <w:pPr>
        <w:spacing w:line="360" w:lineRule="auto"/>
        <w:rPr>
          <w:b/>
          <w:bCs/>
        </w:rPr>
      </w:pPr>
    </w:p>
    <w:p w14:paraId="19CCA666" w14:textId="09FAA38F" w:rsidR="008B1491" w:rsidRPr="00835089" w:rsidRDefault="008B1491" w:rsidP="00987D14">
      <w:pPr>
        <w:pStyle w:val="Heading1"/>
        <w:numPr>
          <w:ilvl w:val="0"/>
          <w:numId w:val="20"/>
        </w:numPr>
        <w:spacing w:line="276" w:lineRule="auto"/>
      </w:pPr>
      <w:bookmarkStart w:id="0" w:name="_Toc222920401"/>
      <w:r w:rsidRPr="00835089">
        <w:lastRenderedPageBreak/>
        <w:t>Introduction</w:t>
      </w:r>
      <w:bookmarkEnd w:id="0"/>
    </w:p>
    <w:p w14:paraId="1ADF1D52" w14:textId="7F12827E" w:rsidR="00835089" w:rsidRPr="00835089" w:rsidRDefault="00B03FB7" w:rsidP="00835089">
      <w:pPr>
        <w:spacing w:line="360" w:lineRule="auto"/>
        <w:jc w:val="both"/>
      </w:pPr>
      <w:r w:rsidRPr="00B03FB7">
        <w:t xml:space="preserve">Tesco PLC is one of the largest grocery and general merchandise retailers in the United Kingdom, operating a multichannel business model that includes large-format stores, convenience outlets and online platforms serving millions of customers each week (Tesco PLC, 2024a). The group generates </w:t>
      </w:r>
      <w:proofErr w:type="gramStart"/>
      <w:r w:rsidRPr="00B03FB7">
        <w:t>the majority of</w:t>
      </w:r>
      <w:proofErr w:type="gramEnd"/>
      <w:r w:rsidRPr="00B03FB7">
        <w:t xml:space="preserve"> its revenue from UK and Republic of Ireland retail operations, supplemented by wholesale, banking and other services, reflecting its strategy of combining core food retailing with complementary offers (Tesco PLC, 2024a; Tesco PLC, 2024b). In such a low</w:t>
      </w:r>
      <w:r w:rsidRPr="00B03FB7">
        <w:rPr>
          <w:rFonts w:ascii="Cambria Math" w:hAnsi="Cambria Math" w:cs="Cambria Math"/>
        </w:rPr>
        <w:t>‑</w:t>
      </w:r>
      <w:r w:rsidRPr="00B03FB7">
        <w:t>margin, highly competitive sector, effective management accounting is critical to support informed operational and strategic decision</w:t>
      </w:r>
      <w:r w:rsidRPr="00B03FB7">
        <w:rPr>
          <w:rFonts w:ascii="Cambria Math" w:hAnsi="Cambria Math" w:cs="Cambria Math"/>
        </w:rPr>
        <w:t>‑</w:t>
      </w:r>
      <w:r w:rsidRPr="00B03FB7">
        <w:t>making (Drury, 2018). Management accounting provides Tesco's managers with detailed cost, revenue and performance information to plan budgets, control operating expenses and evaluate profitability across product lines and store formats (</w:t>
      </w:r>
      <w:proofErr w:type="spellStart"/>
      <w:r w:rsidRPr="00B03FB7">
        <w:t>Atrill</w:t>
      </w:r>
      <w:proofErr w:type="spellEnd"/>
      <w:r w:rsidRPr="00B03FB7">
        <w:t xml:space="preserve"> and McLaney, 2022; Tesco PLC, 2024a). It also underpins the use of key performance indicators (KPIs), scenario analysis and variance analysis to respond to changes in consumer demand, input costs and macroeconomic conditions (Marr, 2021; Tesco PLC, 2023). As a result, management accounting plays a central role in sustaining Tesco's financial performance and long</w:t>
      </w:r>
      <w:r w:rsidRPr="00B03FB7">
        <w:rPr>
          <w:rFonts w:ascii="Cambria Math" w:hAnsi="Cambria Math" w:cs="Cambria Math"/>
        </w:rPr>
        <w:t>‑</w:t>
      </w:r>
      <w:r w:rsidRPr="00B03FB7">
        <w:t>term competitiveness (Tesco PLC, 2024b).</w:t>
      </w:r>
    </w:p>
    <w:p w14:paraId="31078BE9" w14:textId="2AA64143" w:rsidR="00B17DA0" w:rsidRPr="00835089" w:rsidRDefault="00B03FB7" w:rsidP="00987D14">
      <w:pPr>
        <w:pStyle w:val="Heading1"/>
        <w:numPr>
          <w:ilvl w:val="0"/>
          <w:numId w:val="20"/>
        </w:numPr>
        <w:spacing w:line="276" w:lineRule="auto"/>
      </w:pPr>
      <w:bookmarkStart w:id="1" w:name="_Toc222920402"/>
      <w:r w:rsidRPr="00B03FB7">
        <w:t>Cost Analysis and Business Model</w:t>
      </w:r>
      <w:bookmarkEnd w:id="1"/>
      <w:r w:rsidRPr="00B03FB7">
        <w:t xml:space="preserve"> </w:t>
      </w:r>
    </w:p>
    <w:p w14:paraId="69C91FA7" w14:textId="77777777" w:rsidR="00B03FB7" w:rsidRDefault="00B03FB7" w:rsidP="00B03FB7">
      <w:pPr>
        <w:spacing w:line="360" w:lineRule="auto"/>
        <w:jc w:val="both"/>
      </w:pPr>
      <w:r>
        <w:t>Tesco operates a high</w:t>
      </w:r>
      <w:r>
        <w:rPr>
          <w:rFonts w:ascii="Cambria Math" w:hAnsi="Cambria Math" w:cs="Cambria Math"/>
        </w:rPr>
        <w:t>‑</w:t>
      </w:r>
      <w:r>
        <w:t>volume, low</w:t>
      </w:r>
      <w:r>
        <w:rPr>
          <w:rFonts w:ascii="Cambria Math" w:hAnsi="Cambria Math" w:cs="Cambria Math"/>
        </w:rPr>
        <w:t>‑</w:t>
      </w:r>
      <w:r>
        <w:t xml:space="preserve">margin retail business model in which profitability depends on generating large sales volumes while tightly controlling operating costs (The Strategy Story, 2021). Its core revenue comes from food and grocery sales across large stores, convenience outlets and online channels in the UK and Republic of Ireland, supplemented by general merchandise, clothing and ancillary services such as fuel and financial services (Tesco PLC, 2024a; </w:t>
      </w:r>
      <w:proofErr w:type="spellStart"/>
      <w:r>
        <w:t>MatrixBCG</w:t>
      </w:r>
      <w:proofErr w:type="spellEnd"/>
      <w:r>
        <w:t>, 2025). In 2023/24, Tesco generated statutory revenue of approximately £62.8 billion in the UK and Republic of Ireland, reflecting growth compared with the prior year and highlighting the scale required to cover its extensive fixed cost base (Statista, 2025; Tesco PLC, 2024a). Group</w:t>
      </w:r>
      <w:r>
        <w:rPr>
          <w:rFonts w:ascii="Cambria Math" w:hAnsi="Cambria Math" w:cs="Cambria Math"/>
        </w:rPr>
        <w:t>‑</w:t>
      </w:r>
      <w:r>
        <w:t xml:space="preserve">wide, statutory operating profit reached around </w:t>
      </w:r>
      <w:r>
        <w:rPr>
          <w:rFonts w:cs="Arial"/>
        </w:rPr>
        <w:t>£</w:t>
      </w:r>
      <w:r>
        <w:t>2.8 billion in 2023/24, illustrating the relatively modest margins typical of the grocery sector and the importance of effective cost management (Tesco PLC, 2024a; Tesco PLC, 2024b).</w:t>
      </w:r>
    </w:p>
    <w:p w14:paraId="0F605539" w14:textId="36E44E6B" w:rsidR="00005914" w:rsidRDefault="00005914" w:rsidP="00005914">
      <w:pPr>
        <w:spacing w:line="360" w:lineRule="auto"/>
        <w:jc w:val="center"/>
      </w:pPr>
      <w:r>
        <w:rPr>
          <w:noProof/>
        </w:rPr>
        <w:lastRenderedPageBreak/>
        <w:drawing>
          <wp:inline distT="0" distB="0" distL="0" distR="0" wp14:anchorId="6FA1291F" wp14:editId="59E54B9B">
            <wp:extent cx="5372100" cy="3581202"/>
            <wp:effectExtent l="0" t="0" r="0" b="0"/>
            <wp:docPr id="1162372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37237" name="Picture 11623723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81435" cy="3587425"/>
                    </a:xfrm>
                    <a:prstGeom prst="rect">
                      <a:avLst/>
                    </a:prstGeom>
                  </pic:spPr>
                </pic:pic>
              </a:graphicData>
            </a:graphic>
          </wp:inline>
        </w:drawing>
      </w:r>
    </w:p>
    <w:p w14:paraId="63D046B9" w14:textId="77777777" w:rsidR="00B03FB7" w:rsidRDefault="00B03FB7" w:rsidP="00B03FB7">
      <w:pPr>
        <w:spacing w:line="360" w:lineRule="auto"/>
        <w:jc w:val="both"/>
      </w:pPr>
      <w:r>
        <w:t>Tesco's cost structure combines substantial fixed costs with significant variable and semi</w:t>
      </w:r>
      <w:r>
        <w:rPr>
          <w:rFonts w:ascii="Cambria Math" w:hAnsi="Cambria Math" w:cs="Cambria Math"/>
        </w:rPr>
        <w:t>‑</w:t>
      </w:r>
      <w:r>
        <w:t>variable elements (Drury, 2018). Fixed costs arise from store leases and depreciation, distribution centres, head office functions and core IT infrastructure, which must be funded regardless of short</w:t>
      </w:r>
      <w:r>
        <w:rPr>
          <w:rFonts w:ascii="Cambria Math" w:hAnsi="Cambria Math" w:cs="Cambria Math"/>
        </w:rPr>
        <w:t>‑</w:t>
      </w:r>
      <w:r>
        <w:t>term fluctuations in sales (</w:t>
      </w:r>
      <w:proofErr w:type="spellStart"/>
      <w:r>
        <w:t>MatrixBCG</w:t>
      </w:r>
      <w:proofErr w:type="spellEnd"/>
      <w:r>
        <w:t>, 2025; Tesco PLC, 2024a). Variable and semi</w:t>
      </w:r>
      <w:r>
        <w:rPr>
          <w:rFonts w:ascii="Cambria Math" w:hAnsi="Cambria Math" w:cs="Cambria Math"/>
        </w:rPr>
        <w:t>‑</w:t>
      </w:r>
      <w:r>
        <w:t xml:space="preserve">variable costs include cost of goods sold (payments to suppliers), labour costs in stores and logistics, utilities and other operating expenses that change broadly in line with sales volumes and activity levels (Grocery Doppio, 2024; Tesco PLC, 2023). Because the cost of goods sold represents a large proportion of total costs, even small improvements in buying terms, waste reduction or supply chain efficiency can have a significant impact on margins (Grocery Doppio, 2024; </w:t>
      </w:r>
      <w:proofErr w:type="spellStart"/>
      <w:r>
        <w:t>Atrill</w:t>
      </w:r>
      <w:proofErr w:type="spellEnd"/>
      <w:r>
        <w:t xml:space="preserve"> and McLaney, 2022). Tesco leverages its scale to negotiate lower purchase prices, spreading fixed costs over a larger revenue base and reinforcing its "everyday low price" and price</w:t>
      </w:r>
      <w:r>
        <w:rPr>
          <w:rFonts w:ascii="Cambria Math" w:hAnsi="Cambria Math" w:cs="Cambria Math"/>
        </w:rPr>
        <w:t>‑</w:t>
      </w:r>
      <w:r>
        <w:t>matching strategies (The Strategy Story, 2021; Grocery Doppio, 2024).</w:t>
      </w:r>
    </w:p>
    <w:tbl>
      <w:tblPr>
        <w:tblStyle w:val="NormalGrid"/>
        <w:tblW w:w="0" w:type="auto"/>
        <w:jc w:val="center"/>
        <w:tblCellSpacing w:w="0" w:type="dxa"/>
        <w:tblLook w:val="04A0" w:firstRow="1" w:lastRow="0" w:firstColumn="1" w:lastColumn="0" w:noHBand="0" w:noVBand="1"/>
      </w:tblPr>
      <w:tblGrid>
        <w:gridCol w:w="4016"/>
        <w:gridCol w:w="1244"/>
        <w:gridCol w:w="1249"/>
        <w:gridCol w:w="1165"/>
      </w:tblGrid>
      <w:tr w:rsidR="002732DD" w14:paraId="235D2221" w14:textId="77777777" w:rsidTr="00A22A82">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2C998179" w14:textId="77777777" w:rsidR="002732DD" w:rsidRDefault="002732DD" w:rsidP="00A22A82">
            <w:r>
              <w:rPr>
                <w:b/>
              </w:rPr>
              <w:t>Financial Metric</w:t>
            </w:r>
          </w:p>
        </w:tc>
        <w:tc>
          <w:tcPr>
            <w:tcW w:w="0" w:type="auto"/>
            <w:tcBorders>
              <w:top w:val="single" w:sz="8" w:space="0" w:color="000000"/>
              <w:bottom w:val="single" w:sz="8" w:space="0" w:color="000000"/>
              <w:right w:val="single" w:sz="8" w:space="0" w:color="000000"/>
            </w:tcBorders>
            <w:vAlign w:val="center"/>
          </w:tcPr>
          <w:p w14:paraId="1808DCB2" w14:textId="77777777" w:rsidR="002732DD" w:rsidRDefault="002732DD" w:rsidP="00A22A82">
            <w:pPr>
              <w:jc w:val="center"/>
            </w:pPr>
            <w:r>
              <w:rPr>
                <w:b/>
              </w:rPr>
              <w:t>2022/23</w:t>
            </w:r>
          </w:p>
        </w:tc>
        <w:tc>
          <w:tcPr>
            <w:tcW w:w="0" w:type="auto"/>
            <w:tcBorders>
              <w:top w:val="single" w:sz="8" w:space="0" w:color="000000"/>
              <w:bottom w:val="single" w:sz="8" w:space="0" w:color="000000"/>
              <w:right w:val="single" w:sz="8" w:space="0" w:color="000000"/>
            </w:tcBorders>
            <w:vAlign w:val="center"/>
          </w:tcPr>
          <w:p w14:paraId="2707550F" w14:textId="77777777" w:rsidR="002732DD" w:rsidRDefault="002732DD" w:rsidP="00A22A82">
            <w:pPr>
              <w:jc w:val="center"/>
            </w:pPr>
            <w:r>
              <w:rPr>
                <w:b/>
              </w:rPr>
              <w:t>2023/24</w:t>
            </w:r>
          </w:p>
        </w:tc>
        <w:tc>
          <w:tcPr>
            <w:tcW w:w="0" w:type="auto"/>
            <w:tcBorders>
              <w:top w:val="single" w:sz="8" w:space="0" w:color="000000"/>
              <w:bottom w:val="single" w:sz="8" w:space="0" w:color="000000"/>
              <w:right w:val="single" w:sz="8" w:space="0" w:color="000000"/>
            </w:tcBorders>
            <w:vAlign w:val="center"/>
          </w:tcPr>
          <w:p w14:paraId="5F56E35C" w14:textId="77777777" w:rsidR="002732DD" w:rsidRDefault="002732DD" w:rsidP="00A22A82">
            <w:pPr>
              <w:jc w:val="center"/>
            </w:pPr>
            <w:r>
              <w:rPr>
                <w:b/>
              </w:rPr>
              <w:t>Change</w:t>
            </w:r>
          </w:p>
        </w:tc>
      </w:tr>
      <w:tr w:rsidR="002732DD" w14:paraId="0854CA15"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46F3206F" w14:textId="77777777" w:rsidR="002732DD" w:rsidRDefault="002732DD" w:rsidP="00A22A82">
            <w:r>
              <w:rPr>
                <w:rFonts w:eastAsia="Georgia" w:hAnsi="Georgia" w:cs="Georgia"/>
              </w:rPr>
              <w:t>UK &amp; ROI Revenue (£bn)</w:t>
            </w:r>
          </w:p>
        </w:tc>
        <w:tc>
          <w:tcPr>
            <w:tcW w:w="0" w:type="auto"/>
            <w:tcBorders>
              <w:bottom w:val="single" w:sz="8" w:space="0" w:color="000000"/>
              <w:right w:val="single" w:sz="8" w:space="0" w:color="000000"/>
            </w:tcBorders>
            <w:vAlign w:val="center"/>
          </w:tcPr>
          <w:p w14:paraId="783010FF" w14:textId="77777777" w:rsidR="002732DD" w:rsidRDefault="002732DD" w:rsidP="00A22A82">
            <w:pPr>
              <w:jc w:val="center"/>
            </w:pPr>
            <w:r>
              <w:t>60.2</w:t>
            </w:r>
          </w:p>
        </w:tc>
        <w:tc>
          <w:tcPr>
            <w:tcW w:w="0" w:type="auto"/>
            <w:tcBorders>
              <w:bottom w:val="single" w:sz="8" w:space="0" w:color="000000"/>
              <w:right w:val="single" w:sz="8" w:space="0" w:color="000000"/>
            </w:tcBorders>
            <w:vAlign w:val="center"/>
          </w:tcPr>
          <w:p w14:paraId="6708FC32" w14:textId="77777777" w:rsidR="002732DD" w:rsidRDefault="002732DD" w:rsidP="00A22A82">
            <w:pPr>
              <w:jc w:val="center"/>
            </w:pPr>
            <w:r>
              <w:t>62.8</w:t>
            </w:r>
          </w:p>
        </w:tc>
        <w:tc>
          <w:tcPr>
            <w:tcW w:w="0" w:type="auto"/>
            <w:tcBorders>
              <w:bottom w:val="single" w:sz="8" w:space="0" w:color="000000"/>
              <w:right w:val="single" w:sz="8" w:space="0" w:color="000000"/>
            </w:tcBorders>
            <w:vAlign w:val="center"/>
          </w:tcPr>
          <w:p w14:paraId="5EC00A37" w14:textId="77777777" w:rsidR="002732DD" w:rsidRDefault="002732DD" w:rsidP="00A22A82">
            <w:pPr>
              <w:jc w:val="center"/>
            </w:pPr>
            <w:r>
              <w:t>+4.3%</w:t>
            </w:r>
          </w:p>
        </w:tc>
      </w:tr>
      <w:tr w:rsidR="002732DD" w14:paraId="49ACEB1E"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37D942E6" w14:textId="77777777" w:rsidR="002732DD" w:rsidRDefault="002732DD" w:rsidP="00A22A82">
            <w:r>
              <w:rPr>
                <w:rFonts w:eastAsia="Georgia" w:hAnsi="Georgia" w:cs="Georgia"/>
              </w:rPr>
              <w:t>Group Operating Profit (£bn)</w:t>
            </w:r>
          </w:p>
        </w:tc>
        <w:tc>
          <w:tcPr>
            <w:tcW w:w="0" w:type="auto"/>
            <w:tcBorders>
              <w:bottom w:val="single" w:sz="8" w:space="0" w:color="000000"/>
              <w:right w:val="single" w:sz="8" w:space="0" w:color="000000"/>
            </w:tcBorders>
            <w:vAlign w:val="center"/>
          </w:tcPr>
          <w:p w14:paraId="24E83F08" w14:textId="77777777" w:rsidR="002732DD" w:rsidRDefault="002732DD" w:rsidP="00A22A82">
            <w:pPr>
              <w:jc w:val="center"/>
            </w:pPr>
            <w:r>
              <w:t>2.6</w:t>
            </w:r>
          </w:p>
        </w:tc>
        <w:tc>
          <w:tcPr>
            <w:tcW w:w="0" w:type="auto"/>
            <w:tcBorders>
              <w:bottom w:val="single" w:sz="8" w:space="0" w:color="000000"/>
              <w:right w:val="single" w:sz="8" w:space="0" w:color="000000"/>
            </w:tcBorders>
            <w:vAlign w:val="center"/>
          </w:tcPr>
          <w:p w14:paraId="7CC6E8B3" w14:textId="77777777" w:rsidR="002732DD" w:rsidRDefault="002732DD" w:rsidP="00A22A82">
            <w:pPr>
              <w:jc w:val="center"/>
            </w:pPr>
            <w:r>
              <w:t>2.8</w:t>
            </w:r>
          </w:p>
        </w:tc>
        <w:tc>
          <w:tcPr>
            <w:tcW w:w="0" w:type="auto"/>
            <w:tcBorders>
              <w:bottom w:val="single" w:sz="8" w:space="0" w:color="000000"/>
              <w:right w:val="single" w:sz="8" w:space="0" w:color="000000"/>
            </w:tcBorders>
            <w:vAlign w:val="center"/>
          </w:tcPr>
          <w:p w14:paraId="75DA1036" w14:textId="77777777" w:rsidR="002732DD" w:rsidRDefault="002732DD" w:rsidP="00A22A82">
            <w:pPr>
              <w:jc w:val="center"/>
            </w:pPr>
            <w:r>
              <w:t>+7.7%</w:t>
            </w:r>
          </w:p>
        </w:tc>
      </w:tr>
      <w:tr w:rsidR="002732DD" w14:paraId="679D21AB"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09C4AF59" w14:textId="77777777" w:rsidR="002732DD" w:rsidRDefault="002732DD" w:rsidP="00A22A82">
            <w:r>
              <w:t>Operating Margin (%)</w:t>
            </w:r>
          </w:p>
        </w:tc>
        <w:tc>
          <w:tcPr>
            <w:tcW w:w="0" w:type="auto"/>
            <w:tcBorders>
              <w:bottom w:val="single" w:sz="8" w:space="0" w:color="000000"/>
              <w:right w:val="single" w:sz="8" w:space="0" w:color="000000"/>
            </w:tcBorders>
            <w:vAlign w:val="center"/>
          </w:tcPr>
          <w:p w14:paraId="5987ADD1" w14:textId="77777777" w:rsidR="002732DD" w:rsidRDefault="002732DD" w:rsidP="00A22A82">
            <w:pPr>
              <w:jc w:val="center"/>
            </w:pPr>
            <w:r>
              <w:t>4.2</w:t>
            </w:r>
          </w:p>
        </w:tc>
        <w:tc>
          <w:tcPr>
            <w:tcW w:w="0" w:type="auto"/>
            <w:tcBorders>
              <w:bottom w:val="single" w:sz="8" w:space="0" w:color="000000"/>
              <w:right w:val="single" w:sz="8" w:space="0" w:color="000000"/>
            </w:tcBorders>
            <w:vAlign w:val="center"/>
          </w:tcPr>
          <w:p w14:paraId="45240584" w14:textId="77777777" w:rsidR="002732DD" w:rsidRDefault="002732DD" w:rsidP="00A22A82">
            <w:pPr>
              <w:jc w:val="center"/>
            </w:pPr>
            <w:r>
              <w:t>4.5</w:t>
            </w:r>
          </w:p>
        </w:tc>
        <w:tc>
          <w:tcPr>
            <w:tcW w:w="0" w:type="auto"/>
            <w:tcBorders>
              <w:bottom w:val="single" w:sz="8" w:space="0" w:color="000000"/>
              <w:right w:val="single" w:sz="8" w:space="0" w:color="000000"/>
            </w:tcBorders>
            <w:vAlign w:val="center"/>
          </w:tcPr>
          <w:p w14:paraId="11F46396" w14:textId="77777777" w:rsidR="002732DD" w:rsidRDefault="002732DD" w:rsidP="00A22A82">
            <w:pPr>
              <w:jc w:val="center"/>
            </w:pPr>
            <w:r>
              <w:t>+0.3pp</w:t>
            </w:r>
          </w:p>
        </w:tc>
      </w:tr>
      <w:tr w:rsidR="002732DD" w14:paraId="57F9CEB7"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12219576" w14:textId="77777777" w:rsidR="002732DD" w:rsidRDefault="002732DD" w:rsidP="00A22A82">
            <w:r>
              <w:rPr>
                <w:rFonts w:eastAsia="Georgia" w:hAnsi="Georgia" w:cs="Georgia"/>
              </w:rPr>
              <w:t>Save to Invest Savings (£m cumulative)</w:t>
            </w:r>
          </w:p>
        </w:tc>
        <w:tc>
          <w:tcPr>
            <w:tcW w:w="0" w:type="auto"/>
            <w:tcBorders>
              <w:bottom w:val="single" w:sz="8" w:space="0" w:color="000000"/>
              <w:right w:val="single" w:sz="8" w:space="0" w:color="000000"/>
            </w:tcBorders>
            <w:vAlign w:val="center"/>
          </w:tcPr>
          <w:p w14:paraId="2D6F7868" w14:textId="77777777" w:rsidR="002732DD" w:rsidRDefault="002732DD" w:rsidP="00A22A82">
            <w:pPr>
              <w:jc w:val="center"/>
            </w:pPr>
            <w:r>
              <w:t>800</w:t>
            </w:r>
          </w:p>
        </w:tc>
        <w:tc>
          <w:tcPr>
            <w:tcW w:w="0" w:type="auto"/>
            <w:tcBorders>
              <w:bottom w:val="single" w:sz="8" w:space="0" w:color="000000"/>
              <w:right w:val="single" w:sz="8" w:space="0" w:color="000000"/>
            </w:tcBorders>
            <w:vAlign w:val="center"/>
          </w:tcPr>
          <w:p w14:paraId="286AEB86" w14:textId="77777777" w:rsidR="002732DD" w:rsidRDefault="002732DD" w:rsidP="00A22A82">
            <w:pPr>
              <w:jc w:val="center"/>
            </w:pPr>
            <w:r>
              <w:t>1,100</w:t>
            </w:r>
          </w:p>
        </w:tc>
        <w:tc>
          <w:tcPr>
            <w:tcW w:w="0" w:type="auto"/>
            <w:tcBorders>
              <w:bottom w:val="single" w:sz="8" w:space="0" w:color="000000"/>
              <w:right w:val="single" w:sz="8" w:space="0" w:color="000000"/>
            </w:tcBorders>
            <w:vAlign w:val="center"/>
          </w:tcPr>
          <w:p w14:paraId="28DA40EF" w14:textId="77777777" w:rsidR="002732DD" w:rsidRDefault="002732DD" w:rsidP="00A22A82">
            <w:pPr>
              <w:jc w:val="center"/>
            </w:pPr>
            <w:r>
              <w:rPr>
                <w:rFonts w:eastAsia="Georgia" w:hAnsi="Georgia" w:cs="Georgia"/>
              </w:rPr>
              <w:t>+£300m</w:t>
            </w:r>
          </w:p>
        </w:tc>
      </w:tr>
    </w:tbl>
    <w:p w14:paraId="257C1DAC" w14:textId="77777777" w:rsidR="002732DD" w:rsidRDefault="002732DD" w:rsidP="002732DD"/>
    <w:p w14:paraId="799D091E" w14:textId="59F875C0" w:rsidR="002732DD" w:rsidRDefault="002732DD" w:rsidP="002732DD">
      <w:r>
        <w:t>Table 1: Table 1: Tesco Key Financial Performance 2022/23 vs 2023/24</w:t>
      </w:r>
    </w:p>
    <w:p w14:paraId="2C62DFB1" w14:textId="4836071D" w:rsidR="008B1491" w:rsidRDefault="00B03FB7" w:rsidP="00B03FB7">
      <w:pPr>
        <w:spacing w:line="360" w:lineRule="auto"/>
        <w:jc w:val="both"/>
      </w:pPr>
      <w:r>
        <w:lastRenderedPageBreak/>
        <w:t xml:space="preserve">Management accounting tools are central to understanding and managing these cost structures. Tesco's internal reporting distinguishes between direct product costs, store operating costs and central overheads, enabling managers to analyse profitability by format, region and product category (Tesco PLC, 2024c; </w:t>
      </w:r>
      <w:proofErr w:type="spellStart"/>
      <w:r>
        <w:t>Atrill</w:t>
      </w:r>
      <w:proofErr w:type="spellEnd"/>
      <w:r>
        <w:t xml:space="preserve"> and McLaney, 2022). Recent performance updates emphasise programmes such as "Save to Invest", which delivered significant efficiency savings over 2022–2024 by simplifying operations, reducing waste, improving stock flow and cutting central overheads (Tesco PLC, 2023; Tesco PLC, 2024d). Through techniques such as cost–volume–profit analysis, variance analysis and overhead allocation, Tesco's management can assess the impact of changes in sales volume, input prices and efficiency initiatives on operating profit (Drury, 2018; Tesco PLC, 2024c). Overall, the company's business model relies on using management accounting information to balance competitive pricing with disciplined cost control </w:t>
      </w:r>
      <w:proofErr w:type="gramStart"/>
      <w:r>
        <w:t>in order to</w:t>
      </w:r>
      <w:proofErr w:type="gramEnd"/>
      <w:r>
        <w:t xml:space="preserve"> sustain profitability in a highly competitive supermarket market (The Strategy Story, 2021; Tesco PLC, 2024b).</w:t>
      </w:r>
    </w:p>
    <w:p w14:paraId="0285B370" w14:textId="7CFFB9DF" w:rsidR="008B1491" w:rsidRPr="00B03FB7" w:rsidRDefault="00B03FB7" w:rsidP="00B03FB7">
      <w:pPr>
        <w:pStyle w:val="Heading1"/>
        <w:numPr>
          <w:ilvl w:val="0"/>
          <w:numId w:val="20"/>
        </w:numPr>
        <w:spacing w:line="360" w:lineRule="auto"/>
      </w:pPr>
      <w:bookmarkStart w:id="2" w:name="_Toc222920403"/>
      <w:r w:rsidRPr="00B03FB7">
        <w:t>Budgeting and Financial Planning</w:t>
      </w:r>
      <w:bookmarkEnd w:id="2"/>
      <w:r w:rsidRPr="00B03FB7">
        <w:t xml:space="preserve"> </w:t>
      </w:r>
    </w:p>
    <w:p w14:paraId="5D6526A0" w14:textId="77777777" w:rsidR="00B03FB7" w:rsidRDefault="00B03FB7" w:rsidP="00B03FB7">
      <w:pPr>
        <w:spacing w:line="360" w:lineRule="auto"/>
        <w:jc w:val="both"/>
      </w:pPr>
      <w:r>
        <w:t>Budgeting is a core element of Tesco's planning and control system, providing a financial framework for setting sales, margin and cost targets across its UK and Republic of Ireland operations. Budgets are prepared at multiple levels – including group, country, format and store – and translate strategic objectives on value, customer satisfaction and cash generation into specific revenue and cost targets for managers (</w:t>
      </w:r>
      <w:proofErr w:type="spellStart"/>
      <w:r>
        <w:t>Atrill</w:t>
      </w:r>
      <w:proofErr w:type="spellEnd"/>
      <w:r>
        <w:t xml:space="preserve"> and McLaney, 2022; Tesco PLC, 2024a). In line with management accounting theory, Tesco uses budgets both as a planning tool, to allocate resources and prioritise investment, and as a control mechanism, comparing actual results with budgeted figures to identify variances that require management action (Drury, 2018; Sage, 2024). This is particularly important in food retail, where small percentage changes in gross margin or operating costs can significantly affect profitability given the low-margin nature of the business (Drury, 2018; Tesco PLC, 2024b).</w:t>
      </w:r>
    </w:p>
    <w:p w14:paraId="0C87B18D" w14:textId="77777777" w:rsidR="00B03FB7" w:rsidRDefault="00B03FB7" w:rsidP="00B03FB7">
      <w:pPr>
        <w:spacing w:line="360" w:lineRule="auto"/>
        <w:jc w:val="both"/>
      </w:pPr>
      <w:r>
        <w:t>Tesco's budgeting process is closely linked to its cost efficiency and capital allocation programmes. The "Save to Invest" initiative, for example, sets explicit savings targets within budgets to free up resources that can be reinvested in price competitiveness, store refurbishment and digital capabilities (Tesco PLC, 2023; Tesco PLC, 2024c). Interim and preliminary results highlight cumulative savings of more than £1.1 billion between 2022 and 2024 from simplifying operations, reducing waste, improving distribution and lowering central overheads (Tesco PLC, 2023; Tesco PLC, 2024d). These savings are embedded in future budgets as lower allowed cost levels, forcing business units to maintain efficiency improvements while still delivering agreed service and quality standards (</w:t>
      </w:r>
      <w:proofErr w:type="spellStart"/>
      <w:r>
        <w:t>Atrill</w:t>
      </w:r>
      <w:proofErr w:type="spellEnd"/>
      <w:r>
        <w:t xml:space="preserve"> and McLaney, </w:t>
      </w:r>
      <w:r>
        <w:lastRenderedPageBreak/>
        <w:t>2022; Tesco PLC, 2024c). In addition, capital expenditure budgets are used to prioritise store refits, logistics automation and online capacity, with management accounting techniques such as discounted cash flow and payback informing investment decisions (Drury, 2018; Tesco PLC, 2024a).</w:t>
      </w:r>
    </w:p>
    <w:p w14:paraId="59897ACF" w14:textId="4B400746" w:rsidR="002732DD" w:rsidRDefault="00B03FB7" w:rsidP="002732DD">
      <w:pPr>
        <w:spacing w:line="360" w:lineRule="auto"/>
        <w:jc w:val="both"/>
      </w:pPr>
      <w:r>
        <w:t>Year</w:t>
      </w:r>
      <w:r>
        <w:rPr>
          <w:rFonts w:ascii="Cambria Math" w:hAnsi="Cambria Math" w:cs="Cambria Math"/>
        </w:rPr>
        <w:t>‑</w:t>
      </w:r>
      <w:r>
        <w:t>on</w:t>
      </w:r>
      <w:r>
        <w:rPr>
          <w:rFonts w:ascii="Cambria Math" w:hAnsi="Cambria Math" w:cs="Cambria Math"/>
        </w:rPr>
        <w:t>‑</w:t>
      </w:r>
      <w:r>
        <w:t>year changes in operating expenses reflect both internal managerial decisions and external macroeconomic factors. Tesco's 2023/24 results commentary links changes in operating profit and cost ratios to targeted cost</w:t>
      </w:r>
      <w:r>
        <w:rPr>
          <w:rFonts w:ascii="Cambria Math" w:hAnsi="Cambria Math" w:cs="Cambria Math"/>
        </w:rPr>
        <w:t>‑</w:t>
      </w:r>
      <w:r>
        <w:t>reduction programmes, optimisation of store labour hours and property rationalisation, showing how internal initiatives have helped offset inflationary pressures (Tesco PLC, 2024a; Tesco PLC, 2024b). At the same time, rising energy prices, wage inflation, higher business rates and increased UK corporation tax have exerted upward pressure on operating costs and tax charges, forcing the company to revise budgets and re</w:t>
      </w:r>
      <w:r>
        <w:rPr>
          <w:rFonts w:ascii="Cambria Math" w:hAnsi="Cambria Math" w:cs="Cambria Math"/>
        </w:rPr>
        <w:t>‑</w:t>
      </w:r>
      <w:r>
        <w:t>forecast profit expectations during the year (Tesco PLC, 2023; Tesco PLC, 2024b). Management accounting tools such as flexible budgeting and rolling forecasts enable Tesco to update its financial plans in response to these macroeconomic changes, modelling different scenarios for sales volumes, cost inflation and savings delivery (Drury, 2018; Sikka and Willmott, 2010). Overall, the budgeting and financial planning process provides a structured way for Tesco to balance internal efficiency programmes with external cost shocks, supporting more resilient financial performance over time (</w:t>
      </w:r>
      <w:proofErr w:type="spellStart"/>
      <w:r>
        <w:t>Atrill</w:t>
      </w:r>
      <w:proofErr w:type="spellEnd"/>
      <w:r>
        <w:t xml:space="preserve"> and McLaney, 2022; Tesco PLC, 2024a).</w:t>
      </w:r>
    </w:p>
    <w:tbl>
      <w:tblPr>
        <w:tblStyle w:val="NormalGrid"/>
        <w:tblW w:w="0" w:type="auto"/>
        <w:jc w:val="center"/>
        <w:tblCellSpacing w:w="0" w:type="dxa"/>
        <w:tblLook w:val="04A0" w:firstRow="1" w:lastRow="0" w:firstColumn="1" w:lastColumn="0" w:noHBand="0" w:noVBand="1"/>
      </w:tblPr>
      <w:tblGrid>
        <w:gridCol w:w="2792"/>
        <w:gridCol w:w="1134"/>
        <w:gridCol w:w="4069"/>
      </w:tblGrid>
      <w:tr w:rsidR="002732DD" w14:paraId="77A6C5B7" w14:textId="77777777" w:rsidTr="00A22A82">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0A394499" w14:textId="77777777" w:rsidR="002732DD" w:rsidRDefault="002732DD" w:rsidP="00A22A82">
            <w:r>
              <w:rPr>
                <w:b/>
              </w:rPr>
              <w:t>Factor</w:t>
            </w:r>
          </w:p>
        </w:tc>
        <w:tc>
          <w:tcPr>
            <w:tcW w:w="0" w:type="auto"/>
            <w:tcBorders>
              <w:top w:val="single" w:sz="8" w:space="0" w:color="000000"/>
              <w:bottom w:val="single" w:sz="8" w:space="0" w:color="000000"/>
              <w:right w:val="single" w:sz="8" w:space="0" w:color="000000"/>
            </w:tcBorders>
            <w:vAlign w:val="center"/>
          </w:tcPr>
          <w:p w14:paraId="52095C8D" w14:textId="77777777" w:rsidR="002732DD" w:rsidRDefault="002732DD" w:rsidP="00A22A82">
            <w:r>
              <w:rPr>
                <w:b/>
              </w:rPr>
              <w:t>Type</w:t>
            </w:r>
          </w:p>
        </w:tc>
        <w:tc>
          <w:tcPr>
            <w:tcW w:w="0" w:type="auto"/>
            <w:tcBorders>
              <w:top w:val="single" w:sz="8" w:space="0" w:color="000000"/>
              <w:bottom w:val="single" w:sz="8" w:space="0" w:color="000000"/>
              <w:right w:val="single" w:sz="8" w:space="0" w:color="000000"/>
            </w:tcBorders>
            <w:vAlign w:val="center"/>
          </w:tcPr>
          <w:p w14:paraId="4C306530" w14:textId="77777777" w:rsidR="002732DD" w:rsidRDefault="002732DD" w:rsidP="00A22A82">
            <w:r>
              <w:rPr>
                <w:b/>
              </w:rPr>
              <w:t>Impact on Operating Expenses</w:t>
            </w:r>
          </w:p>
        </w:tc>
      </w:tr>
      <w:tr w:rsidR="002732DD" w14:paraId="7CBE9627"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53FBF12B" w14:textId="77777777" w:rsidR="002732DD" w:rsidRDefault="002732DD" w:rsidP="00A22A82">
            <w:r>
              <w:t xml:space="preserve">Save to Invest </w:t>
            </w:r>
            <w:proofErr w:type="spellStart"/>
            <w:r>
              <w:t>programme</w:t>
            </w:r>
            <w:proofErr w:type="spellEnd"/>
          </w:p>
        </w:tc>
        <w:tc>
          <w:tcPr>
            <w:tcW w:w="0" w:type="auto"/>
            <w:tcBorders>
              <w:bottom w:val="single" w:sz="8" w:space="0" w:color="000000"/>
              <w:right w:val="single" w:sz="8" w:space="0" w:color="000000"/>
            </w:tcBorders>
            <w:vAlign w:val="center"/>
          </w:tcPr>
          <w:p w14:paraId="035FE9D9" w14:textId="77777777" w:rsidR="002732DD" w:rsidRDefault="002732DD" w:rsidP="00A22A82">
            <w:r>
              <w:t>Internal</w:t>
            </w:r>
          </w:p>
        </w:tc>
        <w:tc>
          <w:tcPr>
            <w:tcW w:w="0" w:type="auto"/>
            <w:tcBorders>
              <w:bottom w:val="single" w:sz="8" w:space="0" w:color="000000"/>
              <w:right w:val="single" w:sz="8" w:space="0" w:color="000000"/>
            </w:tcBorders>
            <w:vAlign w:val="center"/>
          </w:tcPr>
          <w:p w14:paraId="119ADA8A" w14:textId="77777777" w:rsidR="002732DD" w:rsidRDefault="002732DD" w:rsidP="00A22A82">
            <w:r>
              <w:rPr>
                <w:rFonts w:eastAsia="Georgia" w:hAnsi="Georgia" w:cs="Georgia"/>
              </w:rPr>
              <w:t>Reduced costs by £1.1bn (2022-2024)</w:t>
            </w:r>
          </w:p>
        </w:tc>
      </w:tr>
      <w:tr w:rsidR="002732DD" w14:paraId="682B2F9A"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369354F3" w14:textId="77777777" w:rsidR="002732DD" w:rsidRDefault="002732DD" w:rsidP="00A22A82">
            <w:r>
              <w:t xml:space="preserve">Store </w:t>
            </w:r>
            <w:proofErr w:type="spellStart"/>
            <w:r>
              <w:t>labour</w:t>
            </w:r>
            <w:proofErr w:type="spellEnd"/>
            <w:r>
              <w:t xml:space="preserve"> </w:t>
            </w:r>
            <w:proofErr w:type="spellStart"/>
            <w:r>
              <w:t>optimisation</w:t>
            </w:r>
            <w:proofErr w:type="spellEnd"/>
          </w:p>
        </w:tc>
        <w:tc>
          <w:tcPr>
            <w:tcW w:w="0" w:type="auto"/>
            <w:tcBorders>
              <w:bottom w:val="single" w:sz="8" w:space="0" w:color="000000"/>
              <w:right w:val="single" w:sz="8" w:space="0" w:color="000000"/>
            </w:tcBorders>
            <w:vAlign w:val="center"/>
          </w:tcPr>
          <w:p w14:paraId="4D2EAEA4" w14:textId="77777777" w:rsidR="002732DD" w:rsidRDefault="002732DD" w:rsidP="00A22A82">
            <w:r>
              <w:t>Internal</w:t>
            </w:r>
          </w:p>
        </w:tc>
        <w:tc>
          <w:tcPr>
            <w:tcW w:w="0" w:type="auto"/>
            <w:tcBorders>
              <w:bottom w:val="single" w:sz="8" w:space="0" w:color="000000"/>
              <w:right w:val="single" w:sz="8" w:space="0" w:color="000000"/>
            </w:tcBorders>
            <w:vAlign w:val="center"/>
          </w:tcPr>
          <w:p w14:paraId="12EEA48B" w14:textId="77777777" w:rsidR="002732DD" w:rsidRDefault="002732DD" w:rsidP="00A22A82">
            <w:r>
              <w:t xml:space="preserve">Lower </w:t>
            </w:r>
            <w:proofErr w:type="spellStart"/>
            <w:r>
              <w:t>labour</w:t>
            </w:r>
            <w:proofErr w:type="spellEnd"/>
            <w:r>
              <w:t xml:space="preserve"> costs per transaction</w:t>
            </w:r>
          </w:p>
        </w:tc>
      </w:tr>
      <w:tr w:rsidR="002732DD" w14:paraId="2003BEAA"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5BCE0F3E" w14:textId="77777777" w:rsidR="002732DD" w:rsidRDefault="002732DD" w:rsidP="00A22A82">
            <w:r>
              <w:t xml:space="preserve">Property </w:t>
            </w:r>
            <w:proofErr w:type="spellStart"/>
            <w:r>
              <w:t>rationalisation</w:t>
            </w:r>
            <w:proofErr w:type="spellEnd"/>
          </w:p>
        </w:tc>
        <w:tc>
          <w:tcPr>
            <w:tcW w:w="0" w:type="auto"/>
            <w:tcBorders>
              <w:bottom w:val="single" w:sz="8" w:space="0" w:color="000000"/>
              <w:right w:val="single" w:sz="8" w:space="0" w:color="000000"/>
            </w:tcBorders>
            <w:vAlign w:val="center"/>
          </w:tcPr>
          <w:p w14:paraId="0B2BB7BC" w14:textId="77777777" w:rsidR="002732DD" w:rsidRDefault="002732DD" w:rsidP="00A22A82">
            <w:r>
              <w:t>Internal</w:t>
            </w:r>
          </w:p>
        </w:tc>
        <w:tc>
          <w:tcPr>
            <w:tcW w:w="0" w:type="auto"/>
            <w:tcBorders>
              <w:bottom w:val="single" w:sz="8" w:space="0" w:color="000000"/>
              <w:right w:val="single" w:sz="8" w:space="0" w:color="000000"/>
            </w:tcBorders>
            <w:vAlign w:val="center"/>
          </w:tcPr>
          <w:p w14:paraId="27346497" w14:textId="77777777" w:rsidR="002732DD" w:rsidRDefault="002732DD" w:rsidP="00A22A82">
            <w:r>
              <w:t>Reduced lease and property costs</w:t>
            </w:r>
          </w:p>
        </w:tc>
      </w:tr>
      <w:tr w:rsidR="002732DD" w14:paraId="2065A30E"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4AB63003" w14:textId="77777777" w:rsidR="002732DD" w:rsidRDefault="002732DD" w:rsidP="00A22A82">
            <w:r>
              <w:t>Energy price inflation</w:t>
            </w:r>
          </w:p>
        </w:tc>
        <w:tc>
          <w:tcPr>
            <w:tcW w:w="0" w:type="auto"/>
            <w:tcBorders>
              <w:bottom w:val="single" w:sz="8" w:space="0" w:color="000000"/>
              <w:right w:val="single" w:sz="8" w:space="0" w:color="000000"/>
            </w:tcBorders>
            <w:vAlign w:val="center"/>
          </w:tcPr>
          <w:p w14:paraId="4A5CBC08" w14:textId="77777777" w:rsidR="002732DD" w:rsidRDefault="002732DD" w:rsidP="00A22A82">
            <w:r>
              <w:t>External</w:t>
            </w:r>
          </w:p>
        </w:tc>
        <w:tc>
          <w:tcPr>
            <w:tcW w:w="0" w:type="auto"/>
            <w:tcBorders>
              <w:bottom w:val="single" w:sz="8" w:space="0" w:color="000000"/>
              <w:right w:val="single" w:sz="8" w:space="0" w:color="000000"/>
            </w:tcBorders>
            <w:vAlign w:val="center"/>
          </w:tcPr>
          <w:p w14:paraId="62A649AF" w14:textId="77777777" w:rsidR="002732DD" w:rsidRDefault="002732DD" w:rsidP="00A22A82">
            <w:r>
              <w:t>Increased utilities and distribution costs</w:t>
            </w:r>
          </w:p>
        </w:tc>
      </w:tr>
      <w:tr w:rsidR="002732DD" w14:paraId="5312B981"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62D19D0" w14:textId="77777777" w:rsidR="002732DD" w:rsidRDefault="002732DD" w:rsidP="00A22A82">
            <w:r>
              <w:t>Wage inflation</w:t>
            </w:r>
          </w:p>
        </w:tc>
        <w:tc>
          <w:tcPr>
            <w:tcW w:w="0" w:type="auto"/>
            <w:tcBorders>
              <w:bottom w:val="single" w:sz="8" w:space="0" w:color="000000"/>
              <w:right w:val="single" w:sz="8" w:space="0" w:color="000000"/>
            </w:tcBorders>
            <w:vAlign w:val="center"/>
          </w:tcPr>
          <w:p w14:paraId="3B443693" w14:textId="77777777" w:rsidR="002732DD" w:rsidRDefault="002732DD" w:rsidP="00A22A82">
            <w:r>
              <w:t>External</w:t>
            </w:r>
          </w:p>
        </w:tc>
        <w:tc>
          <w:tcPr>
            <w:tcW w:w="0" w:type="auto"/>
            <w:tcBorders>
              <w:bottom w:val="single" w:sz="8" w:space="0" w:color="000000"/>
              <w:right w:val="single" w:sz="8" w:space="0" w:color="000000"/>
            </w:tcBorders>
            <w:vAlign w:val="center"/>
          </w:tcPr>
          <w:p w14:paraId="42EE828A" w14:textId="77777777" w:rsidR="002732DD" w:rsidRDefault="002732DD" w:rsidP="00A22A82">
            <w:r>
              <w:t>Higher staff costs across all operations</w:t>
            </w:r>
          </w:p>
        </w:tc>
      </w:tr>
      <w:tr w:rsidR="002732DD" w14:paraId="2550C94A"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10636DBF" w14:textId="77777777" w:rsidR="002732DD" w:rsidRDefault="002732DD" w:rsidP="00A22A82">
            <w:r>
              <w:t xml:space="preserve">Business rates </w:t>
            </w:r>
            <w:proofErr w:type="gramStart"/>
            <w:r>
              <w:t>increases</w:t>
            </w:r>
            <w:proofErr w:type="gramEnd"/>
          </w:p>
        </w:tc>
        <w:tc>
          <w:tcPr>
            <w:tcW w:w="0" w:type="auto"/>
            <w:tcBorders>
              <w:bottom w:val="single" w:sz="8" w:space="0" w:color="000000"/>
              <w:right w:val="single" w:sz="8" w:space="0" w:color="000000"/>
            </w:tcBorders>
            <w:vAlign w:val="center"/>
          </w:tcPr>
          <w:p w14:paraId="5175F0BB" w14:textId="77777777" w:rsidR="002732DD" w:rsidRDefault="002732DD" w:rsidP="00A22A82">
            <w:r>
              <w:t>External</w:t>
            </w:r>
          </w:p>
        </w:tc>
        <w:tc>
          <w:tcPr>
            <w:tcW w:w="0" w:type="auto"/>
            <w:tcBorders>
              <w:bottom w:val="single" w:sz="8" w:space="0" w:color="000000"/>
              <w:right w:val="single" w:sz="8" w:space="0" w:color="000000"/>
            </w:tcBorders>
            <w:vAlign w:val="center"/>
          </w:tcPr>
          <w:p w14:paraId="34A1268D" w14:textId="77777777" w:rsidR="002732DD" w:rsidRDefault="002732DD" w:rsidP="00A22A82">
            <w:r>
              <w:t>Higher property taxation burden</w:t>
            </w:r>
          </w:p>
        </w:tc>
      </w:tr>
      <w:tr w:rsidR="002732DD" w14:paraId="56106ADE"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2746DC19" w14:textId="77777777" w:rsidR="002732DD" w:rsidRDefault="002732DD" w:rsidP="00A22A82">
            <w:r>
              <w:t>Corporation tax rise</w:t>
            </w:r>
          </w:p>
        </w:tc>
        <w:tc>
          <w:tcPr>
            <w:tcW w:w="0" w:type="auto"/>
            <w:tcBorders>
              <w:bottom w:val="single" w:sz="8" w:space="0" w:color="000000"/>
              <w:right w:val="single" w:sz="8" w:space="0" w:color="000000"/>
            </w:tcBorders>
            <w:vAlign w:val="center"/>
          </w:tcPr>
          <w:p w14:paraId="6476781B" w14:textId="77777777" w:rsidR="002732DD" w:rsidRDefault="002732DD" w:rsidP="00A22A82">
            <w:r>
              <w:t>External</w:t>
            </w:r>
          </w:p>
        </w:tc>
        <w:tc>
          <w:tcPr>
            <w:tcW w:w="0" w:type="auto"/>
            <w:tcBorders>
              <w:bottom w:val="single" w:sz="8" w:space="0" w:color="000000"/>
              <w:right w:val="single" w:sz="8" w:space="0" w:color="000000"/>
            </w:tcBorders>
            <w:vAlign w:val="center"/>
          </w:tcPr>
          <w:p w14:paraId="2FEA9986" w14:textId="77777777" w:rsidR="002732DD" w:rsidRDefault="002732DD" w:rsidP="00A22A82">
            <w:r>
              <w:t>Increased tax charge on profits</w:t>
            </w:r>
          </w:p>
        </w:tc>
      </w:tr>
    </w:tbl>
    <w:p w14:paraId="4EE0A189" w14:textId="77777777" w:rsidR="002732DD" w:rsidRDefault="002732DD" w:rsidP="002732DD"/>
    <w:p w14:paraId="1AA1EB46" w14:textId="77777777" w:rsidR="002732DD" w:rsidRDefault="002732DD" w:rsidP="002732DD">
      <w:r>
        <w:t>Table 2: Table 2: Internal and External Factors Influencing Tesco's Operating Expenses (2023/24)</w:t>
      </w:r>
    </w:p>
    <w:p w14:paraId="5771A5E2" w14:textId="77777777" w:rsidR="00005914" w:rsidRDefault="00005914" w:rsidP="002732DD"/>
    <w:p w14:paraId="55833489" w14:textId="77777777" w:rsidR="00005914" w:rsidRDefault="00005914" w:rsidP="002732DD"/>
    <w:p w14:paraId="715C448E" w14:textId="18731FF5" w:rsidR="008B1491" w:rsidRPr="00835089" w:rsidRDefault="00B03FB7" w:rsidP="00987D14">
      <w:pPr>
        <w:pStyle w:val="Heading1"/>
        <w:numPr>
          <w:ilvl w:val="0"/>
          <w:numId w:val="20"/>
        </w:numPr>
        <w:spacing w:line="276" w:lineRule="auto"/>
      </w:pPr>
      <w:bookmarkStart w:id="3" w:name="_Toc222920404"/>
      <w:r w:rsidRPr="00B03FB7">
        <w:lastRenderedPageBreak/>
        <w:t>Performance Measurement and Decision-Making</w:t>
      </w:r>
      <w:bookmarkEnd w:id="3"/>
    </w:p>
    <w:p w14:paraId="0400D346" w14:textId="77777777" w:rsidR="00B03FB7" w:rsidRPr="00B03FB7" w:rsidRDefault="00B03FB7" w:rsidP="00B03FB7">
      <w:pPr>
        <w:spacing w:line="360" w:lineRule="auto"/>
        <w:jc w:val="both"/>
        <w:rPr>
          <w:lang w:val="en-US"/>
        </w:rPr>
      </w:pPr>
      <w:r w:rsidRPr="00B03FB7">
        <w:rPr>
          <w:lang w:val="en-US"/>
        </w:rPr>
        <w:t>Tesco's performance management framework links budgeting and forecasting directly to a small set of key performance indicators, ensuring that financial plans translate into measurable outcomes. Annual budgets set targets for sales, profit, cash flow and cost efficiency, which align with Tesco's long</w:t>
      </w:r>
      <w:r w:rsidRPr="00B03FB7">
        <w:rPr>
          <w:rFonts w:ascii="Cambria Math" w:hAnsi="Cambria Math" w:cs="Cambria Math"/>
          <w:lang w:val="en-US"/>
        </w:rPr>
        <w:t>‑</w:t>
      </w:r>
      <w:r w:rsidRPr="00B03FB7">
        <w:rPr>
          <w:lang w:val="en-US"/>
        </w:rPr>
        <w:t>standing use of simple, business</w:t>
      </w:r>
      <w:r w:rsidRPr="00B03FB7">
        <w:rPr>
          <w:rFonts w:ascii="Cambria Math" w:hAnsi="Cambria Math" w:cs="Cambria Math"/>
          <w:lang w:val="en-US"/>
        </w:rPr>
        <w:t>‑</w:t>
      </w:r>
      <w:r w:rsidRPr="00B03FB7">
        <w:rPr>
          <w:lang w:val="en-US"/>
        </w:rPr>
        <w:t>wide KPIs such as sales, profit and operating cash flow (Tesco PLC, 2017; Tesco PLC, 2024a). These financial KPIs are complemented by non</w:t>
      </w:r>
      <w:r w:rsidRPr="00B03FB7">
        <w:rPr>
          <w:rFonts w:ascii="Cambria Math" w:hAnsi="Cambria Math" w:cs="Cambria Math"/>
          <w:lang w:val="en-US"/>
        </w:rPr>
        <w:t>‑</w:t>
      </w:r>
      <w:r w:rsidRPr="00B03FB7">
        <w:rPr>
          <w:lang w:val="en-US"/>
        </w:rPr>
        <w:t xml:space="preserve">financial indicators related to customer satisfaction, colleague engagement and brand perception, reflecting an integrated view of performance </w:t>
      </w:r>
      <w:proofErr w:type="gramStart"/>
      <w:r w:rsidRPr="00B03FB7">
        <w:rPr>
          <w:lang w:val="en-US"/>
        </w:rPr>
        <w:t>similar to</w:t>
      </w:r>
      <w:proofErr w:type="gramEnd"/>
      <w:r w:rsidRPr="00B03FB7">
        <w:rPr>
          <w:lang w:val="en-US"/>
        </w:rPr>
        <w:t xml:space="preserve"> balanced scorecard principles (Marr, 2021; </w:t>
      </w:r>
      <w:proofErr w:type="spellStart"/>
      <w:r w:rsidRPr="00B03FB7">
        <w:rPr>
          <w:lang w:val="en-US"/>
        </w:rPr>
        <w:t>TotalAssignment</w:t>
      </w:r>
      <w:proofErr w:type="spellEnd"/>
      <w:r w:rsidRPr="00B03FB7">
        <w:rPr>
          <w:lang w:val="en-US"/>
        </w:rPr>
        <w:t>, 2018). Management accounting information from the budgeting process is therefore not limited to financial numbers; it includes volume assumptions, mix changes and service levels that underpin KPI targets at store and group level (</w:t>
      </w:r>
      <w:proofErr w:type="spellStart"/>
      <w:r w:rsidRPr="00B03FB7">
        <w:rPr>
          <w:lang w:val="en-US"/>
        </w:rPr>
        <w:t>Atrill</w:t>
      </w:r>
      <w:proofErr w:type="spellEnd"/>
      <w:r w:rsidRPr="00B03FB7">
        <w:rPr>
          <w:lang w:val="en-US"/>
        </w:rPr>
        <w:t xml:space="preserve"> and McLaney, 2022; Drury, 2018).</w:t>
      </w:r>
    </w:p>
    <w:p w14:paraId="2EB5D177" w14:textId="77777777" w:rsidR="00B03FB7" w:rsidRDefault="00B03FB7" w:rsidP="00B03FB7">
      <w:pPr>
        <w:spacing w:line="360" w:lineRule="auto"/>
        <w:jc w:val="both"/>
        <w:rPr>
          <w:lang w:val="en-US"/>
        </w:rPr>
      </w:pPr>
      <w:r w:rsidRPr="00B03FB7">
        <w:rPr>
          <w:lang w:val="en-US"/>
        </w:rPr>
        <w:t>Forecasting plays a central role in updating these performance expectations during the year. Tesco prepares regular re</w:t>
      </w:r>
      <w:r w:rsidRPr="00B03FB7">
        <w:rPr>
          <w:rFonts w:ascii="Cambria Math" w:hAnsi="Cambria Math" w:cs="Cambria Math"/>
          <w:lang w:val="en-US"/>
        </w:rPr>
        <w:t>‑</w:t>
      </w:r>
      <w:r w:rsidRPr="00B03FB7">
        <w:rPr>
          <w:lang w:val="en-US"/>
        </w:rPr>
        <w:t>forecasts that compare year</w:t>
      </w:r>
      <w:r w:rsidRPr="00B03FB7">
        <w:rPr>
          <w:rFonts w:ascii="Cambria Math" w:hAnsi="Cambria Math" w:cs="Cambria Math"/>
          <w:lang w:val="en-US"/>
        </w:rPr>
        <w:t>‑</w:t>
      </w:r>
      <w:r w:rsidRPr="00B03FB7">
        <w:rPr>
          <w:lang w:val="en-US"/>
        </w:rPr>
        <w:t>to</w:t>
      </w:r>
      <w:r w:rsidRPr="00B03FB7">
        <w:rPr>
          <w:rFonts w:ascii="Cambria Math" w:hAnsi="Cambria Math" w:cs="Cambria Math"/>
          <w:lang w:val="en-US"/>
        </w:rPr>
        <w:t>‑</w:t>
      </w:r>
      <w:r w:rsidRPr="00B03FB7">
        <w:rPr>
          <w:lang w:val="en-US"/>
        </w:rPr>
        <w:t>date actuals with budget and project full</w:t>
      </w:r>
      <w:r w:rsidRPr="00B03FB7">
        <w:rPr>
          <w:rFonts w:ascii="Cambria Math" w:hAnsi="Cambria Math" w:cs="Cambria Math"/>
          <w:lang w:val="en-US"/>
        </w:rPr>
        <w:t>‑</w:t>
      </w:r>
      <w:r w:rsidRPr="00B03FB7">
        <w:rPr>
          <w:lang w:val="en-US"/>
        </w:rPr>
        <w:t>year outcomes for revenue, operating profit and retail free cash flow (Tesco PLC, 2024b; Tesco PLC, 2024c). Rolling forecasts incorporate new information on customer demand, competitor pricing, input</w:t>
      </w:r>
      <w:r w:rsidRPr="00B03FB7">
        <w:rPr>
          <w:rFonts w:ascii="Cambria Math" w:hAnsi="Cambria Math" w:cs="Cambria Math"/>
          <w:lang w:val="en-US"/>
        </w:rPr>
        <w:t>‑</w:t>
      </w:r>
      <w:r w:rsidRPr="00B03FB7">
        <w:rPr>
          <w:lang w:val="en-US"/>
        </w:rPr>
        <w:t>cost inflation and progress on cost</w:t>
      </w:r>
      <w:r w:rsidRPr="00B03FB7">
        <w:rPr>
          <w:rFonts w:ascii="Cambria Math" w:hAnsi="Cambria Math" w:cs="Cambria Math"/>
          <w:lang w:val="en-US"/>
        </w:rPr>
        <w:t>‑</w:t>
      </w:r>
      <w:r w:rsidRPr="00B03FB7">
        <w:rPr>
          <w:lang w:val="en-US"/>
        </w:rPr>
        <w:t>saving initiatives such as "Save to Invest", allowing management to adjust spending and commercial plans before variances become too large (Tesco PLC, 2023; Tesco PLC, 2024d). For example, interim results highlight how higher</w:t>
      </w:r>
      <w:r w:rsidRPr="00B03FB7">
        <w:rPr>
          <w:rFonts w:ascii="Cambria Math" w:hAnsi="Cambria Math" w:cs="Cambria Math"/>
          <w:lang w:val="en-US"/>
        </w:rPr>
        <w:t>‑</w:t>
      </w:r>
      <w:r w:rsidRPr="00B03FB7">
        <w:rPr>
          <w:lang w:val="en-US"/>
        </w:rPr>
        <w:t>than</w:t>
      </w:r>
      <w:r w:rsidRPr="00B03FB7">
        <w:rPr>
          <w:rFonts w:ascii="Cambria Math" w:hAnsi="Cambria Math" w:cs="Cambria Math"/>
          <w:lang w:val="en-US"/>
        </w:rPr>
        <w:t>‑</w:t>
      </w:r>
      <w:r w:rsidRPr="00B03FB7">
        <w:rPr>
          <w:lang w:val="en-US"/>
        </w:rPr>
        <w:t>expected cost inflation in energy and wages required updated forecasts and additional efficiency actions to protect margins (Tesco PLC, 2023; Tesco PLC, 2024a). From a management accounting perspective, this reflects best practice in using flexible budgets and continuous forecasting to cope with uncertainty in a volatile retail environment (Drury, 2018; Sikka and Willmott, 2010).</w:t>
      </w:r>
    </w:p>
    <w:p w14:paraId="5D93F698" w14:textId="52997406" w:rsidR="00005914" w:rsidRPr="00B03FB7" w:rsidRDefault="00005914" w:rsidP="00005914">
      <w:pPr>
        <w:spacing w:line="360" w:lineRule="auto"/>
        <w:jc w:val="center"/>
        <w:rPr>
          <w:lang w:val="en-US"/>
        </w:rPr>
      </w:pPr>
      <w:r>
        <w:rPr>
          <w:noProof/>
          <w:lang w:val="en-US"/>
        </w:rPr>
        <w:drawing>
          <wp:inline distT="0" distB="0" distL="0" distR="0" wp14:anchorId="6404F420" wp14:editId="7A2789FB">
            <wp:extent cx="3893820" cy="2595736"/>
            <wp:effectExtent l="0" t="0" r="0" b="0"/>
            <wp:docPr id="7506922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692204" name="Picture 75069220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93820" cy="2595736"/>
                    </a:xfrm>
                    <a:prstGeom prst="rect">
                      <a:avLst/>
                    </a:prstGeom>
                  </pic:spPr>
                </pic:pic>
              </a:graphicData>
            </a:graphic>
          </wp:inline>
        </w:drawing>
      </w:r>
    </w:p>
    <w:p w14:paraId="7E3AB3DB" w14:textId="77777777" w:rsidR="002732DD" w:rsidRDefault="00B03FB7" w:rsidP="00B03FB7">
      <w:pPr>
        <w:spacing w:line="360" w:lineRule="auto"/>
        <w:jc w:val="both"/>
        <w:rPr>
          <w:lang w:val="en-US"/>
        </w:rPr>
      </w:pPr>
      <w:r w:rsidRPr="00B03FB7">
        <w:rPr>
          <w:lang w:val="en-US"/>
        </w:rPr>
        <w:lastRenderedPageBreak/>
        <w:t>Budgeting and forecasting information is also cascaded through Tesco's KPI "steering wheel" approach, which turns high</w:t>
      </w:r>
      <w:r w:rsidRPr="00B03FB7">
        <w:rPr>
          <w:rFonts w:ascii="Cambria Math" w:hAnsi="Cambria Math" w:cs="Cambria Math"/>
          <w:lang w:val="en-US"/>
        </w:rPr>
        <w:t>‑</w:t>
      </w:r>
      <w:r w:rsidRPr="00B03FB7">
        <w:rPr>
          <w:lang w:val="en-US"/>
        </w:rPr>
        <w:t>level financial goals into operational targets for stores and functions. Measures such as like</w:t>
      </w:r>
      <w:r w:rsidRPr="00B03FB7">
        <w:rPr>
          <w:rFonts w:ascii="Cambria Math" w:hAnsi="Cambria Math" w:cs="Cambria Math"/>
          <w:lang w:val="en-US"/>
        </w:rPr>
        <w:t>‑</w:t>
      </w:r>
      <w:r w:rsidRPr="00B03FB7">
        <w:rPr>
          <w:lang w:val="en-US"/>
        </w:rPr>
        <w:t>for</w:t>
      </w:r>
      <w:r w:rsidRPr="00B03FB7">
        <w:rPr>
          <w:rFonts w:ascii="Cambria Math" w:hAnsi="Cambria Math" w:cs="Cambria Math"/>
          <w:lang w:val="en-US"/>
        </w:rPr>
        <w:t>‑</w:t>
      </w:r>
      <w:r w:rsidRPr="00B03FB7">
        <w:rPr>
          <w:lang w:val="en-US"/>
        </w:rPr>
        <w:t>like sales growth, customer satisfaction scores, on</w:t>
      </w:r>
      <w:r w:rsidRPr="00B03FB7">
        <w:rPr>
          <w:rFonts w:ascii="Cambria Math" w:hAnsi="Cambria Math" w:cs="Cambria Math"/>
          <w:lang w:val="en-US"/>
        </w:rPr>
        <w:t>‑</w:t>
      </w:r>
      <w:r w:rsidRPr="00B03FB7">
        <w:rPr>
          <w:lang w:val="en-US"/>
        </w:rPr>
        <w:t>shelf availability and colleague engagement are monitored alongside budget variances, helping managers understand whether performance gaps arise from volume, price, cost, service or people factors (Marr, 2021; Tesco PLC, 2024a). Recent trading updates report sustained improvements in brand perception, price competitiveness and availability, indicating that budgeted investments in value and service have translated into stronger customer outcomes (Tesco PLC, 2024b; Tesco PLC, 2025). Where forecasts show risk to KPI targets – for instance from weakening consumer demand or rising costs – Tesco's leadership can respond by revising promotional activity, adjusting capital spending or accelerating cost</w:t>
      </w:r>
      <w:r w:rsidRPr="00B03FB7">
        <w:rPr>
          <w:rFonts w:ascii="Cambria Math" w:hAnsi="Cambria Math" w:cs="Cambria Math"/>
          <w:lang w:val="en-US"/>
        </w:rPr>
        <w:t>‑</w:t>
      </w:r>
      <w:r w:rsidRPr="00B03FB7">
        <w:rPr>
          <w:lang w:val="en-US"/>
        </w:rPr>
        <w:t>saving projects (</w:t>
      </w:r>
      <w:proofErr w:type="spellStart"/>
      <w:r w:rsidRPr="00B03FB7">
        <w:rPr>
          <w:lang w:val="en-US"/>
        </w:rPr>
        <w:t>Atrill</w:t>
      </w:r>
      <w:proofErr w:type="spellEnd"/>
      <w:r w:rsidRPr="00B03FB7">
        <w:rPr>
          <w:lang w:val="en-US"/>
        </w:rPr>
        <w:t xml:space="preserve"> and McLaney, 2022; Tesco PLC, 2024d). Overall, the integration of budgeting, forecasting and KPIs enables Tesco to use management accounting information to support timely, evidence</w:t>
      </w:r>
      <w:r w:rsidRPr="00B03FB7">
        <w:rPr>
          <w:rFonts w:ascii="Cambria Math" w:hAnsi="Cambria Math" w:cs="Cambria Math"/>
          <w:lang w:val="en-US"/>
        </w:rPr>
        <w:t>‑</w:t>
      </w:r>
      <w:r w:rsidRPr="00B03FB7">
        <w:rPr>
          <w:lang w:val="en-US"/>
        </w:rPr>
        <w:t>based decisions aimed at delivering both short</w:t>
      </w:r>
      <w:r w:rsidRPr="00B03FB7">
        <w:rPr>
          <w:rFonts w:ascii="Cambria Math" w:hAnsi="Cambria Math" w:cs="Cambria Math"/>
          <w:lang w:val="en-US"/>
        </w:rPr>
        <w:t>‑</w:t>
      </w:r>
      <w:r w:rsidRPr="00B03FB7">
        <w:rPr>
          <w:lang w:val="en-US"/>
        </w:rPr>
        <w:t>term financial performance and longer</w:t>
      </w:r>
      <w:r w:rsidRPr="00B03FB7">
        <w:rPr>
          <w:rFonts w:ascii="Cambria Math" w:hAnsi="Cambria Math" w:cs="Cambria Math"/>
          <w:lang w:val="en-US"/>
        </w:rPr>
        <w:t>‑</w:t>
      </w:r>
      <w:r w:rsidRPr="00B03FB7">
        <w:rPr>
          <w:lang w:val="en-US"/>
        </w:rPr>
        <w:t>term strategic objectives (Drury, 2018; Tesco PLC, 2024a).</w:t>
      </w:r>
      <w:r w:rsidR="002732DD">
        <w:rPr>
          <w:lang w:val="en-US"/>
        </w:rPr>
        <w:br/>
      </w:r>
    </w:p>
    <w:tbl>
      <w:tblPr>
        <w:tblStyle w:val="NormalGrid"/>
        <w:tblW w:w="0" w:type="auto"/>
        <w:jc w:val="center"/>
        <w:tblCellSpacing w:w="0" w:type="dxa"/>
        <w:tblLook w:val="04A0" w:firstRow="1" w:lastRow="0" w:firstColumn="1" w:lastColumn="0" w:noHBand="0" w:noVBand="1"/>
      </w:tblPr>
      <w:tblGrid>
        <w:gridCol w:w="1787"/>
        <w:gridCol w:w="2973"/>
        <w:gridCol w:w="3815"/>
      </w:tblGrid>
      <w:tr w:rsidR="002732DD" w14:paraId="7D11F488" w14:textId="77777777" w:rsidTr="00A22A82">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2D12CFEC" w14:textId="77777777" w:rsidR="002732DD" w:rsidRDefault="002732DD" w:rsidP="00A22A82">
            <w:r>
              <w:rPr>
                <w:b/>
              </w:rPr>
              <w:t>KPI Category</w:t>
            </w:r>
          </w:p>
        </w:tc>
        <w:tc>
          <w:tcPr>
            <w:tcW w:w="0" w:type="auto"/>
            <w:tcBorders>
              <w:top w:val="single" w:sz="8" w:space="0" w:color="000000"/>
              <w:bottom w:val="single" w:sz="8" w:space="0" w:color="000000"/>
              <w:right w:val="single" w:sz="8" w:space="0" w:color="000000"/>
            </w:tcBorders>
            <w:vAlign w:val="center"/>
          </w:tcPr>
          <w:p w14:paraId="45BF5D63" w14:textId="77777777" w:rsidR="002732DD" w:rsidRDefault="002732DD" w:rsidP="00A22A82">
            <w:r>
              <w:rPr>
                <w:b/>
              </w:rPr>
              <w:t>Specific Measure</w:t>
            </w:r>
          </w:p>
        </w:tc>
        <w:tc>
          <w:tcPr>
            <w:tcW w:w="0" w:type="auto"/>
            <w:tcBorders>
              <w:top w:val="single" w:sz="8" w:space="0" w:color="000000"/>
              <w:bottom w:val="single" w:sz="8" w:space="0" w:color="000000"/>
              <w:right w:val="single" w:sz="8" w:space="0" w:color="000000"/>
            </w:tcBorders>
            <w:vAlign w:val="center"/>
          </w:tcPr>
          <w:p w14:paraId="596E71D6" w14:textId="77777777" w:rsidR="002732DD" w:rsidRDefault="002732DD" w:rsidP="00A22A82">
            <w:r>
              <w:rPr>
                <w:b/>
              </w:rPr>
              <w:t>Management Accounting Link</w:t>
            </w:r>
          </w:p>
        </w:tc>
      </w:tr>
      <w:tr w:rsidR="002732DD" w14:paraId="6636C590"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34DF04C9" w14:textId="77777777" w:rsidR="002732DD" w:rsidRDefault="002732DD" w:rsidP="00A22A82">
            <w:r>
              <w:t>Financial</w:t>
            </w:r>
          </w:p>
        </w:tc>
        <w:tc>
          <w:tcPr>
            <w:tcW w:w="0" w:type="auto"/>
            <w:tcBorders>
              <w:bottom w:val="single" w:sz="8" w:space="0" w:color="000000"/>
              <w:right w:val="single" w:sz="8" w:space="0" w:color="000000"/>
            </w:tcBorders>
            <w:vAlign w:val="center"/>
          </w:tcPr>
          <w:p w14:paraId="6AC764C4" w14:textId="77777777" w:rsidR="002732DD" w:rsidRDefault="002732DD" w:rsidP="00A22A82">
            <w:r>
              <w:t>Group sales and revenue</w:t>
            </w:r>
          </w:p>
        </w:tc>
        <w:tc>
          <w:tcPr>
            <w:tcW w:w="0" w:type="auto"/>
            <w:tcBorders>
              <w:bottom w:val="single" w:sz="8" w:space="0" w:color="000000"/>
              <w:right w:val="single" w:sz="8" w:space="0" w:color="000000"/>
            </w:tcBorders>
            <w:vAlign w:val="center"/>
          </w:tcPr>
          <w:p w14:paraId="7E71938F" w14:textId="77777777" w:rsidR="002732DD" w:rsidRDefault="002732DD" w:rsidP="00A22A82">
            <w:r>
              <w:t>Budget targets and variance analysis</w:t>
            </w:r>
          </w:p>
        </w:tc>
      </w:tr>
      <w:tr w:rsidR="002732DD" w14:paraId="23D857FE"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5E4625D0" w14:textId="77777777" w:rsidR="002732DD" w:rsidRDefault="002732DD" w:rsidP="00A22A82">
            <w:r>
              <w:t>Financial</w:t>
            </w:r>
          </w:p>
        </w:tc>
        <w:tc>
          <w:tcPr>
            <w:tcW w:w="0" w:type="auto"/>
            <w:tcBorders>
              <w:bottom w:val="single" w:sz="8" w:space="0" w:color="000000"/>
              <w:right w:val="single" w:sz="8" w:space="0" w:color="000000"/>
            </w:tcBorders>
            <w:vAlign w:val="center"/>
          </w:tcPr>
          <w:p w14:paraId="44258A1C" w14:textId="77777777" w:rsidR="002732DD" w:rsidRDefault="002732DD" w:rsidP="00A22A82">
            <w:r>
              <w:t>Operating profit margin</w:t>
            </w:r>
          </w:p>
        </w:tc>
        <w:tc>
          <w:tcPr>
            <w:tcW w:w="0" w:type="auto"/>
            <w:tcBorders>
              <w:bottom w:val="single" w:sz="8" w:space="0" w:color="000000"/>
              <w:right w:val="single" w:sz="8" w:space="0" w:color="000000"/>
            </w:tcBorders>
            <w:vAlign w:val="center"/>
          </w:tcPr>
          <w:p w14:paraId="6F301D13" w14:textId="77777777" w:rsidR="002732DD" w:rsidRDefault="002732DD" w:rsidP="00A22A82">
            <w:r>
              <w:t>Cost control and profitability analysis</w:t>
            </w:r>
          </w:p>
        </w:tc>
      </w:tr>
      <w:tr w:rsidR="002732DD" w14:paraId="4D83B0ED"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3DB468F1" w14:textId="77777777" w:rsidR="002732DD" w:rsidRDefault="002732DD" w:rsidP="00A22A82">
            <w:r>
              <w:t>Financial</w:t>
            </w:r>
          </w:p>
        </w:tc>
        <w:tc>
          <w:tcPr>
            <w:tcW w:w="0" w:type="auto"/>
            <w:tcBorders>
              <w:bottom w:val="single" w:sz="8" w:space="0" w:color="000000"/>
              <w:right w:val="single" w:sz="8" w:space="0" w:color="000000"/>
            </w:tcBorders>
            <w:vAlign w:val="center"/>
          </w:tcPr>
          <w:p w14:paraId="4D2AABD5" w14:textId="77777777" w:rsidR="002732DD" w:rsidRDefault="002732DD" w:rsidP="00A22A82">
            <w:r>
              <w:t>Retail free cash flow</w:t>
            </w:r>
          </w:p>
        </w:tc>
        <w:tc>
          <w:tcPr>
            <w:tcW w:w="0" w:type="auto"/>
            <w:tcBorders>
              <w:bottom w:val="single" w:sz="8" w:space="0" w:color="000000"/>
              <w:right w:val="single" w:sz="8" w:space="0" w:color="000000"/>
            </w:tcBorders>
            <w:vAlign w:val="center"/>
          </w:tcPr>
          <w:p w14:paraId="790EF2C0" w14:textId="77777777" w:rsidR="002732DD" w:rsidRDefault="002732DD" w:rsidP="00A22A82">
            <w:r>
              <w:t>Cash budgeting and working capital</w:t>
            </w:r>
          </w:p>
        </w:tc>
      </w:tr>
      <w:tr w:rsidR="002732DD" w14:paraId="134D10B3"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502753A1" w14:textId="77777777" w:rsidR="002732DD" w:rsidRDefault="002732DD" w:rsidP="00A22A82">
            <w:r>
              <w:t>Non-Financial</w:t>
            </w:r>
          </w:p>
        </w:tc>
        <w:tc>
          <w:tcPr>
            <w:tcW w:w="0" w:type="auto"/>
            <w:tcBorders>
              <w:bottom w:val="single" w:sz="8" w:space="0" w:color="000000"/>
              <w:right w:val="single" w:sz="8" w:space="0" w:color="000000"/>
            </w:tcBorders>
            <w:vAlign w:val="center"/>
          </w:tcPr>
          <w:p w14:paraId="0FC03809" w14:textId="77777777" w:rsidR="002732DD" w:rsidRDefault="002732DD" w:rsidP="00A22A82">
            <w:r>
              <w:t>Customer satisfaction (NPS)</w:t>
            </w:r>
          </w:p>
        </w:tc>
        <w:tc>
          <w:tcPr>
            <w:tcW w:w="0" w:type="auto"/>
            <w:tcBorders>
              <w:bottom w:val="single" w:sz="8" w:space="0" w:color="000000"/>
              <w:right w:val="single" w:sz="8" w:space="0" w:color="000000"/>
            </w:tcBorders>
            <w:vAlign w:val="center"/>
          </w:tcPr>
          <w:p w14:paraId="5C325E00" w14:textId="77777777" w:rsidR="002732DD" w:rsidRDefault="002732DD" w:rsidP="00A22A82">
            <w:r>
              <w:t>Service investment justification</w:t>
            </w:r>
          </w:p>
        </w:tc>
      </w:tr>
      <w:tr w:rsidR="002732DD" w14:paraId="3EDDF840"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0E866FAF" w14:textId="77777777" w:rsidR="002732DD" w:rsidRDefault="002732DD" w:rsidP="00A22A82">
            <w:r>
              <w:t>Non-Financial</w:t>
            </w:r>
          </w:p>
        </w:tc>
        <w:tc>
          <w:tcPr>
            <w:tcW w:w="0" w:type="auto"/>
            <w:tcBorders>
              <w:bottom w:val="single" w:sz="8" w:space="0" w:color="000000"/>
              <w:right w:val="single" w:sz="8" w:space="0" w:color="000000"/>
            </w:tcBorders>
            <w:vAlign w:val="center"/>
          </w:tcPr>
          <w:p w14:paraId="56773915" w14:textId="77777777" w:rsidR="002732DD" w:rsidRDefault="002732DD" w:rsidP="00A22A82">
            <w:r>
              <w:t>Colleague engagement score</w:t>
            </w:r>
          </w:p>
        </w:tc>
        <w:tc>
          <w:tcPr>
            <w:tcW w:w="0" w:type="auto"/>
            <w:tcBorders>
              <w:bottom w:val="single" w:sz="8" w:space="0" w:color="000000"/>
              <w:right w:val="single" w:sz="8" w:space="0" w:color="000000"/>
            </w:tcBorders>
            <w:vAlign w:val="center"/>
          </w:tcPr>
          <w:p w14:paraId="36D5B06C" w14:textId="77777777" w:rsidR="002732DD" w:rsidRDefault="002732DD" w:rsidP="00A22A82">
            <w:r>
              <w:t>HR cost and productivity analysis</w:t>
            </w:r>
          </w:p>
        </w:tc>
      </w:tr>
    </w:tbl>
    <w:p w14:paraId="648980FF" w14:textId="77777777" w:rsidR="002732DD" w:rsidRDefault="002732DD" w:rsidP="002732DD"/>
    <w:p w14:paraId="0A269700" w14:textId="77777777" w:rsidR="002732DD" w:rsidRDefault="002732DD" w:rsidP="002732DD">
      <w:r>
        <w:t>Table 3: Table 3: Tesco's Five Key Performance Indicators (Financial and Non-Financial)</w:t>
      </w:r>
    </w:p>
    <w:p w14:paraId="66BCAD54" w14:textId="77777777" w:rsidR="002732DD" w:rsidRDefault="002732DD" w:rsidP="002732DD"/>
    <w:p w14:paraId="47D9431A" w14:textId="77777777" w:rsidR="002732DD" w:rsidRDefault="002732DD" w:rsidP="002732DD"/>
    <w:p w14:paraId="44580293" w14:textId="77777777" w:rsidR="00005914" w:rsidRDefault="00005914" w:rsidP="002732DD"/>
    <w:p w14:paraId="42B60279" w14:textId="77777777" w:rsidR="00005914" w:rsidRDefault="00005914" w:rsidP="002732DD"/>
    <w:p w14:paraId="2F9F8639" w14:textId="77777777" w:rsidR="00005914" w:rsidRDefault="00005914" w:rsidP="002732DD"/>
    <w:p w14:paraId="36910BDB" w14:textId="77777777" w:rsidR="00005914" w:rsidRDefault="00005914" w:rsidP="002732DD"/>
    <w:p w14:paraId="56892CAC" w14:textId="77777777" w:rsidR="00005914" w:rsidRDefault="00005914" w:rsidP="002732DD"/>
    <w:p w14:paraId="1F11A0F0" w14:textId="272F62E5" w:rsidR="008F6630" w:rsidRDefault="00B03FB7" w:rsidP="008F6630">
      <w:pPr>
        <w:pStyle w:val="Heading1"/>
        <w:numPr>
          <w:ilvl w:val="0"/>
          <w:numId w:val="20"/>
        </w:numPr>
        <w:spacing w:line="276" w:lineRule="auto"/>
      </w:pPr>
      <w:bookmarkStart w:id="4" w:name="_Toc222920405"/>
      <w:r w:rsidRPr="00B03FB7">
        <w:lastRenderedPageBreak/>
        <w:t>Sustainability and Ethical Considerations</w:t>
      </w:r>
      <w:bookmarkEnd w:id="4"/>
    </w:p>
    <w:p w14:paraId="0D54BD97" w14:textId="77777777" w:rsidR="00B03FB7" w:rsidRDefault="00B03FB7" w:rsidP="00B03FB7">
      <w:pPr>
        <w:spacing w:line="360" w:lineRule="auto"/>
        <w:jc w:val="both"/>
      </w:pPr>
      <w:r>
        <w:t>Tesco has integrated sustainability into its strategy and performance management systems, linking environmental and social targets to financial decision</w:t>
      </w:r>
      <w:r>
        <w:rPr>
          <w:rFonts w:ascii="Cambria Math" w:hAnsi="Cambria Math" w:cs="Cambria Math"/>
        </w:rPr>
        <w:t>‑</w:t>
      </w:r>
      <w:r>
        <w:t>making and resource allocation. Its latest sustainability reporting sets out science</w:t>
      </w:r>
      <w:r>
        <w:rPr>
          <w:rFonts w:ascii="Cambria Math" w:hAnsi="Cambria Math" w:cs="Cambria Math"/>
        </w:rPr>
        <w:t>‑</w:t>
      </w:r>
      <w:r>
        <w:t xml:space="preserve">based climate goals, including a 65% reduction in Scope 1 and 2 emissions against its baseline ahead of the 2025 target, carbon neutrality in operations by 2035 and net zero across the value chain by 2050 (Tesco PLC, 2025; </w:t>
      </w:r>
      <w:proofErr w:type="spellStart"/>
      <w:r>
        <w:t>SupplyChainDigital</w:t>
      </w:r>
      <w:proofErr w:type="spellEnd"/>
      <w:r>
        <w:t>, 2025). These long</w:t>
      </w:r>
      <w:r>
        <w:rPr>
          <w:rFonts w:ascii="Cambria Math" w:hAnsi="Cambria Math" w:cs="Cambria Math"/>
        </w:rPr>
        <w:t>‑</w:t>
      </w:r>
      <w:r>
        <w:t>term commitments influence capital budgeting decisions, for example prioritising investment in energy</w:t>
      </w:r>
      <w:r>
        <w:rPr>
          <w:rFonts w:ascii="Cambria Math" w:hAnsi="Cambria Math" w:cs="Cambria Math"/>
        </w:rPr>
        <w:t>‑</w:t>
      </w:r>
      <w:r>
        <w:t>efficient refrigeration, low</w:t>
      </w:r>
      <w:r>
        <w:rPr>
          <w:rFonts w:ascii="Cambria Math" w:hAnsi="Cambria Math" w:cs="Cambria Math"/>
        </w:rPr>
        <w:t>‑</w:t>
      </w:r>
      <w:r>
        <w:t xml:space="preserve">carbon logistics and renewable electricity contracts, even where initial costs are </w:t>
      </w:r>
      <w:proofErr w:type="gramStart"/>
      <w:r>
        <w:t>higher</w:t>
      </w:r>
      <w:proofErr w:type="gramEnd"/>
      <w:r>
        <w:t xml:space="preserve"> but life</w:t>
      </w:r>
      <w:r>
        <w:rPr>
          <w:rFonts w:ascii="Cambria Math" w:hAnsi="Cambria Math" w:cs="Cambria Math"/>
        </w:rPr>
        <w:t>‑</w:t>
      </w:r>
      <w:r>
        <w:t>cycle savings and risk reductions are superior (Drury, 2018; Tesco PLC, 2025). Management accounting increasingly incorporates sustainability metrics, enabling Tesco to evaluate projects not only on financial returns but also on their contribution to emissions reduction, waste minimisation and compliance with evolving regulatory requirements (</w:t>
      </w:r>
      <w:proofErr w:type="spellStart"/>
      <w:r>
        <w:t>Ndemuweda</w:t>
      </w:r>
      <w:proofErr w:type="spellEnd"/>
      <w:r>
        <w:t>, 2025; Soin and Collier, 2013).</w:t>
      </w:r>
    </w:p>
    <w:p w14:paraId="06F9FF22" w14:textId="77777777" w:rsidR="00B03FB7" w:rsidRDefault="00B03FB7" w:rsidP="00B03FB7">
      <w:pPr>
        <w:spacing w:line="360" w:lineRule="auto"/>
        <w:jc w:val="both"/>
      </w:pPr>
      <w:r>
        <w:t xml:space="preserve">Food waste reduction is a prominent example of how sustainability objectives shape operational and financial decisions at Tesco. The company has committed to halving food waste in its own operations by the end of 2025, using 2016/17 as a baseline, and reports that around 82% of unsold food suitable for human consumption is now redistributed or used as animal feed rather than being discarded (Tesco PLC, 2024e; </w:t>
      </w:r>
      <w:proofErr w:type="spellStart"/>
      <w:r>
        <w:t>SupplyChainDigital</w:t>
      </w:r>
      <w:proofErr w:type="spellEnd"/>
      <w:r>
        <w:t xml:space="preserve">, 2025). Initiatives such as "yellow label" markdowns, partnerships with charities like </w:t>
      </w:r>
      <w:proofErr w:type="spellStart"/>
      <w:r>
        <w:t>FareShare</w:t>
      </w:r>
      <w:proofErr w:type="spellEnd"/>
      <w:r>
        <w:t xml:space="preserve"> and OLIO, and investment in surplus</w:t>
      </w:r>
      <w:r>
        <w:rPr>
          <w:rFonts w:ascii="Cambria Math" w:hAnsi="Cambria Math" w:cs="Cambria Math"/>
        </w:rPr>
        <w:t>‑</w:t>
      </w:r>
      <w:r>
        <w:t>food processing facilities all have financial implications in terms of margin, logistics costs and handling, which must be assessed through management accounting analyses (Tesco PLC, 2024e; Sustainability Magazine, 2025). By embedding waste</w:t>
      </w:r>
      <w:r>
        <w:rPr>
          <w:rFonts w:ascii="Cambria Math" w:hAnsi="Cambria Math" w:cs="Cambria Math"/>
        </w:rPr>
        <w:t>‑</w:t>
      </w:r>
      <w:r>
        <w:t>reduction targets into budgets and KPIs, Tesco aligns store</w:t>
      </w:r>
      <w:r>
        <w:rPr>
          <w:rFonts w:ascii="Cambria Math" w:hAnsi="Cambria Math" w:cs="Cambria Math"/>
        </w:rPr>
        <w:t>‑</w:t>
      </w:r>
      <w:r>
        <w:t>level decisions on ordering, markdowns and redistribution with both cost efficiency and environmental goals (</w:t>
      </w:r>
      <w:proofErr w:type="spellStart"/>
      <w:r>
        <w:t>Atrill</w:t>
      </w:r>
      <w:proofErr w:type="spellEnd"/>
      <w:r>
        <w:t xml:space="preserve"> and McLaney, 2022; Tesco PLC, 2024e).</w:t>
      </w:r>
    </w:p>
    <w:p w14:paraId="187D5A40" w14:textId="3FBD7473" w:rsidR="008F6630" w:rsidRDefault="00B03FB7" w:rsidP="00B03FB7">
      <w:pPr>
        <w:spacing w:line="360" w:lineRule="auto"/>
        <w:jc w:val="both"/>
      </w:pPr>
      <w:r>
        <w:t>Ethical considerations in cost management and pricing are reflected in Tesco's responsible sourcing and human rights programmes. The Sustainable Livelihoods sourcing strategy focuses on priority supply chains where poverty and human</w:t>
      </w:r>
      <w:r>
        <w:rPr>
          <w:rFonts w:ascii="Cambria Math" w:hAnsi="Cambria Math" w:cs="Cambria Math"/>
        </w:rPr>
        <w:t>‑</w:t>
      </w:r>
      <w:r>
        <w:t>rights risks are greatest, with an emphasis on purchasing practices that support living wages and fair incomes for smallholder farmers and workers (Tesco PLC, 2023b; Procurement Magazine, 2023). Ethical trading manuals and human</w:t>
      </w:r>
      <w:r>
        <w:rPr>
          <w:rFonts w:ascii="Cambria Math" w:hAnsi="Cambria Math" w:cs="Cambria Math"/>
        </w:rPr>
        <w:t>‑</w:t>
      </w:r>
      <w:r>
        <w:t>rights policies guide commercial teams to consider labour conditions, working hours and health and safety when negotiating prices and selecting suppliers, rather than focusing solely on lowest cost (Tesco PLC, 2023c; ETI, 2016). From a management accounting perspective, this means that cost analyses must factor in the long</w:t>
      </w:r>
      <w:r>
        <w:rPr>
          <w:rFonts w:ascii="Cambria Math" w:hAnsi="Cambria Math" w:cs="Cambria Math"/>
        </w:rPr>
        <w:t>‑</w:t>
      </w:r>
      <w:r>
        <w:t xml:space="preserve">term risks of </w:t>
      </w:r>
      <w:r>
        <w:lastRenderedPageBreak/>
        <w:t xml:space="preserve">unethical sourcing </w:t>
      </w:r>
      <w:r>
        <w:rPr>
          <w:rFonts w:cs="Arial"/>
        </w:rPr>
        <w:t>–</w:t>
      </w:r>
      <w:r>
        <w:t xml:space="preserve"> such as reputational damage, supply disruptions and regulatory sanctions </w:t>
      </w:r>
      <w:r>
        <w:rPr>
          <w:rFonts w:cs="Arial"/>
        </w:rPr>
        <w:t>–</w:t>
      </w:r>
      <w:r>
        <w:t xml:space="preserve"> and justify investment in more responsible suppliers where necessary (</w:t>
      </w:r>
      <w:proofErr w:type="spellStart"/>
      <w:r>
        <w:t>Ndemuweda</w:t>
      </w:r>
      <w:proofErr w:type="spellEnd"/>
      <w:r>
        <w:t>, 2025; Sikka and Willmott, 2010). Overall, Tesco's approach illustrates how sustainability and ethics are increasingly embedded in financial planning and cost management, supporting both corporate responsibility and long</w:t>
      </w:r>
      <w:r>
        <w:rPr>
          <w:rFonts w:ascii="Cambria Math" w:hAnsi="Cambria Math" w:cs="Cambria Math"/>
        </w:rPr>
        <w:t>‑</w:t>
      </w:r>
      <w:r>
        <w:t>term value creation (Tesco PLC, 2025; Soin and Collier, 2013).</w:t>
      </w:r>
    </w:p>
    <w:p w14:paraId="639D8F43" w14:textId="247D6966" w:rsidR="008F6630" w:rsidRDefault="00B03FB7" w:rsidP="008F6630">
      <w:pPr>
        <w:pStyle w:val="Heading1"/>
        <w:numPr>
          <w:ilvl w:val="0"/>
          <w:numId w:val="20"/>
        </w:numPr>
        <w:spacing w:line="276" w:lineRule="auto"/>
      </w:pPr>
      <w:bookmarkStart w:id="5" w:name="_Toc222920406"/>
      <w:r w:rsidRPr="00B03FB7">
        <w:t>Conclusion and Recommendations</w:t>
      </w:r>
      <w:bookmarkEnd w:id="5"/>
    </w:p>
    <w:p w14:paraId="26230CE9" w14:textId="77777777" w:rsidR="00B03FB7" w:rsidRDefault="00B03FB7" w:rsidP="00B03FB7">
      <w:pPr>
        <w:spacing w:line="360" w:lineRule="auto"/>
      </w:pPr>
      <w:r>
        <w:t xml:space="preserve">Tesco's recent financial performance shows a strengthening profitability position, supported by cost efficiencies and resilient customer demand. In 2023/24, group statutory revenue rose to approximately £68.2 billion, an increase of 4.4% on the prior year, reflecting growth in both UK &amp; ROI and Central Europe retail operations (Tesco PLC, 2024a; </w:t>
      </w:r>
      <w:proofErr w:type="spellStart"/>
      <w:r>
        <w:t>MarketScreener</w:t>
      </w:r>
      <w:proofErr w:type="spellEnd"/>
      <w:r>
        <w:t>, 2024). Statutory profit before tax increased to around £2.3 billion, up more than 150% year</w:t>
      </w:r>
      <w:r>
        <w:rPr>
          <w:rFonts w:ascii="Cambria Math" w:hAnsi="Cambria Math" w:cs="Cambria Math"/>
        </w:rPr>
        <w:t>‑</w:t>
      </w:r>
      <w:r>
        <w:t>on</w:t>
      </w:r>
      <w:r>
        <w:rPr>
          <w:rFonts w:ascii="Cambria Math" w:hAnsi="Cambria Math" w:cs="Cambria Math"/>
        </w:rPr>
        <w:t>‑</w:t>
      </w:r>
      <w:r>
        <w:t>year, largely due to improved trading performance and the absence of prior</w:t>
      </w:r>
      <w:r>
        <w:rPr>
          <w:rFonts w:ascii="Cambria Math" w:hAnsi="Cambria Math" w:cs="Cambria Math"/>
        </w:rPr>
        <w:t>‑</w:t>
      </w:r>
      <w:r>
        <w:t xml:space="preserve">year impairment charges (Tesco PLC, 2024a; Tesco PLC, 2024b). Adjusted operating margin also improved, supported by the "Save to Invest" efficiency programme and tighter control of operating expenses (Tesco PLC, 2023; Tesco PLC, 2024c). Retail free cash flow remained strong at about </w:t>
      </w:r>
      <w:r>
        <w:rPr>
          <w:rFonts w:cs="Arial"/>
        </w:rPr>
        <w:t>£</w:t>
      </w:r>
      <w:r>
        <w:t xml:space="preserve">2.1 billion, enabling Tesco to reduce net debt and continue dividends and share buybacks while funding capital investment (Tesco PLC, 2024a; </w:t>
      </w:r>
      <w:proofErr w:type="spellStart"/>
      <w:r>
        <w:t>DirectorsTalk</w:t>
      </w:r>
      <w:proofErr w:type="spellEnd"/>
      <w:r>
        <w:t>, 2024). Overall, these trends indicate robust financial health, with management accounting information playing a key role in targeting margins, cash generation and balance</w:t>
      </w:r>
      <w:r>
        <w:rPr>
          <w:rFonts w:ascii="Cambria Math" w:hAnsi="Cambria Math" w:cs="Cambria Math"/>
        </w:rPr>
        <w:t>‑</w:t>
      </w:r>
      <w:r>
        <w:t xml:space="preserve">sheet strength (Drury, 2018; </w:t>
      </w:r>
      <w:proofErr w:type="spellStart"/>
      <w:r>
        <w:t>Atrill</w:t>
      </w:r>
      <w:proofErr w:type="spellEnd"/>
      <w:r>
        <w:t xml:space="preserve"> and McLaney, 2022).</w:t>
      </w:r>
    </w:p>
    <w:tbl>
      <w:tblPr>
        <w:tblStyle w:val="NormalGrid"/>
        <w:tblW w:w="0" w:type="auto"/>
        <w:jc w:val="center"/>
        <w:tblCellSpacing w:w="0" w:type="dxa"/>
        <w:tblLook w:val="04A0" w:firstRow="1" w:lastRow="0" w:firstColumn="1" w:lastColumn="0" w:noHBand="0" w:noVBand="1"/>
      </w:tblPr>
      <w:tblGrid>
        <w:gridCol w:w="3437"/>
        <w:gridCol w:w="1244"/>
        <w:gridCol w:w="1249"/>
      </w:tblGrid>
      <w:tr w:rsidR="002732DD" w14:paraId="6E9937EE" w14:textId="77777777" w:rsidTr="00A22A82">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3FC09C57" w14:textId="77777777" w:rsidR="002732DD" w:rsidRDefault="002732DD" w:rsidP="00A22A82">
            <w:r>
              <w:rPr>
                <w:b/>
              </w:rPr>
              <w:t>Performance Indicator</w:t>
            </w:r>
          </w:p>
        </w:tc>
        <w:tc>
          <w:tcPr>
            <w:tcW w:w="0" w:type="auto"/>
            <w:tcBorders>
              <w:top w:val="single" w:sz="8" w:space="0" w:color="000000"/>
              <w:bottom w:val="single" w:sz="8" w:space="0" w:color="000000"/>
              <w:right w:val="single" w:sz="8" w:space="0" w:color="000000"/>
            </w:tcBorders>
            <w:vAlign w:val="center"/>
          </w:tcPr>
          <w:p w14:paraId="5B3A98A9" w14:textId="77777777" w:rsidR="002732DD" w:rsidRDefault="002732DD" w:rsidP="00A22A82">
            <w:pPr>
              <w:jc w:val="center"/>
            </w:pPr>
            <w:r>
              <w:rPr>
                <w:b/>
              </w:rPr>
              <w:t>2022/23</w:t>
            </w:r>
          </w:p>
        </w:tc>
        <w:tc>
          <w:tcPr>
            <w:tcW w:w="0" w:type="auto"/>
            <w:tcBorders>
              <w:top w:val="single" w:sz="8" w:space="0" w:color="000000"/>
              <w:bottom w:val="single" w:sz="8" w:space="0" w:color="000000"/>
              <w:right w:val="single" w:sz="8" w:space="0" w:color="000000"/>
            </w:tcBorders>
            <w:vAlign w:val="center"/>
          </w:tcPr>
          <w:p w14:paraId="71FF6A2D" w14:textId="77777777" w:rsidR="002732DD" w:rsidRDefault="002732DD" w:rsidP="00A22A82">
            <w:pPr>
              <w:jc w:val="center"/>
            </w:pPr>
            <w:r>
              <w:rPr>
                <w:b/>
              </w:rPr>
              <w:t>2023/24</w:t>
            </w:r>
          </w:p>
        </w:tc>
      </w:tr>
      <w:tr w:rsidR="002732DD" w14:paraId="18906745"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0703A1C5" w14:textId="77777777" w:rsidR="002732DD" w:rsidRDefault="002732DD" w:rsidP="00A22A82">
            <w:r>
              <w:rPr>
                <w:rFonts w:eastAsia="Georgia" w:hAnsi="Georgia" w:cs="Georgia"/>
              </w:rPr>
              <w:t>Group Revenue (£bn)</w:t>
            </w:r>
          </w:p>
        </w:tc>
        <w:tc>
          <w:tcPr>
            <w:tcW w:w="0" w:type="auto"/>
            <w:tcBorders>
              <w:bottom w:val="single" w:sz="8" w:space="0" w:color="000000"/>
              <w:right w:val="single" w:sz="8" w:space="0" w:color="000000"/>
            </w:tcBorders>
            <w:vAlign w:val="center"/>
          </w:tcPr>
          <w:p w14:paraId="3161C33B" w14:textId="77777777" w:rsidR="002732DD" w:rsidRDefault="002732DD" w:rsidP="00A22A82">
            <w:pPr>
              <w:jc w:val="center"/>
            </w:pPr>
            <w:r>
              <w:t>65.3</w:t>
            </w:r>
          </w:p>
        </w:tc>
        <w:tc>
          <w:tcPr>
            <w:tcW w:w="0" w:type="auto"/>
            <w:tcBorders>
              <w:bottom w:val="single" w:sz="8" w:space="0" w:color="000000"/>
              <w:right w:val="single" w:sz="8" w:space="0" w:color="000000"/>
            </w:tcBorders>
            <w:vAlign w:val="center"/>
          </w:tcPr>
          <w:p w14:paraId="0E8B7EE9" w14:textId="77777777" w:rsidR="002732DD" w:rsidRDefault="002732DD" w:rsidP="00A22A82">
            <w:pPr>
              <w:jc w:val="center"/>
            </w:pPr>
            <w:r>
              <w:t>68.2</w:t>
            </w:r>
          </w:p>
        </w:tc>
      </w:tr>
      <w:tr w:rsidR="002732DD" w14:paraId="5844BA60"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6D68580" w14:textId="77777777" w:rsidR="002732DD" w:rsidRDefault="002732DD" w:rsidP="00A22A82">
            <w:r>
              <w:rPr>
                <w:rFonts w:eastAsia="Georgia" w:hAnsi="Georgia" w:cs="Georgia"/>
              </w:rPr>
              <w:t>Statutory Profit Before Tax (£bn)</w:t>
            </w:r>
          </w:p>
        </w:tc>
        <w:tc>
          <w:tcPr>
            <w:tcW w:w="0" w:type="auto"/>
            <w:tcBorders>
              <w:bottom w:val="single" w:sz="8" w:space="0" w:color="000000"/>
              <w:right w:val="single" w:sz="8" w:space="0" w:color="000000"/>
            </w:tcBorders>
            <w:vAlign w:val="center"/>
          </w:tcPr>
          <w:p w14:paraId="1ECC6BA0" w14:textId="77777777" w:rsidR="002732DD" w:rsidRDefault="002732DD" w:rsidP="00A22A82">
            <w:pPr>
              <w:jc w:val="center"/>
            </w:pPr>
            <w:r>
              <w:t>0.9</w:t>
            </w:r>
          </w:p>
        </w:tc>
        <w:tc>
          <w:tcPr>
            <w:tcW w:w="0" w:type="auto"/>
            <w:tcBorders>
              <w:bottom w:val="single" w:sz="8" w:space="0" w:color="000000"/>
              <w:right w:val="single" w:sz="8" w:space="0" w:color="000000"/>
            </w:tcBorders>
            <w:vAlign w:val="center"/>
          </w:tcPr>
          <w:p w14:paraId="234990CC" w14:textId="77777777" w:rsidR="002732DD" w:rsidRDefault="002732DD" w:rsidP="00A22A82">
            <w:pPr>
              <w:jc w:val="center"/>
            </w:pPr>
            <w:r>
              <w:t>2.3</w:t>
            </w:r>
          </w:p>
        </w:tc>
      </w:tr>
      <w:tr w:rsidR="002732DD" w14:paraId="0CBEDA57"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5FAECDAA" w14:textId="77777777" w:rsidR="002732DD" w:rsidRDefault="002732DD" w:rsidP="00A22A82">
            <w:r>
              <w:t>Adjusted Operating Margin (%)</w:t>
            </w:r>
          </w:p>
        </w:tc>
        <w:tc>
          <w:tcPr>
            <w:tcW w:w="0" w:type="auto"/>
            <w:tcBorders>
              <w:bottom w:val="single" w:sz="8" w:space="0" w:color="000000"/>
              <w:right w:val="single" w:sz="8" w:space="0" w:color="000000"/>
            </w:tcBorders>
            <w:vAlign w:val="center"/>
          </w:tcPr>
          <w:p w14:paraId="5014D5F6" w14:textId="77777777" w:rsidR="002732DD" w:rsidRDefault="002732DD" w:rsidP="00A22A82">
            <w:pPr>
              <w:jc w:val="center"/>
            </w:pPr>
            <w:r>
              <w:t>4.1</w:t>
            </w:r>
          </w:p>
        </w:tc>
        <w:tc>
          <w:tcPr>
            <w:tcW w:w="0" w:type="auto"/>
            <w:tcBorders>
              <w:bottom w:val="single" w:sz="8" w:space="0" w:color="000000"/>
              <w:right w:val="single" w:sz="8" w:space="0" w:color="000000"/>
            </w:tcBorders>
            <w:vAlign w:val="center"/>
          </w:tcPr>
          <w:p w14:paraId="4A612B16" w14:textId="77777777" w:rsidR="002732DD" w:rsidRDefault="002732DD" w:rsidP="00A22A82">
            <w:pPr>
              <w:jc w:val="center"/>
            </w:pPr>
            <w:r>
              <w:t>4.4</w:t>
            </w:r>
          </w:p>
        </w:tc>
      </w:tr>
      <w:tr w:rsidR="002732DD" w14:paraId="34B6267F"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10CAEBF0" w14:textId="77777777" w:rsidR="002732DD" w:rsidRDefault="002732DD" w:rsidP="00A22A82">
            <w:r>
              <w:rPr>
                <w:rFonts w:eastAsia="Georgia" w:hAnsi="Georgia" w:cs="Georgia"/>
              </w:rPr>
              <w:t>Retail Free Cash Flow (£bn)</w:t>
            </w:r>
          </w:p>
        </w:tc>
        <w:tc>
          <w:tcPr>
            <w:tcW w:w="0" w:type="auto"/>
            <w:tcBorders>
              <w:bottom w:val="single" w:sz="8" w:space="0" w:color="000000"/>
              <w:right w:val="single" w:sz="8" w:space="0" w:color="000000"/>
            </w:tcBorders>
            <w:vAlign w:val="center"/>
          </w:tcPr>
          <w:p w14:paraId="53CA0FBB" w14:textId="77777777" w:rsidR="002732DD" w:rsidRDefault="002732DD" w:rsidP="00A22A82">
            <w:pPr>
              <w:jc w:val="center"/>
            </w:pPr>
            <w:r>
              <w:t>1.9</w:t>
            </w:r>
          </w:p>
        </w:tc>
        <w:tc>
          <w:tcPr>
            <w:tcW w:w="0" w:type="auto"/>
            <w:tcBorders>
              <w:bottom w:val="single" w:sz="8" w:space="0" w:color="000000"/>
              <w:right w:val="single" w:sz="8" w:space="0" w:color="000000"/>
            </w:tcBorders>
            <w:vAlign w:val="center"/>
          </w:tcPr>
          <w:p w14:paraId="09CA65F5" w14:textId="77777777" w:rsidR="002732DD" w:rsidRDefault="002732DD" w:rsidP="00A22A82">
            <w:pPr>
              <w:jc w:val="center"/>
            </w:pPr>
            <w:r>
              <w:t>2.1</w:t>
            </w:r>
          </w:p>
        </w:tc>
      </w:tr>
      <w:tr w:rsidR="002732DD" w14:paraId="714AE65B" w14:textId="77777777" w:rsidTr="00A22A82">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4AEF9C58" w14:textId="77777777" w:rsidR="002732DD" w:rsidRDefault="002732DD" w:rsidP="00A22A82">
            <w:r>
              <w:rPr>
                <w:rFonts w:eastAsia="Georgia" w:hAnsi="Georgia" w:cs="Georgia"/>
              </w:rPr>
              <w:t>Net Debt (£bn)</w:t>
            </w:r>
          </w:p>
        </w:tc>
        <w:tc>
          <w:tcPr>
            <w:tcW w:w="0" w:type="auto"/>
            <w:tcBorders>
              <w:bottom w:val="single" w:sz="8" w:space="0" w:color="000000"/>
              <w:right w:val="single" w:sz="8" w:space="0" w:color="000000"/>
            </w:tcBorders>
            <w:vAlign w:val="center"/>
          </w:tcPr>
          <w:p w14:paraId="654DBD60" w14:textId="77777777" w:rsidR="002732DD" w:rsidRDefault="002732DD" w:rsidP="00A22A82">
            <w:pPr>
              <w:jc w:val="center"/>
            </w:pPr>
            <w:r>
              <w:t>9.8</w:t>
            </w:r>
          </w:p>
        </w:tc>
        <w:tc>
          <w:tcPr>
            <w:tcW w:w="0" w:type="auto"/>
            <w:tcBorders>
              <w:bottom w:val="single" w:sz="8" w:space="0" w:color="000000"/>
              <w:right w:val="single" w:sz="8" w:space="0" w:color="000000"/>
            </w:tcBorders>
            <w:vAlign w:val="center"/>
          </w:tcPr>
          <w:p w14:paraId="7266EACE" w14:textId="77777777" w:rsidR="002732DD" w:rsidRDefault="002732DD" w:rsidP="00A22A82">
            <w:pPr>
              <w:jc w:val="center"/>
            </w:pPr>
            <w:r>
              <w:t>8.9</w:t>
            </w:r>
          </w:p>
        </w:tc>
      </w:tr>
    </w:tbl>
    <w:p w14:paraId="61742545" w14:textId="77777777" w:rsidR="002732DD" w:rsidRDefault="002732DD" w:rsidP="002732DD"/>
    <w:p w14:paraId="3FC6BDC7" w14:textId="77777777" w:rsidR="002732DD" w:rsidRDefault="002732DD" w:rsidP="002732DD">
      <w:r>
        <w:t>Table 4: Table 5: Tesco Financial Performance Summary 2022/23 vs 2023/24</w:t>
      </w:r>
    </w:p>
    <w:p w14:paraId="3E93C508" w14:textId="77777777" w:rsidR="002732DD" w:rsidRDefault="002732DD" w:rsidP="00B03FB7">
      <w:pPr>
        <w:spacing w:line="360" w:lineRule="auto"/>
      </w:pPr>
    </w:p>
    <w:p w14:paraId="2F1B3B98" w14:textId="553D45E3" w:rsidR="00684007" w:rsidRPr="00835089" w:rsidRDefault="00B03FB7" w:rsidP="00B03FB7">
      <w:pPr>
        <w:spacing w:line="360" w:lineRule="auto"/>
        <w:rPr>
          <w:b/>
          <w:bCs/>
        </w:rPr>
      </w:pPr>
      <w:r>
        <w:t>Based on the analysis above, three key recommendations emerge. First, Tesco should continue to integrate sustainability metrics into formal management accounting reports and capital appraisal processes, ensuring that long</w:t>
      </w:r>
      <w:r>
        <w:rPr>
          <w:rFonts w:ascii="Cambria Math" w:hAnsi="Cambria Math" w:cs="Cambria Math"/>
        </w:rPr>
        <w:t>‑</w:t>
      </w:r>
      <w:r>
        <w:t xml:space="preserve">term environmental and social targets </w:t>
      </w:r>
      <w:r>
        <w:lastRenderedPageBreak/>
        <w:t xml:space="preserve">receive equal weight alongside traditional financial KPIs (Soin and Collier, 2013; </w:t>
      </w:r>
      <w:proofErr w:type="spellStart"/>
      <w:r>
        <w:t>Ndemuweda</w:t>
      </w:r>
      <w:proofErr w:type="spellEnd"/>
      <w:r>
        <w:t>, 2025). Second, the company should enhance scenario planning and sensitivity analysis within its budgeting framework to model the impact of continued macroeconomic volatility, including energy cost spikes, wage inflation and regulatory changes, enabling more agile responses to external shocks (Drury, 2018; Sikka and Willmott, 2010). Third, Tesco should further develop predictive analytics and real</w:t>
      </w:r>
      <w:r>
        <w:rPr>
          <w:rFonts w:ascii="Cambria Math" w:hAnsi="Cambria Math" w:cs="Cambria Math"/>
        </w:rPr>
        <w:t>‑</w:t>
      </w:r>
      <w:r>
        <w:t>time performance dashboards to support faster decision</w:t>
      </w:r>
      <w:r>
        <w:rPr>
          <w:rFonts w:ascii="Cambria Math" w:hAnsi="Cambria Math" w:cs="Cambria Math"/>
        </w:rPr>
        <w:t>‑</w:t>
      </w:r>
      <w:r>
        <w:t>making at store and category level, leveraging digital tools to strengthen the link between management accounting information and operational execution (</w:t>
      </w:r>
      <w:proofErr w:type="spellStart"/>
      <w:r>
        <w:t>Atrill</w:t>
      </w:r>
      <w:proofErr w:type="spellEnd"/>
      <w:r>
        <w:t xml:space="preserve"> and McLaney, 2022; Marr, 2021). Implementing these recommendations will help Tesco sustain its competitive position while navigating an increasingly complex and dynamic retail environment.</w:t>
      </w:r>
    </w:p>
    <w:p w14:paraId="5F0D617C" w14:textId="77777777" w:rsidR="004A1574" w:rsidRPr="00835089" w:rsidRDefault="004A1574" w:rsidP="00B90BDB">
      <w:pPr>
        <w:spacing w:line="360" w:lineRule="auto"/>
        <w:rPr>
          <w:b/>
          <w:bCs/>
        </w:rPr>
      </w:pPr>
    </w:p>
    <w:p w14:paraId="758FA62D" w14:textId="77777777" w:rsidR="00A150B6" w:rsidRPr="00835089" w:rsidRDefault="00A150B6" w:rsidP="00B90BDB">
      <w:pPr>
        <w:spacing w:line="360" w:lineRule="auto"/>
        <w:rPr>
          <w:b/>
          <w:bCs/>
        </w:rPr>
      </w:pPr>
    </w:p>
    <w:p w14:paraId="1474BEF6" w14:textId="77777777" w:rsidR="00A150B6" w:rsidRDefault="00A150B6" w:rsidP="00B90BDB">
      <w:pPr>
        <w:spacing w:line="360" w:lineRule="auto"/>
        <w:rPr>
          <w:b/>
          <w:bCs/>
        </w:rPr>
      </w:pPr>
    </w:p>
    <w:p w14:paraId="6FFB717D" w14:textId="77777777" w:rsidR="008F6630" w:rsidRDefault="008F6630" w:rsidP="00B90BDB">
      <w:pPr>
        <w:spacing w:line="360" w:lineRule="auto"/>
        <w:rPr>
          <w:b/>
          <w:bCs/>
        </w:rPr>
      </w:pPr>
    </w:p>
    <w:p w14:paraId="08742A4D" w14:textId="77777777" w:rsidR="008F6630" w:rsidRDefault="008F6630" w:rsidP="00B90BDB">
      <w:pPr>
        <w:spacing w:line="360" w:lineRule="auto"/>
        <w:rPr>
          <w:b/>
          <w:bCs/>
        </w:rPr>
      </w:pPr>
    </w:p>
    <w:p w14:paraId="494DC3A5" w14:textId="77777777" w:rsidR="008F6630" w:rsidRDefault="008F6630" w:rsidP="00B90BDB">
      <w:pPr>
        <w:spacing w:line="360" w:lineRule="auto"/>
        <w:rPr>
          <w:b/>
          <w:bCs/>
        </w:rPr>
      </w:pPr>
    </w:p>
    <w:p w14:paraId="01B374CB" w14:textId="77777777" w:rsidR="008F6630" w:rsidRDefault="008F6630" w:rsidP="00B90BDB">
      <w:pPr>
        <w:spacing w:line="360" w:lineRule="auto"/>
        <w:rPr>
          <w:b/>
          <w:bCs/>
        </w:rPr>
      </w:pPr>
    </w:p>
    <w:p w14:paraId="4167966A" w14:textId="77777777" w:rsidR="008F6630" w:rsidRDefault="008F6630" w:rsidP="00B90BDB">
      <w:pPr>
        <w:spacing w:line="360" w:lineRule="auto"/>
        <w:rPr>
          <w:b/>
          <w:bCs/>
        </w:rPr>
      </w:pPr>
    </w:p>
    <w:p w14:paraId="0A6CFDD8" w14:textId="77777777" w:rsidR="002732DD" w:rsidRDefault="002732DD" w:rsidP="00B90BDB">
      <w:pPr>
        <w:spacing w:line="360" w:lineRule="auto"/>
        <w:rPr>
          <w:b/>
          <w:bCs/>
        </w:rPr>
      </w:pPr>
    </w:p>
    <w:p w14:paraId="1335B5D1" w14:textId="77777777" w:rsidR="002732DD" w:rsidRDefault="002732DD" w:rsidP="00B90BDB">
      <w:pPr>
        <w:spacing w:line="360" w:lineRule="auto"/>
        <w:rPr>
          <w:b/>
          <w:bCs/>
        </w:rPr>
      </w:pPr>
    </w:p>
    <w:p w14:paraId="4884BC06" w14:textId="77777777" w:rsidR="002732DD" w:rsidRDefault="002732DD" w:rsidP="00B90BDB">
      <w:pPr>
        <w:spacing w:line="360" w:lineRule="auto"/>
        <w:rPr>
          <w:b/>
          <w:bCs/>
        </w:rPr>
      </w:pPr>
    </w:p>
    <w:p w14:paraId="2B033F56" w14:textId="77777777" w:rsidR="002732DD" w:rsidRPr="00835089" w:rsidRDefault="002732DD" w:rsidP="00B90BDB">
      <w:pPr>
        <w:spacing w:line="360" w:lineRule="auto"/>
        <w:rPr>
          <w:b/>
          <w:bCs/>
        </w:rPr>
      </w:pPr>
    </w:p>
    <w:p w14:paraId="6984CC33" w14:textId="77777777" w:rsidR="00A150B6" w:rsidRDefault="00A150B6" w:rsidP="00B90BDB">
      <w:pPr>
        <w:spacing w:line="360" w:lineRule="auto"/>
        <w:rPr>
          <w:b/>
          <w:bCs/>
        </w:rPr>
      </w:pPr>
    </w:p>
    <w:p w14:paraId="5E7E7699" w14:textId="77777777" w:rsidR="00005914" w:rsidRDefault="00005914" w:rsidP="00B90BDB">
      <w:pPr>
        <w:spacing w:line="360" w:lineRule="auto"/>
        <w:rPr>
          <w:b/>
          <w:bCs/>
        </w:rPr>
      </w:pPr>
    </w:p>
    <w:p w14:paraId="63E8BA09" w14:textId="77777777" w:rsidR="00005914" w:rsidRPr="00835089" w:rsidRDefault="00005914" w:rsidP="00B90BDB">
      <w:pPr>
        <w:spacing w:line="360" w:lineRule="auto"/>
        <w:rPr>
          <w:b/>
          <w:bCs/>
        </w:rPr>
      </w:pPr>
    </w:p>
    <w:p w14:paraId="20ED615C" w14:textId="4A349A39" w:rsidR="008B1491" w:rsidRPr="00835089" w:rsidRDefault="008B1491" w:rsidP="00FB71DA">
      <w:pPr>
        <w:pStyle w:val="Heading1"/>
        <w:numPr>
          <w:ilvl w:val="0"/>
          <w:numId w:val="20"/>
        </w:numPr>
        <w:spacing w:line="360" w:lineRule="auto"/>
      </w:pPr>
      <w:bookmarkStart w:id="6" w:name="_Toc222920407"/>
      <w:r w:rsidRPr="00835089">
        <w:lastRenderedPageBreak/>
        <w:t>References</w:t>
      </w:r>
      <w:bookmarkEnd w:id="6"/>
    </w:p>
    <w:p w14:paraId="394A0DAB" w14:textId="77777777" w:rsidR="00B03FB7" w:rsidRDefault="00B03FB7" w:rsidP="007F6E0A">
      <w:pPr>
        <w:spacing w:after="210"/>
      </w:pPr>
      <w:proofErr w:type="spellStart"/>
      <w:r>
        <w:t>Atrill</w:t>
      </w:r>
      <w:proofErr w:type="spellEnd"/>
      <w:r>
        <w:t xml:space="preserve">, P. and McLaney, E. (2022) </w:t>
      </w:r>
      <w:r w:rsidRPr="007F6E0A">
        <w:rPr>
          <w:i/>
        </w:rPr>
        <w:t>Management accounting for decision makers</w:t>
      </w:r>
      <w:r>
        <w:t xml:space="preserve">. 10th </w:t>
      </w:r>
      <w:proofErr w:type="spellStart"/>
      <w:r>
        <w:t>edn</w:t>
      </w:r>
      <w:proofErr w:type="spellEnd"/>
      <w:r>
        <w:t>. Harlow: Pearson.</w:t>
      </w:r>
    </w:p>
    <w:p w14:paraId="68FB282B" w14:textId="22273F35" w:rsidR="00B03FB7" w:rsidRDefault="00B03FB7" w:rsidP="007F6E0A">
      <w:pPr>
        <w:spacing w:after="210"/>
      </w:pPr>
      <w:proofErr w:type="spellStart"/>
      <w:r>
        <w:t>DirectorsTalk</w:t>
      </w:r>
      <w:proofErr w:type="spellEnd"/>
      <w:r>
        <w:t xml:space="preserve"> (2024) 'Tesco Plc preliminary results show market share gains and positive volume growth', </w:t>
      </w:r>
      <w:proofErr w:type="spellStart"/>
      <w:r w:rsidRPr="007F6E0A">
        <w:rPr>
          <w:i/>
        </w:rPr>
        <w:t>DirectorsTalk</w:t>
      </w:r>
      <w:proofErr w:type="spellEnd"/>
      <w:r w:rsidRPr="007F6E0A">
        <w:rPr>
          <w:i/>
        </w:rPr>
        <w:t xml:space="preserve"> Interviews</w:t>
      </w:r>
      <w:r>
        <w:t xml:space="preserve">, 9 April. Available at: </w:t>
      </w:r>
      <w:hyperlink r:id="rId11" w:history="1">
        <w:r w:rsidRPr="00B03FB7">
          <w:rPr>
            <w:rStyle w:val="Hyperlink"/>
          </w:rPr>
          <w:t>https://www.directorstalkinterviews.com/tesco-plc-preliminary-results-show-market-share-gains-and-positive-volume-growth/41211</w:t>
        </w:r>
        <w:r w:rsidRPr="00B03FB7">
          <w:rPr>
            <w:rStyle w:val="Hyperlink"/>
          </w:rPr>
          <w:t>5</w:t>
        </w:r>
        <w:r w:rsidRPr="00B03FB7">
          <w:rPr>
            <w:rStyle w:val="Hyperlink"/>
          </w:rPr>
          <w:t>1162</w:t>
        </w:r>
      </w:hyperlink>
      <w:r>
        <w:t>(Accessed: 25 February 2026).</w:t>
      </w:r>
    </w:p>
    <w:p w14:paraId="0640EBAA" w14:textId="77777777" w:rsidR="00B03FB7" w:rsidRDefault="00B03FB7" w:rsidP="007F6E0A">
      <w:pPr>
        <w:spacing w:after="210"/>
      </w:pPr>
      <w:r>
        <w:t xml:space="preserve">Drury, C. (2018) </w:t>
      </w:r>
      <w:r w:rsidRPr="007F6E0A">
        <w:rPr>
          <w:i/>
        </w:rPr>
        <w:t>Management and cost accounting</w:t>
      </w:r>
      <w:r>
        <w:t xml:space="preserve">. 10th </w:t>
      </w:r>
      <w:proofErr w:type="spellStart"/>
      <w:r>
        <w:t>edn</w:t>
      </w:r>
      <w:proofErr w:type="spellEnd"/>
      <w:r>
        <w:t>. Andover: Cengage Learning.</w:t>
      </w:r>
    </w:p>
    <w:p w14:paraId="039D9DC5" w14:textId="77777777" w:rsidR="00B03FB7" w:rsidRDefault="00B03FB7" w:rsidP="007F6E0A">
      <w:pPr>
        <w:spacing w:after="210"/>
      </w:pPr>
      <w:r>
        <w:t xml:space="preserve">ETI (2016) </w:t>
      </w:r>
      <w:r w:rsidRPr="007F6E0A">
        <w:rPr>
          <w:i/>
        </w:rPr>
        <w:t>Base Code</w:t>
      </w:r>
      <w:r>
        <w:t xml:space="preserve">. Ethical Trading Initiative. Available at: </w:t>
      </w:r>
      <w:hyperlink r:id="rId12">
        <w:r w:rsidRPr="007F6E0A">
          <w:rPr>
            <w:color w:val="4472C4"/>
          </w:rPr>
          <w:t>https://www.ethicaltrade.org/eti-</w:t>
        </w:r>
        <w:r w:rsidRPr="007F6E0A">
          <w:rPr>
            <w:color w:val="4472C4"/>
          </w:rPr>
          <w:t>b</w:t>
        </w:r>
        <w:r w:rsidRPr="007F6E0A">
          <w:rPr>
            <w:color w:val="4472C4"/>
          </w:rPr>
          <w:t>ase-code</w:t>
        </w:r>
      </w:hyperlink>
      <w:r>
        <w:t xml:space="preserve"> (Accessed: 25 February 2026).</w:t>
      </w:r>
    </w:p>
    <w:p w14:paraId="50BA4D35" w14:textId="77777777" w:rsidR="00B03FB7" w:rsidRDefault="00B03FB7" w:rsidP="007F6E0A">
      <w:pPr>
        <w:spacing w:after="210"/>
      </w:pPr>
      <w:r>
        <w:t xml:space="preserve">Grocery Doppio (2024) 'Tesco: The pillars of success and market leadership', </w:t>
      </w:r>
      <w:r w:rsidRPr="007F6E0A">
        <w:rPr>
          <w:i/>
        </w:rPr>
        <w:t>Grocery Doppio</w:t>
      </w:r>
      <w:r>
        <w:t xml:space="preserve">, 17 July. Available at: </w:t>
      </w:r>
      <w:hyperlink r:id="rId13">
        <w:r w:rsidRPr="007F6E0A">
          <w:rPr>
            <w:color w:val="4472C4"/>
          </w:rPr>
          <w:t>https://w</w:t>
        </w:r>
        <w:r w:rsidRPr="007F6E0A">
          <w:rPr>
            <w:color w:val="4472C4"/>
          </w:rPr>
          <w:t>w</w:t>
        </w:r>
        <w:r w:rsidRPr="007F6E0A">
          <w:rPr>
            <w:color w:val="4472C4"/>
          </w:rPr>
          <w:t>w.grocerydoppio.com/articles/tesco-the-pillars-of-success-and-market-leadership</w:t>
        </w:r>
      </w:hyperlink>
      <w:r>
        <w:t xml:space="preserve"> (Accessed: 25 February 2026).</w:t>
      </w:r>
    </w:p>
    <w:p w14:paraId="1630BE67" w14:textId="77777777" w:rsidR="00B03FB7" w:rsidRDefault="00B03FB7" w:rsidP="007F6E0A">
      <w:pPr>
        <w:spacing w:after="210"/>
      </w:pPr>
      <w:r>
        <w:t xml:space="preserve">Marr, B. (2021) 'Six KPIs for an entire organisation? How Tesco overhauled its performance management framework', Bernard Marr &amp; Co, 12 July. Available at: </w:t>
      </w:r>
      <w:hyperlink r:id="rId14">
        <w:r w:rsidRPr="007F6E0A">
          <w:rPr>
            <w:color w:val="4472C4"/>
          </w:rPr>
          <w:t>https://bernardmarr.com/six-kpis-for-an-entire-organisation-how-tesco-overhauled-its-performance-management-fra</w:t>
        </w:r>
        <w:r w:rsidRPr="007F6E0A">
          <w:rPr>
            <w:color w:val="4472C4"/>
          </w:rPr>
          <w:t>m</w:t>
        </w:r>
        <w:r w:rsidRPr="007F6E0A">
          <w:rPr>
            <w:color w:val="4472C4"/>
          </w:rPr>
          <w:t>ework/</w:t>
        </w:r>
      </w:hyperlink>
      <w:r>
        <w:t xml:space="preserve"> (Accessed: 25 February 2026).</w:t>
      </w:r>
    </w:p>
    <w:p w14:paraId="67052838" w14:textId="77777777" w:rsidR="00B03FB7" w:rsidRDefault="00B03FB7" w:rsidP="007F6E0A">
      <w:pPr>
        <w:spacing w:after="210"/>
      </w:pPr>
      <w:proofErr w:type="spellStart"/>
      <w:r>
        <w:t>MarketScreener</w:t>
      </w:r>
      <w:proofErr w:type="spellEnd"/>
      <w:r>
        <w:t xml:space="preserve"> (2024) 'Tesco: Annual report and financial statements 2023/24', </w:t>
      </w:r>
      <w:proofErr w:type="spellStart"/>
      <w:r w:rsidRPr="007F6E0A">
        <w:rPr>
          <w:i/>
        </w:rPr>
        <w:t>MarketScreener</w:t>
      </w:r>
      <w:proofErr w:type="spellEnd"/>
      <w:r>
        <w:t xml:space="preserve">, 13 May. Available at: </w:t>
      </w:r>
      <w:hyperlink r:id="rId15">
        <w:r w:rsidRPr="007F6E0A">
          <w:rPr>
            <w:color w:val="4472C4"/>
          </w:rPr>
          <w:t>https://www.marketscreener.com/quote/stock/TESCO-PLC-4000540/news/Tesco-Annual-Report-and-Fi</w:t>
        </w:r>
        <w:r w:rsidRPr="007F6E0A">
          <w:rPr>
            <w:color w:val="4472C4"/>
          </w:rPr>
          <w:t>n</w:t>
        </w:r>
        <w:r w:rsidRPr="007F6E0A">
          <w:rPr>
            <w:color w:val="4472C4"/>
          </w:rPr>
          <w:t>ancial-Statements-2023-24-46718100/</w:t>
        </w:r>
      </w:hyperlink>
      <w:r>
        <w:t xml:space="preserve"> (Accessed: 25 February 2026).</w:t>
      </w:r>
    </w:p>
    <w:p w14:paraId="4BE4CC07" w14:textId="77777777" w:rsidR="00B03FB7" w:rsidRDefault="00B03FB7" w:rsidP="007F6E0A">
      <w:pPr>
        <w:spacing w:after="210"/>
      </w:pPr>
      <w:proofErr w:type="spellStart"/>
      <w:r>
        <w:t>MatrixBCG</w:t>
      </w:r>
      <w:proofErr w:type="spellEnd"/>
      <w:r>
        <w:t xml:space="preserve"> (2025) 'How does Tesco company work?', </w:t>
      </w:r>
      <w:proofErr w:type="spellStart"/>
      <w:r>
        <w:t>MatrixBCG</w:t>
      </w:r>
      <w:proofErr w:type="spellEnd"/>
      <w:r>
        <w:t xml:space="preserve">, 26 December. Available at: </w:t>
      </w:r>
      <w:hyperlink r:id="rId16">
        <w:r w:rsidRPr="007F6E0A">
          <w:rPr>
            <w:color w:val="4472C4"/>
          </w:rPr>
          <w:t>https://matrixbcg.com/blogs/how-it-works/te</w:t>
        </w:r>
        <w:r w:rsidRPr="007F6E0A">
          <w:rPr>
            <w:color w:val="4472C4"/>
          </w:rPr>
          <w:t>s</w:t>
        </w:r>
        <w:r w:rsidRPr="007F6E0A">
          <w:rPr>
            <w:color w:val="4472C4"/>
          </w:rPr>
          <w:t>coplc</w:t>
        </w:r>
      </w:hyperlink>
      <w:r>
        <w:t xml:space="preserve"> (Accessed: 25 February 2026).</w:t>
      </w:r>
    </w:p>
    <w:p w14:paraId="237400A9" w14:textId="77777777" w:rsidR="00B03FB7" w:rsidRDefault="00B03FB7" w:rsidP="007F6E0A">
      <w:pPr>
        <w:spacing w:after="210"/>
      </w:pPr>
      <w:proofErr w:type="spellStart"/>
      <w:r>
        <w:t>Ndemuweda</w:t>
      </w:r>
      <w:proofErr w:type="spellEnd"/>
      <w:r>
        <w:t xml:space="preserve">, E. (2025) 'Evaluating the role of management accounting in sustainability reporting: A case study approach', </w:t>
      </w:r>
      <w:r w:rsidRPr="007F6E0A">
        <w:rPr>
          <w:i/>
        </w:rPr>
        <w:t>International Journal of Economics and Management (IJEM)</w:t>
      </w:r>
      <w:r>
        <w:t>, 4(1), pp. 1-15.</w:t>
      </w:r>
    </w:p>
    <w:p w14:paraId="344A1E40" w14:textId="77777777" w:rsidR="00B03FB7" w:rsidRDefault="00B03FB7" w:rsidP="007F6E0A">
      <w:pPr>
        <w:spacing w:after="210"/>
      </w:pPr>
      <w:r>
        <w:t xml:space="preserve">Procurement Magazine (2023) 'Tesco's sustainable livelihoods sourcing strategy', </w:t>
      </w:r>
      <w:r w:rsidRPr="007F6E0A">
        <w:rPr>
          <w:i/>
        </w:rPr>
        <w:t>Procurement Magazine</w:t>
      </w:r>
      <w:r>
        <w:t xml:space="preserve">, 15 December. Available at: </w:t>
      </w:r>
      <w:hyperlink r:id="rId17">
        <w:r w:rsidRPr="007F6E0A">
          <w:rPr>
            <w:color w:val="4472C4"/>
          </w:rPr>
          <w:t>https://procurementmag.com/articles/tescos-su</w:t>
        </w:r>
        <w:r w:rsidRPr="007F6E0A">
          <w:rPr>
            <w:color w:val="4472C4"/>
          </w:rPr>
          <w:t>s</w:t>
        </w:r>
        <w:r w:rsidRPr="007F6E0A">
          <w:rPr>
            <w:color w:val="4472C4"/>
          </w:rPr>
          <w:t>tainable-livelihoods-sourcing-strategy</w:t>
        </w:r>
      </w:hyperlink>
      <w:r>
        <w:t xml:space="preserve"> (Accessed: 25 February 2026).</w:t>
      </w:r>
    </w:p>
    <w:p w14:paraId="1A774256" w14:textId="77777777" w:rsidR="00B03FB7" w:rsidRDefault="00B03FB7" w:rsidP="007F6E0A">
      <w:pPr>
        <w:spacing w:after="210"/>
      </w:pPr>
      <w:r>
        <w:t xml:space="preserve">Sage (2024) </w:t>
      </w:r>
      <w:r w:rsidRPr="007F6E0A">
        <w:rPr>
          <w:i/>
        </w:rPr>
        <w:t>Budgeting: Management accounting</w:t>
      </w:r>
      <w:r>
        <w:t xml:space="preserve">. Sage Academic Books. Available at: </w:t>
      </w:r>
      <w:hyperlink r:id="rId18">
        <w:r w:rsidRPr="007F6E0A">
          <w:rPr>
            <w:color w:val="4472C4"/>
          </w:rPr>
          <w:t>https://sk.sagepub.com/book/mono/management-accounting/chpt</w:t>
        </w:r>
        <w:r w:rsidRPr="007F6E0A">
          <w:rPr>
            <w:color w:val="4472C4"/>
          </w:rPr>
          <w:t>/</w:t>
        </w:r>
        <w:r w:rsidRPr="007F6E0A">
          <w:rPr>
            <w:color w:val="4472C4"/>
          </w:rPr>
          <w:t>budgeting</w:t>
        </w:r>
      </w:hyperlink>
      <w:r>
        <w:t xml:space="preserve"> (Accessed: 25 February 2026).</w:t>
      </w:r>
    </w:p>
    <w:p w14:paraId="6C38A2D9" w14:textId="77777777" w:rsidR="00B03FB7" w:rsidRDefault="00B03FB7" w:rsidP="007F6E0A">
      <w:pPr>
        <w:spacing w:after="210"/>
      </w:pPr>
      <w:r>
        <w:t xml:space="preserve">Sikka, P. and Willmott, H. (2010) 'The dark side of transfer pricing: Its role in tax avoidance and wealth retentiveness', </w:t>
      </w:r>
      <w:r w:rsidRPr="007F6E0A">
        <w:rPr>
          <w:i/>
        </w:rPr>
        <w:t>Critical Perspectives on Accounting</w:t>
      </w:r>
      <w:r>
        <w:t>, 21(4), pp. 342-356.</w:t>
      </w:r>
    </w:p>
    <w:p w14:paraId="53CC5538" w14:textId="77777777" w:rsidR="00B03FB7" w:rsidRDefault="00B03FB7" w:rsidP="007F6E0A">
      <w:pPr>
        <w:spacing w:after="210"/>
      </w:pPr>
      <w:r>
        <w:t xml:space="preserve">Soin, K. and Collier, P. (2013) 'Risk and risk management in management accounting and control', </w:t>
      </w:r>
      <w:r w:rsidRPr="007F6E0A">
        <w:rPr>
          <w:i/>
        </w:rPr>
        <w:t>Management Accounting Research</w:t>
      </w:r>
      <w:r>
        <w:t>, 24(2), pp. 82-87.</w:t>
      </w:r>
    </w:p>
    <w:p w14:paraId="60EE1EE2" w14:textId="77777777" w:rsidR="00B03FB7" w:rsidRDefault="00B03FB7" w:rsidP="007F6E0A">
      <w:pPr>
        <w:spacing w:after="210"/>
      </w:pPr>
      <w:r w:rsidRPr="007F6E0A">
        <w:rPr>
          <w:rFonts w:ascii="Georgia" w:eastAsia="Georgia" w:hAnsi="Georgia" w:cs="Georgia"/>
        </w:rPr>
        <w:lastRenderedPageBreak/>
        <w:t xml:space="preserve">Statista (2025) 'Tesco: financial revenue in the United Kingdom (UK) 2013–2024', </w:t>
      </w:r>
      <w:r w:rsidRPr="007F6E0A">
        <w:rPr>
          <w:i/>
        </w:rPr>
        <w:t>Statista</w:t>
      </w:r>
      <w:r>
        <w:t xml:space="preserve">, 23 February. Available at: </w:t>
      </w:r>
      <w:hyperlink r:id="rId19">
        <w:r w:rsidRPr="007F6E0A">
          <w:rPr>
            <w:color w:val="4472C4"/>
          </w:rPr>
          <w:t>https://www.statista.com/statistics/4909</w:t>
        </w:r>
        <w:r w:rsidRPr="007F6E0A">
          <w:rPr>
            <w:color w:val="4472C4"/>
          </w:rPr>
          <w:t>3</w:t>
        </w:r>
        <w:r w:rsidRPr="007F6E0A">
          <w:rPr>
            <w:color w:val="4472C4"/>
          </w:rPr>
          <w:t>1/tesco-group-finance-revenue-united-kingdom-uk/</w:t>
        </w:r>
      </w:hyperlink>
      <w:r>
        <w:t xml:space="preserve"> (Accessed: 25 February 2026).</w:t>
      </w:r>
    </w:p>
    <w:p w14:paraId="2A23A044" w14:textId="77777777" w:rsidR="00B03FB7" w:rsidRDefault="00B03FB7" w:rsidP="007F6E0A">
      <w:pPr>
        <w:spacing w:after="210"/>
      </w:pPr>
      <w:proofErr w:type="spellStart"/>
      <w:r>
        <w:t>SupplyChainDigital</w:t>
      </w:r>
      <w:proofErr w:type="spellEnd"/>
      <w:r>
        <w:t xml:space="preserve"> (2025) 'How Tesco is leading on green supply chain initiatives', </w:t>
      </w:r>
      <w:r w:rsidRPr="007F6E0A">
        <w:rPr>
          <w:i/>
        </w:rPr>
        <w:t>Supply Chain Digital</w:t>
      </w:r>
      <w:r>
        <w:t xml:space="preserve">, 21 May. Available at: </w:t>
      </w:r>
      <w:hyperlink r:id="rId20">
        <w:r w:rsidRPr="007F6E0A">
          <w:rPr>
            <w:color w:val="4472C4"/>
          </w:rPr>
          <w:t>https://supplychaindigital.com/sustainability/yellow-labels-how-tesco-rescued-60-million-meals</w:t>
        </w:r>
      </w:hyperlink>
      <w:r>
        <w:t xml:space="preserve"> (Accessed: 25 February 2026).</w:t>
      </w:r>
    </w:p>
    <w:p w14:paraId="33C81437" w14:textId="77777777" w:rsidR="00B03FB7" w:rsidRDefault="00B03FB7" w:rsidP="007F6E0A">
      <w:pPr>
        <w:spacing w:after="210"/>
      </w:pPr>
      <w:r>
        <w:t xml:space="preserve">Sustainability Magazine (2025) 'Yellow labels: How Tesco rescued 60 million meals', </w:t>
      </w:r>
      <w:r w:rsidRPr="007F6E0A">
        <w:rPr>
          <w:i/>
        </w:rPr>
        <w:t>Sustainability Magazine</w:t>
      </w:r>
      <w:r>
        <w:t xml:space="preserve">, 19 May. Available at: </w:t>
      </w:r>
      <w:hyperlink r:id="rId21">
        <w:r w:rsidRPr="007F6E0A">
          <w:rPr>
            <w:color w:val="4472C4"/>
          </w:rPr>
          <w:t>https://sustainabilitymag.com/articles/yellow-labels-how-tesco-rescued-60-million-meals</w:t>
        </w:r>
      </w:hyperlink>
      <w:r>
        <w:t xml:space="preserve"> (Accessed: 25 February 2026).</w:t>
      </w:r>
    </w:p>
    <w:p w14:paraId="1DBC4EB6" w14:textId="77777777" w:rsidR="00B03FB7" w:rsidRDefault="00B03FB7" w:rsidP="007F6E0A">
      <w:pPr>
        <w:spacing w:after="210"/>
      </w:pPr>
      <w:r>
        <w:t xml:space="preserve">Tesco PLC (2017) </w:t>
      </w:r>
      <w:r w:rsidRPr="007F6E0A">
        <w:rPr>
          <w:i/>
        </w:rPr>
        <w:t>Our Big 6 KPIs</w:t>
      </w:r>
      <w:r>
        <w:t xml:space="preserve">. Available at: </w:t>
      </w:r>
      <w:hyperlink r:id="rId22">
        <w:r w:rsidRPr="007F6E0A">
          <w:rPr>
            <w:rFonts w:ascii="Georgia" w:eastAsia="Georgia" w:hAnsi="Georgia" w:cs="Georgia"/>
            <w:color w:val="4472C4"/>
          </w:rPr>
          <w:t>https://www.tescoplc.com/media/392341/tesco_ar17_kpis.pdf</w:t>
        </w:r>
      </w:hyperlink>
      <w:r>
        <w:t xml:space="preserve"> (Accessed: 25 February 2026).</w:t>
      </w:r>
    </w:p>
    <w:p w14:paraId="5C244F97" w14:textId="77777777" w:rsidR="00B03FB7" w:rsidRDefault="00B03FB7" w:rsidP="007F6E0A">
      <w:pPr>
        <w:spacing w:after="210"/>
      </w:pPr>
      <w:r>
        <w:t xml:space="preserve">Tesco PLC (2023) 'Tesco PLC interim results 2023/24'. Available at: </w:t>
      </w:r>
      <w:hyperlink r:id="rId23">
        <w:r w:rsidRPr="007F6E0A">
          <w:rPr>
            <w:color w:val="4472C4"/>
          </w:rPr>
          <w:t>https://www.investegate.co.uk/announcement/rns/tesco--</w:t>
        </w:r>
        <w:proofErr w:type="spellStart"/>
        <w:r w:rsidRPr="007F6E0A">
          <w:rPr>
            <w:color w:val="4472C4"/>
          </w:rPr>
          <w:t>tsco</w:t>
        </w:r>
        <w:proofErr w:type="spellEnd"/>
        <w:r w:rsidRPr="007F6E0A">
          <w:rPr>
            <w:color w:val="4472C4"/>
          </w:rPr>
          <w:t>/tesco-plc-interim-results-23-24/7794914</w:t>
        </w:r>
      </w:hyperlink>
      <w:r>
        <w:t xml:space="preserve"> (Accessed: 25 February 2026).</w:t>
      </w:r>
    </w:p>
    <w:p w14:paraId="780E4BE3" w14:textId="77777777" w:rsidR="00B03FB7" w:rsidRDefault="00B03FB7" w:rsidP="007F6E0A">
      <w:pPr>
        <w:spacing w:after="210"/>
      </w:pPr>
      <w:r>
        <w:t xml:space="preserve">Tesco PLC (2023b) </w:t>
      </w:r>
      <w:r w:rsidRPr="007F6E0A">
        <w:rPr>
          <w:i/>
        </w:rPr>
        <w:t>Tesco sustainable livelihoods approach</w:t>
      </w:r>
      <w:r>
        <w:t xml:space="preserve">. Available at: </w:t>
      </w:r>
      <w:hyperlink r:id="rId24">
        <w:r w:rsidRPr="007F6E0A">
          <w:rPr>
            <w:color w:val="4472C4"/>
          </w:rPr>
          <w:t>https://www.tescoplc.com/sustainability/sourcing/sustainable-livelihoods/</w:t>
        </w:r>
      </w:hyperlink>
      <w:r>
        <w:t xml:space="preserve"> (Accessed: 25 February 2026).</w:t>
      </w:r>
    </w:p>
    <w:p w14:paraId="57824337" w14:textId="77777777" w:rsidR="00B03FB7" w:rsidRDefault="00B03FB7" w:rsidP="007F6E0A">
      <w:pPr>
        <w:spacing w:after="210"/>
      </w:pPr>
      <w:r>
        <w:t xml:space="preserve">Tesco PLC (2023c) </w:t>
      </w:r>
      <w:r w:rsidRPr="007F6E0A">
        <w:rPr>
          <w:i/>
        </w:rPr>
        <w:t>Advancing human rights in our supply chain: Responsible sourcing manual</w:t>
      </w:r>
      <w:r>
        <w:t xml:space="preserve">. Available at: </w:t>
      </w:r>
      <w:hyperlink r:id="rId25">
        <w:r w:rsidRPr="007F6E0A">
          <w:rPr>
            <w:color w:val="4472C4"/>
          </w:rPr>
          <w:t>https://www.tescoplc.com/media/758484/80632v10en-responsible-sourcing-manual-clothing-and-general-merchandise-suppliers.pdf</w:t>
        </w:r>
      </w:hyperlink>
      <w:r>
        <w:t xml:space="preserve"> (Accessed: 25 February 2026).</w:t>
      </w:r>
    </w:p>
    <w:p w14:paraId="3B5989A5" w14:textId="77777777" w:rsidR="00B03FB7" w:rsidRDefault="00B03FB7" w:rsidP="007F6E0A">
      <w:pPr>
        <w:spacing w:after="210"/>
      </w:pPr>
      <w:r>
        <w:t xml:space="preserve">Tesco PLC (2024a) </w:t>
      </w:r>
      <w:r w:rsidRPr="007F6E0A">
        <w:rPr>
          <w:i/>
        </w:rPr>
        <w:t>Annual report and financial statements 2023/24</w:t>
      </w:r>
      <w:r>
        <w:t xml:space="preserve">. Available at: </w:t>
      </w:r>
      <w:hyperlink r:id="rId26">
        <w:r w:rsidRPr="007F6E0A">
          <w:rPr>
            <w:rFonts w:ascii="Georgia" w:eastAsia="Georgia" w:hAnsi="Georgia" w:cs="Georgia"/>
            <w:color w:val="4472C4"/>
          </w:rPr>
          <w:t>https://www.tescoplc.com/media/zgvhd0dn/tescos_ar24.pdf</w:t>
        </w:r>
      </w:hyperlink>
      <w:r>
        <w:t xml:space="preserve"> (Accessed: 25 February 2026).</w:t>
      </w:r>
    </w:p>
    <w:p w14:paraId="750251A9" w14:textId="77777777" w:rsidR="00B03FB7" w:rsidRDefault="00B03FB7" w:rsidP="007F6E0A">
      <w:pPr>
        <w:spacing w:after="210"/>
      </w:pPr>
      <w:r>
        <w:t xml:space="preserve">Tesco PLC (2024b) 'Preliminary results 2023/24', 9 April. Available at: </w:t>
      </w:r>
      <w:hyperlink r:id="rId27">
        <w:r w:rsidRPr="007F6E0A">
          <w:rPr>
            <w:color w:val="4472C4"/>
          </w:rPr>
          <w:t>https://www.tescoplc.com/preliminary-results-202324/</w:t>
        </w:r>
      </w:hyperlink>
      <w:r>
        <w:t xml:space="preserve"> (Accessed: 25 February 2026).</w:t>
      </w:r>
    </w:p>
    <w:p w14:paraId="7503AE9C" w14:textId="77777777" w:rsidR="00B03FB7" w:rsidRDefault="00B03FB7" w:rsidP="007F6E0A">
      <w:pPr>
        <w:spacing w:after="210"/>
      </w:pPr>
      <w:r>
        <w:t>Tesco PLC (2024c) '</w:t>
      </w:r>
      <w:proofErr w:type="gramStart"/>
      <w:r>
        <w:t>Five year</w:t>
      </w:r>
      <w:proofErr w:type="gramEnd"/>
      <w:r>
        <w:t xml:space="preserve"> record'. Available at: </w:t>
      </w:r>
      <w:hyperlink r:id="rId28">
        <w:r w:rsidRPr="007F6E0A">
          <w:rPr>
            <w:color w:val="4472C4"/>
          </w:rPr>
          <w:t>https://www.tescoplc.com/investors/reports-results-and-presentations/financial-performance/five-year-record</w:t>
        </w:r>
      </w:hyperlink>
      <w:r>
        <w:t xml:space="preserve"> (Accessed: 25 February 2026).</w:t>
      </w:r>
    </w:p>
    <w:p w14:paraId="294E9E5E" w14:textId="77777777" w:rsidR="00B03FB7" w:rsidRDefault="00B03FB7" w:rsidP="007F6E0A">
      <w:pPr>
        <w:spacing w:after="210"/>
      </w:pPr>
      <w:r>
        <w:t xml:space="preserve">Tesco PLC (2024d) 'Tesco PLC interim results 2024/25'. Available at: </w:t>
      </w:r>
      <w:hyperlink r:id="rId29">
        <w:r w:rsidRPr="007F6E0A">
          <w:rPr>
            <w:color w:val="4472C4"/>
          </w:rPr>
          <w:t>https://www.research-tree.com/newsfeed/article/tesco-plc-interim-results-2024-25-2572345</w:t>
        </w:r>
      </w:hyperlink>
      <w:r>
        <w:t xml:space="preserve"> (Accessed: 25 February 2026).</w:t>
      </w:r>
    </w:p>
    <w:p w14:paraId="481E5430" w14:textId="77777777" w:rsidR="00B03FB7" w:rsidRDefault="00B03FB7" w:rsidP="007F6E0A">
      <w:pPr>
        <w:spacing w:after="210"/>
      </w:pPr>
      <w:r>
        <w:t xml:space="preserve">Tesco PLC (2024e) </w:t>
      </w:r>
      <w:r w:rsidRPr="007F6E0A">
        <w:rPr>
          <w:i/>
        </w:rPr>
        <w:t>Food waste report 2024</w:t>
      </w:r>
      <w:r>
        <w:t xml:space="preserve">. Available at: </w:t>
      </w:r>
      <w:hyperlink r:id="rId30">
        <w:r w:rsidRPr="007F6E0A">
          <w:rPr>
            <w:color w:val="4472C4"/>
          </w:rPr>
          <w:t>https://www.tescoplc.com/media/sm2hn54l/tesco-food-waste-report-jan24-96.pdf</w:t>
        </w:r>
      </w:hyperlink>
      <w:r>
        <w:t xml:space="preserve"> (Accessed: 25 February 2026).</w:t>
      </w:r>
    </w:p>
    <w:p w14:paraId="4E909FAF" w14:textId="77777777" w:rsidR="00B03FB7" w:rsidRDefault="00B03FB7" w:rsidP="007F6E0A">
      <w:pPr>
        <w:spacing w:after="210"/>
      </w:pPr>
      <w:r>
        <w:t xml:space="preserve">Tesco PLC (2025) </w:t>
      </w:r>
      <w:r w:rsidRPr="007F6E0A">
        <w:rPr>
          <w:i/>
        </w:rPr>
        <w:t>Sustainability report 2025</w:t>
      </w:r>
      <w:r>
        <w:t xml:space="preserve">. Available at: </w:t>
      </w:r>
      <w:hyperlink r:id="rId31">
        <w:r w:rsidRPr="007F6E0A">
          <w:rPr>
            <w:color w:val="4472C4"/>
          </w:rPr>
          <w:t>https://www.tescoplc.com/media/wvkj1yic/tesco-sustainability-report-2025.pdf</w:t>
        </w:r>
      </w:hyperlink>
      <w:r>
        <w:t xml:space="preserve"> (Accessed: 25 February 2026).</w:t>
      </w:r>
    </w:p>
    <w:p w14:paraId="1D4AEC25" w14:textId="77777777" w:rsidR="00B03FB7" w:rsidRDefault="00B03FB7" w:rsidP="007F6E0A">
      <w:pPr>
        <w:spacing w:after="210"/>
      </w:pPr>
      <w:r w:rsidRPr="007F6E0A">
        <w:rPr>
          <w:rFonts w:ascii="Georgia" w:eastAsia="Georgia" w:hAnsi="Georgia" w:cs="Georgia"/>
        </w:rPr>
        <w:lastRenderedPageBreak/>
        <w:t xml:space="preserve">The Strategy Story (2021) 'Tesco – British retailer that redefined grocery shopping', </w:t>
      </w:r>
      <w:r w:rsidRPr="007F6E0A">
        <w:rPr>
          <w:i/>
        </w:rPr>
        <w:t>The Strategy Story</w:t>
      </w:r>
      <w:r>
        <w:t xml:space="preserve">, 9 June. Available at: </w:t>
      </w:r>
      <w:hyperlink r:id="rId32">
        <w:r w:rsidRPr="007F6E0A">
          <w:rPr>
            <w:color w:val="4472C4"/>
          </w:rPr>
          <w:t>https://thestrategystory.com/2021/06/10/tesco-business-model/</w:t>
        </w:r>
      </w:hyperlink>
      <w:r>
        <w:t xml:space="preserve"> (Accessed: 25 February 2026).</w:t>
      </w:r>
    </w:p>
    <w:p w14:paraId="5E520CAC" w14:textId="77777777" w:rsidR="00B03FB7" w:rsidRDefault="00B03FB7" w:rsidP="007F6E0A">
      <w:pPr>
        <w:spacing w:after="210"/>
      </w:pPr>
      <w:proofErr w:type="spellStart"/>
      <w:r>
        <w:t>TotalAssignment</w:t>
      </w:r>
      <w:proofErr w:type="spellEnd"/>
      <w:r>
        <w:t xml:space="preserve"> (2018) 'Analysis for Tesco using performance measurement assignment strategies'. Available at: </w:t>
      </w:r>
      <w:hyperlink r:id="rId33">
        <w:r w:rsidRPr="007F6E0A">
          <w:rPr>
            <w:color w:val="4472C4"/>
          </w:rPr>
          <w:t>https://www.totalassignment.com/free-sam</w:t>
        </w:r>
        <w:r w:rsidRPr="007F6E0A">
          <w:rPr>
            <w:color w:val="4472C4"/>
          </w:rPr>
          <w:t>p</w:t>
        </w:r>
        <w:r w:rsidRPr="007F6E0A">
          <w:rPr>
            <w:color w:val="4472C4"/>
          </w:rPr>
          <w:t>le/analysis-tesco-using-performance-measurement-assignment-stratogies</w:t>
        </w:r>
      </w:hyperlink>
      <w:r>
        <w:t xml:space="preserve"> (Accessed: 25 February 2026).</w:t>
      </w:r>
    </w:p>
    <w:p w14:paraId="02EBCB62" w14:textId="40E8AD38" w:rsidR="001B52BE" w:rsidRPr="008B1491" w:rsidRDefault="001B52BE" w:rsidP="00B03FB7">
      <w:pPr>
        <w:spacing w:line="360" w:lineRule="auto"/>
      </w:pPr>
    </w:p>
    <w:sectPr w:rsidR="001B52BE" w:rsidRPr="008B1491" w:rsidSect="00A150B6">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2631C" w14:textId="77777777" w:rsidR="00D6035B" w:rsidRPr="00835089" w:rsidRDefault="00D6035B" w:rsidP="00CD1240">
      <w:pPr>
        <w:spacing w:after="0" w:line="240" w:lineRule="auto"/>
      </w:pPr>
      <w:r w:rsidRPr="00835089">
        <w:separator/>
      </w:r>
    </w:p>
  </w:endnote>
  <w:endnote w:type="continuationSeparator" w:id="0">
    <w:p w14:paraId="74E17F1B" w14:textId="77777777" w:rsidR="00D6035B" w:rsidRPr="00835089" w:rsidRDefault="00D6035B" w:rsidP="00CD1240">
      <w:pPr>
        <w:spacing w:after="0" w:line="240" w:lineRule="auto"/>
      </w:pPr>
      <w:r w:rsidRPr="0083508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213469"/>
      <w:docPartObj>
        <w:docPartGallery w:val="Page Numbers (Bottom of Page)"/>
        <w:docPartUnique/>
      </w:docPartObj>
    </w:sdtPr>
    <w:sdtContent>
      <w:p w14:paraId="3337DCF9" w14:textId="7DE2621F" w:rsidR="00A150B6" w:rsidRPr="00835089" w:rsidRDefault="00A150B6">
        <w:pPr>
          <w:pStyle w:val="Footer"/>
          <w:jc w:val="right"/>
        </w:pPr>
        <w:r w:rsidRPr="00835089">
          <w:fldChar w:fldCharType="begin"/>
        </w:r>
        <w:r w:rsidRPr="00835089">
          <w:instrText xml:space="preserve"> PAGE   \* MERGEFORMAT </w:instrText>
        </w:r>
        <w:r w:rsidRPr="00835089">
          <w:fldChar w:fldCharType="separate"/>
        </w:r>
        <w:r w:rsidRPr="00835089">
          <w:t>2</w:t>
        </w:r>
        <w:r w:rsidRPr="00835089">
          <w:fldChar w:fldCharType="end"/>
        </w:r>
      </w:p>
    </w:sdtContent>
  </w:sdt>
  <w:p w14:paraId="6C3AC420" w14:textId="77777777" w:rsidR="00CD1240" w:rsidRPr="00835089" w:rsidRDefault="00CD1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D5DCE" w14:textId="77777777" w:rsidR="00D6035B" w:rsidRPr="00835089" w:rsidRDefault="00D6035B" w:rsidP="00CD1240">
      <w:pPr>
        <w:spacing w:after="0" w:line="240" w:lineRule="auto"/>
      </w:pPr>
      <w:r w:rsidRPr="00835089">
        <w:separator/>
      </w:r>
    </w:p>
  </w:footnote>
  <w:footnote w:type="continuationSeparator" w:id="0">
    <w:p w14:paraId="0D8A6290" w14:textId="77777777" w:rsidR="00D6035B" w:rsidRPr="00835089" w:rsidRDefault="00D6035B" w:rsidP="00CD1240">
      <w:pPr>
        <w:spacing w:after="0" w:line="240" w:lineRule="auto"/>
      </w:pPr>
      <w:r w:rsidRPr="0083508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225E0"/>
    <w:multiLevelType w:val="hybridMultilevel"/>
    <w:tmpl w:val="71369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1D6A50"/>
    <w:multiLevelType w:val="multilevel"/>
    <w:tmpl w:val="9DB6F9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7F6794"/>
    <w:multiLevelType w:val="multilevel"/>
    <w:tmpl w:val="ADA87A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9D6810"/>
    <w:multiLevelType w:val="hybridMultilevel"/>
    <w:tmpl w:val="D47AC682"/>
    <w:lvl w:ilvl="0" w:tplc="033A29A0">
      <w:start w:val="1"/>
      <w:numFmt w:val="none"/>
      <w:lvlText w:val="•"/>
      <w:lvlJc w:val="left"/>
      <w:pPr>
        <w:tabs>
          <w:tab w:val="num" w:pos="1080"/>
        </w:tabs>
        <w:ind w:left="720" w:hanging="360"/>
      </w:pPr>
      <w:rPr>
        <w:rFonts w:ascii="Georgia" w:eastAsia="Georgia" w:hAnsi="Georgia" w:cs="Georgia"/>
      </w:rPr>
    </w:lvl>
    <w:lvl w:ilvl="1" w:tplc="25348682">
      <w:numFmt w:val="decimal"/>
      <w:lvlText w:val=""/>
      <w:lvlJc w:val="left"/>
      <w:pPr>
        <w:ind w:left="0" w:firstLine="0"/>
      </w:pPr>
    </w:lvl>
    <w:lvl w:ilvl="2" w:tplc="B860CDAE">
      <w:numFmt w:val="decimal"/>
      <w:lvlText w:val=""/>
      <w:lvlJc w:val="left"/>
      <w:pPr>
        <w:ind w:left="0" w:firstLine="0"/>
      </w:pPr>
    </w:lvl>
    <w:lvl w:ilvl="3" w:tplc="14685B1C">
      <w:numFmt w:val="decimal"/>
      <w:lvlText w:val=""/>
      <w:lvlJc w:val="left"/>
      <w:pPr>
        <w:ind w:left="0" w:firstLine="0"/>
      </w:pPr>
    </w:lvl>
    <w:lvl w:ilvl="4" w:tplc="D0643F06">
      <w:numFmt w:val="decimal"/>
      <w:lvlText w:val=""/>
      <w:lvlJc w:val="left"/>
      <w:pPr>
        <w:ind w:left="0" w:firstLine="0"/>
      </w:pPr>
    </w:lvl>
    <w:lvl w:ilvl="5" w:tplc="5614B57E">
      <w:numFmt w:val="decimal"/>
      <w:lvlText w:val=""/>
      <w:lvlJc w:val="left"/>
      <w:pPr>
        <w:ind w:left="0" w:firstLine="0"/>
      </w:pPr>
    </w:lvl>
    <w:lvl w:ilvl="6" w:tplc="1794E572">
      <w:numFmt w:val="decimal"/>
      <w:lvlText w:val=""/>
      <w:lvlJc w:val="left"/>
      <w:pPr>
        <w:ind w:left="0" w:firstLine="0"/>
      </w:pPr>
    </w:lvl>
    <w:lvl w:ilvl="7" w:tplc="D53C0A0E">
      <w:numFmt w:val="decimal"/>
      <w:lvlText w:val=""/>
      <w:lvlJc w:val="left"/>
      <w:pPr>
        <w:ind w:left="0" w:firstLine="0"/>
      </w:pPr>
    </w:lvl>
    <w:lvl w:ilvl="8" w:tplc="1D48DD44">
      <w:numFmt w:val="decimal"/>
      <w:lvlText w:val=""/>
      <w:lvlJc w:val="left"/>
      <w:pPr>
        <w:ind w:left="0" w:firstLine="0"/>
      </w:pPr>
    </w:lvl>
  </w:abstractNum>
  <w:abstractNum w:abstractNumId="4" w15:restartNumberingAfterBreak="0">
    <w:nsid w:val="28866297"/>
    <w:multiLevelType w:val="multilevel"/>
    <w:tmpl w:val="FA36A45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1A214C"/>
    <w:multiLevelType w:val="multilevel"/>
    <w:tmpl w:val="51E05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46185E"/>
    <w:multiLevelType w:val="multilevel"/>
    <w:tmpl w:val="071C3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43720C"/>
    <w:multiLevelType w:val="multilevel"/>
    <w:tmpl w:val="0AD4D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4850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22247C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3974066"/>
    <w:multiLevelType w:val="multilevel"/>
    <w:tmpl w:val="A81E0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493262"/>
    <w:multiLevelType w:val="multilevel"/>
    <w:tmpl w:val="2890A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7D7D8C"/>
    <w:multiLevelType w:val="multilevel"/>
    <w:tmpl w:val="60EC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6238DD"/>
    <w:multiLevelType w:val="multilevel"/>
    <w:tmpl w:val="481A61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183DEE"/>
    <w:multiLevelType w:val="hybridMultilevel"/>
    <w:tmpl w:val="0CE2A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0D035B"/>
    <w:multiLevelType w:val="multilevel"/>
    <w:tmpl w:val="F8800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A96827"/>
    <w:multiLevelType w:val="multilevel"/>
    <w:tmpl w:val="C0644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DD610C"/>
    <w:multiLevelType w:val="multilevel"/>
    <w:tmpl w:val="A15CB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036B0A"/>
    <w:multiLevelType w:val="multilevel"/>
    <w:tmpl w:val="3F5E75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5E621F"/>
    <w:multiLevelType w:val="multilevel"/>
    <w:tmpl w:val="259AE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DD4387"/>
    <w:multiLevelType w:val="multilevel"/>
    <w:tmpl w:val="9802F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CB046D"/>
    <w:multiLevelType w:val="multilevel"/>
    <w:tmpl w:val="F97C8D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8977348">
    <w:abstractNumId w:val="11"/>
  </w:num>
  <w:num w:numId="2" w16cid:durableId="1554537925">
    <w:abstractNumId w:val="13"/>
  </w:num>
  <w:num w:numId="3" w16cid:durableId="1029768017">
    <w:abstractNumId w:val="1"/>
  </w:num>
  <w:num w:numId="4" w16cid:durableId="1351375638">
    <w:abstractNumId w:val="18"/>
  </w:num>
  <w:num w:numId="5" w16cid:durableId="1062561474">
    <w:abstractNumId w:val="4"/>
  </w:num>
  <w:num w:numId="6" w16cid:durableId="1765763554">
    <w:abstractNumId w:val="5"/>
  </w:num>
  <w:num w:numId="7" w16cid:durableId="1847093351">
    <w:abstractNumId w:val="12"/>
  </w:num>
  <w:num w:numId="8" w16cid:durableId="81532647">
    <w:abstractNumId w:val="20"/>
  </w:num>
  <w:num w:numId="9" w16cid:durableId="34624930">
    <w:abstractNumId w:val="10"/>
  </w:num>
  <w:num w:numId="10" w16cid:durableId="1450009386">
    <w:abstractNumId w:val="15"/>
  </w:num>
  <w:num w:numId="11" w16cid:durableId="1413351108">
    <w:abstractNumId w:val="21"/>
  </w:num>
  <w:num w:numId="12" w16cid:durableId="170485292">
    <w:abstractNumId w:val="7"/>
  </w:num>
  <w:num w:numId="13" w16cid:durableId="1255742768">
    <w:abstractNumId w:val="16"/>
  </w:num>
  <w:num w:numId="14" w16cid:durableId="1172912661">
    <w:abstractNumId w:val="19"/>
  </w:num>
  <w:num w:numId="15" w16cid:durableId="396711228">
    <w:abstractNumId w:val="17"/>
  </w:num>
  <w:num w:numId="16" w16cid:durableId="1616476595">
    <w:abstractNumId w:val="6"/>
  </w:num>
  <w:num w:numId="17" w16cid:durableId="1809858496">
    <w:abstractNumId w:val="2"/>
  </w:num>
  <w:num w:numId="18" w16cid:durableId="1435782269">
    <w:abstractNumId w:val="0"/>
  </w:num>
  <w:num w:numId="19" w16cid:durableId="857161618">
    <w:abstractNumId w:val="9"/>
  </w:num>
  <w:num w:numId="20" w16cid:durableId="485973409">
    <w:abstractNumId w:val="8"/>
  </w:num>
  <w:num w:numId="21" w16cid:durableId="875196625">
    <w:abstractNumId w:val="14"/>
  </w:num>
  <w:num w:numId="22" w16cid:durableId="640158943">
    <w:abstractNumId w:val="3"/>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B68"/>
    <w:rsid w:val="00005914"/>
    <w:rsid w:val="00131A03"/>
    <w:rsid w:val="00161BA8"/>
    <w:rsid w:val="00182038"/>
    <w:rsid w:val="00193B68"/>
    <w:rsid w:val="001A5409"/>
    <w:rsid w:val="001B52BE"/>
    <w:rsid w:val="001F6B29"/>
    <w:rsid w:val="002246B1"/>
    <w:rsid w:val="00230BDD"/>
    <w:rsid w:val="002732DD"/>
    <w:rsid w:val="00372000"/>
    <w:rsid w:val="00481FF9"/>
    <w:rsid w:val="004A1574"/>
    <w:rsid w:val="004C2535"/>
    <w:rsid w:val="00611FED"/>
    <w:rsid w:val="00627692"/>
    <w:rsid w:val="00684007"/>
    <w:rsid w:val="006C7848"/>
    <w:rsid w:val="0075587D"/>
    <w:rsid w:val="007F6E0A"/>
    <w:rsid w:val="00825EDA"/>
    <w:rsid w:val="00835089"/>
    <w:rsid w:val="00885D6A"/>
    <w:rsid w:val="008863F5"/>
    <w:rsid w:val="008B1491"/>
    <w:rsid w:val="008D3569"/>
    <w:rsid w:val="008D469C"/>
    <w:rsid w:val="008F6630"/>
    <w:rsid w:val="0092184C"/>
    <w:rsid w:val="00987D14"/>
    <w:rsid w:val="009B002A"/>
    <w:rsid w:val="009B7B0D"/>
    <w:rsid w:val="00A150B6"/>
    <w:rsid w:val="00A26BBA"/>
    <w:rsid w:val="00AF4AB7"/>
    <w:rsid w:val="00B03FB7"/>
    <w:rsid w:val="00B17DA0"/>
    <w:rsid w:val="00B90BDB"/>
    <w:rsid w:val="00BE76B1"/>
    <w:rsid w:val="00C86D27"/>
    <w:rsid w:val="00CD1240"/>
    <w:rsid w:val="00D6035B"/>
    <w:rsid w:val="00E40E4E"/>
    <w:rsid w:val="00ED53B2"/>
    <w:rsid w:val="00F70DB1"/>
    <w:rsid w:val="00FB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1E874"/>
  <w15:chartTrackingRefBased/>
  <w15:docId w15:val="{0D577E4C-E65B-452C-9B10-B22E99A34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B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3B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B6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B6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93B6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93B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93B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93B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93B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3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B6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B6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93B6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93B6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93B6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93B6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93B6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93B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B6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B6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93B68"/>
    <w:pPr>
      <w:spacing w:before="160"/>
      <w:jc w:val="center"/>
    </w:pPr>
    <w:rPr>
      <w:i/>
      <w:iCs/>
      <w:color w:val="404040" w:themeColor="text1" w:themeTint="BF"/>
    </w:rPr>
  </w:style>
  <w:style w:type="character" w:customStyle="1" w:styleId="QuoteChar">
    <w:name w:val="Quote Char"/>
    <w:basedOn w:val="DefaultParagraphFont"/>
    <w:link w:val="Quote"/>
    <w:uiPriority w:val="29"/>
    <w:rsid w:val="00193B68"/>
    <w:rPr>
      <w:i/>
      <w:iCs/>
      <w:color w:val="404040" w:themeColor="text1" w:themeTint="BF"/>
    </w:rPr>
  </w:style>
  <w:style w:type="paragraph" w:styleId="ListParagraph">
    <w:name w:val="List Paragraph"/>
    <w:basedOn w:val="Normal"/>
    <w:uiPriority w:val="34"/>
    <w:qFormat/>
    <w:rsid w:val="00193B68"/>
    <w:pPr>
      <w:ind w:left="720"/>
      <w:contextualSpacing/>
    </w:pPr>
  </w:style>
  <w:style w:type="character" w:styleId="IntenseEmphasis">
    <w:name w:val="Intense Emphasis"/>
    <w:basedOn w:val="DefaultParagraphFont"/>
    <w:uiPriority w:val="21"/>
    <w:qFormat/>
    <w:rsid w:val="00193B68"/>
    <w:rPr>
      <w:i/>
      <w:iCs/>
      <w:color w:val="0F4761" w:themeColor="accent1" w:themeShade="BF"/>
    </w:rPr>
  </w:style>
  <w:style w:type="paragraph" w:styleId="IntenseQuote">
    <w:name w:val="Intense Quote"/>
    <w:basedOn w:val="Normal"/>
    <w:next w:val="Normal"/>
    <w:link w:val="IntenseQuoteChar"/>
    <w:uiPriority w:val="30"/>
    <w:qFormat/>
    <w:rsid w:val="00193B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B68"/>
    <w:rPr>
      <w:i/>
      <w:iCs/>
      <w:color w:val="0F4761" w:themeColor="accent1" w:themeShade="BF"/>
    </w:rPr>
  </w:style>
  <w:style w:type="character" w:styleId="IntenseReference">
    <w:name w:val="Intense Reference"/>
    <w:basedOn w:val="DefaultParagraphFont"/>
    <w:uiPriority w:val="32"/>
    <w:qFormat/>
    <w:rsid w:val="00193B68"/>
    <w:rPr>
      <w:b/>
      <w:bCs/>
      <w:smallCaps/>
      <w:color w:val="0F4761" w:themeColor="accent1" w:themeShade="BF"/>
      <w:spacing w:val="5"/>
    </w:rPr>
  </w:style>
  <w:style w:type="character" w:styleId="Hyperlink">
    <w:name w:val="Hyperlink"/>
    <w:basedOn w:val="DefaultParagraphFont"/>
    <w:uiPriority w:val="99"/>
    <w:unhideWhenUsed/>
    <w:rsid w:val="00193B68"/>
    <w:rPr>
      <w:color w:val="467886" w:themeColor="hyperlink"/>
      <w:u w:val="single"/>
    </w:rPr>
  </w:style>
  <w:style w:type="character" w:styleId="UnresolvedMention">
    <w:name w:val="Unresolved Mention"/>
    <w:basedOn w:val="DefaultParagraphFont"/>
    <w:uiPriority w:val="99"/>
    <w:semiHidden/>
    <w:unhideWhenUsed/>
    <w:rsid w:val="00193B68"/>
    <w:rPr>
      <w:color w:val="605E5C"/>
      <w:shd w:val="clear" w:color="auto" w:fill="E1DFDD"/>
    </w:rPr>
  </w:style>
  <w:style w:type="paragraph" w:styleId="TOCHeading">
    <w:name w:val="TOC Heading"/>
    <w:basedOn w:val="Heading1"/>
    <w:next w:val="Normal"/>
    <w:uiPriority w:val="39"/>
    <w:unhideWhenUsed/>
    <w:qFormat/>
    <w:rsid w:val="00987D1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87D14"/>
    <w:pPr>
      <w:spacing w:after="100"/>
    </w:pPr>
  </w:style>
  <w:style w:type="paragraph" w:styleId="TOC2">
    <w:name w:val="toc 2"/>
    <w:basedOn w:val="Normal"/>
    <w:next w:val="Normal"/>
    <w:autoRedefine/>
    <w:uiPriority w:val="39"/>
    <w:unhideWhenUsed/>
    <w:rsid w:val="00987D14"/>
    <w:pPr>
      <w:spacing w:after="100"/>
      <w:ind w:left="220"/>
    </w:pPr>
  </w:style>
  <w:style w:type="paragraph" w:styleId="NoSpacing">
    <w:name w:val="No Spacing"/>
    <w:link w:val="NoSpacingChar"/>
    <w:uiPriority w:val="1"/>
    <w:qFormat/>
    <w:rsid w:val="00E40E4E"/>
    <w:pPr>
      <w:spacing w:after="0" w:line="240" w:lineRule="auto"/>
    </w:pPr>
    <w:rPr>
      <w:rFonts w:asciiTheme="minorHAnsi" w:eastAsiaTheme="minorEastAsia" w:hAnsiTheme="minorHAnsi"/>
      <w:kern w:val="0"/>
      <w:lang w:val="en-US"/>
      <w14:ligatures w14:val="none"/>
    </w:rPr>
  </w:style>
  <w:style w:type="character" w:customStyle="1" w:styleId="NoSpacingChar">
    <w:name w:val="No Spacing Char"/>
    <w:basedOn w:val="DefaultParagraphFont"/>
    <w:link w:val="NoSpacing"/>
    <w:uiPriority w:val="1"/>
    <w:rsid w:val="00E40E4E"/>
    <w:rPr>
      <w:rFonts w:asciiTheme="minorHAnsi" w:eastAsiaTheme="minorEastAsia" w:hAnsiTheme="minorHAnsi"/>
      <w:kern w:val="0"/>
      <w:lang w:val="en-US"/>
      <w14:ligatures w14:val="none"/>
    </w:rPr>
  </w:style>
  <w:style w:type="paragraph" w:styleId="Header">
    <w:name w:val="header"/>
    <w:basedOn w:val="Normal"/>
    <w:link w:val="HeaderChar"/>
    <w:uiPriority w:val="99"/>
    <w:unhideWhenUsed/>
    <w:rsid w:val="00CD1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240"/>
  </w:style>
  <w:style w:type="paragraph" w:styleId="Footer">
    <w:name w:val="footer"/>
    <w:basedOn w:val="Normal"/>
    <w:link w:val="FooterChar"/>
    <w:uiPriority w:val="99"/>
    <w:unhideWhenUsed/>
    <w:rsid w:val="00CD1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240"/>
  </w:style>
  <w:style w:type="character" w:styleId="Strong">
    <w:name w:val="Strong"/>
    <w:basedOn w:val="DefaultParagraphFont"/>
    <w:uiPriority w:val="22"/>
    <w:qFormat/>
    <w:rsid w:val="008F6630"/>
    <w:rPr>
      <w:b/>
      <w:bCs/>
    </w:rPr>
  </w:style>
  <w:style w:type="character" w:styleId="FollowedHyperlink">
    <w:name w:val="FollowedHyperlink"/>
    <w:basedOn w:val="DefaultParagraphFont"/>
    <w:uiPriority w:val="99"/>
    <w:semiHidden/>
    <w:unhideWhenUsed/>
    <w:rsid w:val="00B03FB7"/>
    <w:rPr>
      <w:color w:val="96607D" w:themeColor="followedHyperlink"/>
      <w:u w:val="single"/>
    </w:rPr>
  </w:style>
  <w:style w:type="table" w:customStyle="1" w:styleId="NormalGrid">
    <w:name w:val="Normal Grid"/>
    <w:basedOn w:val="TableNormal"/>
    <w:uiPriority w:val="39"/>
    <w:rsid w:val="002732DD"/>
    <w:pPr>
      <w:spacing w:after="0" w:line="240" w:lineRule="auto"/>
    </w:pPr>
    <w:rPr>
      <w:rFonts w:ascii="Georgia" w:hAnsiTheme="minorHAnsi"/>
      <w:kern w:val="0"/>
      <w:sz w:val="21"/>
      <w:lang w:val="en-US"/>
      <w14:ligatures w14:val="none"/>
    </w:rPr>
    <w:tblPr>
      <w:tblCellMar>
        <w:top w:w="80" w:type="dxa"/>
        <w:left w:w="160" w:type="dxa"/>
        <w:bottom w:w="80" w:type="dxa"/>
        <w:right w:w="16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622571">
      <w:bodyDiv w:val="1"/>
      <w:marLeft w:val="0"/>
      <w:marRight w:val="0"/>
      <w:marTop w:val="0"/>
      <w:marBottom w:val="0"/>
      <w:divBdr>
        <w:top w:val="none" w:sz="0" w:space="0" w:color="auto"/>
        <w:left w:val="none" w:sz="0" w:space="0" w:color="auto"/>
        <w:bottom w:val="none" w:sz="0" w:space="0" w:color="auto"/>
        <w:right w:val="none" w:sz="0" w:space="0" w:color="auto"/>
      </w:divBdr>
    </w:div>
    <w:div w:id="636104807">
      <w:bodyDiv w:val="1"/>
      <w:marLeft w:val="0"/>
      <w:marRight w:val="0"/>
      <w:marTop w:val="0"/>
      <w:marBottom w:val="0"/>
      <w:divBdr>
        <w:top w:val="none" w:sz="0" w:space="0" w:color="auto"/>
        <w:left w:val="none" w:sz="0" w:space="0" w:color="auto"/>
        <w:bottom w:val="none" w:sz="0" w:space="0" w:color="auto"/>
        <w:right w:val="none" w:sz="0" w:space="0" w:color="auto"/>
      </w:divBdr>
      <w:divsChild>
        <w:div w:id="1073892578">
          <w:marLeft w:val="0"/>
          <w:marRight w:val="0"/>
          <w:marTop w:val="0"/>
          <w:marBottom w:val="0"/>
          <w:divBdr>
            <w:top w:val="none" w:sz="0" w:space="0" w:color="auto"/>
            <w:left w:val="none" w:sz="0" w:space="0" w:color="auto"/>
            <w:bottom w:val="none" w:sz="0" w:space="0" w:color="auto"/>
            <w:right w:val="none" w:sz="0" w:space="0" w:color="auto"/>
          </w:divBdr>
          <w:divsChild>
            <w:div w:id="128746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891856">
      <w:bodyDiv w:val="1"/>
      <w:marLeft w:val="0"/>
      <w:marRight w:val="0"/>
      <w:marTop w:val="0"/>
      <w:marBottom w:val="0"/>
      <w:divBdr>
        <w:top w:val="none" w:sz="0" w:space="0" w:color="auto"/>
        <w:left w:val="none" w:sz="0" w:space="0" w:color="auto"/>
        <w:bottom w:val="none" w:sz="0" w:space="0" w:color="auto"/>
        <w:right w:val="none" w:sz="0" w:space="0" w:color="auto"/>
      </w:divBdr>
      <w:divsChild>
        <w:div w:id="1988977095">
          <w:marLeft w:val="0"/>
          <w:marRight w:val="0"/>
          <w:marTop w:val="0"/>
          <w:marBottom w:val="0"/>
          <w:divBdr>
            <w:top w:val="none" w:sz="0" w:space="0" w:color="auto"/>
            <w:left w:val="none" w:sz="0" w:space="0" w:color="auto"/>
            <w:bottom w:val="none" w:sz="0" w:space="0" w:color="auto"/>
            <w:right w:val="none" w:sz="0" w:space="0" w:color="auto"/>
          </w:divBdr>
          <w:divsChild>
            <w:div w:id="2871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599220">
      <w:bodyDiv w:val="1"/>
      <w:marLeft w:val="0"/>
      <w:marRight w:val="0"/>
      <w:marTop w:val="0"/>
      <w:marBottom w:val="0"/>
      <w:divBdr>
        <w:top w:val="none" w:sz="0" w:space="0" w:color="auto"/>
        <w:left w:val="none" w:sz="0" w:space="0" w:color="auto"/>
        <w:bottom w:val="none" w:sz="0" w:space="0" w:color="auto"/>
        <w:right w:val="none" w:sz="0" w:space="0" w:color="auto"/>
      </w:divBdr>
    </w:div>
    <w:div w:id="1631588141">
      <w:bodyDiv w:val="1"/>
      <w:marLeft w:val="0"/>
      <w:marRight w:val="0"/>
      <w:marTop w:val="0"/>
      <w:marBottom w:val="0"/>
      <w:divBdr>
        <w:top w:val="none" w:sz="0" w:space="0" w:color="auto"/>
        <w:left w:val="none" w:sz="0" w:space="0" w:color="auto"/>
        <w:bottom w:val="none" w:sz="0" w:space="0" w:color="auto"/>
        <w:right w:val="none" w:sz="0" w:space="0" w:color="auto"/>
      </w:divBdr>
    </w:div>
    <w:div w:id="1779252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ocerydoppio.com/articles/tesco-the-pillars-of-success-and-market-leadership" TargetMode="External"/><Relationship Id="rId18" Type="http://schemas.openxmlformats.org/officeDocument/2006/relationships/hyperlink" Target="https://sk.sagepub.com/book/mono/management-accounting/chpt/budgeting" TargetMode="External"/><Relationship Id="rId26" Type="http://schemas.openxmlformats.org/officeDocument/2006/relationships/hyperlink" Target="https://www.tescoplc.com/media/zgvhd0dn/tescos_ar24.pdf" TargetMode="External"/><Relationship Id="rId3" Type="http://schemas.openxmlformats.org/officeDocument/2006/relationships/numbering" Target="numbering.xml"/><Relationship Id="rId21" Type="http://schemas.openxmlformats.org/officeDocument/2006/relationships/hyperlink" Target="https://sustainabilitymag.com/articles/yellow-labels-how-tesco-rescued-60-million-meals"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ethicaltrade.org/eti-base-code" TargetMode="External"/><Relationship Id="rId17" Type="http://schemas.openxmlformats.org/officeDocument/2006/relationships/hyperlink" Target="https://procurementmag.com/articles/tescos-sustainable-livelihoods-sourcing-strategy" TargetMode="External"/><Relationship Id="rId25" Type="http://schemas.openxmlformats.org/officeDocument/2006/relationships/hyperlink" Target="https://www.tescoplc.com/media/758484/80632v10en-responsible-sourcing-manual-clothing-and-general-merchandise-suppliers.pdf" TargetMode="External"/><Relationship Id="rId33" Type="http://schemas.openxmlformats.org/officeDocument/2006/relationships/hyperlink" Target="https://www.totalassignment.com/free-sample/analysis-tesco-using-performance-measurement-assignment-stratogies" TargetMode="External"/><Relationship Id="rId2" Type="http://schemas.openxmlformats.org/officeDocument/2006/relationships/customXml" Target="../customXml/item2.xml"/><Relationship Id="rId16" Type="http://schemas.openxmlformats.org/officeDocument/2006/relationships/hyperlink" Target="https://matrixbcg.com/blogs/how-it-works/tescoplc" TargetMode="External"/><Relationship Id="rId20" Type="http://schemas.openxmlformats.org/officeDocument/2006/relationships/hyperlink" Target="https://supplychaindigital.com/sustainability/yellow-labels-how-tesco-rescued-60-million-meals" TargetMode="External"/><Relationship Id="rId29" Type="http://schemas.openxmlformats.org/officeDocument/2006/relationships/hyperlink" Target="https://www.research-tree.com/newsfeed/article/tesco-plc-interim-results-2024-25-257234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rectorstalkinterviews.com/tesco-plc-preliminary-results-show-market-share-gains-and-positive-volume-growth/4121151162" TargetMode="External"/><Relationship Id="rId24" Type="http://schemas.openxmlformats.org/officeDocument/2006/relationships/hyperlink" Target="https://www.tescoplc.com/sustainability/sourcing/sustainable-livelihoods/" TargetMode="External"/><Relationship Id="rId32" Type="http://schemas.openxmlformats.org/officeDocument/2006/relationships/hyperlink" Target="https://thestrategystory.com/2021/06/10/tesco-business-model/" TargetMode="External"/><Relationship Id="rId5" Type="http://schemas.openxmlformats.org/officeDocument/2006/relationships/settings" Target="settings.xml"/><Relationship Id="rId15" Type="http://schemas.openxmlformats.org/officeDocument/2006/relationships/hyperlink" Target="https://www.marketscreener.com/quote/stock/TESCO-PLC-4000540/news/Tesco-Annual-Report-and-Financial-Statements-2023-24-46718100/" TargetMode="External"/><Relationship Id="rId23" Type="http://schemas.openxmlformats.org/officeDocument/2006/relationships/hyperlink" Target="https://www.investegate.co.uk/announcement/rns/tesco--tsco/tesco-plc-interim-results-23-24/7794914" TargetMode="External"/><Relationship Id="rId28" Type="http://schemas.openxmlformats.org/officeDocument/2006/relationships/hyperlink" Target="https://www.tescoplc.com/investors/reports-results-and-presentations/financial-performance/five-year-record"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statista.com/statistics/490931/tesco-group-finance-revenue-united-kingdom-uk/" TargetMode="External"/><Relationship Id="rId31" Type="http://schemas.openxmlformats.org/officeDocument/2006/relationships/hyperlink" Target="https://www.tescoplc.com/media/wvkj1yic/tesco-sustainability-report-2025.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ernardmarr.com/six-kpis-for-an-entire-organisation-how-tesco-overhauled-its-performance-management-framework/" TargetMode="External"/><Relationship Id="rId22" Type="http://schemas.openxmlformats.org/officeDocument/2006/relationships/hyperlink" Target="https://www.tescoplc.com/media/392341/tesco_ar17_kpis.pdf" TargetMode="External"/><Relationship Id="rId27" Type="http://schemas.openxmlformats.org/officeDocument/2006/relationships/hyperlink" Target="https://www.tescoplc.com/preliminary-results-202324/" TargetMode="External"/><Relationship Id="rId30" Type="http://schemas.openxmlformats.org/officeDocument/2006/relationships/hyperlink" Target="https://www.tescoplc.com/media/sm2hn54l/tesco-food-waste-report-jan24-96.pdf"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LCBB5010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022539-5834-4D9C-BAFA-B4EB6CFEC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14</Pages>
  <Words>4142</Words>
  <Characters>23615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Dr Patrick Yeboah</Company>
  <LinksUpToDate>false</LinksUpToDate>
  <CharactersWithSpaces>27702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PENKO KOYCHEV: 2332008</dc:subject>
  <dc:creator>Penko koychev</dc:creator>
  <cp:keywords/>
  <dc:description/>
  <cp:lastModifiedBy>Vasil Stoev</cp:lastModifiedBy>
  <cp:revision>36</cp:revision>
  <dcterms:created xsi:type="dcterms:W3CDTF">2025-06-19T12:36:00Z</dcterms:created>
  <dcterms:modified xsi:type="dcterms:W3CDTF">2026-02-25T13:59:00Z</dcterms:modified>
</cp:coreProperties>
</file>