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CA7F89" w14:textId="1DB93B1F" w:rsidR="00563B58" w:rsidRPr="00E676F7" w:rsidRDefault="5592E16B" w:rsidP="00340E9A">
      <w:pPr>
        <w:ind w:right="237"/>
        <w:rPr>
          <w:sz w:val="24"/>
          <w:szCs w:val="24"/>
        </w:rPr>
      </w:pPr>
      <w:r>
        <w:rPr>
          <w:noProof/>
        </w:rPr>
        <w:drawing>
          <wp:inline distT="0" distB="0" distL="0" distR="0" wp14:anchorId="661DC7E3" wp14:editId="0569D9B6">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58515B52" w:rsidR="7908378C" w:rsidRDefault="7908378C" w:rsidP="33572C6E">
            <w:pPr>
              <w:ind w:right="237"/>
              <w:rPr>
                <w:b/>
                <w:bCs/>
                <w:color w:val="auto"/>
                <w:sz w:val="32"/>
                <w:szCs w:val="32"/>
              </w:rPr>
            </w:pPr>
            <w:r w:rsidRPr="33572C6E">
              <w:rPr>
                <w:b/>
                <w:bCs/>
                <w:color w:val="auto"/>
                <w:sz w:val="32"/>
                <w:szCs w:val="32"/>
              </w:rPr>
              <w:t xml:space="preserve">Learner name: </w:t>
            </w:r>
            <w:r w:rsidR="00406244">
              <w:rPr>
                <w:b/>
                <w:bCs/>
                <w:color w:val="auto"/>
                <w:sz w:val="32"/>
                <w:szCs w:val="32"/>
              </w:rPr>
              <w:t>Peter Devonshire</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76FC738A" w:rsidR="7908378C" w:rsidRDefault="00490345" w:rsidP="33572C6E">
            <w:pPr>
              <w:ind w:right="237"/>
              <w:rPr>
                <w:b/>
                <w:bCs/>
                <w:color w:val="auto"/>
                <w:sz w:val="32"/>
                <w:szCs w:val="32"/>
              </w:rPr>
            </w:pPr>
            <w:r>
              <w:rPr>
                <w:b/>
                <w:bCs/>
                <w:color w:val="auto"/>
                <w:sz w:val="32"/>
                <w:szCs w:val="32"/>
              </w:rPr>
              <w:t>202</w:t>
            </w:r>
            <w:r w:rsidR="007D139B">
              <w:rPr>
                <w:b/>
                <w:bCs/>
                <w:color w:val="auto"/>
                <w:sz w:val="32"/>
                <w:szCs w:val="32"/>
              </w:rPr>
              <w:t>9388</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C15D51"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lastRenderedPageBreak/>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31E92169" w14:textId="77777777" w:rsidR="00920EEA" w:rsidRPr="00920EEA" w:rsidRDefault="00920EEA" w:rsidP="00920EEA">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920EEA">
        <w:rPr>
          <w:rFonts w:asciiTheme="minorHAnsi" w:eastAsiaTheme="minorHAnsi" w:hAnsiTheme="minorHAnsi" w:cstheme="minorBidi"/>
          <w:color w:val="auto"/>
          <w:sz w:val="22"/>
          <w:szCs w:val="22"/>
          <w:lang w:eastAsia="en-US"/>
        </w:rPr>
        <w:t>There are many issues that arise during policing incidents that involve vulnerable persons, and different approaches we, as professionals, can take to provide them with support. In this essay I shall explore an incident in which I played a significant role with a victim of crime and reflect upon what happened. Additionally, I shall critically evaluate the appropriateness of different approaches in supporting and managing, vulnerable people.</w:t>
      </w:r>
    </w:p>
    <w:p w14:paraId="57B38E69" w14:textId="77777777" w:rsidR="00920EEA" w:rsidRPr="00920EEA" w:rsidRDefault="00920EEA" w:rsidP="00920EEA">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p>
    <w:p w14:paraId="1E6B471C" w14:textId="77777777" w:rsidR="00920EEA" w:rsidRPr="00920EEA" w:rsidRDefault="00920EEA" w:rsidP="00920EEA">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920EEA">
        <w:rPr>
          <w:rFonts w:asciiTheme="minorHAnsi" w:eastAsiaTheme="minorHAnsi" w:hAnsiTheme="minorHAnsi" w:cstheme="minorBidi"/>
          <w:color w:val="auto"/>
          <w:sz w:val="22"/>
          <w:szCs w:val="22"/>
          <w:lang w:eastAsia="en-US"/>
        </w:rPr>
        <w:t xml:space="preserve">Firstly, it is vital that the definition of vulnerability is understood from a policing perspective. The College of Policing defines vulnerability as: </w:t>
      </w:r>
    </w:p>
    <w:p w14:paraId="1493C568" w14:textId="77777777" w:rsidR="00920EEA" w:rsidRPr="00920EEA" w:rsidRDefault="00920EEA" w:rsidP="00920EEA">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p>
    <w:p w14:paraId="0408DE28" w14:textId="77777777" w:rsidR="00920EEA" w:rsidRPr="00920EEA" w:rsidRDefault="00920EEA" w:rsidP="00920EEA">
      <w:pPr>
        <w:overflowPunct/>
        <w:autoSpaceDE/>
        <w:autoSpaceDN/>
        <w:adjustRightInd/>
        <w:spacing w:after="160" w:line="480" w:lineRule="auto"/>
        <w:ind w:left="720"/>
        <w:textAlignment w:val="auto"/>
        <w:rPr>
          <w:rFonts w:asciiTheme="minorHAnsi" w:eastAsiaTheme="minorHAnsi" w:hAnsiTheme="minorHAnsi" w:cstheme="minorBidi"/>
          <w:i/>
          <w:iCs/>
          <w:color w:val="auto"/>
          <w:sz w:val="22"/>
          <w:szCs w:val="22"/>
          <w:lang w:eastAsia="en-US"/>
        </w:rPr>
      </w:pPr>
      <w:r w:rsidRPr="00920EEA">
        <w:rPr>
          <w:rFonts w:asciiTheme="minorHAnsi" w:eastAsiaTheme="minorHAnsi" w:hAnsiTheme="minorHAnsi" w:cstheme="minorBidi"/>
          <w:i/>
          <w:iCs/>
          <w:color w:val="auto"/>
          <w:sz w:val="22"/>
          <w:szCs w:val="22"/>
          <w:lang w:eastAsia="en-US"/>
        </w:rPr>
        <w:t>“A person is vulnerable if, as a result of the situation or circumstances, they are unable to take care of or protect themselves or other from harm or exploitation.”</w:t>
      </w:r>
    </w:p>
    <w:p w14:paraId="633F60EC" w14:textId="77777777" w:rsidR="00920EEA" w:rsidRPr="00920EEA" w:rsidRDefault="00920EEA" w:rsidP="00920EEA">
      <w:pPr>
        <w:overflowPunct/>
        <w:autoSpaceDE/>
        <w:autoSpaceDN/>
        <w:adjustRightInd/>
        <w:spacing w:after="160" w:line="480" w:lineRule="auto"/>
        <w:ind w:left="5760" w:firstLine="720"/>
        <w:jc w:val="right"/>
        <w:textAlignment w:val="auto"/>
        <w:rPr>
          <w:rFonts w:asciiTheme="minorHAnsi" w:eastAsiaTheme="minorHAnsi" w:hAnsiTheme="minorHAnsi" w:cstheme="minorBidi"/>
          <w:i/>
          <w:iCs/>
          <w:color w:val="auto"/>
          <w:sz w:val="22"/>
          <w:szCs w:val="22"/>
          <w:lang w:eastAsia="en-US"/>
        </w:rPr>
      </w:pPr>
      <w:sdt>
        <w:sdtPr>
          <w:rPr>
            <w:rFonts w:asciiTheme="minorHAnsi" w:eastAsiaTheme="minorHAnsi" w:hAnsiTheme="minorHAnsi" w:cstheme="minorBidi"/>
            <w:i/>
            <w:iCs/>
            <w:color w:val="auto"/>
            <w:sz w:val="22"/>
            <w:szCs w:val="22"/>
            <w:lang w:eastAsia="en-US"/>
          </w:rPr>
          <w:id w:val="-1023631631"/>
          <w:citation/>
        </w:sdtPr>
        <w:sdtContent>
          <w:r w:rsidRPr="00920EEA">
            <w:rPr>
              <w:rFonts w:asciiTheme="minorHAnsi" w:eastAsiaTheme="minorHAnsi" w:hAnsiTheme="minorHAnsi" w:cstheme="minorBidi"/>
              <w:i/>
              <w:iCs/>
              <w:color w:val="auto"/>
              <w:sz w:val="22"/>
              <w:szCs w:val="22"/>
              <w:lang w:eastAsia="en-US"/>
            </w:rPr>
            <w:fldChar w:fldCharType="begin"/>
          </w:r>
          <w:r w:rsidRPr="00920EEA">
            <w:rPr>
              <w:rFonts w:asciiTheme="minorHAnsi" w:eastAsiaTheme="minorHAnsi" w:hAnsiTheme="minorHAnsi" w:cstheme="minorBidi"/>
              <w:i/>
              <w:iCs/>
              <w:color w:val="auto"/>
              <w:sz w:val="22"/>
              <w:szCs w:val="22"/>
              <w:lang w:eastAsia="en-US"/>
            </w:rPr>
            <w:instrText xml:space="preserve">CITATION Col22 \l 2057 </w:instrText>
          </w:r>
          <w:r w:rsidRPr="00920EEA">
            <w:rPr>
              <w:rFonts w:asciiTheme="minorHAnsi" w:eastAsiaTheme="minorHAnsi" w:hAnsiTheme="minorHAnsi" w:cstheme="minorBidi"/>
              <w:i/>
              <w:iCs/>
              <w:color w:val="auto"/>
              <w:sz w:val="22"/>
              <w:szCs w:val="22"/>
              <w:lang w:eastAsia="en-US"/>
            </w:rPr>
            <w:fldChar w:fldCharType="separate"/>
          </w:r>
          <w:r w:rsidRPr="00920EEA">
            <w:rPr>
              <w:rFonts w:asciiTheme="minorHAnsi" w:eastAsiaTheme="minorHAnsi" w:hAnsiTheme="minorHAnsi" w:cstheme="minorBidi"/>
              <w:noProof/>
              <w:color w:val="auto"/>
              <w:sz w:val="22"/>
              <w:szCs w:val="22"/>
              <w:lang w:eastAsia="en-US"/>
            </w:rPr>
            <w:t>(College of Policing, 2020)</w:t>
          </w:r>
          <w:r w:rsidRPr="00920EEA">
            <w:rPr>
              <w:rFonts w:asciiTheme="minorHAnsi" w:eastAsiaTheme="minorHAnsi" w:hAnsiTheme="minorHAnsi" w:cstheme="minorBidi"/>
              <w:i/>
              <w:iCs/>
              <w:color w:val="auto"/>
              <w:sz w:val="22"/>
              <w:szCs w:val="22"/>
              <w:lang w:eastAsia="en-US"/>
            </w:rPr>
            <w:fldChar w:fldCharType="end"/>
          </w:r>
        </w:sdtContent>
      </w:sdt>
    </w:p>
    <w:p w14:paraId="11762703" w14:textId="77777777" w:rsidR="00920EEA" w:rsidRPr="00920EEA" w:rsidRDefault="00920EEA" w:rsidP="00920EEA">
      <w:pPr>
        <w:overflowPunct/>
        <w:autoSpaceDE/>
        <w:autoSpaceDN/>
        <w:adjustRightInd/>
        <w:spacing w:after="160" w:line="480" w:lineRule="auto"/>
        <w:textAlignment w:val="auto"/>
        <w:rPr>
          <w:rFonts w:asciiTheme="minorHAnsi" w:eastAsiaTheme="minorHAnsi" w:hAnsiTheme="minorHAnsi" w:cstheme="minorBidi"/>
          <w:i/>
          <w:iCs/>
          <w:color w:val="auto"/>
          <w:sz w:val="22"/>
          <w:szCs w:val="22"/>
          <w:lang w:eastAsia="en-US"/>
        </w:rPr>
      </w:pPr>
    </w:p>
    <w:p w14:paraId="7CC3596E" w14:textId="77777777" w:rsidR="00920EEA" w:rsidRPr="00920EEA" w:rsidRDefault="00920EEA" w:rsidP="00920EEA">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920EEA">
        <w:rPr>
          <w:rFonts w:asciiTheme="minorHAnsi" w:eastAsiaTheme="minorHAnsi" w:hAnsiTheme="minorHAnsi" w:cstheme="minorBidi"/>
          <w:color w:val="auto"/>
          <w:sz w:val="22"/>
          <w:szCs w:val="22"/>
          <w:lang w:eastAsia="en-US"/>
        </w:rPr>
        <w:t xml:space="preserve">The aim of the definition is to assist officers in “identifying and responding to vulnerability related risks” </w:t>
      </w:r>
      <w:sdt>
        <w:sdtPr>
          <w:rPr>
            <w:rFonts w:asciiTheme="minorHAnsi" w:eastAsiaTheme="minorHAnsi" w:hAnsiTheme="minorHAnsi" w:cstheme="minorBidi"/>
            <w:color w:val="auto"/>
            <w:sz w:val="22"/>
            <w:szCs w:val="22"/>
            <w:lang w:eastAsia="en-US"/>
          </w:rPr>
          <w:id w:val="-654915693"/>
          <w:citation/>
        </w:sdtPr>
        <w:sdtContent>
          <w:r w:rsidRPr="00920EEA">
            <w:rPr>
              <w:rFonts w:asciiTheme="minorHAnsi" w:eastAsiaTheme="minorHAnsi" w:hAnsiTheme="minorHAnsi" w:cstheme="minorBidi"/>
              <w:color w:val="auto"/>
              <w:sz w:val="22"/>
              <w:szCs w:val="22"/>
              <w:lang w:eastAsia="en-US"/>
            </w:rPr>
            <w:fldChar w:fldCharType="begin"/>
          </w:r>
          <w:r w:rsidRPr="00920EEA">
            <w:rPr>
              <w:rFonts w:asciiTheme="minorHAnsi" w:eastAsiaTheme="minorHAnsi" w:hAnsiTheme="minorHAnsi" w:cstheme="minorBidi"/>
              <w:color w:val="auto"/>
              <w:sz w:val="22"/>
              <w:szCs w:val="22"/>
              <w:lang w:eastAsia="en-US"/>
            </w:rPr>
            <w:instrText xml:space="preserve"> CITATION Col22 \l 2057 </w:instrText>
          </w:r>
          <w:r w:rsidRPr="00920EEA">
            <w:rPr>
              <w:rFonts w:asciiTheme="minorHAnsi" w:eastAsiaTheme="minorHAnsi" w:hAnsiTheme="minorHAnsi" w:cstheme="minorBidi"/>
              <w:color w:val="auto"/>
              <w:sz w:val="22"/>
              <w:szCs w:val="22"/>
              <w:lang w:eastAsia="en-US"/>
            </w:rPr>
            <w:fldChar w:fldCharType="separate"/>
          </w:r>
          <w:r w:rsidRPr="00920EEA">
            <w:rPr>
              <w:rFonts w:asciiTheme="minorHAnsi" w:eastAsiaTheme="minorHAnsi" w:hAnsiTheme="minorHAnsi" w:cstheme="minorBidi"/>
              <w:noProof/>
              <w:color w:val="auto"/>
              <w:sz w:val="22"/>
              <w:szCs w:val="22"/>
              <w:lang w:eastAsia="en-US"/>
            </w:rPr>
            <w:t>(College of Policing, 2020)</w:t>
          </w:r>
          <w:r w:rsidRPr="00920EEA">
            <w:rPr>
              <w:rFonts w:asciiTheme="minorHAnsi" w:eastAsiaTheme="minorHAnsi" w:hAnsiTheme="minorHAnsi" w:cstheme="minorBidi"/>
              <w:color w:val="auto"/>
              <w:sz w:val="22"/>
              <w:szCs w:val="22"/>
              <w:lang w:eastAsia="en-US"/>
            </w:rPr>
            <w:fldChar w:fldCharType="end"/>
          </w:r>
        </w:sdtContent>
      </w:sdt>
      <w:r w:rsidRPr="00920EEA">
        <w:rPr>
          <w:rFonts w:asciiTheme="minorHAnsi" w:eastAsiaTheme="minorHAnsi" w:hAnsiTheme="minorHAnsi" w:cstheme="minorBidi"/>
          <w:color w:val="auto"/>
          <w:sz w:val="22"/>
          <w:szCs w:val="22"/>
          <w:lang w:eastAsia="en-US"/>
        </w:rPr>
        <w:t>. This enables officers to use The National Decision-Making Model to identify risks and implement safeguarding to minimise risks and prevent repeat victimisation.</w:t>
      </w:r>
    </w:p>
    <w:p w14:paraId="6D4ACBC4" w14:textId="77777777" w:rsidR="00920EEA" w:rsidRPr="00920EEA" w:rsidRDefault="00920EEA" w:rsidP="00920EEA">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920EEA">
        <w:rPr>
          <w:rFonts w:asciiTheme="minorHAnsi" w:eastAsiaTheme="minorHAnsi" w:hAnsiTheme="minorHAnsi" w:cstheme="minorBidi"/>
          <w:noProof/>
          <w:color w:val="auto"/>
          <w:sz w:val="22"/>
          <w:szCs w:val="22"/>
          <w:lang w:eastAsia="en-US"/>
        </w:rPr>
        <w:drawing>
          <wp:inline distT="0" distB="0" distL="0" distR="0" wp14:anchorId="4480F660" wp14:editId="2278A31C">
            <wp:extent cx="4603115" cy="4267835"/>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603115" cy="4267835"/>
                    </a:xfrm>
                    <a:prstGeom prst="rect">
                      <a:avLst/>
                    </a:prstGeom>
                    <a:noFill/>
                  </pic:spPr>
                </pic:pic>
              </a:graphicData>
            </a:graphic>
          </wp:inline>
        </w:drawing>
      </w:r>
    </w:p>
    <w:p w14:paraId="69781350" w14:textId="77777777" w:rsidR="00920EEA" w:rsidRPr="00920EEA" w:rsidRDefault="00920EEA" w:rsidP="00920EEA">
      <w:pPr>
        <w:overflowPunct/>
        <w:autoSpaceDE/>
        <w:autoSpaceDN/>
        <w:adjustRightInd/>
        <w:spacing w:after="160" w:line="480" w:lineRule="auto"/>
        <w:ind w:left="5760"/>
        <w:jc w:val="right"/>
        <w:textAlignment w:val="auto"/>
        <w:rPr>
          <w:rFonts w:asciiTheme="minorHAnsi" w:eastAsiaTheme="minorHAnsi" w:hAnsiTheme="minorHAnsi" w:cstheme="minorBidi"/>
          <w:color w:val="auto"/>
          <w:sz w:val="22"/>
          <w:szCs w:val="22"/>
          <w:lang w:eastAsia="en-US"/>
        </w:rPr>
      </w:pPr>
      <w:r w:rsidRPr="00920EEA">
        <w:rPr>
          <w:rFonts w:asciiTheme="minorHAnsi" w:eastAsiaTheme="minorHAnsi" w:hAnsiTheme="minorHAnsi" w:cstheme="minorBidi"/>
          <w:color w:val="auto"/>
          <w:sz w:val="22"/>
          <w:szCs w:val="22"/>
          <w:lang w:eastAsia="en-US"/>
        </w:rPr>
        <w:t xml:space="preserve"> </w:t>
      </w:r>
      <w:sdt>
        <w:sdtPr>
          <w:rPr>
            <w:rFonts w:asciiTheme="minorHAnsi" w:eastAsiaTheme="minorHAnsi" w:hAnsiTheme="minorHAnsi" w:cstheme="minorBidi"/>
            <w:color w:val="auto"/>
            <w:sz w:val="22"/>
            <w:szCs w:val="22"/>
            <w:lang w:eastAsia="en-US"/>
          </w:rPr>
          <w:id w:val="-2101394567"/>
          <w:citation/>
        </w:sdtPr>
        <w:sdtContent>
          <w:r w:rsidRPr="00920EEA">
            <w:rPr>
              <w:rFonts w:asciiTheme="minorHAnsi" w:eastAsiaTheme="minorHAnsi" w:hAnsiTheme="minorHAnsi" w:cstheme="minorBidi"/>
              <w:color w:val="auto"/>
              <w:sz w:val="22"/>
              <w:szCs w:val="22"/>
              <w:lang w:eastAsia="en-US"/>
            </w:rPr>
            <w:fldChar w:fldCharType="begin"/>
          </w:r>
          <w:r w:rsidRPr="00920EEA">
            <w:rPr>
              <w:rFonts w:asciiTheme="minorHAnsi" w:eastAsiaTheme="minorHAnsi" w:hAnsiTheme="minorHAnsi" w:cstheme="minorBidi"/>
              <w:color w:val="auto"/>
              <w:sz w:val="22"/>
              <w:szCs w:val="22"/>
              <w:lang w:eastAsia="en-US"/>
            </w:rPr>
            <w:instrText xml:space="preserve"> CITATION The14 \l 2057 </w:instrText>
          </w:r>
          <w:r w:rsidRPr="00920EEA">
            <w:rPr>
              <w:rFonts w:asciiTheme="minorHAnsi" w:eastAsiaTheme="minorHAnsi" w:hAnsiTheme="minorHAnsi" w:cstheme="minorBidi"/>
              <w:color w:val="auto"/>
              <w:sz w:val="22"/>
              <w:szCs w:val="22"/>
              <w:lang w:eastAsia="en-US"/>
            </w:rPr>
            <w:fldChar w:fldCharType="separate"/>
          </w:r>
          <w:r w:rsidRPr="00920EEA">
            <w:rPr>
              <w:rFonts w:asciiTheme="minorHAnsi" w:eastAsiaTheme="minorHAnsi" w:hAnsiTheme="minorHAnsi" w:cstheme="minorBidi"/>
              <w:noProof/>
              <w:color w:val="auto"/>
              <w:sz w:val="22"/>
              <w:szCs w:val="22"/>
              <w:lang w:eastAsia="en-US"/>
            </w:rPr>
            <w:t>(The College of Policing, 2014)</w:t>
          </w:r>
          <w:r w:rsidRPr="00920EEA">
            <w:rPr>
              <w:rFonts w:asciiTheme="minorHAnsi" w:eastAsiaTheme="minorHAnsi" w:hAnsiTheme="minorHAnsi" w:cstheme="minorBidi"/>
              <w:color w:val="auto"/>
              <w:sz w:val="22"/>
              <w:szCs w:val="22"/>
              <w:lang w:eastAsia="en-US"/>
            </w:rPr>
            <w:fldChar w:fldCharType="end"/>
          </w:r>
        </w:sdtContent>
      </w:sdt>
      <w:r w:rsidRPr="00920EEA">
        <w:rPr>
          <w:rFonts w:asciiTheme="minorHAnsi" w:eastAsiaTheme="minorHAnsi" w:hAnsiTheme="minorHAnsi" w:cstheme="minorBidi"/>
          <w:color w:val="auto"/>
          <w:sz w:val="22"/>
          <w:szCs w:val="22"/>
          <w:lang w:eastAsia="en-US"/>
        </w:rPr>
        <w:t xml:space="preserve">.  </w:t>
      </w:r>
    </w:p>
    <w:p w14:paraId="3E89E0AB" w14:textId="77777777" w:rsidR="00920EEA" w:rsidRPr="00920EEA" w:rsidRDefault="00920EEA" w:rsidP="00920EEA">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p>
    <w:p w14:paraId="4A7CDC95" w14:textId="77777777" w:rsidR="00920EEA" w:rsidRPr="00920EEA" w:rsidRDefault="00920EEA" w:rsidP="00920EEA">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920EEA">
        <w:rPr>
          <w:rFonts w:asciiTheme="minorHAnsi" w:eastAsiaTheme="minorHAnsi" w:hAnsiTheme="minorHAnsi" w:cstheme="minorBidi"/>
          <w:color w:val="auto"/>
          <w:sz w:val="22"/>
          <w:szCs w:val="22"/>
          <w:lang w:eastAsia="en-US"/>
        </w:rPr>
        <w:t xml:space="preserve">The incident I am going to explore involved two school students who had recently broken up which led to turmoil between the two. This incident was brought to police attention by the school who raised concerns as the behaviour between the students was escalating to the point where there was a potential of violence. For the purposes of this essay, I shall name the victim and the offender </w:t>
      </w:r>
      <w:r w:rsidRPr="00920EEA">
        <w:rPr>
          <w:rFonts w:asciiTheme="minorHAnsi" w:eastAsiaTheme="minorHAnsi" w:hAnsiTheme="minorHAnsi" w:cstheme="minorBidi"/>
          <w:color w:val="auto"/>
          <w:sz w:val="22"/>
          <w:szCs w:val="22"/>
          <w:lang w:eastAsia="en-US"/>
        </w:rPr>
        <w:t>a</w:t>
      </w:r>
      <w:r w:rsidRPr="00920EEA">
        <w:rPr>
          <w:rFonts w:asciiTheme="minorHAnsi" w:eastAsiaTheme="minorHAnsi" w:hAnsiTheme="minorHAnsi" w:cstheme="minorBidi"/>
          <w:color w:val="auto"/>
          <w:sz w:val="22"/>
          <w:szCs w:val="22"/>
          <w:lang w:eastAsia="en-US"/>
        </w:rPr>
        <w:t>s such</w:t>
      </w:r>
      <w:r w:rsidRPr="00920EEA">
        <w:rPr>
          <w:rFonts w:asciiTheme="minorHAnsi" w:eastAsiaTheme="minorHAnsi" w:hAnsiTheme="minorHAnsi" w:cstheme="minorBidi"/>
          <w:color w:val="auto"/>
          <w:sz w:val="22"/>
          <w:szCs w:val="22"/>
          <w:lang w:eastAsia="en-US"/>
        </w:rPr>
        <w:t xml:space="preserve"> </w:t>
      </w:r>
      <w:r w:rsidRPr="00920EEA">
        <w:rPr>
          <w:rFonts w:asciiTheme="minorHAnsi" w:eastAsiaTheme="minorHAnsi" w:hAnsiTheme="minorHAnsi" w:cstheme="minorBidi"/>
          <w:color w:val="auto"/>
          <w:sz w:val="22"/>
          <w:szCs w:val="22"/>
          <w:lang w:eastAsia="en-US"/>
        </w:rPr>
        <w:t xml:space="preserve">to keep them anonymous. </w:t>
      </w:r>
    </w:p>
    <w:p w14:paraId="33271F84" w14:textId="77777777" w:rsidR="00920EEA" w:rsidRPr="00920EEA" w:rsidRDefault="00920EEA" w:rsidP="00920EEA">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p>
    <w:p w14:paraId="7EF0C731" w14:textId="77777777" w:rsidR="00920EEA" w:rsidRPr="00920EEA" w:rsidRDefault="00920EEA" w:rsidP="00920EEA">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920EEA">
        <w:rPr>
          <w:rFonts w:asciiTheme="minorHAnsi" w:eastAsiaTheme="minorHAnsi" w:hAnsiTheme="minorHAnsi" w:cstheme="minorBidi"/>
          <w:color w:val="auto"/>
          <w:sz w:val="22"/>
          <w:szCs w:val="22"/>
          <w:lang w:eastAsia="en-US"/>
        </w:rPr>
        <w:t xml:space="preserve">To summarise the incident, the victim had sent a photo of herself to the offender. The offender then showed the image to his friends which caused distrust in the relationship which consequently led to its demise. After the two persons had broken up, there was animosity between them which peaked during an incident in school. This incident involved the offender being caught smoking cannabis on the school grounds by staff. The offender suspected that the victim had brought this to their attention. As a result, the offender said to the victim, in class, </w:t>
      </w:r>
    </w:p>
    <w:p w14:paraId="7616A480" w14:textId="77777777" w:rsidR="00920EEA" w:rsidRPr="00920EEA" w:rsidRDefault="00920EEA" w:rsidP="00920EEA">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920EEA">
        <w:rPr>
          <w:rFonts w:asciiTheme="minorHAnsi" w:eastAsiaTheme="minorHAnsi" w:hAnsiTheme="minorHAnsi" w:cstheme="minorBidi"/>
          <w:color w:val="auto"/>
          <w:sz w:val="22"/>
          <w:szCs w:val="22"/>
          <w:lang w:eastAsia="en-US"/>
        </w:rPr>
        <w:t xml:space="preserve">“I’m going to get my sister to come down your house and slit your throat.” </w:t>
      </w:r>
    </w:p>
    <w:p w14:paraId="5DB1AC86" w14:textId="77777777" w:rsidR="00920EEA" w:rsidRPr="00920EEA" w:rsidRDefault="00920EEA" w:rsidP="00920EEA">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920EEA">
        <w:rPr>
          <w:rFonts w:asciiTheme="minorHAnsi" w:eastAsiaTheme="minorHAnsi" w:hAnsiTheme="minorHAnsi" w:cstheme="minorBidi"/>
          <w:color w:val="auto"/>
          <w:sz w:val="22"/>
          <w:szCs w:val="22"/>
          <w:lang w:eastAsia="en-US"/>
        </w:rPr>
        <w:t xml:space="preserve">The offender then went on to say, </w:t>
      </w:r>
    </w:p>
    <w:p w14:paraId="04346B6C" w14:textId="77777777" w:rsidR="00920EEA" w:rsidRPr="00920EEA" w:rsidRDefault="00920EEA" w:rsidP="00920EEA">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920EEA">
        <w:rPr>
          <w:rFonts w:asciiTheme="minorHAnsi" w:eastAsiaTheme="minorHAnsi" w:hAnsiTheme="minorHAnsi" w:cstheme="minorBidi"/>
          <w:color w:val="auto"/>
          <w:sz w:val="22"/>
          <w:szCs w:val="22"/>
          <w:lang w:eastAsia="en-US"/>
        </w:rPr>
        <w:t xml:space="preserve">“I am going to fuck you up myself.” </w:t>
      </w:r>
    </w:p>
    <w:p w14:paraId="6A09C06F" w14:textId="77777777" w:rsidR="00920EEA" w:rsidRPr="00920EEA" w:rsidRDefault="00920EEA" w:rsidP="00920EEA">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920EEA">
        <w:rPr>
          <w:rFonts w:asciiTheme="minorHAnsi" w:eastAsiaTheme="minorHAnsi" w:hAnsiTheme="minorHAnsi" w:cstheme="minorBidi"/>
          <w:color w:val="auto"/>
          <w:sz w:val="22"/>
          <w:szCs w:val="22"/>
          <w:lang w:eastAsia="en-US"/>
        </w:rPr>
        <w:t xml:space="preserve">Staff then separated the two persons to prevent any further escalation of events. </w:t>
      </w:r>
    </w:p>
    <w:p w14:paraId="132856FE" w14:textId="77777777" w:rsidR="00920EEA" w:rsidRPr="00920EEA" w:rsidRDefault="00920EEA" w:rsidP="00920EEA">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p>
    <w:p w14:paraId="0D9DFAA2" w14:textId="77777777" w:rsidR="00920EEA" w:rsidRPr="00920EEA" w:rsidRDefault="00920EEA" w:rsidP="00920EEA">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920EEA">
        <w:rPr>
          <w:rFonts w:asciiTheme="minorHAnsi" w:eastAsiaTheme="minorHAnsi" w:hAnsiTheme="minorHAnsi" w:cstheme="minorBidi"/>
          <w:color w:val="auto"/>
          <w:sz w:val="22"/>
          <w:szCs w:val="22"/>
          <w:lang w:eastAsia="en-US"/>
        </w:rPr>
        <w:t>From the initial report, I was able to immediately identify that the offender had issues with drug use and the victim was in an abusive domestic relationship, as they were both over the age of sixteen. Domestic abuse is defined under the Domestic Abuse Act 2021 as:</w:t>
      </w:r>
    </w:p>
    <w:p w14:paraId="00A4E0B6" w14:textId="77777777" w:rsidR="00920EEA" w:rsidRPr="00920EEA" w:rsidRDefault="00920EEA" w:rsidP="00920EEA">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p>
    <w:p w14:paraId="504D6103" w14:textId="77777777" w:rsidR="00920EEA" w:rsidRPr="00920EEA" w:rsidRDefault="00920EEA" w:rsidP="00920EEA">
      <w:pPr>
        <w:overflowPunct/>
        <w:autoSpaceDE/>
        <w:autoSpaceDN/>
        <w:adjustRightInd/>
        <w:spacing w:after="160" w:line="480" w:lineRule="auto"/>
        <w:ind w:left="720"/>
        <w:textAlignment w:val="auto"/>
        <w:rPr>
          <w:rFonts w:asciiTheme="minorHAnsi" w:eastAsiaTheme="minorHAnsi" w:hAnsiTheme="minorHAnsi" w:cstheme="minorBidi"/>
          <w:i/>
          <w:iCs/>
          <w:color w:val="auto"/>
          <w:sz w:val="22"/>
          <w:szCs w:val="22"/>
          <w:lang w:eastAsia="en-US"/>
        </w:rPr>
      </w:pPr>
      <w:r w:rsidRPr="00920EEA">
        <w:rPr>
          <w:rFonts w:asciiTheme="minorHAnsi" w:eastAsiaTheme="minorHAnsi" w:hAnsiTheme="minorHAnsi" w:cstheme="minorBidi"/>
          <w:i/>
          <w:iCs/>
          <w:color w:val="auto"/>
          <w:sz w:val="22"/>
          <w:szCs w:val="22"/>
          <w:lang w:eastAsia="en-US"/>
        </w:rPr>
        <w:t xml:space="preserve">“Behaviour of a person (A) towards another person (B) is domestic abuse if: </w:t>
      </w:r>
    </w:p>
    <w:p w14:paraId="438F8117" w14:textId="77777777" w:rsidR="00920EEA" w:rsidRPr="00920EEA" w:rsidRDefault="00920EEA" w:rsidP="00920EEA">
      <w:pPr>
        <w:overflowPunct/>
        <w:autoSpaceDE/>
        <w:autoSpaceDN/>
        <w:adjustRightInd/>
        <w:spacing w:after="160" w:line="480" w:lineRule="auto"/>
        <w:ind w:left="720"/>
        <w:textAlignment w:val="auto"/>
        <w:rPr>
          <w:rFonts w:asciiTheme="minorHAnsi" w:eastAsiaTheme="minorHAnsi" w:hAnsiTheme="minorHAnsi" w:cstheme="minorBidi"/>
          <w:i/>
          <w:iCs/>
          <w:color w:val="auto"/>
          <w:sz w:val="22"/>
          <w:szCs w:val="22"/>
          <w:lang w:eastAsia="en-US"/>
        </w:rPr>
      </w:pPr>
      <w:r w:rsidRPr="00920EEA">
        <w:rPr>
          <w:rFonts w:asciiTheme="minorHAnsi" w:eastAsiaTheme="minorHAnsi" w:hAnsiTheme="minorHAnsi" w:cstheme="minorBidi"/>
          <w:i/>
          <w:iCs/>
          <w:color w:val="auto"/>
          <w:sz w:val="22"/>
          <w:szCs w:val="22"/>
          <w:lang w:eastAsia="en-US"/>
        </w:rPr>
        <w:t xml:space="preserve">A and B are each aged sixteen or over and are personally connected to each other, and, </w:t>
      </w:r>
    </w:p>
    <w:p w14:paraId="73581BDB" w14:textId="77777777" w:rsidR="00920EEA" w:rsidRPr="00920EEA" w:rsidRDefault="00920EEA" w:rsidP="00920EEA">
      <w:pPr>
        <w:overflowPunct/>
        <w:autoSpaceDE/>
        <w:autoSpaceDN/>
        <w:adjustRightInd/>
        <w:spacing w:after="160" w:line="480" w:lineRule="auto"/>
        <w:ind w:left="720"/>
        <w:textAlignment w:val="auto"/>
        <w:rPr>
          <w:rFonts w:asciiTheme="minorHAnsi" w:eastAsiaTheme="minorHAnsi" w:hAnsiTheme="minorHAnsi" w:cstheme="minorBidi"/>
          <w:i/>
          <w:iCs/>
          <w:color w:val="auto"/>
          <w:sz w:val="22"/>
          <w:szCs w:val="22"/>
          <w:lang w:eastAsia="en-US"/>
        </w:rPr>
      </w:pPr>
      <w:r w:rsidRPr="00920EEA">
        <w:rPr>
          <w:rFonts w:asciiTheme="minorHAnsi" w:eastAsiaTheme="minorHAnsi" w:hAnsiTheme="minorHAnsi" w:cstheme="minorBidi"/>
          <w:i/>
          <w:iCs/>
          <w:color w:val="auto"/>
          <w:sz w:val="22"/>
          <w:szCs w:val="22"/>
          <w:lang w:eastAsia="en-US"/>
        </w:rPr>
        <w:t>The behaviour is abusive.”</w:t>
      </w:r>
    </w:p>
    <w:p w14:paraId="16318BDC" w14:textId="77777777" w:rsidR="00920EEA" w:rsidRPr="00920EEA" w:rsidRDefault="00920EEA" w:rsidP="00920EEA">
      <w:pPr>
        <w:overflowPunct/>
        <w:autoSpaceDE/>
        <w:autoSpaceDN/>
        <w:adjustRightInd/>
        <w:spacing w:after="160" w:line="480" w:lineRule="auto"/>
        <w:ind w:left="6480"/>
        <w:jc w:val="right"/>
        <w:textAlignment w:val="auto"/>
        <w:rPr>
          <w:rFonts w:asciiTheme="minorHAnsi" w:eastAsiaTheme="minorHAnsi" w:hAnsiTheme="minorHAnsi" w:cstheme="minorBidi"/>
          <w:i/>
          <w:iCs/>
          <w:color w:val="auto"/>
          <w:sz w:val="22"/>
          <w:szCs w:val="22"/>
          <w:lang w:eastAsia="en-US"/>
        </w:rPr>
      </w:pPr>
      <w:sdt>
        <w:sdtPr>
          <w:rPr>
            <w:rFonts w:asciiTheme="minorHAnsi" w:eastAsiaTheme="minorHAnsi" w:hAnsiTheme="minorHAnsi" w:cstheme="minorBidi"/>
            <w:i/>
            <w:iCs/>
            <w:color w:val="auto"/>
            <w:sz w:val="22"/>
            <w:szCs w:val="22"/>
            <w:lang w:eastAsia="en-US"/>
          </w:rPr>
          <w:id w:val="-1446848209"/>
          <w:citation/>
        </w:sdtPr>
        <w:sdtContent>
          <w:r w:rsidRPr="00920EEA">
            <w:rPr>
              <w:rFonts w:asciiTheme="minorHAnsi" w:eastAsiaTheme="minorHAnsi" w:hAnsiTheme="minorHAnsi" w:cstheme="minorBidi"/>
              <w:i/>
              <w:iCs/>
              <w:color w:val="auto"/>
              <w:sz w:val="22"/>
              <w:szCs w:val="22"/>
              <w:lang w:eastAsia="en-US"/>
            </w:rPr>
            <w:fldChar w:fldCharType="begin"/>
          </w:r>
          <w:r w:rsidRPr="00920EEA">
            <w:rPr>
              <w:rFonts w:asciiTheme="minorHAnsi" w:eastAsiaTheme="minorHAnsi" w:hAnsiTheme="minorHAnsi" w:cstheme="minorBidi"/>
              <w:i/>
              <w:iCs/>
              <w:color w:val="auto"/>
              <w:sz w:val="22"/>
              <w:szCs w:val="22"/>
              <w:lang w:eastAsia="en-US"/>
            </w:rPr>
            <w:instrText xml:space="preserve"> CITATION Leg21 \l 2057 </w:instrText>
          </w:r>
          <w:r w:rsidRPr="00920EEA">
            <w:rPr>
              <w:rFonts w:asciiTheme="minorHAnsi" w:eastAsiaTheme="minorHAnsi" w:hAnsiTheme="minorHAnsi" w:cstheme="minorBidi"/>
              <w:i/>
              <w:iCs/>
              <w:color w:val="auto"/>
              <w:sz w:val="22"/>
              <w:szCs w:val="22"/>
              <w:lang w:eastAsia="en-US"/>
            </w:rPr>
            <w:fldChar w:fldCharType="separate"/>
          </w:r>
          <w:r w:rsidRPr="00920EEA">
            <w:rPr>
              <w:rFonts w:asciiTheme="minorHAnsi" w:eastAsiaTheme="minorHAnsi" w:hAnsiTheme="minorHAnsi" w:cstheme="minorBidi"/>
              <w:i/>
              <w:iCs/>
              <w:noProof/>
              <w:color w:val="auto"/>
              <w:sz w:val="22"/>
              <w:szCs w:val="22"/>
              <w:lang w:eastAsia="en-US"/>
            </w:rPr>
            <w:t xml:space="preserve"> </w:t>
          </w:r>
          <w:r w:rsidRPr="00920EEA">
            <w:rPr>
              <w:rFonts w:asciiTheme="minorHAnsi" w:eastAsiaTheme="minorHAnsi" w:hAnsiTheme="minorHAnsi" w:cstheme="minorBidi"/>
              <w:noProof/>
              <w:color w:val="auto"/>
              <w:sz w:val="22"/>
              <w:szCs w:val="22"/>
              <w:lang w:eastAsia="en-US"/>
            </w:rPr>
            <w:t>(Legislation.gov.uk, 2021)</w:t>
          </w:r>
          <w:r w:rsidRPr="00920EEA">
            <w:rPr>
              <w:rFonts w:asciiTheme="minorHAnsi" w:eastAsiaTheme="minorHAnsi" w:hAnsiTheme="minorHAnsi" w:cstheme="minorBidi"/>
              <w:i/>
              <w:iCs/>
              <w:color w:val="auto"/>
              <w:sz w:val="22"/>
              <w:szCs w:val="22"/>
              <w:lang w:eastAsia="en-US"/>
            </w:rPr>
            <w:fldChar w:fldCharType="end"/>
          </w:r>
        </w:sdtContent>
      </w:sdt>
    </w:p>
    <w:p w14:paraId="05CF2E99" w14:textId="77777777" w:rsidR="00920EEA" w:rsidRPr="00920EEA" w:rsidRDefault="00920EEA" w:rsidP="00920EEA">
      <w:pPr>
        <w:overflowPunct/>
        <w:autoSpaceDE/>
        <w:autoSpaceDN/>
        <w:adjustRightInd/>
        <w:spacing w:after="160" w:line="480" w:lineRule="auto"/>
        <w:textAlignment w:val="auto"/>
        <w:rPr>
          <w:rFonts w:asciiTheme="minorHAnsi" w:eastAsiaTheme="minorHAnsi" w:hAnsiTheme="minorHAnsi" w:cstheme="minorBidi"/>
          <w:i/>
          <w:iCs/>
          <w:color w:val="auto"/>
          <w:sz w:val="22"/>
          <w:szCs w:val="22"/>
          <w:lang w:eastAsia="en-US"/>
        </w:rPr>
      </w:pPr>
    </w:p>
    <w:p w14:paraId="783B557B" w14:textId="77777777" w:rsidR="00920EEA" w:rsidRPr="00920EEA" w:rsidRDefault="00920EEA" w:rsidP="00920EEA">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920EEA">
        <w:rPr>
          <w:rFonts w:asciiTheme="minorHAnsi" w:eastAsiaTheme="minorHAnsi" w:hAnsiTheme="minorHAnsi" w:cstheme="minorBidi"/>
          <w:color w:val="auto"/>
          <w:sz w:val="22"/>
          <w:szCs w:val="22"/>
          <w:lang w:eastAsia="en-US"/>
        </w:rPr>
        <w:lastRenderedPageBreak/>
        <w:t xml:space="preserve">As a result, it was evident that both the offender and the victim were vulnerable because of their situational circumstances, Id Est, an abusive domestic relationship, and exposure to drug use. </w:t>
      </w:r>
    </w:p>
    <w:p w14:paraId="174B4ED7" w14:textId="77777777" w:rsidR="00920EEA" w:rsidRPr="00920EEA" w:rsidRDefault="00920EEA" w:rsidP="00920EEA">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p>
    <w:p w14:paraId="3F1C4B06" w14:textId="77777777" w:rsidR="00920EEA" w:rsidRPr="00920EEA" w:rsidRDefault="00920EEA" w:rsidP="00920EEA">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920EEA">
        <w:rPr>
          <w:rFonts w:asciiTheme="minorHAnsi" w:eastAsiaTheme="minorHAnsi" w:hAnsiTheme="minorHAnsi" w:cstheme="minorBidi"/>
          <w:color w:val="auto"/>
          <w:sz w:val="22"/>
          <w:szCs w:val="22"/>
          <w:lang w:eastAsia="en-US"/>
        </w:rPr>
        <w:t xml:space="preserve">To resolve the incident, I met with the victim at her home address to discuss the matter in the company of her foster parents. I did this as the victim was under eighteen thus rendering her a child in the eyes of the law under Section Three of The Social Service and Well-being (Wales) Act 2014 </w:t>
      </w:r>
      <w:sdt>
        <w:sdtPr>
          <w:rPr>
            <w:rFonts w:asciiTheme="minorHAnsi" w:eastAsiaTheme="minorHAnsi" w:hAnsiTheme="minorHAnsi" w:cstheme="minorBidi"/>
            <w:color w:val="auto"/>
            <w:sz w:val="22"/>
            <w:szCs w:val="22"/>
            <w:lang w:eastAsia="en-US"/>
          </w:rPr>
          <w:id w:val="749477673"/>
          <w:citation/>
        </w:sdtPr>
        <w:sdtContent>
          <w:r w:rsidRPr="00920EEA">
            <w:rPr>
              <w:rFonts w:asciiTheme="minorHAnsi" w:eastAsiaTheme="minorHAnsi" w:hAnsiTheme="minorHAnsi" w:cstheme="minorBidi"/>
              <w:color w:val="auto"/>
              <w:sz w:val="22"/>
              <w:szCs w:val="22"/>
              <w:lang w:eastAsia="en-US"/>
            </w:rPr>
            <w:fldChar w:fldCharType="begin"/>
          </w:r>
          <w:r w:rsidRPr="00920EEA">
            <w:rPr>
              <w:rFonts w:asciiTheme="minorHAnsi" w:eastAsiaTheme="minorHAnsi" w:hAnsiTheme="minorHAnsi" w:cstheme="minorBidi"/>
              <w:color w:val="auto"/>
              <w:sz w:val="22"/>
              <w:szCs w:val="22"/>
              <w:lang w:eastAsia="en-US"/>
            </w:rPr>
            <w:instrText xml:space="preserve">CITATION Leg221 \y  \l 2057 </w:instrText>
          </w:r>
          <w:r w:rsidRPr="00920EEA">
            <w:rPr>
              <w:rFonts w:asciiTheme="minorHAnsi" w:eastAsiaTheme="minorHAnsi" w:hAnsiTheme="minorHAnsi" w:cstheme="minorBidi"/>
              <w:color w:val="auto"/>
              <w:sz w:val="22"/>
              <w:szCs w:val="22"/>
              <w:lang w:eastAsia="en-US"/>
            </w:rPr>
            <w:fldChar w:fldCharType="separate"/>
          </w:r>
          <w:r w:rsidRPr="00920EEA">
            <w:rPr>
              <w:rFonts w:asciiTheme="minorHAnsi" w:eastAsiaTheme="minorHAnsi" w:hAnsiTheme="minorHAnsi" w:cstheme="minorBidi"/>
              <w:noProof/>
              <w:color w:val="auto"/>
              <w:sz w:val="22"/>
              <w:szCs w:val="22"/>
              <w:lang w:eastAsia="en-US"/>
            </w:rPr>
            <w:t>(Legislation.gov)</w:t>
          </w:r>
          <w:r w:rsidRPr="00920EEA">
            <w:rPr>
              <w:rFonts w:asciiTheme="minorHAnsi" w:eastAsiaTheme="minorHAnsi" w:hAnsiTheme="minorHAnsi" w:cstheme="minorBidi"/>
              <w:color w:val="auto"/>
              <w:sz w:val="22"/>
              <w:szCs w:val="22"/>
              <w:lang w:eastAsia="en-US"/>
            </w:rPr>
            <w:fldChar w:fldCharType="end"/>
          </w:r>
        </w:sdtContent>
      </w:sdt>
      <w:r w:rsidRPr="00920EEA">
        <w:rPr>
          <w:rFonts w:asciiTheme="minorHAnsi" w:eastAsiaTheme="minorHAnsi" w:hAnsiTheme="minorHAnsi" w:cstheme="minorBidi"/>
          <w:color w:val="auto"/>
          <w:sz w:val="22"/>
          <w:szCs w:val="22"/>
          <w:lang w:eastAsia="en-US"/>
        </w:rPr>
        <w:t xml:space="preserve">. This was crucial as persons under eighteen often have difficulties “making their wishes and feelings known,” thus making them more vulnerable to abuse </w:t>
      </w:r>
      <w:sdt>
        <w:sdtPr>
          <w:rPr>
            <w:rFonts w:asciiTheme="minorHAnsi" w:eastAsiaTheme="minorHAnsi" w:hAnsiTheme="minorHAnsi" w:cstheme="minorBidi"/>
            <w:color w:val="auto"/>
            <w:sz w:val="22"/>
            <w:szCs w:val="22"/>
            <w:lang w:eastAsia="en-US"/>
          </w:rPr>
          <w:id w:val="-1976285080"/>
          <w:citation/>
        </w:sdtPr>
        <w:sdtContent>
          <w:r w:rsidRPr="00920EEA">
            <w:rPr>
              <w:rFonts w:asciiTheme="minorHAnsi" w:eastAsiaTheme="minorHAnsi" w:hAnsiTheme="minorHAnsi" w:cstheme="minorBidi"/>
              <w:color w:val="auto"/>
              <w:sz w:val="22"/>
              <w:szCs w:val="22"/>
              <w:lang w:eastAsia="en-US"/>
            </w:rPr>
            <w:fldChar w:fldCharType="begin"/>
          </w:r>
          <w:r w:rsidRPr="00920EEA">
            <w:rPr>
              <w:rFonts w:asciiTheme="minorHAnsi" w:eastAsiaTheme="minorHAnsi" w:hAnsiTheme="minorHAnsi" w:cstheme="minorBidi"/>
              <w:color w:val="auto"/>
              <w:sz w:val="22"/>
              <w:szCs w:val="22"/>
              <w:lang w:eastAsia="en-US"/>
            </w:rPr>
            <w:instrText xml:space="preserve">CITATION Lib22 \y  \l 2057 </w:instrText>
          </w:r>
          <w:r w:rsidRPr="00920EEA">
            <w:rPr>
              <w:rFonts w:asciiTheme="minorHAnsi" w:eastAsiaTheme="minorHAnsi" w:hAnsiTheme="minorHAnsi" w:cstheme="minorBidi"/>
              <w:color w:val="auto"/>
              <w:sz w:val="22"/>
              <w:szCs w:val="22"/>
              <w:lang w:eastAsia="en-US"/>
            </w:rPr>
            <w:fldChar w:fldCharType="separate"/>
          </w:r>
          <w:r w:rsidRPr="00920EEA">
            <w:rPr>
              <w:rFonts w:asciiTheme="minorHAnsi" w:eastAsiaTheme="minorHAnsi" w:hAnsiTheme="minorHAnsi" w:cstheme="minorBidi"/>
              <w:noProof/>
              <w:color w:val="auto"/>
              <w:sz w:val="22"/>
              <w:szCs w:val="22"/>
              <w:lang w:eastAsia="en-US"/>
            </w:rPr>
            <w:t>(Liberal Democrats)</w:t>
          </w:r>
          <w:r w:rsidRPr="00920EEA">
            <w:rPr>
              <w:rFonts w:asciiTheme="minorHAnsi" w:eastAsiaTheme="minorHAnsi" w:hAnsiTheme="minorHAnsi" w:cstheme="minorBidi"/>
              <w:color w:val="auto"/>
              <w:sz w:val="22"/>
              <w:szCs w:val="22"/>
              <w:lang w:eastAsia="en-US"/>
            </w:rPr>
            <w:fldChar w:fldCharType="end"/>
          </w:r>
        </w:sdtContent>
      </w:sdt>
      <w:r w:rsidRPr="00920EEA">
        <w:rPr>
          <w:rFonts w:asciiTheme="minorHAnsi" w:eastAsiaTheme="minorHAnsi" w:hAnsiTheme="minorHAnsi" w:cstheme="minorBidi"/>
          <w:color w:val="auto"/>
          <w:sz w:val="22"/>
          <w:szCs w:val="22"/>
          <w:lang w:eastAsia="en-US"/>
        </w:rPr>
        <w:t>. Therefore, it was essential that an appropriate adult was present. In this case, it assisted in the progression of the incident as the victim’s foster parents were able provide the victim with immediate emotional support and advice from a personal perspective rather than a professional one provided by the police service. It was also essential as the victim had minor learning difficulties and struggled processing information.</w:t>
      </w:r>
    </w:p>
    <w:p w14:paraId="3B76F282" w14:textId="77777777" w:rsidR="00920EEA" w:rsidRPr="00920EEA" w:rsidRDefault="00920EEA" w:rsidP="00920EEA">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p>
    <w:p w14:paraId="5D422A16" w14:textId="77777777" w:rsidR="00920EEA" w:rsidRPr="00920EEA" w:rsidRDefault="00920EEA" w:rsidP="00920EEA">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920EEA">
        <w:rPr>
          <w:rFonts w:asciiTheme="minorHAnsi" w:eastAsiaTheme="minorHAnsi" w:hAnsiTheme="minorHAnsi" w:cstheme="minorBidi"/>
          <w:color w:val="auto"/>
          <w:sz w:val="22"/>
          <w:szCs w:val="22"/>
          <w:lang w:eastAsia="en-US"/>
        </w:rPr>
        <w:t xml:space="preserve">When I spoke with the victim, I activated my Body Worn Video to capture an accurate account of her disclosure. The victim advised that she was in foster care as she had a traumatic past which involved witnessing drug use, domestic abuse, and neglect. Such childhood related traumas have been identified as being Adverse Childhood Experiences, (ACEs), </w:t>
      </w:r>
      <w:sdt>
        <w:sdtPr>
          <w:rPr>
            <w:rFonts w:asciiTheme="minorHAnsi" w:eastAsiaTheme="minorHAnsi" w:hAnsiTheme="minorHAnsi" w:cstheme="minorBidi"/>
            <w:color w:val="auto"/>
            <w:sz w:val="22"/>
            <w:szCs w:val="22"/>
            <w:lang w:eastAsia="en-US"/>
          </w:rPr>
          <w:id w:val="-286671385"/>
          <w:citation/>
        </w:sdtPr>
        <w:sdtContent>
          <w:r w:rsidRPr="00920EEA">
            <w:rPr>
              <w:rFonts w:asciiTheme="minorHAnsi" w:eastAsiaTheme="minorHAnsi" w:hAnsiTheme="minorHAnsi" w:cstheme="minorBidi"/>
              <w:color w:val="auto"/>
              <w:sz w:val="22"/>
              <w:szCs w:val="22"/>
              <w:lang w:eastAsia="en-US"/>
            </w:rPr>
            <w:fldChar w:fldCharType="begin"/>
          </w:r>
          <w:r w:rsidRPr="00920EEA">
            <w:rPr>
              <w:rFonts w:asciiTheme="minorHAnsi" w:eastAsiaTheme="minorHAnsi" w:hAnsiTheme="minorHAnsi" w:cstheme="minorBidi"/>
              <w:color w:val="auto"/>
              <w:sz w:val="22"/>
              <w:szCs w:val="22"/>
              <w:lang w:eastAsia="en-US"/>
            </w:rPr>
            <w:instrText xml:space="preserve">CITATION Cen21 \l 2057 </w:instrText>
          </w:r>
          <w:r w:rsidRPr="00920EEA">
            <w:rPr>
              <w:rFonts w:asciiTheme="minorHAnsi" w:eastAsiaTheme="minorHAnsi" w:hAnsiTheme="minorHAnsi" w:cstheme="minorBidi"/>
              <w:color w:val="auto"/>
              <w:sz w:val="22"/>
              <w:szCs w:val="22"/>
              <w:lang w:eastAsia="en-US"/>
            </w:rPr>
            <w:fldChar w:fldCharType="separate"/>
          </w:r>
          <w:r w:rsidRPr="00920EEA">
            <w:rPr>
              <w:rFonts w:asciiTheme="minorHAnsi" w:eastAsiaTheme="minorHAnsi" w:hAnsiTheme="minorHAnsi" w:cstheme="minorBidi"/>
              <w:noProof/>
              <w:color w:val="auto"/>
              <w:sz w:val="22"/>
              <w:szCs w:val="22"/>
              <w:lang w:eastAsia="en-US"/>
            </w:rPr>
            <w:t>(Prevention Centres for Disease Control and, 2021)</w:t>
          </w:r>
          <w:r w:rsidRPr="00920EEA">
            <w:rPr>
              <w:rFonts w:asciiTheme="minorHAnsi" w:eastAsiaTheme="minorHAnsi" w:hAnsiTheme="minorHAnsi" w:cstheme="minorBidi"/>
              <w:color w:val="auto"/>
              <w:sz w:val="22"/>
              <w:szCs w:val="22"/>
              <w:lang w:eastAsia="en-US"/>
            </w:rPr>
            <w:fldChar w:fldCharType="end"/>
          </w:r>
        </w:sdtContent>
      </w:sdt>
      <w:r w:rsidRPr="00920EEA">
        <w:rPr>
          <w:rFonts w:asciiTheme="minorHAnsi" w:eastAsiaTheme="minorHAnsi" w:hAnsiTheme="minorHAnsi" w:cstheme="minorBidi"/>
          <w:color w:val="auto"/>
          <w:sz w:val="22"/>
          <w:szCs w:val="22"/>
          <w:lang w:eastAsia="en-US"/>
        </w:rPr>
        <w:t xml:space="preserve">. These traumas have been determined to have effects on a person’s life as they grow up by restricting their opportunities if not dealt with appropriately. Evidence suggests that ACEs lead to persons being more likely to become repeat offenders or victims of crime. A person who has four or more ACES is ‘eleven times more likely to be incarcerated, seven times more likely to have been involved in violence, and four times more likely to have low levels of mental wellbeing and life satisfaction’ </w:t>
      </w:r>
      <w:sdt>
        <w:sdtPr>
          <w:rPr>
            <w:rFonts w:asciiTheme="minorHAnsi" w:eastAsiaTheme="minorHAnsi" w:hAnsiTheme="minorHAnsi" w:cstheme="minorBidi"/>
            <w:color w:val="auto"/>
            <w:sz w:val="22"/>
            <w:szCs w:val="22"/>
            <w:lang w:eastAsia="en-US"/>
          </w:rPr>
          <w:id w:val="26842818"/>
          <w:citation/>
        </w:sdtPr>
        <w:sdtContent>
          <w:r w:rsidRPr="00920EEA">
            <w:rPr>
              <w:rFonts w:asciiTheme="minorHAnsi" w:eastAsiaTheme="minorHAnsi" w:hAnsiTheme="minorHAnsi" w:cstheme="minorBidi"/>
              <w:color w:val="auto"/>
              <w:sz w:val="22"/>
              <w:szCs w:val="22"/>
              <w:lang w:eastAsia="en-US"/>
            </w:rPr>
            <w:fldChar w:fldCharType="begin"/>
          </w:r>
          <w:r w:rsidRPr="00920EEA">
            <w:rPr>
              <w:rFonts w:asciiTheme="minorHAnsi" w:eastAsiaTheme="minorHAnsi" w:hAnsiTheme="minorHAnsi" w:cstheme="minorBidi"/>
              <w:color w:val="auto"/>
              <w:sz w:val="22"/>
              <w:szCs w:val="22"/>
              <w:lang w:eastAsia="en-US"/>
            </w:rPr>
            <w:instrText xml:space="preserve"> CITATION You22 \l 2057 </w:instrText>
          </w:r>
          <w:r w:rsidRPr="00920EEA">
            <w:rPr>
              <w:rFonts w:asciiTheme="minorHAnsi" w:eastAsiaTheme="minorHAnsi" w:hAnsiTheme="minorHAnsi" w:cstheme="minorBidi"/>
              <w:color w:val="auto"/>
              <w:sz w:val="22"/>
              <w:szCs w:val="22"/>
              <w:lang w:eastAsia="en-US"/>
            </w:rPr>
            <w:fldChar w:fldCharType="separate"/>
          </w:r>
          <w:r w:rsidRPr="00920EEA">
            <w:rPr>
              <w:rFonts w:asciiTheme="minorHAnsi" w:eastAsiaTheme="minorHAnsi" w:hAnsiTheme="minorHAnsi" w:cstheme="minorBidi"/>
              <w:noProof/>
              <w:color w:val="auto"/>
              <w:sz w:val="22"/>
              <w:szCs w:val="22"/>
              <w:lang w:eastAsia="en-US"/>
            </w:rPr>
            <w:t>(Young Minds, 2022)</w:t>
          </w:r>
          <w:r w:rsidRPr="00920EEA">
            <w:rPr>
              <w:rFonts w:asciiTheme="minorHAnsi" w:eastAsiaTheme="minorHAnsi" w:hAnsiTheme="minorHAnsi" w:cstheme="minorBidi"/>
              <w:color w:val="auto"/>
              <w:sz w:val="22"/>
              <w:szCs w:val="22"/>
              <w:lang w:eastAsia="en-US"/>
            </w:rPr>
            <w:fldChar w:fldCharType="end"/>
          </w:r>
        </w:sdtContent>
      </w:sdt>
      <w:r w:rsidRPr="00920EEA">
        <w:rPr>
          <w:rFonts w:asciiTheme="minorHAnsi" w:eastAsiaTheme="minorHAnsi" w:hAnsiTheme="minorHAnsi" w:cstheme="minorBidi"/>
          <w:color w:val="auto"/>
          <w:sz w:val="22"/>
          <w:szCs w:val="22"/>
          <w:lang w:eastAsia="en-US"/>
        </w:rPr>
        <w:t xml:space="preserve">. Therefore, it is essential to tackle ACES through positive support from families and appropriate agencies such as Young Minds. As I had identified that the victim has </w:t>
      </w:r>
      <w:r w:rsidRPr="00920EEA">
        <w:rPr>
          <w:rFonts w:asciiTheme="minorHAnsi" w:eastAsiaTheme="minorHAnsi" w:hAnsiTheme="minorHAnsi" w:cstheme="minorBidi"/>
          <w:color w:val="auto"/>
          <w:sz w:val="22"/>
          <w:szCs w:val="22"/>
          <w:lang w:eastAsia="en-US"/>
        </w:rPr>
        <w:lastRenderedPageBreak/>
        <w:t xml:space="preserve">several ACEs, I asked her whether she had any support in place in relation to them. The victim said that she had emotional support from her family and professional support from her support worker. After ascertaining that she had a small support network, I further signposted her to charities such as Bernardo’s who raise awareness of ACEs through giving inputs to organisations such as the police service </w:t>
      </w:r>
      <w:sdt>
        <w:sdtPr>
          <w:rPr>
            <w:rFonts w:asciiTheme="minorHAnsi" w:eastAsiaTheme="minorHAnsi" w:hAnsiTheme="minorHAnsi" w:cstheme="minorBidi"/>
            <w:color w:val="auto"/>
            <w:sz w:val="22"/>
            <w:szCs w:val="22"/>
            <w:lang w:eastAsia="en-US"/>
          </w:rPr>
          <w:id w:val="-1029022943"/>
          <w:citation/>
        </w:sdtPr>
        <w:sdtContent>
          <w:r w:rsidRPr="00920EEA">
            <w:rPr>
              <w:rFonts w:asciiTheme="minorHAnsi" w:eastAsiaTheme="minorHAnsi" w:hAnsiTheme="minorHAnsi" w:cstheme="minorBidi"/>
              <w:color w:val="auto"/>
              <w:sz w:val="22"/>
              <w:szCs w:val="22"/>
              <w:lang w:eastAsia="en-US"/>
            </w:rPr>
            <w:fldChar w:fldCharType="begin"/>
          </w:r>
          <w:r w:rsidRPr="00920EEA">
            <w:rPr>
              <w:rFonts w:asciiTheme="minorHAnsi" w:eastAsiaTheme="minorHAnsi" w:hAnsiTheme="minorHAnsi" w:cstheme="minorBidi"/>
              <w:color w:val="auto"/>
              <w:sz w:val="22"/>
              <w:szCs w:val="22"/>
              <w:lang w:eastAsia="en-US"/>
            </w:rPr>
            <w:instrText xml:space="preserve"> CITATION Ber22 \l 2057 </w:instrText>
          </w:r>
          <w:r w:rsidRPr="00920EEA">
            <w:rPr>
              <w:rFonts w:asciiTheme="minorHAnsi" w:eastAsiaTheme="minorHAnsi" w:hAnsiTheme="minorHAnsi" w:cstheme="minorBidi"/>
              <w:color w:val="auto"/>
              <w:sz w:val="22"/>
              <w:szCs w:val="22"/>
              <w:lang w:eastAsia="en-US"/>
            </w:rPr>
            <w:fldChar w:fldCharType="separate"/>
          </w:r>
          <w:r w:rsidRPr="00920EEA">
            <w:rPr>
              <w:rFonts w:asciiTheme="minorHAnsi" w:eastAsiaTheme="minorHAnsi" w:hAnsiTheme="minorHAnsi" w:cstheme="minorBidi"/>
              <w:noProof/>
              <w:color w:val="auto"/>
              <w:sz w:val="22"/>
              <w:szCs w:val="22"/>
              <w:lang w:eastAsia="en-US"/>
            </w:rPr>
            <w:t>(Bernardo's, 2022)</w:t>
          </w:r>
          <w:r w:rsidRPr="00920EEA">
            <w:rPr>
              <w:rFonts w:asciiTheme="minorHAnsi" w:eastAsiaTheme="minorHAnsi" w:hAnsiTheme="minorHAnsi" w:cstheme="minorBidi"/>
              <w:color w:val="auto"/>
              <w:sz w:val="22"/>
              <w:szCs w:val="22"/>
              <w:lang w:eastAsia="en-US"/>
            </w:rPr>
            <w:fldChar w:fldCharType="end"/>
          </w:r>
        </w:sdtContent>
      </w:sdt>
      <w:r w:rsidRPr="00920EEA">
        <w:rPr>
          <w:rFonts w:asciiTheme="minorHAnsi" w:eastAsiaTheme="minorHAnsi" w:hAnsiTheme="minorHAnsi" w:cstheme="minorBidi"/>
          <w:color w:val="auto"/>
          <w:sz w:val="22"/>
          <w:szCs w:val="22"/>
          <w:lang w:eastAsia="en-US"/>
        </w:rPr>
        <w:t>. By doing this, I provided the victim with further support which widened her network thus giving her greater opportunities to deal with her traumas. This meant that I was able to support the vulnerable victim and decrease her chances of becoming a repeat victim, or even an offender, and reduce her risk of future harm.</w:t>
      </w:r>
    </w:p>
    <w:p w14:paraId="4E55650F" w14:textId="77777777" w:rsidR="00920EEA" w:rsidRPr="00920EEA" w:rsidRDefault="00920EEA" w:rsidP="00920EEA">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p>
    <w:p w14:paraId="3D12CCD6" w14:textId="77777777" w:rsidR="00920EEA" w:rsidRPr="00920EEA" w:rsidRDefault="00920EEA" w:rsidP="00920EEA">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920EEA">
        <w:rPr>
          <w:rFonts w:asciiTheme="minorHAnsi" w:eastAsiaTheme="minorHAnsi" w:hAnsiTheme="minorHAnsi" w:cstheme="minorBidi"/>
          <w:color w:val="auto"/>
          <w:sz w:val="22"/>
          <w:szCs w:val="22"/>
          <w:lang w:eastAsia="en-US"/>
        </w:rPr>
        <w:t xml:space="preserve">The victim also disclosed that she had sent an image to the offender of her in a vest-top and shorts. She intended for only the offender to see the image as, at the time of her sending it, they were in a relationship. To set the victim’s expectations, I explained to her that this did not amount to the offence of, “Threats to Disclose Private Sexual Photographs and Films with Intent to Cause Distress,” as the images were not private sexual photographs or film </w:t>
      </w:r>
      <w:sdt>
        <w:sdtPr>
          <w:rPr>
            <w:rFonts w:asciiTheme="minorHAnsi" w:eastAsiaTheme="minorHAnsi" w:hAnsiTheme="minorHAnsi" w:cstheme="minorBidi"/>
            <w:color w:val="auto"/>
            <w:sz w:val="22"/>
            <w:szCs w:val="22"/>
            <w:lang w:eastAsia="en-US"/>
          </w:rPr>
          <w:id w:val="-561635531"/>
          <w:citation/>
        </w:sdtPr>
        <w:sdtContent>
          <w:r w:rsidRPr="00920EEA">
            <w:rPr>
              <w:rFonts w:asciiTheme="minorHAnsi" w:eastAsiaTheme="minorHAnsi" w:hAnsiTheme="minorHAnsi" w:cstheme="minorBidi"/>
              <w:color w:val="auto"/>
              <w:sz w:val="22"/>
              <w:szCs w:val="22"/>
              <w:lang w:eastAsia="en-US"/>
            </w:rPr>
            <w:fldChar w:fldCharType="begin"/>
          </w:r>
          <w:r w:rsidRPr="00920EEA">
            <w:rPr>
              <w:rFonts w:asciiTheme="minorHAnsi" w:eastAsiaTheme="minorHAnsi" w:hAnsiTheme="minorHAnsi" w:cstheme="minorBidi"/>
              <w:color w:val="auto"/>
              <w:sz w:val="22"/>
              <w:szCs w:val="22"/>
              <w:lang w:eastAsia="en-US"/>
            </w:rPr>
            <w:instrText xml:space="preserve">CITATION Leg \l 2057 </w:instrText>
          </w:r>
          <w:r w:rsidRPr="00920EEA">
            <w:rPr>
              <w:rFonts w:asciiTheme="minorHAnsi" w:eastAsiaTheme="minorHAnsi" w:hAnsiTheme="minorHAnsi" w:cstheme="minorBidi"/>
              <w:color w:val="auto"/>
              <w:sz w:val="22"/>
              <w:szCs w:val="22"/>
              <w:lang w:eastAsia="en-US"/>
            </w:rPr>
            <w:fldChar w:fldCharType="separate"/>
          </w:r>
          <w:r w:rsidRPr="00920EEA">
            <w:rPr>
              <w:rFonts w:asciiTheme="minorHAnsi" w:eastAsiaTheme="minorHAnsi" w:hAnsiTheme="minorHAnsi" w:cstheme="minorBidi"/>
              <w:noProof/>
              <w:color w:val="auto"/>
              <w:sz w:val="22"/>
              <w:szCs w:val="22"/>
              <w:lang w:eastAsia="en-US"/>
            </w:rPr>
            <w:t>(Legislation.gov.uk, 2021)</w:t>
          </w:r>
          <w:r w:rsidRPr="00920EEA">
            <w:rPr>
              <w:rFonts w:asciiTheme="minorHAnsi" w:eastAsiaTheme="minorHAnsi" w:hAnsiTheme="minorHAnsi" w:cstheme="minorBidi"/>
              <w:color w:val="auto"/>
              <w:sz w:val="22"/>
              <w:szCs w:val="22"/>
              <w:lang w:eastAsia="en-US"/>
            </w:rPr>
            <w:fldChar w:fldCharType="end"/>
          </w:r>
        </w:sdtContent>
      </w:sdt>
      <w:r w:rsidRPr="00920EEA">
        <w:rPr>
          <w:rFonts w:asciiTheme="minorHAnsi" w:eastAsiaTheme="minorHAnsi" w:hAnsiTheme="minorHAnsi" w:cstheme="minorBidi"/>
          <w:color w:val="auto"/>
          <w:sz w:val="22"/>
          <w:szCs w:val="22"/>
          <w:lang w:eastAsia="en-US"/>
        </w:rPr>
        <w:t xml:space="preserve">. As images had been sent to the offender, I provided the victim with safeguarding advice and advised her to not send any further photographs that she may regret sending as she opens herself up to potential risks. I also reassured the victim that I would make the offender delete the images from his phone as it was causing her distress. By making the victim aware, I was able to prevent her from becoming a repeat victim of similar circumstances. Raising awareness and educating victims and offenders is an effective preventative measure to reduce the risk of harm and prevent further offences. </w:t>
      </w:r>
    </w:p>
    <w:p w14:paraId="15490629" w14:textId="77777777" w:rsidR="00920EEA" w:rsidRPr="00920EEA" w:rsidRDefault="00920EEA" w:rsidP="00920EEA">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p>
    <w:p w14:paraId="2D7E1342" w14:textId="77777777" w:rsidR="00920EEA" w:rsidRPr="00920EEA" w:rsidRDefault="00920EEA" w:rsidP="00920EEA">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920EEA">
        <w:rPr>
          <w:rFonts w:asciiTheme="minorHAnsi" w:eastAsiaTheme="minorHAnsi" w:hAnsiTheme="minorHAnsi" w:cstheme="minorBidi"/>
          <w:color w:val="auto"/>
          <w:sz w:val="22"/>
          <w:szCs w:val="22"/>
          <w:lang w:eastAsia="en-US"/>
        </w:rPr>
        <w:t xml:space="preserve">After the victim and the offender had broken up, the offender was showing other students the photographs that the victim had sent him. This caused the victim concern as it resulted in the students calling her derogatory terms. I reassured the victim that I would engage with the school and make them aware of the issues so they could address the issues regarding their students’ </w:t>
      </w:r>
      <w:r w:rsidRPr="00920EEA">
        <w:rPr>
          <w:rFonts w:asciiTheme="minorHAnsi" w:eastAsiaTheme="minorHAnsi" w:hAnsiTheme="minorHAnsi" w:cstheme="minorBidi"/>
          <w:color w:val="auto"/>
          <w:sz w:val="22"/>
          <w:szCs w:val="22"/>
          <w:lang w:eastAsia="en-US"/>
        </w:rPr>
        <w:lastRenderedPageBreak/>
        <w:t xml:space="preserve">behaviours. By engaging with the school, I was able to provide the victim with reassurance that the existing issues in school would be dealt with in line with the school policy thus leading to a more peaceful school life for her. I then explained to the victim that the incident in school whereby the offender made threats towards her amounted to the offence of Section Four, Public Order: </w:t>
      </w:r>
    </w:p>
    <w:p w14:paraId="58B5A5F0" w14:textId="77777777" w:rsidR="00920EEA" w:rsidRPr="00920EEA" w:rsidRDefault="00920EEA" w:rsidP="00920EEA">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p>
    <w:p w14:paraId="4BABD5A8" w14:textId="77777777" w:rsidR="00920EEA" w:rsidRPr="00920EEA" w:rsidRDefault="00920EEA" w:rsidP="00920EEA">
      <w:pPr>
        <w:overflowPunct/>
        <w:autoSpaceDE/>
        <w:autoSpaceDN/>
        <w:adjustRightInd/>
        <w:spacing w:after="160" w:line="480" w:lineRule="auto"/>
        <w:ind w:left="720"/>
        <w:textAlignment w:val="auto"/>
        <w:rPr>
          <w:rFonts w:asciiTheme="minorHAnsi" w:eastAsiaTheme="minorHAnsi" w:hAnsiTheme="minorHAnsi" w:cstheme="minorBidi"/>
          <w:i/>
          <w:iCs/>
          <w:color w:val="auto"/>
          <w:sz w:val="22"/>
          <w:szCs w:val="22"/>
          <w:lang w:eastAsia="en-US"/>
        </w:rPr>
      </w:pPr>
      <w:r w:rsidRPr="00920EEA">
        <w:rPr>
          <w:rFonts w:asciiTheme="minorHAnsi" w:eastAsiaTheme="minorHAnsi" w:hAnsiTheme="minorHAnsi" w:cstheme="minorBidi"/>
          <w:i/>
          <w:iCs/>
          <w:color w:val="auto"/>
          <w:sz w:val="22"/>
          <w:szCs w:val="22"/>
          <w:lang w:eastAsia="en-US"/>
        </w:rPr>
        <w:t>“A person is guilty of an offence if he—</w:t>
      </w:r>
    </w:p>
    <w:p w14:paraId="1A307656" w14:textId="77777777" w:rsidR="00920EEA" w:rsidRPr="00920EEA" w:rsidRDefault="00920EEA" w:rsidP="00920EEA">
      <w:pPr>
        <w:overflowPunct/>
        <w:autoSpaceDE/>
        <w:autoSpaceDN/>
        <w:adjustRightInd/>
        <w:spacing w:after="160" w:line="480" w:lineRule="auto"/>
        <w:ind w:left="1440"/>
        <w:textAlignment w:val="auto"/>
        <w:rPr>
          <w:rFonts w:asciiTheme="minorHAnsi" w:eastAsiaTheme="minorHAnsi" w:hAnsiTheme="minorHAnsi" w:cstheme="minorBidi"/>
          <w:i/>
          <w:iCs/>
          <w:color w:val="auto"/>
          <w:sz w:val="22"/>
          <w:szCs w:val="22"/>
          <w:lang w:eastAsia="en-US"/>
        </w:rPr>
      </w:pPr>
      <w:r w:rsidRPr="00920EEA">
        <w:rPr>
          <w:rFonts w:asciiTheme="minorHAnsi" w:eastAsiaTheme="minorHAnsi" w:hAnsiTheme="minorHAnsi" w:cstheme="minorBidi"/>
          <w:i/>
          <w:iCs/>
          <w:color w:val="auto"/>
          <w:sz w:val="22"/>
          <w:szCs w:val="22"/>
          <w:lang w:eastAsia="en-US"/>
        </w:rPr>
        <w:t>(a) uses towards another person threatening, abusive or insulting words or behaviour, or</w:t>
      </w:r>
    </w:p>
    <w:p w14:paraId="50386EB9" w14:textId="77777777" w:rsidR="00920EEA" w:rsidRPr="00920EEA" w:rsidRDefault="00920EEA" w:rsidP="00920EEA">
      <w:pPr>
        <w:overflowPunct/>
        <w:autoSpaceDE/>
        <w:autoSpaceDN/>
        <w:adjustRightInd/>
        <w:spacing w:after="160" w:line="480" w:lineRule="auto"/>
        <w:ind w:left="1440"/>
        <w:textAlignment w:val="auto"/>
        <w:rPr>
          <w:rFonts w:asciiTheme="minorHAnsi" w:eastAsiaTheme="minorHAnsi" w:hAnsiTheme="minorHAnsi" w:cstheme="minorBidi"/>
          <w:i/>
          <w:iCs/>
          <w:color w:val="auto"/>
          <w:sz w:val="22"/>
          <w:szCs w:val="22"/>
          <w:lang w:eastAsia="en-US"/>
        </w:rPr>
      </w:pPr>
      <w:r w:rsidRPr="00920EEA">
        <w:rPr>
          <w:rFonts w:asciiTheme="minorHAnsi" w:eastAsiaTheme="minorHAnsi" w:hAnsiTheme="minorHAnsi" w:cstheme="minorBidi"/>
          <w:i/>
          <w:iCs/>
          <w:color w:val="auto"/>
          <w:sz w:val="22"/>
          <w:szCs w:val="22"/>
          <w:lang w:eastAsia="en-US"/>
        </w:rPr>
        <w:t xml:space="preserve">(b) distributes or displays to another person any writing, sign or other visible representation which is threatening, abusive or insulting, </w:t>
      </w:r>
    </w:p>
    <w:p w14:paraId="1FFC92DD" w14:textId="77777777" w:rsidR="00920EEA" w:rsidRPr="00920EEA" w:rsidRDefault="00920EEA" w:rsidP="00920EEA">
      <w:pPr>
        <w:overflowPunct/>
        <w:autoSpaceDE/>
        <w:autoSpaceDN/>
        <w:adjustRightInd/>
        <w:spacing w:after="160" w:line="480" w:lineRule="auto"/>
        <w:ind w:left="720"/>
        <w:textAlignment w:val="auto"/>
        <w:rPr>
          <w:rFonts w:asciiTheme="minorHAnsi" w:eastAsiaTheme="minorHAnsi" w:hAnsiTheme="minorHAnsi" w:cstheme="minorBidi"/>
          <w:i/>
          <w:iCs/>
          <w:color w:val="auto"/>
          <w:sz w:val="22"/>
          <w:szCs w:val="22"/>
          <w:lang w:eastAsia="en-US"/>
        </w:rPr>
      </w:pPr>
      <w:r w:rsidRPr="00920EEA">
        <w:rPr>
          <w:rFonts w:asciiTheme="minorHAnsi" w:eastAsiaTheme="minorHAnsi" w:hAnsiTheme="minorHAnsi" w:cstheme="minorBidi"/>
          <w:i/>
          <w:iCs/>
          <w:color w:val="auto"/>
          <w:sz w:val="22"/>
          <w:szCs w:val="22"/>
          <w:lang w:eastAsia="en-US"/>
        </w:rPr>
        <w:t>with intent to cause that person to believe that immediate unlawful violence will be used against him or another by any person, or to provoke the immediate use of unlawful violence by that person or another, or whereby that person is likely to believe that such violence will be used, or it is likely that such violence will be provoked.”</w:t>
      </w:r>
    </w:p>
    <w:p w14:paraId="379AF217" w14:textId="77777777" w:rsidR="00920EEA" w:rsidRPr="00920EEA" w:rsidRDefault="00920EEA" w:rsidP="00920EEA">
      <w:pPr>
        <w:overflowPunct/>
        <w:autoSpaceDE/>
        <w:autoSpaceDN/>
        <w:adjustRightInd/>
        <w:spacing w:after="160" w:line="480" w:lineRule="auto"/>
        <w:ind w:left="720"/>
        <w:jc w:val="right"/>
        <w:textAlignment w:val="auto"/>
        <w:rPr>
          <w:rFonts w:asciiTheme="minorHAnsi" w:eastAsiaTheme="minorHAnsi" w:hAnsiTheme="minorHAnsi" w:cstheme="minorBidi"/>
          <w:color w:val="auto"/>
          <w:sz w:val="22"/>
          <w:szCs w:val="22"/>
          <w:lang w:eastAsia="en-US"/>
        </w:rPr>
      </w:pPr>
      <w:r w:rsidRPr="00920EEA">
        <w:rPr>
          <w:rFonts w:asciiTheme="minorHAnsi" w:eastAsiaTheme="minorHAnsi" w:hAnsiTheme="minorHAnsi" w:cstheme="minorBidi"/>
          <w:color w:val="auto"/>
          <w:sz w:val="22"/>
          <w:szCs w:val="22"/>
          <w:lang w:eastAsia="en-US"/>
        </w:rPr>
        <w:tab/>
      </w:r>
      <w:r w:rsidRPr="00920EEA">
        <w:rPr>
          <w:rFonts w:asciiTheme="minorHAnsi" w:eastAsiaTheme="minorHAnsi" w:hAnsiTheme="minorHAnsi" w:cstheme="minorBidi"/>
          <w:color w:val="auto"/>
          <w:sz w:val="22"/>
          <w:szCs w:val="22"/>
          <w:lang w:eastAsia="en-US"/>
        </w:rPr>
        <w:tab/>
      </w:r>
      <w:r w:rsidRPr="00920EEA">
        <w:rPr>
          <w:rFonts w:asciiTheme="minorHAnsi" w:eastAsiaTheme="minorHAnsi" w:hAnsiTheme="minorHAnsi" w:cstheme="minorBidi"/>
          <w:color w:val="auto"/>
          <w:sz w:val="22"/>
          <w:szCs w:val="22"/>
          <w:lang w:eastAsia="en-US"/>
        </w:rPr>
        <w:tab/>
      </w:r>
      <w:r w:rsidRPr="00920EEA">
        <w:rPr>
          <w:rFonts w:asciiTheme="minorHAnsi" w:eastAsiaTheme="minorHAnsi" w:hAnsiTheme="minorHAnsi" w:cstheme="minorBidi"/>
          <w:color w:val="auto"/>
          <w:sz w:val="22"/>
          <w:szCs w:val="22"/>
          <w:lang w:eastAsia="en-US"/>
        </w:rPr>
        <w:tab/>
      </w:r>
      <w:r w:rsidRPr="00920EEA">
        <w:rPr>
          <w:rFonts w:asciiTheme="minorHAnsi" w:eastAsiaTheme="minorHAnsi" w:hAnsiTheme="minorHAnsi" w:cstheme="minorBidi"/>
          <w:color w:val="auto"/>
          <w:sz w:val="22"/>
          <w:szCs w:val="22"/>
          <w:lang w:eastAsia="en-US"/>
        </w:rPr>
        <w:tab/>
      </w:r>
      <w:r w:rsidRPr="00920EEA">
        <w:rPr>
          <w:rFonts w:asciiTheme="minorHAnsi" w:eastAsiaTheme="minorHAnsi" w:hAnsiTheme="minorHAnsi" w:cstheme="minorBidi"/>
          <w:color w:val="auto"/>
          <w:sz w:val="22"/>
          <w:szCs w:val="22"/>
          <w:lang w:eastAsia="en-US"/>
        </w:rPr>
        <w:tab/>
      </w:r>
      <w:r w:rsidRPr="00920EEA">
        <w:rPr>
          <w:rFonts w:asciiTheme="minorHAnsi" w:eastAsiaTheme="minorHAnsi" w:hAnsiTheme="minorHAnsi" w:cstheme="minorBidi"/>
          <w:color w:val="auto"/>
          <w:sz w:val="22"/>
          <w:szCs w:val="22"/>
          <w:lang w:eastAsia="en-US"/>
        </w:rPr>
        <w:tab/>
      </w:r>
      <w:r w:rsidRPr="00920EEA">
        <w:rPr>
          <w:rFonts w:asciiTheme="minorHAnsi" w:eastAsiaTheme="minorHAnsi" w:hAnsiTheme="minorHAnsi" w:cstheme="minorBidi"/>
          <w:color w:val="auto"/>
          <w:sz w:val="22"/>
          <w:szCs w:val="22"/>
          <w:lang w:eastAsia="en-US"/>
        </w:rPr>
        <w:tab/>
      </w:r>
      <w:r w:rsidRPr="00920EEA">
        <w:rPr>
          <w:rFonts w:asciiTheme="minorHAnsi" w:eastAsiaTheme="minorHAnsi" w:hAnsiTheme="minorHAnsi" w:cstheme="minorBidi"/>
          <w:color w:val="auto"/>
          <w:sz w:val="22"/>
          <w:szCs w:val="22"/>
          <w:lang w:eastAsia="en-US"/>
        </w:rPr>
        <w:tab/>
      </w:r>
      <w:sdt>
        <w:sdtPr>
          <w:rPr>
            <w:rFonts w:asciiTheme="minorHAnsi" w:eastAsiaTheme="minorHAnsi" w:hAnsiTheme="minorHAnsi" w:cstheme="minorBidi"/>
            <w:color w:val="auto"/>
            <w:sz w:val="22"/>
            <w:szCs w:val="22"/>
            <w:lang w:eastAsia="en-US"/>
          </w:rPr>
          <w:id w:val="-605347907"/>
          <w:citation/>
        </w:sdtPr>
        <w:sdtContent>
          <w:r w:rsidRPr="00920EEA">
            <w:rPr>
              <w:rFonts w:asciiTheme="minorHAnsi" w:eastAsiaTheme="minorHAnsi" w:hAnsiTheme="minorHAnsi" w:cstheme="minorBidi"/>
              <w:color w:val="auto"/>
              <w:sz w:val="22"/>
              <w:szCs w:val="22"/>
              <w:lang w:eastAsia="en-US"/>
            </w:rPr>
            <w:fldChar w:fldCharType="begin"/>
          </w:r>
          <w:r w:rsidRPr="00920EEA">
            <w:rPr>
              <w:rFonts w:asciiTheme="minorHAnsi" w:eastAsiaTheme="minorHAnsi" w:hAnsiTheme="minorHAnsi" w:cstheme="minorBidi"/>
              <w:color w:val="auto"/>
              <w:sz w:val="22"/>
              <w:szCs w:val="22"/>
              <w:lang w:eastAsia="en-US"/>
            </w:rPr>
            <w:instrText xml:space="preserve">CITATION Leg22 \y  \l 2057 </w:instrText>
          </w:r>
          <w:r w:rsidRPr="00920EEA">
            <w:rPr>
              <w:rFonts w:asciiTheme="minorHAnsi" w:eastAsiaTheme="minorHAnsi" w:hAnsiTheme="minorHAnsi" w:cstheme="minorBidi"/>
              <w:color w:val="auto"/>
              <w:sz w:val="22"/>
              <w:szCs w:val="22"/>
              <w:lang w:eastAsia="en-US"/>
            </w:rPr>
            <w:fldChar w:fldCharType="separate"/>
          </w:r>
          <w:r w:rsidRPr="00920EEA">
            <w:rPr>
              <w:rFonts w:asciiTheme="minorHAnsi" w:eastAsiaTheme="minorHAnsi" w:hAnsiTheme="minorHAnsi" w:cstheme="minorBidi"/>
              <w:noProof/>
              <w:color w:val="auto"/>
              <w:sz w:val="22"/>
              <w:szCs w:val="22"/>
              <w:lang w:eastAsia="en-US"/>
            </w:rPr>
            <w:t>(Legislation.gov.uk)</w:t>
          </w:r>
          <w:r w:rsidRPr="00920EEA">
            <w:rPr>
              <w:rFonts w:asciiTheme="minorHAnsi" w:eastAsiaTheme="minorHAnsi" w:hAnsiTheme="minorHAnsi" w:cstheme="minorBidi"/>
              <w:color w:val="auto"/>
              <w:sz w:val="22"/>
              <w:szCs w:val="22"/>
              <w:lang w:eastAsia="en-US"/>
            </w:rPr>
            <w:fldChar w:fldCharType="end"/>
          </w:r>
        </w:sdtContent>
      </w:sdt>
    </w:p>
    <w:p w14:paraId="4E4632F9" w14:textId="77777777" w:rsidR="00920EEA" w:rsidRPr="00920EEA" w:rsidRDefault="00920EEA" w:rsidP="00920EEA">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p>
    <w:p w14:paraId="761E5365" w14:textId="77777777" w:rsidR="00920EEA" w:rsidRPr="00920EEA" w:rsidRDefault="00920EEA" w:rsidP="00920EEA">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920EEA">
        <w:rPr>
          <w:rFonts w:asciiTheme="minorHAnsi" w:eastAsiaTheme="minorHAnsi" w:hAnsiTheme="minorHAnsi" w:cstheme="minorBidi"/>
          <w:color w:val="auto"/>
          <w:sz w:val="22"/>
          <w:szCs w:val="22"/>
          <w:lang w:eastAsia="en-US"/>
        </w:rPr>
        <w:t xml:space="preserve">As a result, I explained to her different disposal methods such as going to court, Restorative Justice, and words of advice. The victim explained that she just wanted the matter over with so she could move on; her foster parents concurred and explained that they had no intention of ‘ruining’ the offender’s life through taking formal police action against him. Consequently, the victim determined that the best disposal was to deal with the matter through providing the offender with suitable words of advice. This was a suitable outcome in-line with the victim’s needs and wants which provided her with a positive level of service meaning that she would be more likely to contact the police in the future, preventing repeat victimisation. </w:t>
      </w:r>
    </w:p>
    <w:p w14:paraId="04723AD6" w14:textId="77777777" w:rsidR="00920EEA" w:rsidRPr="00920EEA" w:rsidRDefault="00920EEA" w:rsidP="00920EEA">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p>
    <w:p w14:paraId="2D47E202" w14:textId="77777777" w:rsidR="00920EEA" w:rsidRPr="00920EEA" w:rsidRDefault="00920EEA" w:rsidP="00920EEA">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920EEA">
        <w:rPr>
          <w:rFonts w:asciiTheme="minorHAnsi" w:eastAsiaTheme="minorHAnsi" w:hAnsiTheme="minorHAnsi" w:cstheme="minorBidi"/>
          <w:color w:val="auto"/>
          <w:sz w:val="22"/>
          <w:szCs w:val="22"/>
          <w:lang w:eastAsia="en-US"/>
        </w:rPr>
        <w:t xml:space="preserve">As the incident was domestic related, and the victim was vulnerable due to her age and her minor learning difficulties, I explained the process of a Public Protection Notification (PPN) to the victim. The victim was happy to go through the PPN, which comprised twenty-seven specific questions relating to her relationship with the offender </w:t>
      </w:r>
      <w:sdt>
        <w:sdtPr>
          <w:rPr>
            <w:rFonts w:asciiTheme="minorHAnsi" w:eastAsiaTheme="minorHAnsi" w:hAnsiTheme="minorHAnsi" w:cstheme="minorBidi"/>
            <w:color w:val="auto"/>
            <w:sz w:val="22"/>
            <w:szCs w:val="22"/>
            <w:lang w:eastAsia="en-US"/>
          </w:rPr>
          <w:id w:val="528615709"/>
          <w:citation/>
        </w:sdtPr>
        <w:sdtContent>
          <w:r w:rsidRPr="00920EEA">
            <w:rPr>
              <w:rFonts w:asciiTheme="minorHAnsi" w:eastAsiaTheme="minorHAnsi" w:hAnsiTheme="minorHAnsi" w:cstheme="minorBidi"/>
              <w:color w:val="auto"/>
              <w:sz w:val="22"/>
              <w:szCs w:val="22"/>
              <w:lang w:eastAsia="en-US"/>
            </w:rPr>
            <w:fldChar w:fldCharType="begin"/>
          </w:r>
          <w:r w:rsidRPr="00920EEA">
            <w:rPr>
              <w:rFonts w:asciiTheme="minorHAnsi" w:eastAsiaTheme="minorHAnsi" w:hAnsiTheme="minorHAnsi" w:cstheme="minorBidi"/>
              <w:color w:val="auto"/>
              <w:sz w:val="22"/>
              <w:szCs w:val="22"/>
              <w:lang w:eastAsia="en-US"/>
            </w:rPr>
            <w:instrText xml:space="preserve">CITATION Bry20 \p 306 \l 2057 </w:instrText>
          </w:r>
          <w:r w:rsidRPr="00920EEA">
            <w:rPr>
              <w:rFonts w:asciiTheme="minorHAnsi" w:eastAsiaTheme="minorHAnsi" w:hAnsiTheme="minorHAnsi" w:cstheme="minorBidi"/>
              <w:color w:val="auto"/>
              <w:sz w:val="22"/>
              <w:szCs w:val="22"/>
              <w:lang w:eastAsia="en-US"/>
            </w:rPr>
            <w:fldChar w:fldCharType="separate"/>
          </w:r>
          <w:r w:rsidRPr="00920EEA">
            <w:rPr>
              <w:rFonts w:asciiTheme="minorHAnsi" w:eastAsiaTheme="minorHAnsi" w:hAnsiTheme="minorHAnsi" w:cstheme="minorBidi"/>
              <w:noProof/>
              <w:color w:val="auto"/>
              <w:sz w:val="22"/>
              <w:szCs w:val="22"/>
              <w:lang w:eastAsia="en-US"/>
            </w:rPr>
            <w:t>(Bryant &amp; Bryant, 2020, p. 306)</w:t>
          </w:r>
          <w:r w:rsidRPr="00920EEA">
            <w:rPr>
              <w:rFonts w:asciiTheme="minorHAnsi" w:eastAsiaTheme="minorHAnsi" w:hAnsiTheme="minorHAnsi" w:cstheme="minorBidi"/>
              <w:color w:val="auto"/>
              <w:sz w:val="22"/>
              <w:szCs w:val="22"/>
              <w:lang w:eastAsia="en-US"/>
            </w:rPr>
            <w:fldChar w:fldCharType="end"/>
          </w:r>
        </w:sdtContent>
      </w:sdt>
      <w:r w:rsidRPr="00920EEA">
        <w:rPr>
          <w:rFonts w:asciiTheme="minorHAnsi" w:eastAsiaTheme="minorHAnsi" w:hAnsiTheme="minorHAnsi" w:cstheme="minorBidi"/>
          <w:color w:val="auto"/>
          <w:sz w:val="22"/>
          <w:szCs w:val="22"/>
          <w:lang w:eastAsia="en-US"/>
        </w:rPr>
        <w:t xml:space="preserve">. The questions assist the Public Protection Unit (PPU) in risk assessing the victim’s relationship with the offender. The PPU then share the information with partner agencies such as Women’s Aid who provide support to victims </w:t>
      </w:r>
      <w:sdt>
        <w:sdtPr>
          <w:rPr>
            <w:rFonts w:asciiTheme="minorHAnsi" w:eastAsiaTheme="minorHAnsi" w:hAnsiTheme="minorHAnsi" w:cstheme="minorBidi"/>
            <w:color w:val="auto"/>
            <w:sz w:val="22"/>
            <w:szCs w:val="22"/>
            <w:lang w:eastAsia="en-US"/>
          </w:rPr>
          <w:id w:val="2056203888"/>
          <w:citation/>
        </w:sdtPr>
        <w:sdtContent>
          <w:r w:rsidRPr="00920EEA">
            <w:rPr>
              <w:rFonts w:asciiTheme="minorHAnsi" w:eastAsiaTheme="minorHAnsi" w:hAnsiTheme="minorHAnsi" w:cstheme="minorBidi"/>
              <w:color w:val="auto"/>
              <w:sz w:val="22"/>
              <w:szCs w:val="22"/>
              <w:lang w:eastAsia="en-US"/>
            </w:rPr>
            <w:fldChar w:fldCharType="begin"/>
          </w:r>
          <w:r w:rsidRPr="00920EEA">
            <w:rPr>
              <w:rFonts w:asciiTheme="minorHAnsi" w:eastAsiaTheme="minorHAnsi" w:hAnsiTheme="minorHAnsi" w:cstheme="minorBidi"/>
              <w:color w:val="auto"/>
              <w:sz w:val="22"/>
              <w:szCs w:val="22"/>
              <w:lang w:eastAsia="en-US"/>
            </w:rPr>
            <w:instrText xml:space="preserve">CITATION Gov22 \y  \l 2057 </w:instrText>
          </w:r>
          <w:r w:rsidRPr="00920EEA">
            <w:rPr>
              <w:rFonts w:asciiTheme="minorHAnsi" w:eastAsiaTheme="minorHAnsi" w:hAnsiTheme="minorHAnsi" w:cstheme="minorBidi"/>
              <w:color w:val="auto"/>
              <w:sz w:val="22"/>
              <w:szCs w:val="22"/>
              <w:lang w:eastAsia="en-US"/>
            </w:rPr>
            <w:fldChar w:fldCharType="separate"/>
          </w:r>
          <w:r w:rsidRPr="00920EEA">
            <w:rPr>
              <w:rFonts w:asciiTheme="minorHAnsi" w:eastAsiaTheme="minorHAnsi" w:hAnsiTheme="minorHAnsi" w:cstheme="minorBidi"/>
              <w:noProof/>
              <w:color w:val="auto"/>
              <w:sz w:val="22"/>
              <w:szCs w:val="22"/>
              <w:lang w:eastAsia="en-US"/>
            </w:rPr>
            <w:t>(Gov.wales)</w:t>
          </w:r>
          <w:r w:rsidRPr="00920EEA">
            <w:rPr>
              <w:rFonts w:asciiTheme="minorHAnsi" w:eastAsiaTheme="minorHAnsi" w:hAnsiTheme="minorHAnsi" w:cstheme="minorBidi"/>
              <w:color w:val="auto"/>
              <w:sz w:val="22"/>
              <w:szCs w:val="22"/>
              <w:lang w:eastAsia="en-US"/>
            </w:rPr>
            <w:fldChar w:fldCharType="end"/>
          </w:r>
        </w:sdtContent>
      </w:sdt>
      <w:r w:rsidRPr="00920EEA">
        <w:rPr>
          <w:rFonts w:asciiTheme="minorHAnsi" w:eastAsiaTheme="minorHAnsi" w:hAnsiTheme="minorHAnsi" w:cstheme="minorBidi"/>
          <w:color w:val="auto"/>
          <w:sz w:val="22"/>
          <w:szCs w:val="22"/>
          <w:lang w:eastAsia="en-US"/>
        </w:rPr>
        <w:t xml:space="preserve">. By submitting a PPN, I was able to provide the victim with support from professional third-party agencies. This support enabled the victim access to professional aftercare following contact from the police. This reduced the victim’s risk of harm in the future thus leading to less chance of repeat victimisation. In this case the PPN was shared with the victim’s support worker who managed her exposure to risk and provided her with one-to-one safeguarding. </w:t>
      </w:r>
    </w:p>
    <w:p w14:paraId="39B63E65" w14:textId="77777777" w:rsidR="00920EEA" w:rsidRPr="00920EEA" w:rsidRDefault="00920EEA" w:rsidP="00920EEA">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p>
    <w:p w14:paraId="1F84701A" w14:textId="77777777" w:rsidR="00920EEA" w:rsidRPr="00920EEA" w:rsidRDefault="00920EEA" w:rsidP="00920EEA">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920EEA">
        <w:rPr>
          <w:rFonts w:asciiTheme="minorHAnsi" w:eastAsiaTheme="minorHAnsi" w:hAnsiTheme="minorHAnsi" w:cstheme="minorBidi"/>
          <w:color w:val="auto"/>
          <w:sz w:val="22"/>
          <w:szCs w:val="22"/>
          <w:lang w:eastAsia="en-US"/>
        </w:rPr>
        <w:t xml:space="preserve">In terms of first time reported domestic related incidents, the police are normally the first point of contact; however, they are not the last. There are numerous safeguarding organisations available who provide support to victims of crime, such as Live Fear Free and Victim Support. As the incident was domestic related, I signposted the victim to Live Fear Free who provide twenty-four-hour support regarding domestic abuse and violence against women </w:t>
      </w:r>
      <w:sdt>
        <w:sdtPr>
          <w:rPr>
            <w:rFonts w:asciiTheme="minorHAnsi" w:eastAsiaTheme="minorHAnsi" w:hAnsiTheme="minorHAnsi" w:cstheme="minorBidi"/>
            <w:color w:val="auto"/>
            <w:sz w:val="22"/>
            <w:szCs w:val="22"/>
            <w:lang w:eastAsia="en-US"/>
          </w:rPr>
          <w:id w:val="-650445488"/>
          <w:citation/>
        </w:sdtPr>
        <w:sdtContent>
          <w:r w:rsidRPr="00920EEA">
            <w:rPr>
              <w:rFonts w:asciiTheme="minorHAnsi" w:eastAsiaTheme="minorHAnsi" w:hAnsiTheme="minorHAnsi" w:cstheme="minorBidi"/>
              <w:color w:val="auto"/>
              <w:sz w:val="22"/>
              <w:szCs w:val="22"/>
              <w:lang w:eastAsia="en-US"/>
            </w:rPr>
            <w:fldChar w:fldCharType="begin"/>
          </w:r>
          <w:r w:rsidRPr="00920EEA">
            <w:rPr>
              <w:rFonts w:asciiTheme="minorHAnsi" w:eastAsiaTheme="minorHAnsi" w:hAnsiTheme="minorHAnsi" w:cstheme="minorBidi"/>
              <w:color w:val="auto"/>
              <w:sz w:val="22"/>
              <w:szCs w:val="22"/>
              <w:lang w:eastAsia="en-US"/>
            </w:rPr>
            <w:instrText xml:space="preserve">CITATION Gov22 \y  \l 2057 </w:instrText>
          </w:r>
          <w:r w:rsidRPr="00920EEA">
            <w:rPr>
              <w:rFonts w:asciiTheme="minorHAnsi" w:eastAsiaTheme="minorHAnsi" w:hAnsiTheme="minorHAnsi" w:cstheme="minorBidi"/>
              <w:color w:val="auto"/>
              <w:sz w:val="22"/>
              <w:szCs w:val="22"/>
              <w:lang w:eastAsia="en-US"/>
            </w:rPr>
            <w:fldChar w:fldCharType="separate"/>
          </w:r>
          <w:r w:rsidRPr="00920EEA">
            <w:rPr>
              <w:rFonts w:asciiTheme="minorHAnsi" w:eastAsiaTheme="minorHAnsi" w:hAnsiTheme="minorHAnsi" w:cstheme="minorBidi"/>
              <w:noProof/>
              <w:color w:val="auto"/>
              <w:sz w:val="22"/>
              <w:szCs w:val="22"/>
              <w:lang w:eastAsia="en-US"/>
            </w:rPr>
            <w:t>(Gov.wales)</w:t>
          </w:r>
          <w:r w:rsidRPr="00920EEA">
            <w:rPr>
              <w:rFonts w:asciiTheme="minorHAnsi" w:eastAsiaTheme="minorHAnsi" w:hAnsiTheme="minorHAnsi" w:cstheme="minorBidi"/>
              <w:color w:val="auto"/>
              <w:sz w:val="22"/>
              <w:szCs w:val="22"/>
              <w:lang w:eastAsia="en-US"/>
            </w:rPr>
            <w:fldChar w:fldCharType="end"/>
          </w:r>
        </w:sdtContent>
      </w:sdt>
      <w:r w:rsidRPr="00920EEA">
        <w:rPr>
          <w:rFonts w:asciiTheme="minorHAnsi" w:eastAsiaTheme="minorHAnsi" w:hAnsiTheme="minorHAnsi" w:cstheme="minorBidi"/>
          <w:color w:val="auto"/>
          <w:sz w:val="22"/>
          <w:szCs w:val="22"/>
          <w:lang w:eastAsia="en-US"/>
        </w:rPr>
        <w:t xml:space="preserve">. They aim to educate people on domestic abuse and help them recognise the signs and create a step-by-step plan to leaving an abusive relationship </w:t>
      </w:r>
      <w:sdt>
        <w:sdtPr>
          <w:rPr>
            <w:rFonts w:asciiTheme="minorHAnsi" w:eastAsiaTheme="minorHAnsi" w:hAnsiTheme="minorHAnsi" w:cstheme="minorBidi"/>
            <w:color w:val="auto"/>
            <w:sz w:val="22"/>
            <w:szCs w:val="22"/>
            <w:lang w:eastAsia="en-US"/>
          </w:rPr>
          <w:id w:val="-1863975901"/>
          <w:citation/>
        </w:sdtPr>
        <w:sdtContent>
          <w:r w:rsidRPr="00920EEA">
            <w:rPr>
              <w:rFonts w:asciiTheme="minorHAnsi" w:eastAsiaTheme="minorHAnsi" w:hAnsiTheme="minorHAnsi" w:cstheme="minorBidi"/>
              <w:color w:val="auto"/>
              <w:sz w:val="22"/>
              <w:szCs w:val="22"/>
              <w:lang w:eastAsia="en-US"/>
            </w:rPr>
            <w:fldChar w:fldCharType="begin"/>
          </w:r>
          <w:r w:rsidRPr="00920EEA">
            <w:rPr>
              <w:rFonts w:asciiTheme="minorHAnsi" w:eastAsiaTheme="minorHAnsi" w:hAnsiTheme="minorHAnsi" w:cstheme="minorBidi"/>
              <w:color w:val="auto"/>
              <w:sz w:val="22"/>
              <w:szCs w:val="22"/>
              <w:lang w:eastAsia="en-US"/>
            </w:rPr>
            <w:instrText xml:space="preserve">CITATION Gov22 \y  \l 2057 </w:instrText>
          </w:r>
          <w:r w:rsidRPr="00920EEA">
            <w:rPr>
              <w:rFonts w:asciiTheme="minorHAnsi" w:eastAsiaTheme="minorHAnsi" w:hAnsiTheme="minorHAnsi" w:cstheme="minorBidi"/>
              <w:color w:val="auto"/>
              <w:sz w:val="22"/>
              <w:szCs w:val="22"/>
              <w:lang w:eastAsia="en-US"/>
            </w:rPr>
            <w:fldChar w:fldCharType="separate"/>
          </w:r>
          <w:r w:rsidRPr="00920EEA">
            <w:rPr>
              <w:rFonts w:asciiTheme="minorHAnsi" w:eastAsiaTheme="minorHAnsi" w:hAnsiTheme="minorHAnsi" w:cstheme="minorBidi"/>
              <w:noProof/>
              <w:color w:val="auto"/>
              <w:sz w:val="22"/>
              <w:szCs w:val="22"/>
              <w:lang w:eastAsia="en-US"/>
            </w:rPr>
            <w:t>(Gov.wales)</w:t>
          </w:r>
          <w:r w:rsidRPr="00920EEA">
            <w:rPr>
              <w:rFonts w:asciiTheme="minorHAnsi" w:eastAsiaTheme="minorHAnsi" w:hAnsiTheme="minorHAnsi" w:cstheme="minorBidi"/>
              <w:color w:val="auto"/>
              <w:sz w:val="22"/>
              <w:szCs w:val="22"/>
              <w:lang w:eastAsia="en-US"/>
            </w:rPr>
            <w:fldChar w:fldCharType="end"/>
          </w:r>
        </w:sdtContent>
      </w:sdt>
      <w:r w:rsidRPr="00920EEA">
        <w:rPr>
          <w:rFonts w:asciiTheme="minorHAnsi" w:eastAsiaTheme="minorHAnsi" w:hAnsiTheme="minorHAnsi" w:cstheme="minorBidi"/>
          <w:color w:val="auto"/>
          <w:sz w:val="22"/>
          <w:szCs w:val="22"/>
          <w:lang w:eastAsia="en-US"/>
        </w:rPr>
        <w:t xml:space="preserve">. In this case, it was essential that the victim was aware of the organisation as she did not consider the incident to be domestic related, nor did her foster parents. Therefore, it was key that the victim was aware so she could educate herself and identify signs of domestic abuse in her relationship. It is a common conception amongst younger people that domestic abuse must be physical; however, it can be emotional, financial, and coercive </w:t>
      </w:r>
      <w:sdt>
        <w:sdtPr>
          <w:rPr>
            <w:rFonts w:asciiTheme="minorHAnsi" w:eastAsiaTheme="minorHAnsi" w:hAnsiTheme="minorHAnsi" w:cstheme="minorBidi"/>
            <w:color w:val="auto"/>
            <w:sz w:val="22"/>
            <w:szCs w:val="22"/>
            <w:lang w:eastAsia="en-US"/>
          </w:rPr>
          <w:id w:val="-239787227"/>
          <w:citation/>
        </w:sdtPr>
        <w:sdtContent>
          <w:r w:rsidRPr="00920EEA">
            <w:rPr>
              <w:rFonts w:asciiTheme="minorHAnsi" w:eastAsiaTheme="minorHAnsi" w:hAnsiTheme="minorHAnsi" w:cstheme="minorBidi"/>
              <w:color w:val="auto"/>
              <w:sz w:val="22"/>
              <w:szCs w:val="22"/>
              <w:lang w:eastAsia="en-US"/>
            </w:rPr>
            <w:fldChar w:fldCharType="begin"/>
          </w:r>
          <w:r w:rsidRPr="00920EEA">
            <w:rPr>
              <w:rFonts w:asciiTheme="minorHAnsi" w:eastAsiaTheme="minorHAnsi" w:hAnsiTheme="minorHAnsi" w:cstheme="minorBidi"/>
              <w:color w:val="auto"/>
              <w:sz w:val="22"/>
              <w:szCs w:val="22"/>
              <w:lang w:eastAsia="en-US"/>
            </w:rPr>
            <w:instrText xml:space="preserve"> CITATION Leg21 \l 2057 </w:instrText>
          </w:r>
          <w:r w:rsidRPr="00920EEA">
            <w:rPr>
              <w:rFonts w:asciiTheme="minorHAnsi" w:eastAsiaTheme="minorHAnsi" w:hAnsiTheme="minorHAnsi" w:cstheme="minorBidi"/>
              <w:color w:val="auto"/>
              <w:sz w:val="22"/>
              <w:szCs w:val="22"/>
              <w:lang w:eastAsia="en-US"/>
            </w:rPr>
            <w:fldChar w:fldCharType="separate"/>
          </w:r>
          <w:r w:rsidRPr="00920EEA">
            <w:rPr>
              <w:rFonts w:asciiTheme="minorHAnsi" w:eastAsiaTheme="minorHAnsi" w:hAnsiTheme="minorHAnsi" w:cstheme="minorBidi"/>
              <w:noProof/>
              <w:color w:val="auto"/>
              <w:sz w:val="22"/>
              <w:szCs w:val="22"/>
              <w:lang w:eastAsia="en-US"/>
            </w:rPr>
            <w:t>(Legislation.gov.uk, 2021)</w:t>
          </w:r>
          <w:r w:rsidRPr="00920EEA">
            <w:rPr>
              <w:rFonts w:asciiTheme="minorHAnsi" w:eastAsiaTheme="minorHAnsi" w:hAnsiTheme="minorHAnsi" w:cstheme="minorBidi"/>
              <w:color w:val="auto"/>
              <w:sz w:val="22"/>
              <w:szCs w:val="22"/>
              <w:lang w:eastAsia="en-US"/>
            </w:rPr>
            <w:fldChar w:fldCharType="end"/>
          </w:r>
        </w:sdtContent>
      </w:sdt>
      <w:r w:rsidRPr="00920EEA">
        <w:rPr>
          <w:rFonts w:asciiTheme="minorHAnsi" w:eastAsiaTheme="minorHAnsi" w:hAnsiTheme="minorHAnsi" w:cstheme="minorBidi"/>
          <w:color w:val="auto"/>
          <w:sz w:val="22"/>
          <w:szCs w:val="22"/>
          <w:lang w:eastAsia="en-US"/>
        </w:rPr>
        <w:t xml:space="preserve">. To provide further aftercare for the victim, I linked in with the Victim </w:t>
      </w:r>
      <w:r w:rsidRPr="00920EEA">
        <w:rPr>
          <w:rFonts w:asciiTheme="minorHAnsi" w:eastAsiaTheme="minorHAnsi" w:hAnsiTheme="minorHAnsi" w:cstheme="minorBidi"/>
          <w:color w:val="auto"/>
          <w:sz w:val="22"/>
          <w:szCs w:val="22"/>
          <w:lang w:eastAsia="en-US"/>
        </w:rPr>
        <w:lastRenderedPageBreak/>
        <w:t xml:space="preserve">Support Unit and made them aware of the incident. Victim Support provide emotional and practical support to victims of crime and provide them with safeguarding advice during, and following, an investigation </w:t>
      </w:r>
      <w:sdt>
        <w:sdtPr>
          <w:rPr>
            <w:rFonts w:asciiTheme="minorHAnsi" w:eastAsiaTheme="minorHAnsi" w:hAnsiTheme="minorHAnsi" w:cstheme="minorBidi"/>
            <w:color w:val="auto"/>
            <w:sz w:val="22"/>
            <w:szCs w:val="22"/>
            <w:lang w:eastAsia="en-US"/>
          </w:rPr>
          <w:id w:val="-1839527233"/>
          <w:citation/>
        </w:sdtPr>
        <w:sdtContent>
          <w:r w:rsidRPr="00920EEA">
            <w:rPr>
              <w:rFonts w:asciiTheme="minorHAnsi" w:eastAsiaTheme="minorHAnsi" w:hAnsiTheme="minorHAnsi" w:cstheme="minorBidi"/>
              <w:color w:val="auto"/>
              <w:sz w:val="22"/>
              <w:szCs w:val="22"/>
              <w:lang w:eastAsia="en-US"/>
            </w:rPr>
            <w:fldChar w:fldCharType="begin"/>
          </w:r>
          <w:r w:rsidRPr="00920EEA">
            <w:rPr>
              <w:rFonts w:asciiTheme="minorHAnsi" w:eastAsiaTheme="minorHAnsi" w:hAnsiTheme="minorHAnsi" w:cstheme="minorBidi"/>
              <w:color w:val="auto"/>
              <w:sz w:val="22"/>
              <w:szCs w:val="22"/>
              <w:lang w:eastAsia="en-US"/>
            </w:rPr>
            <w:instrText xml:space="preserve">CITATION Vic22 \y  \l 2057 </w:instrText>
          </w:r>
          <w:r w:rsidRPr="00920EEA">
            <w:rPr>
              <w:rFonts w:asciiTheme="minorHAnsi" w:eastAsiaTheme="minorHAnsi" w:hAnsiTheme="minorHAnsi" w:cstheme="minorBidi"/>
              <w:color w:val="auto"/>
              <w:sz w:val="22"/>
              <w:szCs w:val="22"/>
              <w:lang w:eastAsia="en-US"/>
            </w:rPr>
            <w:fldChar w:fldCharType="separate"/>
          </w:r>
          <w:r w:rsidRPr="00920EEA">
            <w:rPr>
              <w:rFonts w:asciiTheme="minorHAnsi" w:eastAsiaTheme="minorHAnsi" w:hAnsiTheme="minorHAnsi" w:cstheme="minorBidi"/>
              <w:noProof/>
              <w:color w:val="auto"/>
              <w:sz w:val="22"/>
              <w:szCs w:val="22"/>
              <w:lang w:eastAsia="en-US"/>
            </w:rPr>
            <w:t>(Victim Support)</w:t>
          </w:r>
          <w:r w:rsidRPr="00920EEA">
            <w:rPr>
              <w:rFonts w:asciiTheme="minorHAnsi" w:eastAsiaTheme="minorHAnsi" w:hAnsiTheme="minorHAnsi" w:cstheme="minorBidi"/>
              <w:color w:val="auto"/>
              <w:sz w:val="22"/>
              <w:szCs w:val="22"/>
              <w:lang w:eastAsia="en-US"/>
            </w:rPr>
            <w:fldChar w:fldCharType="end"/>
          </w:r>
        </w:sdtContent>
      </w:sdt>
      <w:r w:rsidRPr="00920EEA">
        <w:rPr>
          <w:rFonts w:asciiTheme="minorHAnsi" w:eastAsiaTheme="minorHAnsi" w:hAnsiTheme="minorHAnsi" w:cstheme="minorBidi"/>
          <w:color w:val="auto"/>
          <w:sz w:val="22"/>
          <w:szCs w:val="22"/>
          <w:lang w:eastAsia="en-US"/>
        </w:rPr>
        <w:t xml:space="preserve">. However, this situation was particularly challenging as the victim was not the only vulnerable person involved in this incident; the offender was as well. As a result, I included the offender in the PPN so that third third-party organisations were aware of him and could contact him to provide him with support/further support with his drug use and his offending to prevent him from becoming a repeat offender. Early intervention in these situations is fundamental as the offender was young and therefore not set in his ways; he was more malleable to change. By managing repeat offenders, it reduces the demand on police, and third-party resources, and often leads to a better quality of life for the offender. This links in with the </w:t>
      </w:r>
      <w:proofErr w:type="gramStart"/>
      <w:r w:rsidRPr="00920EEA">
        <w:rPr>
          <w:rFonts w:asciiTheme="minorHAnsi" w:eastAsiaTheme="minorHAnsi" w:hAnsiTheme="minorHAnsi" w:cstheme="minorBidi"/>
          <w:color w:val="auto"/>
          <w:sz w:val="22"/>
          <w:szCs w:val="22"/>
          <w:lang w:eastAsia="en-US"/>
        </w:rPr>
        <w:t>aforementioned ACEs</w:t>
      </w:r>
      <w:proofErr w:type="gramEnd"/>
      <w:r w:rsidRPr="00920EEA">
        <w:rPr>
          <w:rFonts w:asciiTheme="minorHAnsi" w:eastAsiaTheme="minorHAnsi" w:hAnsiTheme="minorHAnsi" w:cstheme="minorBidi"/>
          <w:color w:val="auto"/>
          <w:sz w:val="22"/>
          <w:szCs w:val="22"/>
          <w:lang w:eastAsia="en-US"/>
        </w:rPr>
        <w:t xml:space="preserve"> – tackling pre-existing adverse experiences and behaviours to lead to better opportunities in the future. </w:t>
      </w:r>
    </w:p>
    <w:p w14:paraId="36CD4CE5" w14:textId="77777777" w:rsidR="00920EEA" w:rsidRPr="00920EEA" w:rsidRDefault="00920EEA" w:rsidP="00920EEA">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p>
    <w:p w14:paraId="7D0BB08C" w14:textId="77777777" w:rsidR="00920EEA" w:rsidRPr="00920EEA" w:rsidRDefault="00920EEA" w:rsidP="00920EEA">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920EEA">
        <w:rPr>
          <w:rFonts w:asciiTheme="minorHAnsi" w:eastAsiaTheme="minorHAnsi" w:hAnsiTheme="minorHAnsi" w:cstheme="minorBidi"/>
          <w:color w:val="auto"/>
          <w:sz w:val="22"/>
          <w:szCs w:val="22"/>
          <w:lang w:eastAsia="en-US"/>
        </w:rPr>
        <w:t xml:space="preserve">In conclusion, many challenges can arise when dealing with vulnerable persons. An effective approach to help </w:t>
      </w:r>
      <w:proofErr w:type="gramStart"/>
      <w:r w:rsidRPr="00920EEA">
        <w:rPr>
          <w:rFonts w:asciiTheme="minorHAnsi" w:eastAsiaTheme="minorHAnsi" w:hAnsiTheme="minorHAnsi" w:cstheme="minorBidi"/>
          <w:color w:val="auto"/>
          <w:sz w:val="22"/>
          <w:szCs w:val="22"/>
          <w:lang w:eastAsia="en-US"/>
        </w:rPr>
        <w:t>support</w:t>
      </w:r>
      <w:proofErr w:type="gramEnd"/>
      <w:r w:rsidRPr="00920EEA">
        <w:rPr>
          <w:rFonts w:asciiTheme="minorHAnsi" w:eastAsiaTheme="minorHAnsi" w:hAnsiTheme="minorHAnsi" w:cstheme="minorBidi"/>
          <w:color w:val="auto"/>
          <w:sz w:val="22"/>
          <w:szCs w:val="22"/>
          <w:lang w:eastAsia="en-US"/>
        </w:rPr>
        <w:t xml:space="preserve"> vulnerable persons is to offer reassurance and guide them on to their next steps. This can range from signposting support services to reporting incidents through the police. Additionally, aftercare and safeguarding are incredibly effective when it comes to tackling repeat victimisation and offending as organisations such as Live Fear Free offer support to people at risk of harm before and after a police incident. However, in my experience, it is education and raising awareness that are the most appropriate approaches when supporting and managing vulnerable persons. This, as discussed, helps to prevent repeat victimisation as they are more aware of risks, and it helps stop repeat offending through early intervention and education. </w:t>
      </w:r>
    </w:p>
    <w:p w14:paraId="1E96D16A" w14:textId="16DDA001" w:rsidR="5B843AF0" w:rsidRPr="00496E3A" w:rsidRDefault="00496E3A" w:rsidP="00496E3A">
      <w:pPr>
        <w:ind w:right="237"/>
        <w:jc w:val="right"/>
        <w:rPr>
          <w:rFonts w:asciiTheme="minorHAnsi" w:hAnsiTheme="minorHAnsi" w:cstheme="minorHAnsi"/>
          <w:b/>
          <w:bCs/>
          <w:sz w:val="24"/>
          <w:szCs w:val="24"/>
        </w:rPr>
      </w:pPr>
      <w:r w:rsidRPr="00496E3A">
        <w:rPr>
          <w:rFonts w:asciiTheme="minorHAnsi" w:hAnsiTheme="minorHAnsi" w:cstheme="minorHAnsi"/>
          <w:b/>
          <w:bCs/>
          <w:sz w:val="24"/>
          <w:szCs w:val="24"/>
        </w:rPr>
        <w:t>WORD COUNT: 2,144</w:t>
      </w:r>
    </w:p>
    <w:p w14:paraId="5A14BEB8" w14:textId="69952D76" w:rsidR="5B843AF0" w:rsidRPr="00E676F7" w:rsidRDefault="5B843AF0" w:rsidP="5B843AF0">
      <w:pPr>
        <w:ind w:right="237"/>
        <w:jc w:val="center"/>
        <w:rPr>
          <w:b/>
          <w:bCs/>
          <w:sz w:val="24"/>
          <w:szCs w:val="24"/>
        </w:rPr>
      </w:pPr>
    </w:p>
    <w:p w14:paraId="52FB0921" w14:textId="1FD2C3B4" w:rsidR="69F7424F" w:rsidRDefault="00E676F7" w:rsidP="0004196A">
      <w:pPr>
        <w:overflowPunct/>
        <w:autoSpaceDE/>
        <w:autoSpaceDN/>
        <w:adjustRightInd/>
        <w:textAlignment w:val="auto"/>
        <w:rPr>
          <w:b/>
          <w:bCs/>
          <w:sz w:val="24"/>
          <w:szCs w:val="24"/>
        </w:rPr>
      </w:pPr>
      <w:r w:rsidRPr="5CE196A1">
        <w:rPr>
          <w:b/>
          <w:bCs/>
          <w:sz w:val="24"/>
          <w:szCs w:val="24"/>
        </w:rPr>
        <w:br w:type="page"/>
      </w: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002BCC44" w14:textId="5D25E26D" w:rsidR="0FF883D4" w:rsidRDefault="5D9B6F62" w:rsidP="5CE196A1">
      <w:pPr>
        <w:ind w:right="237"/>
        <w:jc w:val="both"/>
        <w:rPr>
          <w:rFonts w:eastAsia="Arial"/>
          <w:b/>
          <w:bCs/>
          <w:color w:val="000000" w:themeColor="text1"/>
          <w:sz w:val="24"/>
          <w:szCs w:val="24"/>
        </w:rPr>
      </w:pPr>
      <w:r w:rsidRPr="5CE196A1">
        <w:rPr>
          <w:rFonts w:eastAsia="Arial"/>
          <w:b/>
          <w:bCs/>
          <w:color w:val="000000" w:themeColor="text1"/>
          <w:sz w:val="24"/>
          <w:szCs w:val="24"/>
        </w:rPr>
        <w:t>This is a reminder that this TASK 2</w:t>
      </w:r>
      <w:r w:rsidR="6383A551" w:rsidRPr="5CE196A1">
        <w:rPr>
          <w:rFonts w:eastAsia="Arial"/>
          <w:b/>
          <w:bCs/>
          <w:color w:val="000000" w:themeColor="text1"/>
          <w:sz w:val="24"/>
          <w:szCs w:val="24"/>
        </w:rPr>
        <w:t xml:space="preserve"> </w:t>
      </w:r>
      <w:r w:rsidRPr="5CE196A1">
        <w:rPr>
          <w:rFonts w:eastAsia="Arial"/>
          <w:b/>
          <w:bCs/>
          <w:color w:val="000000" w:themeColor="text1"/>
          <w:sz w:val="24"/>
          <w:szCs w:val="24"/>
        </w:rPr>
        <w:t>section is an opportunity for you to answer</w:t>
      </w:r>
      <w:r w:rsidR="4FE49201" w:rsidRPr="5CE196A1">
        <w:rPr>
          <w:rFonts w:eastAsia="Arial"/>
          <w:b/>
          <w:bCs/>
          <w:color w:val="000000" w:themeColor="text1"/>
          <w:sz w:val="24"/>
          <w:szCs w:val="24"/>
        </w:rPr>
        <w:t xml:space="preserve"> </w:t>
      </w:r>
      <w:r w:rsidR="48232DC3" w:rsidRPr="5CE196A1">
        <w:rPr>
          <w:rFonts w:eastAsia="Arial"/>
          <w:b/>
          <w:bCs/>
          <w:color w:val="000000" w:themeColor="text1"/>
          <w:sz w:val="24"/>
          <w:szCs w:val="24"/>
        </w:rPr>
        <w:t xml:space="preserve">one question which should be relevant to the “advanced learning” area that you have </w:t>
      </w:r>
      <w:r w:rsidR="2C80CEFD" w:rsidRPr="5CE196A1">
        <w:rPr>
          <w:rFonts w:eastAsia="Arial"/>
          <w:b/>
          <w:bCs/>
          <w:color w:val="000000" w:themeColor="text1"/>
          <w:sz w:val="24"/>
          <w:szCs w:val="24"/>
        </w:rPr>
        <w:t xml:space="preserve">chosen.  The advanced learning lecture that you </w:t>
      </w:r>
      <w:r w:rsidR="3F306007" w:rsidRPr="5CE196A1">
        <w:rPr>
          <w:rFonts w:eastAsia="Arial"/>
          <w:b/>
          <w:bCs/>
          <w:color w:val="000000" w:themeColor="text1"/>
          <w:sz w:val="24"/>
          <w:szCs w:val="24"/>
        </w:rPr>
        <w:t>cho</w:t>
      </w:r>
      <w:r w:rsidR="05F0DD54" w:rsidRPr="5CE196A1">
        <w:rPr>
          <w:rFonts w:eastAsia="Arial"/>
          <w:b/>
          <w:bCs/>
          <w:color w:val="000000" w:themeColor="text1"/>
          <w:sz w:val="24"/>
          <w:szCs w:val="24"/>
        </w:rPr>
        <w:t>o</w:t>
      </w:r>
      <w:r w:rsidR="3F306007" w:rsidRPr="5CE196A1">
        <w:rPr>
          <w:rFonts w:eastAsia="Arial"/>
          <w:b/>
          <w:bCs/>
          <w:color w:val="000000" w:themeColor="text1"/>
          <w:sz w:val="24"/>
          <w:szCs w:val="24"/>
        </w:rPr>
        <w:t>se</w:t>
      </w:r>
      <w:r w:rsidR="2C80CEFD" w:rsidRPr="5CE196A1">
        <w:rPr>
          <w:rFonts w:eastAsia="Arial"/>
          <w:b/>
          <w:bCs/>
          <w:color w:val="000000" w:themeColor="text1"/>
          <w:sz w:val="24"/>
          <w:szCs w:val="24"/>
        </w:rPr>
        <w:t xml:space="preserve"> to attend will assist you in answering this task. </w:t>
      </w: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640A6E41" w14:textId="4A402D5F" w:rsidR="00E676F7" w:rsidRPr="0004196A" w:rsidRDefault="39736751" w:rsidP="1E8636EB">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589AB278" w14:textId="77777777" w:rsidR="007607B9" w:rsidRPr="007607B9" w:rsidRDefault="007607B9" w:rsidP="007607B9">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7607B9">
        <w:rPr>
          <w:rFonts w:asciiTheme="minorHAnsi" w:eastAsiaTheme="minorHAnsi" w:hAnsiTheme="minorHAnsi" w:cstheme="minorBidi"/>
          <w:color w:val="auto"/>
          <w:sz w:val="22"/>
          <w:szCs w:val="22"/>
          <w:lang w:eastAsia="en-US"/>
        </w:rPr>
        <w:t>There are numerous challenges associated with policing domestic related incidents, such as violent offenders, the involvement of children, and lack of cooperation from victims. To provide the most effective service, it is essential to evaluate each incident individually and assess strategies implemented to overcome challenges.</w:t>
      </w:r>
    </w:p>
    <w:p w14:paraId="41BD84FA" w14:textId="77777777" w:rsidR="007607B9" w:rsidRPr="007607B9" w:rsidRDefault="007607B9" w:rsidP="007607B9">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p>
    <w:p w14:paraId="1EA34D6E" w14:textId="77777777" w:rsidR="007607B9" w:rsidRPr="007607B9" w:rsidRDefault="007607B9" w:rsidP="007607B9">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7607B9">
        <w:rPr>
          <w:rFonts w:asciiTheme="minorHAnsi" w:eastAsiaTheme="minorHAnsi" w:hAnsiTheme="minorHAnsi" w:cstheme="minorBidi"/>
          <w:color w:val="auto"/>
          <w:sz w:val="22"/>
          <w:szCs w:val="22"/>
          <w:lang w:eastAsia="en-US"/>
        </w:rPr>
        <w:t xml:space="preserve">To critically assess challenges presented in domestic related incidents, one must understand what constitutes domestic abuse. Domestic abuse is defined under the Domestic Abuse Act 2021 as, </w:t>
      </w:r>
    </w:p>
    <w:p w14:paraId="79DE29EF" w14:textId="77777777" w:rsidR="007607B9" w:rsidRPr="007607B9" w:rsidRDefault="007607B9" w:rsidP="007607B9">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p>
    <w:p w14:paraId="5AFB9FC6" w14:textId="77777777" w:rsidR="007607B9" w:rsidRPr="007607B9" w:rsidRDefault="007607B9" w:rsidP="007607B9">
      <w:pPr>
        <w:overflowPunct/>
        <w:autoSpaceDE/>
        <w:autoSpaceDN/>
        <w:adjustRightInd/>
        <w:spacing w:after="160" w:line="480" w:lineRule="auto"/>
        <w:ind w:left="720"/>
        <w:textAlignment w:val="auto"/>
        <w:rPr>
          <w:rFonts w:asciiTheme="minorHAnsi" w:eastAsiaTheme="minorHAnsi" w:hAnsiTheme="minorHAnsi" w:cstheme="minorBidi"/>
          <w:i/>
          <w:iCs/>
          <w:color w:val="auto"/>
          <w:sz w:val="22"/>
          <w:szCs w:val="22"/>
          <w:lang w:eastAsia="en-US"/>
        </w:rPr>
      </w:pPr>
      <w:r w:rsidRPr="007607B9">
        <w:rPr>
          <w:rFonts w:asciiTheme="minorHAnsi" w:eastAsiaTheme="minorHAnsi" w:hAnsiTheme="minorHAnsi" w:cstheme="minorBidi"/>
          <w:i/>
          <w:iCs/>
          <w:color w:val="auto"/>
          <w:sz w:val="22"/>
          <w:szCs w:val="22"/>
          <w:lang w:eastAsia="en-US"/>
        </w:rPr>
        <w:t xml:space="preserve">“Behaviour of a </w:t>
      </w:r>
      <w:proofErr w:type="spellStart"/>
      <w:r w:rsidRPr="007607B9">
        <w:rPr>
          <w:rFonts w:asciiTheme="minorHAnsi" w:eastAsiaTheme="minorHAnsi" w:hAnsiTheme="minorHAnsi" w:cstheme="minorBidi"/>
          <w:i/>
          <w:iCs/>
          <w:color w:val="auto"/>
          <w:sz w:val="22"/>
          <w:szCs w:val="22"/>
          <w:lang w:eastAsia="en-US"/>
        </w:rPr>
        <w:t>persons</w:t>
      </w:r>
      <w:proofErr w:type="spellEnd"/>
      <w:r w:rsidRPr="007607B9">
        <w:rPr>
          <w:rFonts w:asciiTheme="minorHAnsi" w:eastAsiaTheme="minorHAnsi" w:hAnsiTheme="minorHAnsi" w:cstheme="minorBidi"/>
          <w:i/>
          <w:iCs/>
          <w:color w:val="auto"/>
          <w:sz w:val="22"/>
          <w:szCs w:val="22"/>
          <w:lang w:eastAsia="en-US"/>
        </w:rPr>
        <w:t xml:space="preserve"> (A) towards another person (B) is domestic abuse if: </w:t>
      </w:r>
    </w:p>
    <w:p w14:paraId="022D42C7" w14:textId="77777777" w:rsidR="007607B9" w:rsidRPr="007607B9" w:rsidRDefault="007607B9" w:rsidP="007607B9">
      <w:pPr>
        <w:overflowPunct/>
        <w:autoSpaceDE/>
        <w:autoSpaceDN/>
        <w:adjustRightInd/>
        <w:spacing w:after="160" w:line="480" w:lineRule="auto"/>
        <w:ind w:left="720"/>
        <w:textAlignment w:val="auto"/>
        <w:rPr>
          <w:rFonts w:asciiTheme="minorHAnsi" w:eastAsiaTheme="minorHAnsi" w:hAnsiTheme="minorHAnsi" w:cstheme="minorBidi"/>
          <w:i/>
          <w:iCs/>
          <w:color w:val="auto"/>
          <w:sz w:val="22"/>
          <w:szCs w:val="22"/>
          <w:lang w:eastAsia="en-US"/>
        </w:rPr>
      </w:pPr>
      <w:r w:rsidRPr="007607B9">
        <w:rPr>
          <w:rFonts w:asciiTheme="minorHAnsi" w:eastAsiaTheme="minorHAnsi" w:hAnsiTheme="minorHAnsi" w:cstheme="minorBidi"/>
          <w:i/>
          <w:iCs/>
          <w:color w:val="auto"/>
          <w:sz w:val="22"/>
          <w:szCs w:val="22"/>
          <w:lang w:eastAsia="en-US"/>
        </w:rPr>
        <w:t xml:space="preserve">A and B are each aged sixteen or over and are personally connected to each other, and, </w:t>
      </w:r>
    </w:p>
    <w:p w14:paraId="1D678996" w14:textId="77777777" w:rsidR="007607B9" w:rsidRPr="007607B9" w:rsidRDefault="007607B9" w:rsidP="007607B9">
      <w:pPr>
        <w:overflowPunct/>
        <w:autoSpaceDE/>
        <w:autoSpaceDN/>
        <w:adjustRightInd/>
        <w:spacing w:after="160" w:line="480" w:lineRule="auto"/>
        <w:ind w:left="720"/>
        <w:textAlignment w:val="auto"/>
        <w:rPr>
          <w:rFonts w:asciiTheme="minorHAnsi" w:eastAsiaTheme="minorHAnsi" w:hAnsiTheme="minorHAnsi" w:cstheme="minorBidi"/>
          <w:i/>
          <w:iCs/>
          <w:color w:val="auto"/>
          <w:sz w:val="22"/>
          <w:szCs w:val="22"/>
          <w:lang w:eastAsia="en-US"/>
        </w:rPr>
      </w:pPr>
      <w:r w:rsidRPr="007607B9">
        <w:rPr>
          <w:rFonts w:asciiTheme="minorHAnsi" w:eastAsiaTheme="minorHAnsi" w:hAnsiTheme="minorHAnsi" w:cstheme="minorBidi"/>
          <w:i/>
          <w:iCs/>
          <w:color w:val="auto"/>
          <w:sz w:val="22"/>
          <w:szCs w:val="22"/>
          <w:lang w:eastAsia="en-US"/>
        </w:rPr>
        <w:t>The behaviour is abusive.”</w:t>
      </w:r>
    </w:p>
    <w:p w14:paraId="2816094D" w14:textId="77777777" w:rsidR="007607B9" w:rsidRPr="007607B9" w:rsidRDefault="007607B9" w:rsidP="007607B9">
      <w:pPr>
        <w:overflowPunct/>
        <w:autoSpaceDE/>
        <w:autoSpaceDN/>
        <w:adjustRightInd/>
        <w:spacing w:after="160" w:line="480" w:lineRule="auto"/>
        <w:ind w:left="720"/>
        <w:jc w:val="right"/>
        <w:textAlignment w:val="auto"/>
        <w:rPr>
          <w:rFonts w:asciiTheme="minorHAnsi" w:eastAsiaTheme="minorHAnsi" w:hAnsiTheme="minorHAnsi" w:cstheme="minorBidi"/>
          <w:i/>
          <w:iCs/>
          <w:color w:val="auto"/>
          <w:sz w:val="22"/>
          <w:szCs w:val="22"/>
          <w:lang w:eastAsia="en-US"/>
        </w:rPr>
      </w:pPr>
      <w:sdt>
        <w:sdtPr>
          <w:rPr>
            <w:rFonts w:asciiTheme="minorHAnsi" w:eastAsiaTheme="minorHAnsi" w:hAnsiTheme="minorHAnsi" w:cstheme="minorBidi"/>
            <w:i/>
            <w:iCs/>
            <w:color w:val="auto"/>
            <w:sz w:val="22"/>
            <w:szCs w:val="22"/>
            <w:lang w:eastAsia="en-US"/>
          </w:rPr>
          <w:id w:val="1374808870"/>
          <w:citation/>
        </w:sdtPr>
        <w:sdtContent>
          <w:r w:rsidRPr="007607B9">
            <w:rPr>
              <w:rFonts w:asciiTheme="minorHAnsi" w:eastAsiaTheme="minorHAnsi" w:hAnsiTheme="minorHAnsi" w:cstheme="minorBidi"/>
              <w:i/>
              <w:iCs/>
              <w:color w:val="auto"/>
              <w:sz w:val="22"/>
              <w:szCs w:val="22"/>
              <w:lang w:eastAsia="en-US"/>
            </w:rPr>
            <w:fldChar w:fldCharType="begin"/>
          </w:r>
          <w:r w:rsidRPr="007607B9">
            <w:rPr>
              <w:rFonts w:asciiTheme="minorHAnsi" w:eastAsiaTheme="minorHAnsi" w:hAnsiTheme="minorHAnsi" w:cstheme="minorBidi"/>
              <w:i/>
              <w:iCs/>
              <w:color w:val="auto"/>
              <w:sz w:val="22"/>
              <w:szCs w:val="22"/>
              <w:lang w:eastAsia="en-US"/>
            </w:rPr>
            <w:instrText xml:space="preserve"> CITATION Leg21 \l 2057 </w:instrText>
          </w:r>
          <w:r w:rsidRPr="007607B9">
            <w:rPr>
              <w:rFonts w:asciiTheme="minorHAnsi" w:eastAsiaTheme="minorHAnsi" w:hAnsiTheme="minorHAnsi" w:cstheme="minorBidi"/>
              <w:i/>
              <w:iCs/>
              <w:color w:val="auto"/>
              <w:sz w:val="22"/>
              <w:szCs w:val="22"/>
              <w:lang w:eastAsia="en-US"/>
            </w:rPr>
            <w:fldChar w:fldCharType="separate"/>
          </w:r>
          <w:r w:rsidRPr="007607B9">
            <w:rPr>
              <w:rFonts w:asciiTheme="minorHAnsi" w:eastAsiaTheme="minorHAnsi" w:hAnsiTheme="minorHAnsi" w:cstheme="minorBidi"/>
              <w:i/>
              <w:iCs/>
              <w:noProof/>
              <w:color w:val="auto"/>
              <w:sz w:val="22"/>
              <w:szCs w:val="22"/>
              <w:lang w:eastAsia="en-US"/>
            </w:rPr>
            <w:t xml:space="preserve"> </w:t>
          </w:r>
          <w:r w:rsidRPr="007607B9">
            <w:rPr>
              <w:rFonts w:asciiTheme="minorHAnsi" w:eastAsiaTheme="minorHAnsi" w:hAnsiTheme="minorHAnsi" w:cstheme="minorBidi"/>
              <w:noProof/>
              <w:color w:val="auto"/>
              <w:sz w:val="22"/>
              <w:szCs w:val="22"/>
              <w:lang w:eastAsia="en-US"/>
            </w:rPr>
            <w:t>(Legislation.gov.uk, 2021)</w:t>
          </w:r>
          <w:r w:rsidRPr="007607B9">
            <w:rPr>
              <w:rFonts w:asciiTheme="minorHAnsi" w:eastAsiaTheme="minorHAnsi" w:hAnsiTheme="minorHAnsi" w:cstheme="minorBidi"/>
              <w:i/>
              <w:iCs/>
              <w:color w:val="auto"/>
              <w:sz w:val="22"/>
              <w:szCs w:val="22"/>
              <w:lang w:eastAsia="en-US"/>
            </w:rPr>
            <w:fldChar w:fldCharType="end"/>
          </w:r>
        </w:sdtContent>
      </w:sdt>
    </w:p>
    <w:p w14:paraId="706F963A" w14:textId="77777777" w:rsidR="007607B9" w:rsidRPr="007607B9" w:rsidRDefault="007607B9" w:rsidP="007607B9">
      <w:pPr>
        <w:overflowPunct/>
        <w:autoSpaceDE/>
        <w:autoSpaceDN/>
        <w:adjustRightInd/>
        <w:spacing w:after="160" w:line="480" w:lineRule="auto"/>
        <w:textAlignment w:val="auto"/>
        <w:rPr>
          <w:rFonts w:asciiTheme="minorHAnsi" w:eastAsiaTheme="minorHAnsi" w:hAnsiTheme="minorHAnsi" w:cstheme="minorBidi"/>
          <w:i/>
          <w:iCs/>
          <w:color w:val="auto"/>
          <w:sz w:val="22"/>
          <w:szCs w:val="22"/>
          <w:lang w:eastAsia="en-US"/>
        </w:rPr>
      </w:pPr>
    </w:p>
    <w:p w14:paraId="03E32550" w14:textId="77777777" w:rsidR="007607B9" w:rsidRPr="007607B9" w:rsidRDefault="007607B9" w:rsidP="007607B9">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7607B9">
        <w:rPr>
          <w:rFonts w:asciiTheme="minorHAnsi" w:eastAsiaTheme="minorHAnsi" w:hAnsiTheme="minorHAnsi" w:cstheme="minorBidi"/>
          <w:color w:val="auto"/>
          <w:sz w:val="22"/>
          <w:szCs w:val="22"/>
          <w:lang w:eastAsia="en-US"/>
        </w:rPr>
        <w:t xml:space="preserve">The act then divulges different forms of domestic abuse such as: ‘physical or sexual abuse, violent or threatening behaviour, controlling or coercive behaviour, economic abuse, psychological, emotional or other abuse’ </w:t>
      </w:r>
      <w:sdt>
        <w:sdtPr>
          <w:rPr>
            <w:rFonts w:asciiTheme="minorHAnsi" w:eastAsiaTheme="minorHAnsi" w:hAnsiTheme="minorHAnsi" w:cstheme="minorBidi"/>
            <w:color w:val="auto"/>
            <w:sz w:val="22"/>
            <w:szCs w:val="22"/>
            <w:lang w:eastAsia="en-US"/>
          </w:rPr>
          <w:id w:val="-1524243479"/>
          <w:citation/>
        </w:sdtPr>
        <w:sdtContent>
          <w:r w:rsidRPr="007607B9">
            <w:rPr>
              <w:rFonts w:asciiTheme="minorHAnsi" w:eastAsiaTheme="minorHAnsi" w:hAnsiTheme="minorHAnsi" w:cstheme="minorBidi"/>
              <w:color w:val="auto"/>
              <w:sz w:val="22"/>
              <w:szCs w:val="22"/>
              <w:lang w:eastAsia="en-US"/>
            </w:rPr>
            <w:fldChar w:fldCharType="begin"/>
          </w:r>
          <w:r w:rsidRPr="007607B9">
            <w:rPr>
              <w:rFonts w:asciiTheme="minorHAnsi" w:eastAsiaTheme="minorHAnsi" w:hAnsiTheme="minorHAnsi" w:cstheme="minorBidi"/>
              <w:color w:val="auto"/>
              <w:sz w:val="22"/>
              <w:szCs w:val="22"/>
              <w:lang w:eastAsia="en-US"/>
            </w:rPr>
            <w:instrText xml:space="preserve"> CITATION Leg21 \l 2057 </w:instrText>
          </w:r>
          <w:r w:rsidRPr="007607B9">
            <w:rPr>
              <w:rFonts w:asciiTheme="minorHAnsi" w:eastAsiaTheme="minorHAnsi" w:hAnsiTheme="minorHAnsi" w:cstheme="minorBidi"/>
              <w:color w:val="auto"/>
              <w:sz w:val="22"/>
              <w:szCs w:val="22"/>
              <w:lang w:eastAsia="en-US"/>
            </w:rPr>
            <w:fldChar w:fldCharType="separate"/>
          </w:r>
          <w:r w:rsidRPr="007607B9">
            <w:rPr>
              <w:rFonts w:asciiTheme="minorHAnsi" w:eastAsiaTheme="minorHAnsi" w:hAnsiTheme="minorHAnsi" w:cstheme="minorBidi"/>
              <w:noProof/>
              <w:color w:val="auto"/>
              <w:sz w:val="22"/>
              <w:szCs w:val="22"/>
              <w:lang w:eastAsia="en-US"/>
            </w:rPr>
            <w:t xml:space="preserve"> (Legislation.gov.uk, 2021)</w:t>
          </w:r>
          <w:r w:rsidRPr="007607B9">
            <w:rPr>
              <w:rFonts w:asciiTheme="minorHAnsi" w:eastAsiaTheme="minorHAnsi" w:hAnsiTheme="minorHAnsi" w:cstheme="minorBidi"/>
              <w:color w:val="auto"/>
              <w:sz w:val="22"/>
              <w:szCs w:val="22"/>
              <w:lang w:eastAsia="en-US"/>
            </w:rPr>
            <w:fldChar w:fldCharType="end"/>
          </w:r>
        </w:sdtContent>
      </w:sdt>
      <w:r w:rsidRPr="007607B9">
        <w:rPr>
          <w:rFonts w:asciiTheme="minorHAnsi" w:eastAsiaTheme="minorHAnsi" w:hAnsiTheme="minorHAnsi" w:cstheme="minorBidi"/>
          <w:color w:val="auto"/>
          <w:sz w:val="22"/>
          <w:szCs w:val="22"/>
          <w:lang w:eastAsia="en-US"/>
        </w:rPr>
        <w:t xml:space="preserve">. </w:t>
      </w:r>
    </w:p>
    <w:p w14:paraId="3C1B1374" w14:textId="77777777" w:rsidR="007607B9" w:rsidRPr="007607B9" w:rsidRDefault="007607B9" w:rsidP="007607B9">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p>
    <w:p w14:paraId="75C6151D" w14:textId="77777777" w:rsidR="007607B9" w:rsidRPr="007607B9" w:rsidRDefault="007607B9" w:rsidP="007607B9">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7607B9">
        <w:rPr>
          <w:rFonts w:asciiTheme="minorHAnsi" w:eastAsiaTheme="minorHAnsi" w:hAnsiTheme="minorHAnsi" w:cstheme="minorBidi"/>
          <w:color w:val="auto"/>
          <w:sz w:val="22"/>
          <w:szCs w:val="22"/>
          <w:lang w:eastAsia="en-US"/>
        </w:rPr>
        <w:t xml:space="preserve">For the purpose of this essay, I shall critically assess challenges associated with a domestic abuse incident I attended, and the strategies developed for effective policing in challenging situations. </w:t>
      </w:r>
      <w:r w:rsidRPr="007607B9">
        <w:rPr>
          <w:rFonts w:asciiTheme="minorHAnsi" w:eastAsiaTheme="minorHAnsi" w:hAnsiTheme="minorHAnsi" w:cstheme="minorHAnsi"/>
          <w:color w:val="auto"/>
          <w:sz w:val="22"/>
          <w:szCs w:val="22"/>
          <w:lang w:eastAsia="en-US"/>
        </w:rPr>
        <w:t xml:space="preserve">Nota bene, </w:t>
      </w:r>
      <w:r w:rsidRPr="007607B9">
        <w:rPr>
          <w:rFonts w:asciiTheme="minorHAnsi" w:eastAsiaTheme="minorHAnsi" w:hAnsiTheme="minorHAnsi" w:cstheme="minorHAnsi"/>
          <w:color w:val="4D5156"/>
          <w:sz w:val="22"/>
          <w:szCs w:val="22"/>
          <w:shd w:val="clear" w:color="auto" w:fill="FFFFFF"/>
          <w:lang w:eastAsia="en-US"/>
        </w:rPr>
        <w:t>all personal information relating to the incident have been redacted to keep all persons involved anonymous. The offender and victim in this incident shall be referred to as such.</w:t>
      </w:r>
    </w:p>
    <w:p w14:paraId="4B2500C8" w14:textId="77777777" w:rsidR="007607B9" w:rsidRPr="007607B9" w:rsidRDefault="007607B9" w:rsidP="007607B9">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p>
    <w:p w14:paraId="659BCD40" w14:textId="77777777" w:rsidR="007607B9" w:rsidRPr="007607B9" w:rsidRDefault="007607B9" w:rsidP="007607B9">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7607B9">
        <w:rPr>
          <w:rFonts w:asciiTheme="minorHAnsi" w:eastAsiaTheme="minorHAnsi" w:hAnsiTheme="minorHAnsi" w:cstheme="minorBidi"/>
          <w:color w:val="auto"/>
          <w:sz w:val="22"/>
          <w:szCs w:val="22"/>
          <w:lang w:eastAsia="en-US"/>
        </w:rPr>
        <w:t xml:space="preserve"> In 2022, I attended a domestic related incident where it was reported that the offender had assaulted the reporting person by punching them to the face twice. Additionally, it was reported that the offender had left the location and was in possession of a key to the address. Prior to attending the location, I activated my Body Worn Video Camera as per force guidelines when attending any form of domestic related incident. When I arrived at the location, I spoke with the victim and asked her to disclose the events which led up to the alleged assault. Whilst speaking with the victim, I noticed she had a small swollen laceration above her right eye and visible bruising.  The victim then discussed the incident with me, disclosing that there were two young children at the address. The victim did not support any form of police action and was not open to being signposted to support services as they had previously failed her in the past. </w:t>
      </w:r>
    </w:p>
    <w:p w14:paraId="251DECDD" w14:textId="77777777" w:rsidR="007607B9" w:rsidRPr="007607B9" w:rsidRDefault="007607B9" w:rsidP="007607B9">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p>
    <w:p w14:paraId="0814A13F" w14:textId="77777777" w:rsidR="007607B9" w:rsidRPr="007607B9" w:rsidRDefault="007607B9" w:rsidP="007607B9">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7607B9">
        <w:rPr>
          <w:rFonts w:asciiTheme="minorHAnsi" w:eastAsiaTheme="minorHAnsi" w:hAnsiTheme="minorHAnsi" w:cstheme="minorBidi"/>
          <w:color w:val="auto"/>
          <w:sz w:val="22"/>
          <w:szCs w:val="22"/>
          <w:lang w:eastAsia="en-US"/>
        </w:rPr>
        <w:t xml:space="preserve">I activated my Body Worn Video as it captures all evidence including the victim’s emotional state and initial disclosure. This ensured that everything said by the victim was accurately recorded for future scrutiny </w:t>
      </w:r>
      <w:sdt>
        <w:sdtPr>
          <w:rPr>
            <w:rFonts w:asciiTheme="minorHAnsi" w:eastAsiaTheme="minorHAnsi" w:hAnsiTheme="minorHAnsi" w:cstheme="minorBidi"/>
            <w:color w:val="auto"/>
            <w:sz w:val="22"/>
            <w:szCs w:val="22"/>
            <w:lang w:eastAsia="en-US"/>
          </w:rPr>
          <w:id w:val="337201295"/>
          <w:citation/>
        </w:sdtPr>
        <w:sdtContent>
          <w:r w:rsidRPr="007607B9">
            <w:rPr>
              <w:rFonts w:asciiTheme="minorHAnsi" w:eastAsiaTheme="minorHAnsi" w:hAnsiTheme="minorHAnsi" w:cstheme="minorBidi"/>
              <w:color w:val="auto"/>
              <w:sz w:val="22"/>
              <w:szCs w:val="22"/>
              <w:lang w:eastAsia="en-US"/>
            </w:rPr>
            <w:fldChar w:fldCharType="begin"/>
          </w:r>
          <w:r w:rsidRPr="007607B9">
            <w:rPr>
              <w:rFonts w:asciiTheme="minorHAnsi" w:eastAsiaTheme="minorHAnsi" w:hAnsiTheme="minorHAnsi" w:cstheme="minorBidi"/>
              <w:color w:val="auto"/>
              <w:sz w:val="22"/>
              <w:szCs w:val="22"/>
              <w:lang w:eastAsia="en-US"/>
            </w:rPr>
            <w:instrText xml:space="preserve">CITATION Bry20 \p 302-303 \l 2057 </w:instrText>
          </w:r>
          <w:r w:rsidRPr="007607B9">
            <w:rPr>
              <w:rFonts w:asciiTheme="minorHAnsi" w:eastAsiaTheme="minorHAnsi" w:hAnsiTheme="minorHAnsi" w:cstheme="minorBidi"/>
              <w:color w:val="auto"/>
              <w:sz w:val="22"/>
              <w:szCs w:val="22"/>
              <w:lang w:eastAsia="en-US"/>
            </w:rPr>
            <w:fldChar w:fldCharType="separate"/>
          </w:r>
          <w:r w:rsidRPr="007607B9">
            <w:rPr>
              <w:rFonts w:asciiTheme="minorHAnsi" w:eastAsiaTheme="minorHAnsi" w:hAnsiTheme="minorHAnsi" w:cstheme="minorBidi"/>
              <w:noProof/>
              <w:color w:val="auto"/>
              <w:sz w:val="22"/>
              <w:szCs w:val="22"/>
              <w:lang w:eastAsia="en-US"/>
            </w:rPr>
            <w:t>(Bryant &amp; Bryant, 2020, pp. 302-303)</w:t>
          </w:r>
          <w:r w:rsidRPr="007607B9">
            <w:rPr>
              <w:rFonts w:asciiTheme="minorHAnsi" w:eastAsiaTheme="minorHAnsi" w:hAnsiTheme="minorHAnsi" w:cstheme="minorBidi"/>
              <w:color w:val="auto"/>
              <w:sz w:val="22"/>
              <w:szCs w:val="22"/>
              <w:lang w:eastAsia="en-US"/>
            </w:rPr>
            <w:fldChar w:fldCharType="end"/>
          </w:r>
        </w:sdtContent>
      </w:sdt>
      <w:r w:rsidRPr="007607B9">
        <w:rPr>
          <w:rFonts w:asciiTheme="minorHAnsi" w:eastAsiaTheme="minorHAnsi" w:hAnsiTheme="minorHAnsi" w:cstheme="minorBidi"/>
          <w:color w:val="auto"/>
          <w:sz w:val="22"/>
          <w:szCs w:val="22"/>
          <w:lang w:eastAsia="en-US"/>
        </w:rPr>
        <w:t xml:space="preserve"> and achieved best evidence in the Golden Hour</w:t>
      </w:r>
      <w:sdt>
        <w:sdtPr>
          <w:rPr>
            <w:rFonts w:asciiTheme="minorHAnsi" w:eastAsiaTheme="minorHAnsi" w:hAnsiTheme="minorHAnsi" w:cstheme="minorBidi"/>
            <w:color w:val="auto"/>
            <w:sz w:val="22"/>
            <w:szCs w:val="22"/>
            <w:lang w:eastAsia="en-US"/>
          </w:rPr>
          <w:id w:val="-149676423"/>
          <w:citation/>
        </w:sdtPr>
        <w:sdtContent>
          <w:r w:rsidRPr="007607B9">
            <w:rPr>
              <w:rFonts w:asciiTheme="minorHAnsi" w:eastAsiaTheme="minorHAnsi" w:hAnsiTheme="minorHAnsi" w:cstheme="minorBidi"/>
              <w:color w:val="auto"/>
              <w:sz w:val="22"/>
              <w:szCs w:val="22"/>
              <w:lang w:eastAsia="en-US"/>
            </w:rPr>
            <w:fldChar w:fldCharType="begin"/>
          </w:r>
          <w:r w:rsidRPr="007607B9">
            <w:rPr>
              <w:rFonts w:asciiTheme="minorHAnsi" w:eastAsiaTheme="minorHAnsi" w:hAnsiTheme="minorHAnsi" w:cstheme="minorBidi"/>
              <w:color w:val="auto"/>
              <w:sz w:val="22"/>
              <w:szCs w:val="22"/>
              <w:lang w:eastAsia="en-US"/>
            </w:rPr>
            <w:instrText xml:space="preserve">CITATION Bry20 \p "235, 556-567" \l 2057 </w:instrText>
          </w:r>
          <w:r w:rsidRPr="007607B9">
            <w:rPr>
              <w:rFonts w:asciiTheme="minorHAnsi" w:eastAsiaTheme="minorHAnsi" w:hAnsiTheme="minorHAnsi" w:cstheme="minorBidi"/>
              <w:color w:val="auto"/>
              <w:sz w:val="22"/>
              <w:szCs w:val="22"/>
              <w:lang w:eastAsia="en-US"/>
            </w:rPr>
            <w:fldChar w:fldCharType="separate"/>
          </w:r>
          <w:r w:rsidRPr="007607B9">
            <w:rPr>
              <w:rFonts w:asciiTheme="minorHAnsi" w:eastAsiaTheme="minorHAnsi" w:hAnsiTheme="minorHAnsi" w:cstheme="minorBidi"/>
              <w:noProof/>
              <w:color w:val="auto"/>
              <w:sz w:val="22"/>
              <w:szCs w:val="22"/>
              <w:lang w:eastAsia="en-US"/>
            </w:rPr>
            <w:t xml:space="preserve"> (Bryant &amp; Bryant, 2020, pp. 235, 556-567)</w:t>
          </w:r>
          <w:r w:rsidRPr="007607B9">
            <w:rPr>
              <w:rFonts w:asciiTheme="minorHAnsi" w:eastAsiaTheme="minorHAnsi" w:hAnsiTheme="minorHAnsi" w:cstheme="minorBidi"/>
              <w:color w:val="auto"/>
              <w:sz w:val="22"/>
              <w:szCs w:val="22"/>
              <w:lang w:eastAsia="en-US"/>
            </w:rPr>
            <w:fldChar w:fldCharType="end"/>
          </w:r>
        </w:sdtContent>
      </w:sdt>
      <w:r w:rsidRPr="007607B9">
        <w:rPr>
          <w:rFonts w:asciiTheme="minorHAnsi" w:eastAsiaTheme="minorHAnsi" w:hAnsiTheme="minorHAnsi" w:cstheme="minorBidi"/>
          <w:color w:val="auto"/>
          <w:sz w:val="22"/>
          <w:szCs w:val="22"/>
          <w:lang w:eastAsia="en-US"/>
        </w:rPr>
        <w:t xml:space="preserve">. Body Worn Video evidence captures everything in front of the officer, meaning that it cannot be disputed. It is also taken into consideration in court when progressing a domestic related incident as it is the initial disclosure from the victim.  </w:t>
      </w:r>
    </w:p>
    <w:p w14:paraId="1A7AA1E4" w14:textId="77777777" w:rsidR="007607B9" w:rsidRPr="007607B9" w:rsidRDefault="007607B9" w:rsidP="007607B9">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p>
    <w:p w14:paraId="6DA15D8D" w14:textId="77777777" w:rsidR="007607B9" w:rsidRPr="007607B9" w:rsidRDefault="007607B9" w:rsidP="007607B9">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7607B9">
        <w:rPr>
          <w:rFonts w:asciiTheme="minorHAnsi" w:eastAsiaTheme="minorHAnsi" w:hAnsiTheme="minorHAnsi" w:cstheme="minorBidi"/>
          <w:color w:val="auto"/>
          <w:sz w:val="22"/>
          <w:szCs w:val="22"/>
          <w:lang w:eastAsia="en-US"/>
        </w:rPr>
        <w:t>The incident raised several challenges which prompted me to use specific policing strategies to provide a comprehensive level of service to the victim; ensuring that she was safeguarded and that her needs were met. The main priority when attending any domestic related incident, is to ensure the safety and welfare of all persons involved</w:t>
      </w:r>
      <w:sdt>
        <w:sdtPr>
          <w:rPr>
            <w:rFonts w:asciiTheme="minorHAnsi" w:eastAsiaTheme="minorHAnsi" w:hAnsiTheme="minorHAnsi" w:cstheme="minorBidi"/>
            <w:color w:val="auto"/>
            <w:sz w:val="22"/>
            <w:szCs w:val="22"/>
            <w:lang w:eastAsia="en-US"/>
          </w:rPr>
          <w:id w:val="836043340"/>
          <w:citation/>
        </w:sdtPr>
        <w:sdtContent>
          <w:r w:rsidRPr="007607B9">
            <w:rPr>
              <w:rFonts w:asciiTheme="minorHAnsi" w:eastAsiaTheme="minorHAnsi" w:hAnsiTheme="minorHAnsi" w:cstheme="minorBidi"/>
              <w:color w:val="auto"/>
              <w:sz w:val="22"/>
              <w:szCs w:val="22"/>
              <w:lang w:eastAsia="en-US"/>
            </w:rPr>
            <w:fldChar w:fldCharType="begin"/>
          </w:r>
          <w:r w:rsidRPr="007607B9">
            <w:rPr>
              <w:rFonts w:asciiTheme="minorHAnsi" w:eastAsiaTheme="minorHAnsi" w:hAnsiTheme="minorHAnsi" w:cstheme="minorBidi"/>
              <w:color w:val="auto"/>
              <w:sz w:val="22"/>
              <w:szCs w:val="22"/>
              <w:lang w:eastAsia="en-US"/>
            </w:rPr>
            <w:instrText xml:space="preserve">CITATION Bry20 \p "302 - 303" \l 2057 </w:instrText>
          </w:r>
          <w:r w:rsidRPr="007607B9">
            <w:rPr>
              <w:rFonts w:asciiTheme="minorHAnsi" w:eastAsiaTheme="minorHAnsi" w:hAnsiTheme="minorHAnsi" w:cstheme="minorBidi"/>
              <w:color w:val="auto"/>
              <w:sz w:val="22"/>
              <w:szCs w:val="22"/>
              <w:lang w:eastAsia="en-US"/>
            </w:rPr>
            <w:fldChar w:fldCharType="separate"/>
          </w:r>
          <w:r w:rsidRPr="007607B9">
            <w:rPr>
              <w:rFonts w:asciiTheme="minorHAnsi" w:eastAsiaTheme="minorHAnsi" w:hAnsiTheme="minorHAnsi" w:cstheme="minorBidi"/>
              <w:noProof/>
              <w:color w:val="auto"/>
              <w:sz w:val="22"/>
              <w:szCs w:val="22"/>
              <w:lang w:eastAsia="en-US"/>
            </w:rPr>
            <w:t xml:space="preserve"> (Bryant &amp; Bryant, 2020, pp. 302 - 303)</w:t>
          </w:r>
          <w:r w:rsidRPr="007607B9">
            <w:rPr>
              <w:rFonts w:asciiTheme="minorHAnsi" w:eastAsiaTheme="minorHAnsi" w:hAnsiTheme="minorHAnsi" w:cstheme="minorBidi"/>
              <w:color w:val="auto"/>
              <w:sz w:val="22"/>
              <w:szCs w:val="22"/>
              <w:lang w:eastAsia="en-US"/>
            </w:rPr>
            <w:fldChar w:fldCharType="end"/>
          </w:r>
        </w:sdtContent>
      </w:sdt>
      <w:r w:rsidRPr="007607B9">
        <w:rPr>
          <w:rFonts w:asciiTheme="minorHAnsi" w:eastAsiaTheme="minorHAnsi" w:hAnsiTheme="minorHAnsi" w:cstheme="minorBidi"/>
          <w:color w:val="auto"/>
          <w:sz w:val="22"/>
          <w:szCs w:val="22"/>
          <w:lang w:eastAsia="en-US"/>
        </w:rPr>
        <w:t xml:space="preserve">, which is one of the core principles of the role of the police service </w:t>
      </w:r>
      <w:sdt>
        <w:sdtPr>
          <w:rPr>
            <w:rFonts w:asciiTheme="minorHAnsi" w:eastAsiaTheme="minorHAnsi" w:hAnsiTheme="minorHAnsi" w:cstheme="minorBidi"/>
            <w:color w:val="auto"/>
            <w:sz w:val="22"/>
            <w:szCs w:val="22"/>
            <w:lang w:eastAsia="en-US"/>
          </w:rPr>
          <w:id w:val="-1665083353"/>
          <w:citation/>
        </w:sdtPr>
        <w:sdtContent>
          <w:r w:rsidRPr="007607B9">
            <w:rPr>
              <w:rFonts w:asciiTheme="minorHAnsi" w:eastAsiaTheme="minorHAnsi" w:hAnsiTheme="minorHAnsi" w:cstheme="minorBidi"/>
              <w:color w:val="auto"/>
              <w:sz w:val="22"/>
              <w:szCs w:val="22"/>
              <w:lang w:eastAsia="en-US"/>
            </w:rPr>
            <w:fldChar w:fldCharType="begin"/>
          </w:r>
          <w:r w:rsidRPr="007607B9">
            <w:rPr>
              <w:rFonts w:asciiTheme="minorHAnsi" w:eastAsiaTheme="minorHAnsi" w:hAnsiTheme="minorHAnsi" w:cstheme="minorBidi"/>
              <w:color w:val="auto"/>
              <w:sz w:val="22"/>
              <w:szCs w:val="22"/>
              <w:lang w:eastAsia="en-US"/>
            </w:rPr>
            <w:instrText xml:space="preserve"> CITATION The18 \l 2057 </w:instrText>
          </w:r>
          <w:r w:rsidRPr="007607B9">
            <w:rPr>
              <w:rFonts w:asciiTheme="minorHAnsi" w:eastAsiaTheme="minorHAnsi" w:hAnsiTheme="minorHAnsi" w:cstheme="minorBidi"/>
              <w:color w:val="auto"/>
              <w:sz w:val="22"/>
              <w:szCs w:val="22"/>
              <w:lang w:eastAsia="en-US"/>
            </w:rPr>
            <w:fldChar w:fldCharType="separate"/>
          </w:r>
          <w:r w:rsidRPr="007607B9">
            <w:rPr>
              <w:rFonts w:asciiTheme="minorHAnsi" w:eastAsiaTheme="minorHAnsi" w:hAnsiTheme="minorHAnsi" w:cstheme="minorBidi"/>
              <w:noProof/>
              <w:color w:val="auto"/>
              <w:sz w:val="22"/>
              <w:szCs w:val="22"/>
              <w:lang w:eastAsia="en-US"/>
            </w:rPr>
            <w:t>(The College of Policing, 2018)</w:t>
          </w:r>
          <w:r w:rsidRPr="007607B9">
            <w:rPr>
              <w:rFonts w:asciiTheme="minorHAnsi" w:eastAsiaTheme="minorHAnsi" w:hAnsiTheme="minorHAnsi" w:cstheme="minorBidi"/>
              <w:color w:val="auto"/>
              <w:sz w:val="22"/>
              <w:szCs w:val="22"/>
              <w:lang w:eastAsia="en-US"/>
            </w:rPr>
            <w:fldChar w:fldCharType="end"/>
          </w:r>
        </w:sdtContent>
      </w:sdt>
      <w:r w:rsidRPr="007607B9">
        <w:rPr>
          <w:rFonts w:asciiTheme="minorHAnsi" w:eastAsiaTheme="minorHAnsi" w:hAnsiTheme="minorHAnsi" w:cstheme="minorBidi"/>
          <w:color w:val="auto"/>
          <w:sz w:val="22"/>
          <w:szCs w:val="22"/>
          <w:lang w:eastAsia="en-US"/>
        </w:rPr>
        <w:t xml:space="preserve">. Specifically, this </w:t>
      </w:r>
      <w:r w:rsidRPr="007607B9">
        <w:rPr>
          <w:rFonts w:asciiTheme="minorHAnsi" w:eastAsiaTheme="minorHAnsi" w:hAnsiTheme="minorHAnsi" w:cstheme="minorBidi"/>
          <w:color w:val="auto"/>
          <w:sz w:val="22"/>
          <w:szCs w:val="22"/>
          <w:lang w:eastAsia="en-US"/>
        </w:rPr>
        <w:lastRenderedPageBreak/>
        <w:t xml:space="preserve">incident was challenging as not only were there children involved, but the offender had also fled the location with a key, and the victim had sustained an injury which may have needed medical attention. </w:t>
      </w:r>
    </w:p>
    <w:p w14:paraId="628ECD20" w14:textId="77777777" w:rsidR="007607B9" w:rsidRPr="007607B9" w:rsidRDefault="007607B9" w:rsidP="007607B9">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p>
    <w:p w14:paraId="1B603BD7" w14:textId="77777777" w:rsidR="007607B9" w:rsidRPr="007607B9" w:rsidRDefault="007607B9" w:rsidP="007607B9">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7607B9">
        <w:rPr>
          <w:rFonts w:asciiTheme="minorHAnsi" w:eastAsiaTheme="minorHAnsi" w:hAnsiTheme="minorHAnsi" w:cstheme="minorBidi"/>
          <w:color w:val="auto"/>
          <w:sz w:val="22"/>
          <w:szCs w:val="22"/>
          <w:lang w:eastAsia="en-US"/>
        </w:rPr>
        <w:t>The most effective strategy in dealing with this situation would have been to call an ambulance to tend to the victim’s injuries and to change the locks on the door to prevent the offender from gaining access. However, in this situation, I asked the victim whether she wanted any medical attention, and she declined as her main priority was to ensure that her children were safe. As a result, I had to adapt strategy to tackle this challenge by using the National Decision-Making Model and a dynamic risk assessment.</w:t>
      </w:r>
    </w:p>
    <w:p w14:paraId="55E45A35" w14:textId="77777777" w:rsidR="007607B9" w:rsidRPr="007607B9" w:rsidRDefault="007607B9" w:rsidP="007607B9">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7607B9">
        <w:rPr>
          <w:rFonts w:asciiTheme="minorHAnsi" w:eastAsiaTheme="minorHAnsi" w:hAnsiTheme="minorHAnsi" w:cstheme="minorBidi"/>
          <w:noProof/>
          <w:color w:val="auto"/>
          <w:sz w:val="22"/>
          <w:szCs w:val="22"/>
          <w:lang w:eastAsia="en-US"/>
        </w:rPr>
        <w:drawing>
          <wp:inline distT="0" distB="0" distL="0" distR="0" wp14:anchorId="5AA5623C" wp14:editId="15B67862">
            <wp:extent cx="4600575" cy="4266662"/>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621560" cy="4286123"/>
                    </a:xfrm>
                    <a:prstGeom prst="rect">
                      <a:avLst/>
                    </a:prstGeom>
                    <a:noFill/>
                  </pic:spPr>
                </pic:pic>
              </a:graphicData>
            </a:graphic>
          </wp:inline>
        </w:drawing>
      </w:r>
    </w:p>
    <w:p w14:paraId="34657873" w14:textId="77777777" w:rsidR="007607B9" w:rsidRPr="007607B9" w:rsidRDefault="007607B9" w:rsidP="007607B9">
      <w:pPr>
        <w:overflowPunct/>
        <w:autoSpaceDE/>
        <w:autoSpaceDN/>
        <w:adjustRightInd/>
        <w:spacing w:after="160" w:line="480" w:lineRule="auto"/>
        <w:jc w:val="right"/>
        <w:textAlignment w:val="auto"/>
        <w:rPr>
          <w:rFonts w:asciiTheme="minorHAnsi" w:eastAsiaTheme="minorHAnsi" w:hAnsiTheme="minorHAnsi" w:cstheme="minorBidi"/>
          <w:color w:val="auto"/>
          <w:sz w:val="22"/>
          <w:szCs w:val="22"/>
          <w:lang w:eastAsia="en-US"/>
        </w:rPr>
      </w:pPr>
      <w:sdt>
        <w:sdtPr>
          <w:rPr>
            <w:rFonts w:asciiTheme="minorHAnsi" w:eastAsiaTheme="minorHAnsi" w:hAnsiTheme="minorHAnsi" w:cstheme="minorBidi"/>
            <w:color w:val="auto"/>
            <w:sz w:val="22"/>
            <w:szCs w:val="22"/>
            <w:lang w:eastAsia="en-US"/>
          </w:rPr>
          <w:id w:val="-1986383746"/>
          <w:citation/>
        </w:sdtPr>
        <w:sdtContent>
          <w:r w:rsidRPr="007607B9">
            <w:rPr>
              <w:rFonts w:asciiTheme="minorHAnsi" w:eastAsiaTheme="minorHAnsi" w:hAnsiTheme="minorHAnsi" w:cstheme="minorBidi"/>
              <w:color w:val="auto"/>
              <w:sz w:val="22"/>
              <w:szCs w:val="22"/>
              <w:lang w:eastAsia="en-US"/>
            </w:rPr>
            <w:fldChar w:fldCharType="begin"/>
          </w:r>
          <w:r w:rsidRPr="007607B9">
            <w:rPr>
              <w:rFonts w:asciiTheme="minorHAnsi" w:eastAsiaTheme="minorHAnsi" w:hAnsiTheme="minorHAnsi" w:cstheme="minorBidi"/>
              <w:color w:val="auto"/>
              <w:sz w:val="22"/>
              <w:szCs w:val="22"/>
              <w:lang w:eastAsia="en-US"/>
            </w:rPr>
            <w:instrText xml:space="preserve"> CITATION The14 \l 2057 </w:instrText>
          </w:r>
          <w:r w:rsidRPr="007607B9">
            <w:rPr>
              <w:rFonts w:asciiTheme="minorHAnsi" w:eastAsiaTheme="minorHAnsi" w:hAnsiTheme="minorHAnsi" w:cstheme="minorBidi"/>
              <w:color w:val="auto"/>
              <w:sz w:val="22"/>
              <w:szCs w:val="22"/>
              <w:lang w:eastAsia="en-US"/>
            </w:rPr>
            <w:fldChar w:fldCharType="separate"/>
          </w:r>
          <w:r w:rsidRPr="007607B9">
            <w:rPr>
              <w:rFonts w:asciiTheme="minorHAnsi" w:eastAsiaTheme="minorHAnsi" w:hAnsiTheme="minorHAnsi" w:cstheme="minorBidi"/>
              <w:noProof/>
              <w:color w:val="auto"/>
              <w:sz w:val="22"/>
              <w:szCs w:val="22"/>
              <w:lang w:eastAsia="en-US"/>
            </w:rPr>
            <w:t>(The College of Policing, 2014)</w:t>
          </w:r>
          <w:r w:rsidRPr="007607B9">
            <w:rPr>
              <w:rFonts w:asciiTheme="minorHAnsi" w:eastAsiaTheme="minorHAnsi" w:hAnsiTheme="minorHAnsi" w:cstheme="minorBidi"/>
              <w:color w:val="auto"/>
              <w:sz w:val="22"/>
              <w:szCs w:val="22"/>
              <w:lang w:eastAsia="en-US"/>
            </w:rPr>
            <w:fldChar w:fldCharType="end"/>
          </w:r>
        </w:sdtContent>
      </w:sdt>
      <w:r w:rsidRPr="007607B9">
        <w:rPr>
          <w:rFonts w:asciiTheme="minorHAnsi" w:eastAsiaTheme="minorHAnsi" w:hAnsiTheme="minorHAnsi" w:cstheme="minorBidi"/>
          <w:color w:val="auto"/>
          <w:sz w:val="22"/>
          <w:szCs w:val="22"/>
          <w:lang w:eastAsia="en-US"/>
        </w:rPr>
        <w:t xml:space="preserve"> </w:t>
      </w:r>
    </w:p>
    <w:p w14:paraId="33CA9B69" w14:textId="77777777" w:rsidR="007607B9" w:rsidRPr="007607B9" w:rsidRDefault="007607B9" w:rsidP="007607B9">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p>
    <w:p w14:paraId="7EB8D77E" w14:textId="77777777" w:rsidR="007607B9" w:rsidRPr="007607B9" w:rsidRDefault="007607B9" w:rsidP="007607B9">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7607B9">
        <w:rPr>
          <w:rFonts w:asciiTheme="minorHAnsi" w:eastAsiaTheme="minorHAnsi" w:hAnsiTheme="minorHAnsi" w:cstheme="minorBidi"/>
          <w:color w:val="auto"/>
          <w:sz w:val="22"/>
          <w:szCs w:val="22"/>
          <w:lang w:eastAsia="en-US"/>
        </w:rPr>
        <w:t xml:space="preserve">After encouraging the victim to seek medical aid, which she declined, I consulted the National Decision-Making Model and encouraged her to attend her General Practice Surgery in the morning, and to contact an ambulance should the injuries worsen. General response officers in my police service are not medically trained. Therefore, they do not constitute medical experts, and cannot professionally care for another person’s injuries, nor can they professionally determine the severity of an injury. As a result, it is clear how physical injuries can create challenges for police officers during domestic related incidents as they do not have the training, nor resources, to effectively deal with them. Police officers require third-party assistance from medical professionals. As this incident involved a low-level injury, I contacted the ambulance service who provided an over-the-phone consultation. They advised that there was no requirement to seek immediate medical aid. This challenge was therefore overcome by consulting the National-Decision Making Model and assessing the threat and risk, considering my options and contingencies, and then acting. In this case, I used a third-party agency to seek a professional opinion to influence my decision making thus achieving an appropriate outcome in relation to the victim’s injuries. </w:t>
      </w:r>
    </w:p>
    <w:p w14:paraId="14300080" w14:textId="77777777" w:rsidR="007607B9" w:rsidRPr="007607B9" w:rsidRDefault="007607B9" w:rsidP="007607B9">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p>
    <w:p w14:paraId="108FEE91" w14:textId="77777777" w:rsidR="007607B9" w:rsidRPr="007607B9" w:rsidRDefault="007607B9" w:rsidP="007607B9">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7607B9">
        <w:rPr>
          <w:rFonts w:asciiTheme="minorHAnsi" w:eastAsiaTheme="minorHAnsi" w:hAnsiTheme="minorHAnsi" w:cstheme="minorBidi"/>
          <w:color w:val="auto"/>
          <w:sz w:val="22"/>
          <w:szCs w:val="22"/>
          <w:lang w:eastAsia="en-US"/>
        </w:rPr>
        <w:t>After overcoming the challenge presented by the injury, I had to overcome the challenge of ensuring that the children were safe. To deal with this challenge, I conducted a welfare check on them. Fortunately, the children were safe and well in their bedroom. From speaking with them, I ascertained that they had not witnessed the incident. When I was satisfied that they were safe, I took their details from their mother so that I could add them to a Public Protection Notification (PPN).</w:t>
      </w:r>
    </w:p>
    <w:p w14:paraId="7CBFEFC3" w14:textId="77777777" w:rsidR="007607B9" w:rsidRPr="007607B9" w:rsidRDefault="007607B9" w:rsidP="007607B9">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p>
    <w:p w14:paraId="6A5E09CB" w14:textId="77777777" w:rsidR="007607B9" w:rsidRPr="007607B9" w:rsidRDefault="007607B9" w:rsidP="007607B9">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7607B9">
        <w:rPr>
          <w:rFonts w:asciiTheme="minorHAnsi" w:eastAsiaTheme="minorHAnsi" w:hAnsiTheme="minorHAnsi" w:cstheme="minorBidi"/>
          <w:color w:val="auto"/>
          <w:sz w:val="22"/>
          <w:szCs w:val="22"/>
          <w:lang w:eastAsia="en-US"/>
        </w:rPr>
        <w:lastRenderedPageBreak/>
        <w:t xml:space="preserve">In this case, the victim did not want to leave her address as she felt safe there. This was challenging as I had no policing power to remove the victim to a place of safety as she was in her dwelling and compos mentis. As a result, I had to identify other options and contingencies as directed in the National Decision-Making Model </w:t>
      </w:r>
      <w:sdt>
        <w:sdtPr>
          <w:rPr>
            <w:rFonts w:asciiTheme="minorHAnsi" w:eastAsiaTheme="minorHAnsi" w:hAnsiTheme="minorHAnsi" w:cstheme="minorBidi"/>
            <w:color w:val="auto"/>
            <w:sz w:val="22"/>
            <w:szCs w:val="22"/>
            <w:lang w:eastAsia="en-US"/>
          </w:rPr>
          <w:id w:val="638469305"/>
          <w:citation/>
        </w:sdtPr>
        <w:sdtContent>
          <w:r w:rsidRPr="007607B9">
            <w:rPr>
              <w:rFonts w:asciiTheme="minorHAnsi" w:eastAsiaTheme="minorHAnsi" w:hAnsiTheme="minorHAnsi" w:cstheme="minorBidi"/>
              <w:color w:val="auto"/>
              <w:sz w:val="22"/>
              <w:szCs w:val="22"/>
              <w:lang w:eastAsia="en-US"/>
            </w:rPr>
            <w:fldChar w:fldCharType="begin"/>
          </w:r>
          <w:r w:rsidRPr="007607B9">
            <w:rPr>
              <w:rFonts w:asciiTheme="minorHAnsi" w:eastAsiaTheme="minorHAnsi" w:hAnsiTheme="minorHAnsi" w:cstheme="minorBidi"/>
              <w:color w:val="auto"/>
              <w:sz w:val="22"/>
              <w:szCs w:val="22"/>
              <w:lang w:eastAsia="en-US"/>
            </w:rPr>
            <w:instrText xml:space="preserve"> CITATION The14 \l 2057 </w:instrText>
          </w:r>
          <w:r w:rsidRPr="007607B9">
            <w:rPr>
              <w:rFonts w:asciiTheme="minorHAnsi" w:eastAsiaTheme="minorHAnsi" w:hAnsiTheme="minorHAnsi" w:cstheme="minorBidi"/>
              <w:color w:val="auto"/>
              <w:sz w:val="22"/>
              <w:szCs w:val="22"/>
              <w:lang w:eastAsia="en-US"/>
            </w:rPr>
            <w:fldChar w:fldCharType="separate"/>
          </w:r>
          <w:r w:rsidRPr="007607B9">
            <w:rPr>
              <w:rFonts w:asciiTheme="minorHAnsi" w:eastAsiaTheme="minorHAnsi" w:hAnsiTheme="minorHAnsi" w:cstheme="minorBidi"/>
              <w:noProof/>
              <w:color w:val="auto"/>
              <w:sz w:val="22"/>
              <w:szCs w:val="22"/>
              <w:lang w:eastAsia="en-US"/>
            </w:rPr>
            <w:t>(The College of Policing, 2014)</w:t>
          </w:r>
          <w:r w:rsidRPr="007607B9">
            <w:rPr>
              <w:rFonts w:asciiTheme="minorHAnsi" w:eastAsiaTheme="minorHAnsi" w:hAnsiTheme="minorHAnsi" w:cstheme="minorBidi"/>
              <w:color w:val="auto"/>
              <w:sz w:val="22"/>
              <w:szCs w:val="22"/>
              <w:lang w:eastAsia="en-US"/>
            </w:rPr>
            <w:fldChar w:fldCharType="end"/>
          </w:r>
        </w:sdtContent>
      </w:sdt>
      <w:r w:rsidRPr="007607B9">
        <w:rPr>
          <w:rFonts w:asciiTheme="minorHAnsi" w:eastAsiaTheme="minorHAnsi" w:hAnsiTheme="minorHAnsi" w:cstheme="minorBidi"/>
          <w:color w:val="auto"/>
          <w:sz w:val="22"/>
          <w:szCs w:val="22"/>
          <w:lang w:eastAsia="en-US"/>
        </w:rPr>
        <w:t xml:space="preserve">. I discussed target hardening and crime prevention strategies with the victim to immediately safeguard her in her home address. I recommended that she lock her doors and ensure that there was a key in the front door to prevent the offender from gaining access. I then recommended that she contact the emergency services should he return. Additionally, I used the strategy of briefing my colleagues to keep a policing presence in the area. This increased the chances of arresting the offender and provided reassurance to the victim by conducting visible patrols. </w:t>
      </w:r>
    </w:p>
    <w:p w14:paraId="34AA97A0" w14:textId="77777777" w:rsidR="007607B9" w:rsidRPr="007607B9" w:rsidRDefault="007607B9" w:rsidP="007607B9">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p>
    <w:p w14:paraId="0F8797AA" w14:textId="77777777" w:rsidR="007607B9" w:rsidRPr="007607B9" w:rsidRDefault="007607B9" w:rsidP="007607B9">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7607B9">
        <w:rPr>
          <w:rFonts w:asciiTheme="minorHAnsi" w:eastAsiaTheme="minorHAnsi" w:hAnsiTheme="minorHAnsi" w:cstheme="minorBidi"/>
          <w:color w:val="auto"/>
          <w:sz w:val="22"/>
          <w:szCs w:val="22"/>
          <w:lang w:eastAsia="en-US"/>
        </w:rPr>
        <w:t xml:space="preserve">The most challenging part of this incident, which I find to be quite common with repeat victims of domestic abuse, is that the victim did not support any form of police action against the offender. Therefore, it was plausible to assume that the victim may allow the offender back into the address thus increasing her risk of further abuse. In common circumstances, the perpetrator would have been arrested at the scene of the offence to protect the victim and prevent any further physical injury being caused to any persons as in line with the Police and Criminal Evidence Act, Code G </w:t>
      </w:r>
      <w:sdt>
        <w:sdtPr>
          <w:rPr>
            <w:rFonts w:asciiTheme="minorHAnsi" w:eastAsiaTheme="minorHAnsi" w:hAnsiTheme="minorHAnsi" w:cstheme="minorBidi"/>
            <w:color w:val="auto"/>
            <w:sz w:val="22"/>
            <w:szCs w:val="22"/>
            <w:lang w:eastAsia="en-US"/>
          </w:rPr>
          <w:id w:val="167295064"/>
          <w:citation/>
        </w:sdtPr>
        <w:sdtContent>
          <w:r w:rsidRPr="007607B9">
            <w:rPr>
              <w:rFonts w:asciiTheme="minorHAnsi" w:eastAsiaTheme="minorHAnsi" w:hAnsiTheme="minorHAnsi" w:cstheme="minorBidi"/>
              <w:color w:val="auto"/>
              <w:sz w:val="22"/>
              <w:szCs w:val="22"/>
              <w:lang w:eastAsia="en-US"/>
            </w:rPr>
            <w:fldChar w:fldCharType="begin"/>
          </w:r>
          <w:r w:rsidRPr="007607B9">
            <w:rPr>
              <w:rFonts w:asciiTheme="minorHAnsi" w:eastAsiaTheme="minorHAnsi" w:hAnsiTheme="minorHAnsi" w:cstheme="minorBidi"/>
              <w:color w:val="auto"/>
              <w:sz w:val="22"/>
              <w:szCs w:val="22"/>
              <w:lang w:eastAsia="en-US"/>
            </w:rPr>
            <w:instrText xml:space="preserve"> CITATION The12 \l 2057 </w:instrText>
          </w:r>
          <w:r w:rsidRPr="007607B9">
            <w:rPr>
              <w:rFonts w:asciiTheme="minorHAnsi" w:eastAsiaTheme="minorHAnsi" w:hAnsiTheme="minorHAnsi" w:cstheme="minorBidi"/>
              <w:color w:val="auto"/>
              <w:sz w:val="22"/>
              <w:szCs w:val="22"/>
              <w:lang w:eastAsia="en-US"/>
            </w:rPr>
            <w:fldChar w:fldCharType="separate"/>
          </w:r>
          <w:r w:rsidRPr="007607B9">
            <w:rPr>
              <w:rFonts w:asciiTheme="minorHAnsi" w:eastAsiaTheme="minorHAnsi" w:hAnsiTheme="minorHAnsi" w:cstheme="minorBidi"/>
              <w:noProof/>
              <w:color w:val="auto"/>
              <w:sz w:val="22"/>
              <w:szCs w:val="22"/>
              <w:lang w:eastAsia="en-US"/>
            </w:rPr>
            <w:t>(The Home Office, 2012)</w:t>
          </w:r>
          <w:r w:rsidRPr="007607B9">
            <w:rPr>
              <w:rFonts w:asciiTheme="minorHAnsi" w:eastAsiaTheme="minorHAnsi" w:hAnsiTheme="minorHAnsi" w:cstheme="minorBidi"/>
              <w:color w:val="auto"/>
              <w:sz w:val="22"/>
              <w:szCs w:val="22"/>
              <w:lang w:eastAsia="en-US"/>
            </w:rPr>
            <w:fldChar w:fldCharType="end"/>
          </w:r>
        </w:sdtContent>
      </w:sdt>
      <w:r w:rsidRPr="007607B9">
        <w:rPr>
          <w:rFonts w:asciiTheme="minorHAnsi" w:eastAsiaTheme="minorHAnsi" w:hAnsiTheme="minorHAnsi" w:cstheme="minorBidi"/>
          <w:color w:val="auto"/>
          <w:sz w:val="22"/>
          <w:szCs w:val="22"/>
          <w:lang w:eastAsia="en-US"/>
        </w:rPr>
        <w:t>. To overcome this challenge, it was necessary that high priority arrest enquiries be conducted to protect the victim and prevent any further offences from occurring. This created a challenge for the whole of my response team, as it meant that a double-</w:t>
      </w:r>
      <w:proofErr w:type="spellStart"/>
      <w:r w:rsidRPr="007607B9">
        <w:rPr>
          <w:rFonts w:asciiTheme="minorHAnsi" w:eastAsiaTheme="minorHAnsi" w:hAnsiTheme="minorHAnsi" w:cstheme="minorBidi"/>
          <w:color w:val="auto"/>
          <w:sz w:val="22"/>
          <w:szCs w:val="22"/>
          <w:lang w:eastAsia="en-US"/>
        </w:rPr>
        <w:t>crewed</w:t>
      </w:r>
      <w:proofErr w:type="spellEnd"/>
      <w:r w:rsidRPr="007607B9">
        <w:rPr>
          <w:rFonts w:asciiTheme="minorHAnsi" w:eastAsiaTheme="minorHAnsi" w:hAnsiTheme="minorHAnsi" w:cstheme="minorBidi"/>
          <w:color w:val="auto"/>
          <w:sz w:val="22"/>
          <w:szCs w:val="22"/>
          <w:lang w:eastAsia="en-US"/>
        </w:rPr>
        <w:t xml:space="preserve"> unit was engaged with high priority arrest enquiries, leaving less officers for calls in an already under-resourced sector. The strategy of implementing high priority arrest enquiries is a double-edged sword. It meant that the chances of the offender being arrested were higher and there would be less likelihood further offences would occur; however, it meant that available police resources were fewer.</w:t>
      </w:r>
    </w:p>
    <w:p w14:paraId="5FD2139F" w14:textId="77777777" w:rsidR="007607B9" w:rsidRPr="007607B9" w:rsidRDefault="007607B9" w:rsidP="007607B9">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p>
    <w:p w14:paraId="1947A3D0" w14:textId="77777777" w:rsidR="007607B9" w:rsidRPr="007607B9" w:rsidRDefault="007607B9" w:rsidP="007607B9">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7607B9">
        <w:rPr>
          <w:rFonts w:asciiTheme="minorHAnsi" w:eastAsiaTheme="minorHAnsi" w:hAnsiTheme="minorHAnsi" w:cstheme="minorBidi"/>
          <w:color w:val="auto"/>
          <w:sz w:val="22"/>
          <w:szCs w:val="22"/>
          <w:lang w:eastAsia="en-US"/>
        </w:rPr>
        <w:lastRenderedPageBreak/>
        <w:t>When a domestic related incident has occurred, it is police policy to submit a PPN to the Public Protection Unit (PPU) to raise safeguarding concerns. In domestic situations, the PPN is adapted to incorporate twenty-seven specific questions which identify which risk factors may apply to the situation</w:t>
      </w:r>
      <w:sdt>
        <w:sdtPr>
          <w:rPr>
            <w:rFonts w:asciiTheme="minorHAnsi" w:eastAsiaTheme="minorHAnsi" w:hAnsiTheme="minorHAnsi" w:cstheme="minorBidi"/>
            <w:color w:val="auto"/>
            <w:sz w:val="22"/>
            <w:szCs w:val="22"/>
            <w:lang w:eastAsia="en-US"/>
          </w:rPr>
          <w:id w:val="881057201"/>
          <w:citation/>
        </w:sdtPr>
        <w:sdtContent>
          <w:r w:rsidRPr="007607B9">
            <w:rPr>
              <w:rFonts w:asciiTheme="minorHAnsi" w:eastAsiaTheme="minorHAnsi" w:hAnsiTheme="minorHAnsi" w:cstheme="minorBidi"/>
              <w:color w:val="auto"/>
              <w:sz w:val="22"/>
              <w:szCs w:val="22"/>
              <w:lang w:eastAsia="en-US"/>
            </w:rPr>
            <w:fldChar w:fldCharType="begin"/>
          </w:r>
          <w:r w:rsidRPr="007607B9">
            <w:rPr>
              <w:rFonts w:asciiTheme="minorHAnsi" w:eastAsiaTheme="minorHAnsi" w:hAnsiTheme="minorHAnsi" w:cstheme="minorBidi"/>
              <w:color w:val="auto"/>
              <w:sz w:val="22"/>
              <w:szCs w:val="22"/>
              <w:lang w:eastAsia="en-US"/>
            </w:rPr>
            <w:instrText xml:space="preserve">CITATION Bry20 \p 306 \l 2057 </w:instrText>
          </w:r>
          <w:r w:rsidRPr="007607B9">
            <w:rPr>
              <w:rFonts w:asciiTheme="minorHAnsi" w:eastAsiaTheme="minorHAnsi" w:hAnsiTheme="minorHAnsi" w:cstheme="minorBidi"/>
              <w:color w:val="auto"/>
              <w:sz w:val="22"/>
              <w:szCs w:val="22"/>
              <w:lang w:eastAsia="en-US"/>
            </w:rPr>
            <w:fldChar w:fldCharType="separate"/>
          </w:r>
          <w:r w:rsidRPr="007607B9">
            <w:rPr>
              <w:rFonts w:asciiTheme="minorHAnsi" w:eastAsiaTheme="minorHAnsi" w:hAnsiTheme="minorHAnsi" w:cstheme="minorBidi"/>
              <w:noProof/>
              <w:color w:val="auto"/>
              <w:sz w:val="22"/>
              <w:szCs w:val="22"/>
              <w:lang w:eastAsia="en-US"/>
            </w:rPr>
            <w:t xml:space="preserve"> (Bryant &amp; Bryant, 2020, p. 306)</w:t>
          </w:r>
          <w:r w:rsidRPr="007607B9">
            <w:rPr>
              <w:rFonts w:asciiTheme="minorHAnsi" w:eastAsiaTheme="minorHAnsi" w:hAnsiTheme="minorHAnsi" w:cstheme="minorBidi"/>
              <w:color w:val="auto"/>
              <w:sz w:val="22"/>
              <w:szCs w:val="22"/>
              <w:lang w:eastAsia="en-US"/>
            </w:rPr>
            <w:fldChar w:fldCharType="end"/>
          </w:r>
        </w:sdtContent>
      </w:sdt>
      <w:r w:rsidRPr="007607B9">
        <w:rPr>
          <w:rFonts w:asciiTheme="minorHAnsi" w:eastAsiaTheme="minorHAnsi" w:hAnsiTheme="minorHAnsi" w:cstheme="minorBidi"/>
          <w:color w:val="auto"/>
          <w:sz w:val="22"/>
          <w:szCs w:val="22"/>
          <w:lang w:eastAsia="en-US"/>
        </w:rPr>
        <w:t xml:space="preserve">. These questions are called the Domestic Abuse, Stalking and Harassment questions, commonly known as DASH. The principal goal of DASH is to identify risk within relationships and implement support to prevent domestic abuse through information sharing and multi-agency partnership working </w:t>
      </w:r>
      <w:sdt>
        <w:sdtPr>
          <w:rPr>
            <w:rFonts w:asciiTheme="minorHAnsi" w:eastAsiaTheme="minorHAnsi" w:hAnsiTheme="minorHAnsi" w:cstheme="minorBidi"/>
            <w:color w:val="auto"/>
            <w:sz w:val="22"/>
            <w:szCs w:val="22"/>
            <w:lang w:eastAsia="en-US"/>
          </w:rPr>
          <w:id w:val="1129908154"/>
          <w:citation/>
        </w:sdtPr>
        <w:sdtContent>
          <w:r w:rsidRPr="007607B9">
            <w:rPr>
              <w:rFonts w:asciiTheme="minorHAnsi" w:eastAsiaTheme="minorHAnsi" w:hAnsiTheme="minorHAnsi" w:cstheme="minorBidi"/>
              <w:color w:val="auto"/>
              <w:sz w:val="22"/>
              <w:szCs w:val="22"/>
              <w:lang w:eastAsia="en-US"/>
            </w:rPr>
            <w:fldChar w:fldCharType="begin"/>
          </w:r>
          <w:r w:rsidRPr="007607B9">
            <w:rPr>
              <w:rFonts w:asciiTheme="minorHAnsi" w:eastAsiaTheme="minorHAnsi" w:hAnsiTheme="minorHAnsi" w:cstheme="minorBidi"/>
              <w:color w:val="auto"/>
              <w:sz w:val="22"/>
              <w:szCs w:val="22"/>
              <w:lang w:eastAsia="en-US"/>
            </w:rPr>
            <w:instrText xml:space="preserve"> CITATION DAS22 \l 2057 </w:instrText>
          </w:r>
          <w:r w:rsidRPr="007607B9">
            <w:rPr>
              <w:rFonts w:asciiTheme="minorHAnsi" w:eastAsiaTheme="minorHAnsi" w:hAnsiTheme="minorHAnsi" w:cstheme="minorBidi"/>
              <w:color w:val="auto"/>
              <w:sz w:val="22"/>
              <w:szCs w:val="22"/>
              <w:lang w:eastAsia="en-US"/>
            </w:rPr>
            <w:fldChar w:fldCharType="separate"/>
          </w:r>
          <w:r w:rsidRPr="007607B9">
            <w:rPr>
              <w:rFonts w:asciiTheme="minorHAnsi" w:eastAsiaTheme="minorHAnsi" w:hAnsiTheme="minorHAnsi" w:cstheme="minorBidi"/>
              <w:noProof/>
              <w:color w:val="auto"/>
              <w:sz w:val="22"/>
              <w:szCs w:val="22"/>
              <w:lang w:eastAsia="en-US"/>
            </w:rPr>
            <w:t>(DASH Risk Checklist, 2022)</w:t>
          </w:r>
          <w:r w:rsidRPr="007607B9">
            <w:rPr>
              <w:rFonts w:asciiTheme="minorHAnsi" w:eastAsiaTheme="minorHAnsi" w:hAnsiTheme="minorHAnsi" w:cstheme="minorBidi"/>
              <w:color w:val="auto"/>
              <w:sz w:val="22"/>
              <w:szCs w:val="22"/>
              <w:lang w:eastAsia="en-US"/>
            </w:rPr>
            <w:fldChar w:fldCharType="end"/>
          </w:r>
        </w:sdtContent>
      </w:sdt>
      <w:r w:rsidRPr="007607B9">
        <w:rPr>
          <w:rFonts w:asciiTheme="minorHAnsi" w:eastAsiaTheme="minorHAnsi" w:hAnsiTheme="minorHAnsi" w:cstheme="minorBidi"/>
          <w:color w:val="auto"/>
          <w:sz w:val="22"/>
          <w:szCs w:val="22"/>
          <w:lang w:eastAsia="en-US"/>
        </w:rPr>
        <w:t xml:space="preserve">. The DASH questions are completed with the consent of the victim; there is no requirement for them to complete them. In this situation, the victim did not want to complete the questions which meant that it was harder for the PPU to risk assess the relationship as they were not privy to the whole picture. Furthermore, the victim did not consent to being contacted by third-party agencies which meant that she would not have the opportunity to engage with various agencies who offer support for domestic abuse victims. In this case, the strategy of providing aftercare and post attendance safeguarding through the submission of a PPN was limited. The fact that the victim did not want to cooperate limited the effectiveness of post attendance care from the PPU and third-party agencies. The strategy of submitting a PPN is effective; however, it is more effective when victims are willing to cooperate as more action can be taken regarding direct safeguarding.   </w:t>
      </w:r>
    </w:p>
    <w:p w14:paraId="6C642F5D" w14:textId="77777777" w:rsidR="007607B9" w:rsidRPr="007607B9" w:rsidRDefault="007607B9" w:rsidP="007607B9">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p>
    <w:p w14:paraId="5A79E397" w14:textId="77777777" w:rsidR="007607B9" w:rsidRPr="007607B9" w:rsidRDefault="007607B9" w:rsidP="007607B9">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7607B9">
        <w:rPr>
          <w:rFonts w:asciiTheme="minorHAnsi" w:eastAsiaTheme="minorHAnsi" w:hAnsiTheme="minorHAnsi" w:cstheme="minorBidi"/>
          <w:color w:val="auto"/>
          <w:sz w:val="22"/>
          <w:szCs w:val="22"/>
          <w:lang w:eastAsia="en-US"/>
        </w:rPr>
        <w:t xml:space="preserve">To progress most crimes, a statement of complaint is often required. Regarding domestic related offences, a victim is not always required; however, a supporting victim leads to a greater prospect of conviction. In this case, the victim did not want to supply a statement of complaint which meant that the full details of the incident could not be determined which meant that evidence may have gone uncovered. Instead, the victim supplied a negative statement outlining that she did not support any form of police action or any form of prosecution. This is taken into consideration when determining whether there will be any further action taken against the offender. As the victim did not support, </w:t>
      </w:r>
      <w:r w:rsidRPr="007607B9">
        <w:rPr>
          <w:rFonts w:asciiTheme="minorHAnsi" w:eastAsiaTheme="minorHAnsi" w:hAnsiTheme="minorHAnsi" w:cstheme="minorBidi"/>
          <w:color w:val="auto"/>
          <w:sz w:val="22"/>
          <w:szCs w:val="22"/>
          <w:lang w:eastAsia="en-US"/>
        </w:rPr>
        <w:lastRenderedPageBreak/>
        <w:t>and there were no independent witnesses, the investigation came down to word-against-word, thus not reaching the Evidential Test and consequently the Full Code Test. The Full Code Test includes two parts: the Evidential Test and the Public Interest Test</w:t>
      </w:r>
      <w:sdt>
        <w:sdtPr>
          <w:rPr>
            <w:rFonts w:asciiTheme="minorHAnsi" w:eastAsiaTheme="minorHAnsi" w:hAnsiTheme="minorHAnsi" w:cstheme="minorBidi"/>
            <w:color w:val="auto"/>
            <w:sz w:val="22"/>
            <w:szCs w:val="22"/>
            <w:lang w:eastAsia="en-US"/>
          </w:rPr>
          <w:id w:val="-2038345019"/>
          <w:citation/>
        </w:sdtPr>
        <w:sdtContent>
          <w:r w:rsidRPr="007607B9">
            <w:rPr>
              <w:rFonts w:asciiTheme="minorHAnsi" w:eastAsiaTheme="minorHAnsi" w:hAnsiTheme="minorHAnsi" w:cstheme="minorBidi"/>
              <w:color w:val="auto"/>
              <w:sz w:val="22"/>
              <w:szCs w:val="22"/>
              <w:lang w:eastAsia="en-US"/>
            </w:rPr>
            <w:fldChar w:fldCharType="begin"/>
          </w:r>
          <w:r w:rsidRPr="007607B9">
            <w:rPr>
              <w:rFonts w:asciiTheme="minorHAnsi" w:eastAsiaTheme="minorHAnsi" w:hAnsiTheme="minorHAnsi" w:cstheme="minorBidi"/>
              <w:color w:val="auto"/>
              <w:sz w:val="22"/>
              <w:szCs w:val="22"/>
              <w:lang w:eastAsia="en-US"/>
            </w:rPr>
            <w:instrText xml:space="preserve">CITATION Bry20 \p 633-634 \l 2057 </w:instrText>
          </w:r>
          <w:r w:rsidRPr="007607B9">
            <w:rPr>
              <w:rFonts w:asciiTheme="minorHAnsi" w:eastAsiaTheme="minorHAnsi" w:hAnsiTheme="minorHAnsi" w:cstheme="minorBidi"/>
              <w:color w:val="auto"/>
              <w:sz w:val="22"/>
              <w:szCs w:val="22"/>
              <w:lang w:eastAsia="en-US"/>
            </w:rPr>
            <w:fldChar w:fldCharType="separate"/>
          </w:r>
          <w:r w:rsidRPr="007607B9">
            <w:rPr>
              <w:rFonts w:asciiTheme="minorHAnsi" w:eastAsiaTheme="minorHAnsi" w:hAnsiTheme="minorHAnsi" w:cstheme="minorBidi"/>
              <w:noProof/>
              <w:color w:val="auto"/>
              <w:sz w:val="22"/>
              <w:szCs w:val="22"/>
              <w:lang w:eastAsia="en-US"/>
            </w:rPr>
            <w:t xml:space="preserve"> (Bryant &amp; Bryant, 2020, pp. 633-634)</w:t>
          </w:r>
          <w:r w:rsidRPr="007607B9">
            <w:rPr>
              <w:rFonts w:asciiTheme="minorHAnsi" w:eastAsiaTheme="minorHAnsi" w:hAnsiTheme="minorHAnsi" w:cstheme="minorBidi"/>
              <w:color w:val="auto"/>
              <w:sz w:val="22"/>
              <w:szCs w:val="22"/>
              <w:lang w:eastAsia="en-US"/>
            </w:rPr>
            <w:fldChar w:fldCharType="end"/>
          </w:r>
        </w:sdtContent>
      </w:sdt>
      <w:r w:rsidRPr="007607B9">
        <w:rPr>
          <w:rFonts w:asciiTheme="minorHAnsi" w:eastAsiaTheme="minorHAnsi" w:hAnsiTheme="minorHAnsi" w:cstheme="minorBidi"/>
          <w:color w:val="auto"/>
          <w:sz w:val="22"/>
          <w:szCs w:val="22"/>
          <w:lang w:eastAsia="en-US"/>
        </w:rPr>
        <w:t xml:space="preserve">. If there is not enough evidence to prove that an offence has taken place, the matter cannot progress. If there is, the matter moves on to the Public Interest Test which decides whether prosecution is in the public interest. When both are met, the Full Code Test has been met and the matter can progress to court. As the victim did not supply a statement which said that the perpetrator caused her injury, it was only speculated that he did. Therefore, there was no complaint, or evidence, which would have pinned the assault on the offender. If the victim provided a comprehensive statement of complaint stating that the offender caused her injury, then the matter may have been progressed by the Crown Prosecution Service (CPS). The lack of cooperation from the victim was challenging as it meant that the prospect of conviction was limited, and a comprehensive account of the incident could not be obtained. In turn, this meant that the incident was evidentially flawed and did not meet the Evidential Test. </w:t>
      </w:r>
    </w:p>
    <w:p w14:paraId="111D0BC6" w14:textId="77777777" w:rsidR="007607B9" w:rsidRPr="007607B9" w:rsidRDefault="007607B9" w:rsidP="007607B9">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p>
    <w:p w14:paraId="22595E55" w14:textId="77777777" w:rsidR="007607B9" w:rsidRPr="007607B9" w:rsidRDefault="007607B9" w:rsidP="007607B9">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p>
    <w:p w14:paraId="5984AD95" w14:textId="77777777" w:rsidR="007607B9" w:rsidRPr="007607B9" w:rsidRDefault="007607B9" w:rsidP="007607B9">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7607B9">
        <w:rPr>
          <w:rFonts w:asciiTheme="minorHAnsi" w:eastAsiaTheme="minorHAnsi" w:hAnsiTheme="minorHAnsi" w:cstheme="minorBidi"/>
          <w:color w:val="auto"/>
          <w:sz w:val="22"/>
          <w:szCs w:val="22"/>
          <w:lang w:eastAsia="en-US"/>
        </w:rPr>
        <w:t xml:space="preserve">The final challenge was building a file with enough evidence to prove the offence to achieve a positive outcome through the CPS. There was nothing substantial to prove the offender caused the injury as: there was no positive victim and witness statements, and DNA swabs from the injury were not viable as the offender lived at the address. Also, to note, the offender was not at the location at the time of officer attendance, so he could have pleaded that he was not there at the time of the offence. As a result, the incident did not meet the Evidential Test meaning that when CPS made their decision, no further action was taken. This caused further challenges down the line as it led to the victim becoming a repeat victim. </w:t>
      </w:r>
    </w:p>
    <w:p w14:paraId="52040AA3" w14:textId="77777777" w:rsidR="007607B9" w:rsidRPr="007607B9" w:rsidRDefault="007607B9" w:rsidP="007607B9">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p>
    <w:p w14:paraId="0019036F" w14:textId="77777777" w:rsidR="007607B9" w:rsidRPr="007607B9" w:rsidRDefault="007607B9" w:rsidP="007607B9">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7607B9">
        <w:rPr>
          <w:rFonts w:asciiTheme="minorHAnsi" w:eastAsiaTheme="minorHAnsi" w:hAnsiTheme="minorHAnsi" w:cstheme="minorBidi"/>
          <w:color w:val="auto"/>
          <w:sz w:val="22"/>
          <w:szCs w:val="22"/>
          <w:lang w:eastAsia="en-US"/>
        </w:rPr>
        <w:lastRenderedPageBreak/>
        <w:t xml:space="preserve">To conclude, the most challenging part of dealing with a domestic related incident, in my experience, is trying to facilitate a positive outcome whist dealing with a non-cooperative victim. In this case, it led to an amalgamation of challenges which made it incredibly difficult to follow set policing strategies; it was fundamentally the most underpinning challenge presented as it effected the whole outcome of the incident. In this situation, the most effective strategy in dealing with the non-cooperative victim was using the National Decision-Making Model to assess the threat and risk and considering my options and contingencies before acting. The National Decision-Making Model allows officers to adapt their approaches to unique and dynamic situations. With domestic incidents, it does not always come down to, “one size fits all.” The National Decision-Making Model allows us to provide the most effective service to unique situations.  </w:t>
      </w:r>
    </w:p>
    <w:p w14:paraId="66D27FA2" w14:textId="3D63F681" w:rsidR="0FF883D4" w:rsidRPr="00A378AC" w:rsidRDefault="00A378AC" w:rsidP="00A378AC">
      <w:pPr>
        <w:ind w:right="237"/>
        <w:jc w:val="right"/>
        <w:rPr>
          <w:rFonts w:asciiTheme="minorHAnsi" w:hAnsiTheme="minorHAnsi" w:cstheme="minorHAnsi"/>
          <w:b/>
          <w:bCs/>
          <w:color w:val="000000" w:themeColor="text1"/>
          <w:sz w:val="24"/>
          <w:szCs w:val="24"/>
        </w:rPr>
      </w:pPr>
      <w:r w:rsidRPr="00A378AC">
        <w:rPr>
          <w:rFonts w:asciiTheme="minorHAnsi" w:hAnsiTheme="minorHAnsi" w:cstheme="minorHAnsi"/>
          <w:b/>
          <w:bCs/>
          <w:color w:val="000000" w:themeColor="text1"/>
          <w:sz w:val="24"/>
          <w:szCs w:val="24"/>
        </w:rPr>
        <w:t>WORD COUNT: 2,176</w:t>
      </w: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4E8ABDFC" w:rsidR="0FF883D4" w:rsidRDefault="5CE196A1" w:rsidP="5CE196A1">
      <w:r w:rsidRPr="5CE196A1">
        <w:rPr>
          <w:rFonts w:eastAsia="Arial"/>
          <w:b/>
          <w:bCs/>
          <w:color w:val="000000" w:themeColor="text1"/>
          <w:sz w:val="24"/>
          <w:szCs w:val="24"/>
        </w:rPr>
        <w:t xml:space="preserve">Signed: </w:t>
      </w:r>
      <w:r w:rsidR="00F37F5D">
        <w:rPr>
          <w:rFonts w:eastAsia="Arial"/>
          <w:b/>
          <w:bCs/>
          <w:color w:val="000000" w:themeColor="text1"/>
          <w:sz w:val="24"/>
          <w:szCs w:val="24"/>
        </w:rPr>
        <w:t>Peter Devonshire</w:t>
      </w:r>
    </w:p>
    <w:p w14:paraId="563192E7" w14:textId="7A83C86F" w:rsidR="0FF883D4" w:rsidRDefault="5CE196A1" w:rsidP="5CE196A1">
      <w:r w:rsidRPr="5CE196A1">
        <w:rPr>
          <w:rFonts w:eastAsia="Arial"/>
          <w:b/>
          <w:bCs/>
          <w:color w:val="000000" w:themeColor="text1"/>
          <w:sz w:val="24"/>
          <w:szCs w:val="24"/>
        </w:rPr>
        <w:t xml:space="preserve"> </w:t>
      </w:r>
    </w:p>
    <w:p w14:paraId="482B2B3A" w14:textId="0899381F" w:rsidR="0FF883D4" w:rsidRPr="00F37F5D" w:rsidRDefault="5CE196A1" w:rsidP="00F37F5D">
      <w:pPr>
        <w:sectPr w:rsidR="0FF883D4" w:rsidRPr="00F37F5D" w:rsidSect="0022001B">
          <w:footerReference w:type="default" r:id="rId17"/>
          <w:pgSz w:w="11906" w:h="16838" w:code="9"/>
          <w:pgMar w:top="1440" w:right="1440" w:bottom="1440" w:left="1440" w:header="720" w:footer="720" w:gutter="0"/>
          <w:cols w:space="720"/>
          <w:docGrid w:linePitch="272"/>
        </w:sectPr>
      </w:pPr>
      <w:r w:rsidRPr="5CE196A1">
        <w:rPr>
          <w:rFonts w:eastAsia="Arial"/>
          <w:b/>
          <w:bCs/>
          <w:color w:val="000000" w:themeColor="text1"/>
          <w:sz w:val="24"/>
          <w:szCs w:val="24"/>
        </w:rPr>
        <w:t>Date:</w:t>
      </w:r>
      <w:r w:rsidR="00F37F5D">
        <w:t xml:space="preserve"> 24</w:t>
      </w:r>
      <w:r w:rsidR="00F37F5D" w:rsidRPr="00F37F5D">
        <w:rPr>
          <w:vertAlign w:val="superscript"/>
        </w:rPr>
        <w:t>th</w:t>
      </w:r>
      <w:r w:rsidR="00F37F5D">
        <w:t xml:space="preserve"> October 2022</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468DB18A" w14:textId="77777777" w:rsidR="00F37F5D" w:rsidRDefault="00F37F5D" w:rsidP="00EA28F1">
      <w:pPr>
        <w:keepNext/>
        <w:spacing w:before="240" w:after="60"/>
        <w:ind w:right="237"/>
        <w:jc w:val="both"/>
        <w:rPr>
          <w:sz w:val="24"/>
          <w:szCs w:val="24"/>
        </w:rPr>
      </w:pPr>
    </w:p>
    <w:sdt>
      <w:sdtPr>
        <w:id w:val="189886026"/>
        <w:docPartObj>
          <w:docPartGallery w:val="Bibliographies"/>
          <w:docPartUnique/>
        </w:docPartObj>
      </w:sdtPr>
      <w:sdtEndPr>
        <w:rPr>
          <w:b w:val="0"/>
          <w:kern w:val="0"/>
          <w:sz w:val="20"/>
        </w:rPr>
      </w:sdtEndPr>
      <w:sdtContent>
        <w:p w14:paraId="64B2DB11" w14:textId="583F0B7E" w:rsidR="00F37F5D" w:rsidRDefault="00F37F5D">
          <w:pPr>
            <w:pStyle w:val="Heading1"/>
          </w:pPr>
          <w:r>
            <w:t>Bibliography</w:t>
          </w:r>
        </w:p>
        <w:sdt>
          <w:sdtPr>
            <w:id w:val="111145805"/>
            <w:bibliography/>
          </w:sdtPr>
          <w:sdtContent>
            <w:p w14:paraId="5959565B" w14:textId="77777777" w:rsidR="00F37F5D" w:rsidRDefault="00F37F5D" w:rsidP="00F37F5D">
              <w:pPr>
                <w:pStyle w:val="Bibliography"/>
                <w:spacing w:line="480" w:lineRule="auto"/>
                <w:ind w:left="720" w:hanging="720"/>
                <w:rPr>
                  <w:noProof/>
                  <w:sz w:val="24"/>
                  <w:szCs w:val="24"/>
                </w:rPr>
              </w:pPr>
              <w:r>
                <w:fldChar w:fldCharType="begin"/>
              </w:r>
              <w:r>
                <w:instrText xml:space="preserve"> BIBLIOGRAPHY </w:instrText>
              </w:r>
              <w:r>
                <w:fldChar w:fldCharType="separate"/>
              </w:r>
              <w:r>
                <w:rPr>
                  <w:noProof/>
                </w:rPr>
                <w:t xml:space="preserve">Bernardo's. (2022). </w:t>
              </w:r>
              <w:r>
                <w:rPr>
                  <w:i/>
                  <w:iCs/>
                  <w:noProof/>
                </w:rPr>
                <w:t>Trauma Informed Practice</w:t>
              </w:r>
              <w:r>
                <w:rPr>
                  <w:noProof/>
                </w:rPr>
                <w:t>. Retrieved October 21, 2022, from https://www.barnardosbeacon.org.uk/trauma-informed-practice</w:t>
              </w:r>
            </w:p>
            <w:p w14:paraId="5352D7E5" w14:textId="77777777" w:rsidR="00F37F5D" w:rsidRDefault="00F37F5D" w:rsidP="00F37F5D">
              <w:pPr>
                <w:pStyle w:val="Bibliography"/>
                <w:spacing w:line="480" w:lineRule="auto"/>
                <w:ind w:left="720" w:hanging="720"/>
                <w:rPr>
                  <w:noProof/>
                </w:rPr>
              </w:pPr>
              <w:r>
                <w:rPr>
                  <w:noProof/>
                </w:rPr>
                <w:t xml:space="preserve">Bryant, P., &amp; Bryant, S. (2020). </w:t>
              </w:r>
              <w:r>
                <w:rPr>
                  <w:i/>
                  <w:iCs/>
                  <w:noProof/>
                </w:rPr>
                <w:t>Blacksone's Handbook for Policing Students 2021</w:t>
              </w:r>
              <w:r>
                <w:rPr>
                  <w:noProof/>
                </w:rPr>
                <w:t xml:space="preserve"> (15th ed.). Oxford: Oxford University Press.</w:t>
              </w:r>
            </w:p>
            <w:p w14:paraId="2C31492E" w14:textId="77777777" w:rsidR="00F37F5D" w:rsidRDefault="00F37F5D" w:rsidP="00F37F5D">
              <w:pPr>
                <w:pStyle w:val="Bibliography"/>
                <w:spacing w:line="480" w:lineRule="auto"/>
                <w:ind w:left="720" w:hanging="720"/>
                <w:rPr>
                  <w:noProof/>
                </w:rPr>
              </w:pPr>
              <w:r>
                <w:rPr>
                  <w:noProof/>
                </w:rPr>
                <w:t xml:space="preserve">College of Policing. (2020). </w:t>
              </w:r>
              <w:r>
                <w:rPr>
                  <w:i/>
                  <w:iCs/>
                  <w:noProof/>
                </w:rPr>
                <w:t>Recognising and Responding to Vulnerability Related Risks</w:t>
              </w:r>
              <w:r>
                <w:rPr>
                  <w:noProof/>
                </w:rPr>
                <w:t>. Retrieved October 20, 2022, from https://paas-s3-broker-prod-lon-6453d964-1d1a-432a-9260-5e0ba7d2fc51.s3.eu-west-2.amazonaws.com/s3fs-public/Recognising-responding-vulnerability-related-risks-guidelines.pdf</w:t>
              </w:r>
            </w:p>
            <w:p w14:paraId="79D12D25" w14:textId="77777777" w:rsidR="00F37F5D" w:rsidRDefault="00F37F5D" w:rsidP="00F37F5D">
              <w:pPr>
                <w:pStyle w:val="Bibliography"/>
                <w:spacing w:line="480" w:lineRule="auto"/>
                <w:ind w:left="720" w:hanging="720"/>
                <w:rPr>
                  <w:noProof/>
                </w:rPr>
              </w:pPr>
              <w:r>
                <w:rPr>
                  <w:noProof/>
                </w:rPr>
                <w:t xml:space="preserve">DASH Risk Checklist. (2022). </w:t>
              </w:r>
              <w:r>
                <w:rPr>
                  <w:i/>
                  <w:iCs/>
                  <w:noProof/>
                </w:rPr>
                <w:t>DASH Risk Model</w:t>
              </w:r>
              <w:r>
                <w:rPr>
                  <w:noProof/>
                </w:rPr>
                <w:t>. Retrieved October 11, 2022, from https://www.dashriskchecklist.co.uk/dash/</w:t>
              </w:r>
            </w:p>
            <w:p w14:paraId="68BDD090" w14:textId="77777777" w:rsidR="00F37F5D" w:rsidRDefault="00F37F5D" w:rsidP="00F37F5D">
              <w:pPr>
                <w:pStyle w:val="Bibliography"/>
                <w:spacing w:line="480" w:lineRule="auto"/>
                <w:ind w:left="720" w:hanging="720"/>
                <w:rPr>
                  <w:noProof/>
                </w:rPr>
              </w:pPr>
              <w:r>
                <w:rPr>
                  <w:noProof/>
                </w:rPr>
                <w:t xml:space="preserve">Gov.wales. (n.d.). </w:t>
              </w:r>
              <w:r>
                <w:rPr>
                  <w:i/>
                  <w:iCs/>
                  <w:noProof/>
                </w:rPr>
                <w:t>Live Fear Freee Helpline, Domestic Abuse</w:t>
              </w:r>
              <w:r>
                <w:rPr>
                  <w:noProof/>
                </w:rPr>
                <w:t>. Retrieved October 22, 2022, from https://gov.wales/live-fear-free/domestic-abuse-wales</w:t>
              </w:r>
            </w:p>
            <w:p w14:paraId="54F70259" w14:textId="77777777" w:rsidR="00F37F5D" w:rsidRDefault="00F37F5D" w:rsidP="00F37F5D">
              <w:pPr>
                <w:pStyle w:val="Bibliography"/>
                <w:spacing w:line="480" w:lineRule="auto"/>
                <w:ind w:left="720" w:hanging="720"/>
                <w:rPr>
                  <w:noProof/>
                </w:rPr>
              </w:pPr>
              <w:r>
                <w:rPr>
                  <w:noProof/>
                </w:rPr>
                <w:t xml:space="preserve">Legislation.gov. (n.d.). </w:t>
              </w:r>
              <w:r>
                <w:rPr>
                  <w:i/>
                  <w:iCs/>
                  <w:noProof/>
                </w:rPr>
                <w:t>Social Services and Well-being Act (Wales) 2014</w:t>
              </w:r>
              <w:r>
                <w:rPr>
                  <w:noProof/>
                </w:rPr>
                <w:t>. Retrieved October 22, 2022, from https://www.legislation.gov.uk/anaw/2014/4/section/3</w:t>
              </w:r>
            </w:p>
            <w:p w14:paraId="2321E89A" w14:textId="77777777" w:rsidR="00F37F5D" w:rsidRDefault="00F37F5D" w:rsidP="00F37F5D">
              <w:pPr>
                <w:pStyle w:val="Bibliography"/>
                <w:spacing w:line="480" w:lineRule="auto"/>
                <w:ind w:left="720" w:hanging="720"/>
                <w:rPr>
                  <w:noProof/>
                </w:rPr>
              </w:pPr>
              <w:r>
                <w:rPr>
                  <w:noProof/>
                </w:rPr>
                <w:t xml:space="preserve">Legislation.gov.uk. (2021). </w:t>
              </w:r>
              <w:r>
                <w:rPr>
                  <w:i/>
                  <w:iCs/>
                  <w:noProof/>
                </w:rPr>
                <w:t>Domestic Abuse Act 2021</w:t>
              </w:r>
              <w:r>
                <w:rPr>
                  <w:noProof/>
                </w:rPr>
                <w:t>. Retrieved September 1, 2022, from https://www.legislation.gov.uk/ukpga/2021/17/part/1</w:t>
              </w:r>
            </w:p>
            <w:p w14:paraId="66E50E5F" w14:textId="77777777" w:rsidR="00F37F5D" w:rsidRDefault="00F37F5D" w:rsidP="00F37F5D">
              <w:pPr>
                <w:pStyle w:val="Bibliography"/>
                <w:spacing w:line="480" w:lineRule="auto"/>
                <w:ind w:left="720" w:hanging="720"/>
                <w:rPr>
                  <w:noProof/>
                </w:rPr>
              </w:pPr>
              <w:r>
                <w:rPr>
                  <w:noProof/>
                </w:rPr>
                <w:t xml:space="preserve">Legislation.gov.uk. (2021). </w:t>
              </w:r>
              <w:r>
                <w:rPr>
                  <w:i/>
                  <w:iCs/>
                  <w:noProof/>
                </w:rPr>
                <w:t>Domestic Abuse Act 2021</w:t>
              </w:r>
              <w:r>
                <w:rPr>
                  <w:noProof/>
                </w:rPr>
                <w:t>. Retrieved October 21, 2022, from https://www.legislation.gov.uk/ukpga/2021/17/part/6/crossheading/disclosure-of-private-sexual-photographs-and-films/enacted</w:t>
              </w:r>
            </w:p>
            <w:p w14:paraId="7C6535B7" w14:textId="77777777" w:rsidR="00F37F5D" w:rsidRDefault="00F37F5D" w:rsidP="00F37F5D">
              <w:pPr>
                <w:pStyle w:val="Bibliography"/>
                <w:spacing w:line="480" w:lineRule="auto"/>
                <w:ind w:left="720" w:hanging="720"/>
                <w:rPr>
                  <w:noProof/>
                </w:rPr>
              </w:pPr>
              <w:r>
                <w:rPr>
                  <w:noProof/>
                </w:rPr>
                <w:t xml:space="preserve">Legislation.gov.uk. (n.d.). </w:t>
              </w:r>
              <w:r>
                <w:rPr>
                  <w:i/>
                  <w:iCs/>
                  <w:noProof/>
                </w:rPr>
                <w:t>Public Order Act 1986</w:t>
              </w:r>
              <w:r>
                <w:rPr>
                  <w:noProof/>
                </w:rPr>
                <w:t>. Retrieved October 21, 2022, from https://www.legislation.gov.uk/ukpga/1986/64/section/4</w:t>
              </w:r>
            </w:p>
            <w:p w14:paraId="51CA9A33" w14:textId="77777777" w:rsidR="00F37F5D" w:rsidRDefault="00F37F5D" w:rsidP="00F37F5D">
              <w:pPr>
                <w:pStyle w:val="Bibliography"/>
                <w:spacing w:line="480" w:lineRule="auto"/>
                <w:ind w:left="720" w:hanging="720"/>
                <w:rPr>
                  <w:noProof/>
                </w:rPr>
              </w:pPr>
              <w:r>
                <w:rPr>
                  <w:noProof/>
                </w:rPr>
                <w:t xml:space="preserve">Liberal Democrats. (n.d.). </w:t>
              </w:r>
              <w:r>
                <w:rPr>
                  <w:i/>
                  <w:iCs/>
                  <w:noProof/>
                </w:rPr>
                <w:t>Safeguarding Under 18's and Vulnerable Adults Policy</w:t>
              </w:r>
              <w:r>
                <w:rPr>
                  <w:noProof/>
                </w:rPr>
                <w:t>. Retrieved October 22, 2022, from https://www.libdems.org.uk/doc-</w:t>
              </w:r>
              <w:r>
                <w:rPr>
                  <w:noProof/>
                </w:rPr>
                <w:lastRenderedPageBreak/>
                <w:t>safeguarding#:~:text=or%20sexual%20orientation.-,Under%2018s%20and%20some%20adults%20are%20less%20able%20to%20protect,under%2018s%20and%20vulnerable%20adults.</w:t>
              </w:r>
            </w:p>
            <w:p w14:paraId="648A85F2" w14:textId="77777777" w:rsidR="00F37F5D" w:rsidRDefault="00F37F5D" w:rsidP="00F37F5D">
              <w:pPr>
                <w:pStyle w:val="Bibliography"/>
                <w:spacing w:line="480" w:lineRule="auto"/>
                <w:ind w:left="720" w:hanging="720"/>
                <w:rPr>
                  <w:noProof/>
                </w:rPr>
              </w:pPr>
              <w:r>
                <w:rPr>
                  <w:noProof/>
                </w:rPr>
                <w:t xml:space="preserve">Prevention Centres for Disease Control and. (2021). </w:t>
              </w:r>
              <w:r>
                <w:rPr>
                  <w:i/>
                  <w:iCs/>
                  <w:noProof/>
                </w:rPr>
                <w:t>Adverse Childhood Experiences (ACEs)</w:t>
              </w:r>
              <w:r>
                <w:rPr>
                  <w:noProof/>
                </w:rPr>
                <w:t>. Retrieved October 20, 2022, from https://www.cdc.gov/violenceprevention/aces/index.html</w:t>
              </w:r>
            </w:p>
            <w:p w14:paraId="31417293" w14:textId="77777777" w:rsidR="00F37F5D" w:rsidRDefault="00F37F5D" w:rsidP="00F37F5D">
              <w:pPr>
                <w:pStyle w:val="Bibliography"/>
                <w:spacing w:line="480" w:lineRule="auto"/>
                <w:ind w:left="720" w:hanging="720"/>
                <w:rPr>
                  <w:noProof/>
                </w:rPr>
              </w:pPr>
              <w:r>
                <w:rPr>
                  <w:noProof/>
                </w:rPr>
                <w:t xml:space="preserve">The College of Policing. (2014). </w:t>
              </w:r>
              <w:r>
                <w:rPr>
                  <w:i/>
                  <w:iCs/>
                  <w:noProof/>
                </w:rPr>
                <w:t>National Decision Making</w:t>
              </w:r>
              <w:r>
                <w:rPr>
                  <w:noProof/>
                </w:rPr>
                <w:t>. Retrieved September 4, 2022, from https://www.college.police.uk/app/national-decision-model/national-decision-model?highlight=national%20decision%20model</w:t>
              </w:r>
            </w:p>
            <w:p w14:paraId="36D54D31" w14:textId="77777777" w:rsidR="00F37F5D" w:rsidRDefault="00F37F5D" w:rsidP="00F37F5D">
              <w:pPr>
                <w:pStyle w:val="Bibliography"/>
                <w:spacing w:line="480" w:lineRule="auto"/>
                <w:ind w:left="720" w:hanging="720"/>
                <w:rPr>
                  <w:noProof/>
                </w:rPr>
              </w:pPr>
              <w:r>
                <w:rPr>
                  <w:noProof/>
                </w:rPr>
                <w:t xml:space="preserve">The College of Policing. (2018). </w:t>
              </w:r>
              <w:r>
                <w:rPr>
                  <w:i/>
                  <w:iCs/>
                  <w:noProof/>
                </w:rPr>
                <w:t>Core Planning Principles</w:t>
              </w:r>
              <w:r>
                <w:rPr>
                  <w:noProof/>
                </w:rPr>
                <w:t>. Retrieved September 1st, 2022, from https://www.college.police.uk/app/operations/operational-planning/core-planning-principles</w:t>
              </w:r>
            </w:p>
            <w:p w14:paraId="2FFF17D6" w14:textId="77777777" w:rsidR="00F37F5D" w:rsidRDefault="00F37F5D" w:rsidP="00F37F5D">
              <w:pPr>
                <w:pStyle w:val="Bibliography"/>
                <w:spacing w:line="480" w:lineRule="auto"/>
                <w:ind w:left="720" w:hanging="720"/>
                <w:rPr>
                  <w:noProof/>
                </w:rPr>
              </w:pPr>
              <w:r>
                <w:rPr>
                  <w:noProof/>
                </w:rPr>
                <w:t xml:space="preserve">The Home Office. (2012). </w:t>
              </w:r>
              <w:r>
                <w:rPr>
                  <w:i/>
                  <w:iCs/>
                  <w:noProof/>
                </w:rPr>
                <w:t>Police and Criminal Evidence Act 1984, Code G, Revised Code of Practice for the Statutory Powers of Arrest by Police Officers</w:t>
              </w:r>
              <w:r>
                <w:rPr>
                  <w:noProof/>
                </w:rPr>
                <w:t>. Retrieved September 4th, 2022, from https://assets.publishing.service.gov.uk/government/uploads/system/uploads/attachment_data/file/903814/pace-code-g-2012.pdf</w:t>
              </w:r>
            </w:p>
            <w:p w14:paraId="684227B5" w14:textId="77777777" w:rsidR="00F37F5D" w:rsidRDefault="00F37F5D" w:rsidP="00F37F5D">
              <w:pPr>
                <w:pStyle w:val="Bibliography"/>
                <w:spacing w:line="480" w:lineRule="auto"/>
                <w:ind w:left="720" w:hanging="720"/>
                <w:rPr>
                  <w:noProof/>
                </w:rPr>
              </w:pPr>
              <w:r>
                <w:rPr>
                  <w:noProof/>
                </w:rPr>
                <w:t xml:space="preserve">Victim Support. (n.d.). </w:t>
              </w:r>
              <w:r>
                <w:rPr>
                  <w:i/>
                  <w:iCs/>
                  <w:noProof/>
                </w:rPr>
                <w:t>Victim Support, How We Can Help</w:t>
              </w:r>
              <w:r>
                <w:rPr>
                  <w:noProof/>
                </w:rPr>
                <w:t>. Retrieved 10 22, 2022, from https://www.victimsupport.org.uk/help-and-support/how-we-can-help/</w:t>
              </w:r>
            </w:p>
            <w:p w14:paraId="4CFA4915" w14:textId="77777777" w:rsidR="00F37F5D" w:rsidRDefault="00F37F5D" w:rsidP="00F37F5D">
              <w:pPr>
                <w:pStyle w:val="Bibliography"/>
                <w:spacing w:line="480" w:lineRule="auto"/>
                <w:ind w:left="720" w:hanging="720"/>
                <w:rPr>
                  <w:noProof/>
                </w:rPr>
              </w:pPr>
              <w:r>
                <w:rPr>
                  <w:noProof/>
                </w:rPr>
                <w:t xml:space="preserve">Young Minds. (2022). </w:t>
              </w:r>
              <w:r>
                <w:rPr>
                  <w:i/>
                  <w:iCs/>
                  <w:noProof/>
                </w:rPr>
                <w:t>Addressing Trauma and Diversity</w:t>
              </w:r>
              <w:r>
                <w:rPr>
                  <w:noProof/>
                </w:rPr>
                <w:t>. Retrieved October 22, 2022, from https://www.youngminds.org.uk/professional/resources/addressing-trauma-and-adversity/?gclid=Cj0KCQjwqc6aBhC4ARIsAN06NmO7ouw8FNUgFHYscnQMH6CBxExzxas85JSEiRCNVolRbfOPw-RNinkaAvg7EALw_wcB</w:t>
              </w:r>
            </w:p>
            <w:p w14:paraId="2F61350A" w14:textId="21DA69ED" w:rsidR="00F37F5D" w:rsidRDefault="00F37F5D" w:rsidP="00F37F5D">
              <w:pPr>
                <w:spacing w:line="480" w:lineRule="auto"/>
              </w:pPr>
              <w:r>
                <w:rPr>
                  <w:b/>
                  <w:bCs/>
                  <w:noProof/>
                </w:rPr>
                <w:fldChar w:fldCharType="end"/>
              </w:r>
            </w:p>
          </w:sdtContent>
        </w:sdt>
      </w:sdtContent>
    </w:sdt>
    <w:sectPr w:rsidR="00F37F5D"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05CE6F" w14:textId="77777777" w:rsidR="00593D00" w:rsidRDefault="00593D00">
      <w:r>
        <w:separator/>
      </w:r>
    </w:p>
  </w:endnote>
  <w:endnote w:type="continuationSeparator" w:id="0">
    <w:p w14:paraId="19A28048" w14:textId="77777777" w:rsidR="00593D00" w:rsidRDefault="00593D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4A3E7F" w14:textId="77777777" w:rsidR="00593D00" w:rsidRDefault="00593D00">
      <w:r>
        <w:separator/>
      </w:r>
    </w:p>
  </w:footnote>
  <w:footnote w:type="continuationSeparator" w:id="0">
    <w:p w14:paraId="29850DBB" w14:textId="77777777" w:rsidR="00593D00" w:rsidRDefault="00593D00">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bookmark int2:bookmarkName="_Int_iqtpDieQ" int2:invalidationBookmarkName="" int2:hashCode="D4JDEQ/HN5+s4C" int2:id="cnnUzY7w">
      <int2:state int2:value="Rejected" int2:type="LegacyProofing"/>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74B60126"/>
    <w:lvl w:ilvl="0" w:tplc="720A79C4">
      <w:start w:val="1"/>
      <w:numFmt w:val="decimal"/>
      <w:lvlText w:val="%1."/>
      <w:lvlJc w:val="left"/>
      <w:pPr>
        <w:ind w:left="720" w:hanging="360"/>
      </w:pPr>
    </w:lvl>
    <w:lvl w:ilvl="1" w:tplc="E1922692">
      <w:start w:val="1"/>
      <w:numFmt w:val="lowerLetter"/>
      <w:lvlText w:val="%2."/>
      <w:lvlJc w:val="left"/>
      <w:pPr>
        <w:ind w:left="1440" w:hanging="360"/>
      </w:pPr>
    </w:lvl>
    <w:lvl w:ilvl="2" w:tplc="164E0388">
      <w:start w:val="1"/>
      <w:numFmt w:val="lowerRoman"/>
      <w:lvlText w:val="%3."/>
      <w:lvlJc w:val="right"/>
      <w:pPr>
        <w:ind w:left="2160" w:hanging="180"/>
      </w:pPr>
    </w:lvl>
    <w:lvl w:ilvl="3" w:tplc="BFC0C95E">
      <w:start w:val="1"/>
      <w:numFmt w:val="decimal"/>
      <w:lvlText w:val="%4."/>
      <w:lvlJc w:val="left"/>
      <w:pPr>
        <w:ind w:left="2880" w:hanging="360"/>
      </w:pPr>
    </w:lvl>
    <w:lvl w:ilvl="4" w:tplc="D348EEC8">
      <w:start w:val="1"/>
      <w:numFmt w:val="lowerLetter"/>
      <w:lvlText w:val="%5."/>
      <w:lvlJc w:val="left"/>
      <w:pPr>
        <w:ind w:left="3600" w:hanging="360"/>
      </w:pPr>
    </w:lvl>
    <w:lvl w:ilvl="5" w:tplc="2452BAB6">
      <w:start w:val="1"/>
      <w:numFmt w:val="lowerRoman"/>
      <w:lvlText w:val="%6."/>
      <w:lvlJc w:val="right"/>
      <w:pPr>
        <w:ind w:left="4320" w:hanging="180"/>
      </w:pPr>
    </w:lvl>
    <w:lvl w:ilvl="6" w:tplc="861ED1D8">
      <w:start w:val="1"/>
      <w:numFmt w:val="decimal"/>
      <w:lvlText w:val="%7."/>
      <w:lvlJc w:val="left"/>
      <w:pPr>
        <w:ind w:left="5040" w:hanging="360"/>
      </w:pPr>
    </w:lvl>
    <w:lvl w:ilvl="7" w:tplc="C62ADA9E">
      <w:start w:val="1"/>
      <w:numFmt w:val="lowerLetter"/>
      <w:lvlText w:val="%8."/>
      <w:lvlJc w:val="left"/>
      <w:pPr>
        <w:ind w:left="5760" w:hanging="360"/>
      </w:pPr>
    </w:lvl>
    <w:lvl w:ilvl="8" w:tplc="7C007176">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9B520278"/>
    <w:lvl w:ilvl="0" w:tplc="05DC1272">
      <w:start w:val="1"/>
      <w:numFmt w:val="decimal"/>
      <w:lvlText w:val="%1."/>
      <w:lvlJc w:val="left"/>
      <w:pPr>
        <w:ind w:left="720" w:hanging="360"/>
      </w:pPr>
    </w:lvl>
    <w:lvl w:ilvl="1" w:tplc="0AA6E95A">
      <w:start w:val="1"/>
      <w:numFmt w:val="decimal"/>
      <w:lvlText w:val="%2."/>
      <w:lvlJc w:val="left"/>
      <w:pPr>
        <w:ind w:left="1440" w:hanging="360"/>
      </w:pPr>
    </w:lvl>
    <w:lvl w:ilvl="2" w:tplc="E6E21B6E">
      <w:start w:val="1"/>
      <w:numFmt w:val="lowerRoman"/>
      <w:lvlText w:val="%3."/>
      <w:lvlJc w:val="right"/>
      <w:pPr>
        <w:ind w:left="2160" w:hanging="180"/>
      </w:pPr>
    </w:lvl>
    <w:lvl w:ilvl="3" w:tplc="BBD42554">
      <w:start w:val="1"/>
      <w:numFmt w:val="decimal"/>
      <w:lvlText w:val="%4."/>
      <w:lvlJc w:val="left"/>
      <w:pPr>
        <w:ind w:left="2880" w:hanging="360"/>
      </w:pPr>
    </w:lvl>
    <w:lvl w:ilvl="4" w:tplc="6B309E50">
      <w:start w:val="1"/>
      <w:numFmt w:val="lowerLetter"/>
      <w:lvlText w:val="%5."/>
      <w:lvlJc w:val="left"/>
      <w:pPr>
        <w:ind w:left="3600" w:hanging="360"/>
      </w:pPr>
    </w:lvl>
    <w:lvl w:ilvl="5" w:tplc="DECA76F4">
      <w:start w:val="1"/>
      <w:numFmt w:val="lowerRoman"/>
      <w:lvlText w:val="%6."/>
      <w:lvlJc w:val="right"/>
      <w:pPr>
        <w:ind w:left="4320" w:hanging="180"/>
      </w:pPr>
    </w:lvl>
    <w:lvl w:ilvl="6" w:tplc="0DD612DE">
      <w:start w:val="1"/>
      <w:numFmt w:val="decimal"/>
      <w:lvlText w:val="%7."/>
      <w:lvlJc w:val="left"/>
      <w:pPr>
        <w:ind w:left="5040" w:hanging="360"/>
      </w:pPr>
    </w:lvl>
    <w:lvl w:ilvl="7" w:tplc="343088DE">
      <w:start w:val="1"/>
      <w:numFmt w:val="lowerLetter"/>
      <w:lvlText w:val="%8."/>
      <w:lvlJc w:val="left"/>
      <w:pPr>
        <w:ind w:left="5760" w:hanging="360"/>
      </w:pPr>
    </w:lvl>
    <w:lvl w:ilvl="8" w:tplc="41DA942E">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61380183">
    <w:abstractNumId w:val="47"/>
  </w:num>
  <w:num w:numId="2" w16cid:durableId="1226722604">
    <w:abstractNumId w:val="10"/>
  </w:num>
  <w:num w:numId="3" w16cid:durableId="295840676">
    <w:abstractNumId w:val="1"/>
    <w:lvlOverride w:ilvl="0">
      <w:lvl w:ilvl="0">
        <w:start w:val="1"/>
        <w:numFmt w:val="bullet"/>
        <w:lvlText w:val=""/>
        <w:lvlJc w:val="left"/>
        <w:pPr>
          <w:ind w:left="720" w:hanging="360"/>
        </w:pPr>
        <w:rPr>
          <w:rFonts w:ascii="Symbol" w:hAnsi="Symbol" w:hint="default"/>
        </w:rPr>
      </w:lvl>
    </w:lvlOverride>
  </w:num>
  <w:num w:numId="4" w16cid:durableId="1096515083">
    <w:abstractNumId w:val="22"/>
  </w:num>
  <w:num w:numId="5" w16cid:durableId="386148097">
    <w:abstractNumId w:val="44"/>
  </w:num>
  <w:num w:numId="6" w16cid:durableId="1160922392">
    <w:abstractNumId w:val="46"/>
  </w:num>
  <w:num w:numId="7" w16cid:durableId="1914461502">
    <w:abstractNumId w:val="34"/>
  </w:num>
  <w:num w:numId="8" w16cid:durableId="550463242">
    <w:abstractNumId w:val="32"/>
  </w:num>
  <w:num w:numId="9" w16cid:durableId="1501312838">
    <w:abstractNumId w:val="29"/>
  </w:num>
  <w:num w:numId="10" w16cid:durableId="394741097">
    <w:abstractNumId w:val="30"/>
  </w:num>
  <w:num w:numId="11" w16cid:durableId="741753959">
    <w:abstractNumId w:val="9"/>
  </w:num>
  <w:num w:numId="12" w16cid:durableId="120659892">
    <w:abstractNumId w:val="33"/>
  </w:num>
  <w:num w:numId="13" w16cid:durableId="46539267">
    <w:abstractNumId w:val="17"/>
  </w:num>
  <w:num w:numId="14" w16cid:durableId="302010217">
    <w:abstractNumId w:val="16"/>
  </w:num>
  <w:num w:numId="15" w16cid:durableId="65156982">
    <w:abstractNumId w:val="26"/>
  </w:num>
  <w:num w:numId="16" w16cid:durableId="146827525">
    <w:abstractNumId w:val="7"/>
  </w:num>
  <w:num w:numId="17" w16cid:durableId="1919247768">
    <w:abstractNumId w:val="25"/>
  </w:num>
  <w:num w:numId="18" w16cid:durableId="1637876846">
    <w:abstractNumId w:val="15"/>
  </w:num>
  <w:num w:numId="19" w16cid:durableId="873470591">
    <w:abstractNumId w:val="13"/>
  </w:num>
  <w:num w:numId="20" w16cid:durableId="864053656">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444735516">
    <w:abstractNumId w:val="23"/>
  </w:num>
  <w:num w:numId="22" w16cid:durableId="85881176">
    <w:abstractNumId w:val="18"/>
  </w:num>
  <w:num w:numId="23" w16cid:durableId="941959676">
    <w:abstractNumId w:val="14"/>
  </w:num>
  <w:num w:numId="24" w16cid:durableId="1793088134">
    <w:abstractNumId w:val="11"/>
  </w:num>
  <w:num w:numId="25" w16cid:durableId="1756126200">
    <w:abstractNumId w:val="27"/>
  </w:num>
  <w:num w:numId="26" w16cid:durableId="535893021">
    <w:abstractNumId w:val="19"/>
  </w:num>
  <w:num w:numId="27" w16cid:durableId="252712767">
    <w:abstractNumId w:val="40"/>
  </w:num>
  <w:num w:numId="28" w16cid:durableId="1148284416">
    <w:abstractNumId w:val="35"/>
  </w:num>
  <w:num w:numId="29" w16cid:durableId="1998725987">
    <w:abstractNumId w:val="39"/>
  </w:num>
  <w:num w:numId="30" w16cid:durableId="433673772">
    <w:abstractNumId w:val="20"/>
  </w:num>
  <w:num w:numId="31" w16cid:durableId="1862551033">
    <w:abstractNumId w:val="42"/>
  </w:num>
  <w:num w:numId="32" w16cid:durableId="682168080">
    <w:abstractNumId w:val="31"/>
  </w:num>
  <w:num w:numId="33" w16cid:durableId="689140757">
    <w:abstractNumId w:val="12"/>
  </w:num>
  <w:num w:numId="34" w16cid:durableId="1722941560">
    <w:abstractNumId w:val="43"/>
  </w:num>
  <w:num w:numId="35" w16cid:durableId="2112360345">
    <w:abstractNumId w:val="38"/>
  </w:num>
  <w:num w:numId="36" w16cid:durableId="434059408">
    <w:abstractNumId w:val="4"/>
  </w:num>
  <w:num w:numId="37" w16cid:durableId="2106876288">
    <w:abstractNumId w:val="45"/>
  </w:num>
  <w:num w:numId="38" w16cid:durableId="1119687809">
    <w:abstractNumId w:val="41"/>
  </w:num>
  <w:num w:numId="39" w16cid:durableId="61105698">
    <w:abstractNumId w:val="36"/>
  </w:num>
  <w:num w:numId="40" w16cid:durableId="1029722094">
    <w:abstractNumId w:val="37"/>
  </w:num>
  <w:num w:numId="41" w16cid:durableId="1051149167">
    <w:abstractNumId w:val="3"/>
  </w:num>
  <w:num w:numId="42" w16cid:durableId="1281379951">
    <w:abstractNumId w:val="5"/>
  </w:num>
  <w:num w:numId="43" w16cid:durableId="668756792">
    <w:abstractNumId w:val="24"/>
  </w:num>
  <w:num w:numId="44" w16cid:durableId="783425477">
    <w:abstractNumId w:val="6"/>
  </w:num>
  <w:num w:numId="45" w16cid:durableId="1266690420">
    <w:abstractNumId w:val="2"/>
  </w:num>
  <w:num w:numId="46" w16cid:durableId="978726460">
    <w:abstractNumId w:val="0"/>
  </w:num>
  <w:num w:numId="47" w16cid:durableId="403649158">
    <w:abstractNumId w:val="21"/>
  </w:num>
  <w:num w:numId="48" w16cid:durableId="1221868262">
    <w:abstractNumId w:val="28"/>
  </w:num>
  <w:num w:numId="49" w16cid:durableId="1013071327">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196A"/>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244"/>
    <w:rsid w:val="0040668F"/>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0345"/>
    <w:rsid w:val="004911B4"/>
    <w:rsid w:val="0049196A"/>
    <w:rsid w:val="004923DA"/>
    <w:rsid w:val="00493434"/>
    <w:rsid w:val="004962F9"/>
    <w:rsid w:val="004968E2"/>
    <w:rsid w:val="00496E3A"/>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07B9"/>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139B"/>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0EEA"/>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378AC"/>
    <w:rsid w:val="00A40ED6"/>
    <w:rsid w:val="00A470EE"/>
    <w:rsid w:val="00A47621"/>
    <w:rsid w:val="00A479CD"/>
    <w:rsid w:val="00A50CFC"/>
    <w:rsid w:val="00A54D67"/>
    <w:rsid w:val="00A55A3F"/>
    <w:rsid w:val="00A56BC4"/>
    <w:rsid w:val="00A652F6"/>
    <w:rsid w:val="00A732EA"/>
    <w:rsid w:val="00A7489E"/>
    <w:rsid w:val="00A8015F"/>
    <w:rsid w:val="00A80BD2"/>
    <w:rsid w:val="00A840E5"/>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5D5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E03B6D"/>
    <w:rsid w:val="00E0649E"/>
    <w:rsid w:val="00E17160"/>
    <w:rsid w:val="00E35BEC"/>
    <w:rsid w:val="00E44397"/>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37F5D"/>
    <w:rsid w:val="00F4043E"/>
    <w:rsid w:val="00F40CB5"/>
    <w:rsid w:val="00F41BBC"/>
    <w:rsid w:val="00F43B9D"/>
    <w:rsid w:val="00F444F0"/>
    <w:rsid w:val="00F50847"/>
    <w:rsid w:val="00F53F27"/>
    <w:rsid w:val="00F546D1"/>
    <w:rsid w:val="00F6513F"/>
    <w:rsid w:val="00F66272"/>
    <w:rsid w:val="00F6ACA0"/>
    <w:rsid w:val="00F709C0"/>
    <w:rsid w:val="00F843F4"/>
    <w:rsid w:val="00F8610A"/>
    <w:rsid w:val="00F927A1"/>
    <w:rsid w:val="00F92E4D"/>
    <w:rsid w:val="00F94392"/>
    <w:rsid w:val="00FA3764"/>
    <w:rsid w:val="00FA56ED"/>
    <w:rsid w:val="00FB5FA6"/>
    <w:rsid w:val="00FC1310"/>
    <w:rsid w:val="00FC1328"/>
    <w:rsid w:val="00FC2A69"/>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customStyle="1" w:styleId="Heading1Char">
    <w:name w:val="Heading 1 Char"/>
    <w:basedOn w:val="DefaultParagraphFont"/>
    <w:link w:val="Heading1"/>
    <w:uiPriority w:val="9"/>
    <w:rsid w:val="00F37F5D"/>
    <w:rPr>
      <w:rFonts w:ascii="Arial" w:hAnsi="Arial" w:cs="Arial"/>
      <w:b/>
      <w:color w:val="000000"/>
      <w:kern w:val="28"/>
      <w:sz w:val="28"/>
      <w:lang w:eastAsia="en-GB"/>
    </w:rPr>
  </w:style>
  <w:style w:type="paragraph" w:styleId="Bibliography">
    <w:name w:val="Bibliography"/>
    <w:basedOn w:val="Normal"/>
    <w:next w:val="Normal"/>
    <w:uiPriority w:val="37"/>
    <w:unhideWhenUsed/>
    <w:rsid w:val="00F37F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632903">
      <w:bodyDiv w:val="1"/>
      <w:marLeft w:val="0"/>
      <w:marRight w:val="0"/>
      <w:marTop w:val="0"/>
      <w:marBottom w:val="0"/>
      <w:divBdr>
        <w:top w:val="none" w:sz="0" w:space="0" w:color="auto"/>
        <w:left w:val="none" w:sz="0" w:space="0" w:color="auto"/>
        <w:bottom w:val="none" w:sz="0" w:space="0" w:color="auto"/>
        <w:right w:val="none" w:sz="0" w:space="0" w:color="auto"/>
      </w:divBdr>
    </w:div>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396437066">
      <w:bodyDiv w:val="1"/>
      <w:marLeft w:val="0"/>
      <w:marRight w:val="0"/>
      <w:marTop w:val="0"/>
      <w:marBottom w:val="0"/>
      <w:divBdr>
        <w:top w:val="none" w:sz="0" w:space="0" w:color="auto"/>
        <w:left w:val="none" w:sz="0" w:space="0" w:color="auto"/>
        <w:bottom w:val="none" w:sz="0" w:space="0" w:color="auto"/>
        <w:right w:val="none" w:sz="0" w:space="0" w:color="auto"/>
      </w:divBdr>
    </w:div>
    <w:div w:id="419135130">
      <w:bodyDiv w:val="1"/>
      <w:marLeft w:val="0"/>
      <w:marRight w:val="0"/>
      <w:marTop w:val="0"/>
      <w:marBottom w:val="0"/>
      <w:divBdr>
        <w:top w:val="none" w:sz="0" w:space="0" w:color="auto"/>
        <w:left w:val="none" w:sz="0" w:space="0" w:color="auto"/>
        <w:bottom w:val="none" w:sz="0" w:space="0" w:color="auto"/>
        <w:right w:val="none" w:sz="0" w:space="0" w:color="auto"/>
      </w:divBdr>
    </w:div>
    <w:div w:id="509103736">
      <w:bodyDiv w:val="1"/>
      <w:marLeft w:val="0"/>
      <w:marRight w:val="0"/>
      <w:marTop w:val="0"/>
      <w:marBottom w:val="0"/>
      <w:divBdr>
        <w:top w:val="none" w:sz="0" w:space="0" w:color="auto"/>
        <w:left w:val="none" w:sz="0" w:space="0" w:color="auto"/>
        <w:bottom w:val="none" w:sz="0" w:space="0" w:color="auto"/>
        <w:right w:val="none" w:sz="0" w:space="0" w:color="auto"/>
      </w:divBdr>
    </w:div>
    <w:div w:id="655915877">
      <w:bodyDiv w:val="1"/>
      <w:marLeft w:val="0"/>
      <w:marRight w:val="0"/>
      <w:marTop w:val="0"/>
      <w:marBottom w:val="0"/>
      <w:divBdr>
        <w:top w:val="none" w:sz="0" w:space="0" w:color="auto"/>
        <w:left w:val="none" w:sz="0" w:space="0" w:color="auto"/>
        <w:bottom w:val="none" w:sz="0" w:space="0" w:color="auto"/>
        <w:right w:val="none" w:sz="0" w:space="0" w:color="auto"/>
      </w:divBdr>
    </w:div>
    <w:div w:id="850531764">
      <w:bodyDiv w:val="1"/>
      <w:marLeft w:val="0"/>
      <w:marRight w:val="0"/>
      <w:marTop w:val="0"/>
      <w:marBottom w:val="0"/>
      <w:divBdr>
        <w:top w:val="none" w:sz="0" w:space="0" w:color="auto"/>
        <w:left w:val="none" w:sz="0" w:space="0" w:color="auto"/>
        <w:bottom w:val="none" w:sz="0" w:space="0" w:color="auto"/>
        <w:right w:val="none" w:sz="0" w:space="0" w:color="auto"/>
      </w:divBdr>
    </w:div>
    <w:div w:id="916522876">
      <w:bodyDiv w:val="1"/>
      <w:marLeft w:val="0"/>
      <w:marRight w:val="0"/>
      <w:marTop w:val="0"/>
      <w:marBottom w:val="0"/>
      <w:divBdr>
        <w:top w:val="none" w:sz="0" w:space="0" w:color="auto"/>
        <w:left w:val="none" w:sz="0" w:space="0" w:color="auto"/>
        <w:bottom w:val="none" w:sz="0" w:space="0" w:color="auto"/>
        <w:right w:val="none" w:sz="0" w:space="0" w:color="auto"/>
      </w:divBdr>
    </w:div>
    <w:div w:id="1002045986">
      <w:bodyDiv w:val="1"/>
      <w:marLeft w:val="0"/>
      <w:marRight w:val="0"/>
      <w:marTop w:val="0"/>
      <w:marBottom w:val="0"/>
      <w:divBdr>
        <w:top w:val="none" w:sz="0" w:space="0" w:color="auto"/>
        <w:left w:val="none" w:sz="0" w:space="0" w:color="auto"/>
        <w:bottom w:val="none" w:sz="0" w:space="0" w:color="auto"/>
        <w:right w:val="none" w:sz="0" w:space="0" w:color="auto"/>
      </w:divBdr>
    </w:div>
    <w:div w:id="1055549470">
      <w:bodyDiv w:val="1"/>
      <w:marLeft w:val="0"/>
      <w:marRight w:val="0"/>
      <w:marTop w:val="0"/>
      <w:marBottom w:val="0"/>
      <w:divBdr>
        <w:top w:val="none" w:sz="0" w:space="0" w:color="auto"/>
        <w:left w:val="none" w:sz="0" w:space="0" w:color="auto"/>
        <w:bottom w:val="none" w:sz="0" w:space="0" w:color="auto"/>
        <w:right w:val="none" w:sz="0" w:space="0" w:color="auto"/>
      </w:divBdr>
    </w:div>
    <w:div w:id="1062485826">
      <w:bodyDiv w:val="1"/>
      <w:marLeft w:val="0"/>
      <w:marRight w:val="0"/>
      <w:marTop w:val="0"/>
      <w:marBottom w:val="0"/>
      <w:divBdr>
        <w:top w:val="none" w:sz="0" w:space="0" w:color="auto"/>
        <w:left w:val="none" w:sz="0" w:space="0" w:color="auto"/>
        <w:bottom w:val="none" w:sz="0" w:space="0" w:color="auto"/>
        <w:right w:val="none" w:sz="0" w:space="0" w:color="auto"/>
      </w:divBdr>
    </w:div>
    <w:div w:id="1076173031">
      <w:bodyDiv w:val="1"/>
      <w:marLeft w:val="0"/>
      <w:marRight w:val="0"/>
      <w:marTop w:val="0"/>
      <w:marBottom w:val="0"/>
      <w:divBdr>
        <w:top w:val="none" w:sz="0" w:space="0" w:color="auto"/>
        <w:left w:val="none" w:sz="0" w:space="0" w:color="auto"/>
        <w:bottom w:val="none" w:sz="0" w:space="0" w:color="auto"/>
        <w:right w:val="none" w:sz="0" w:space="0" w:color="auto"/>
      </w:divBdr>
    </w:div>
    <w:div w:id="1088162174">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42230216">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4900859">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3401596">
      <w:bodyDiv w:val="1"/>
      <w:marLeft w:val="0"/>
      <w:marRight w:val="0"/>
      <w:marTop w:val="0"/>
      <w:marBottom w:val="0"/>
      <w:divBdr>
        <w:top w:val="none" w:sz="0" w:space="0" w:color="auto"/>
        <w:left w:val="none" w:sz="0" w:space="0" w:color="auto"/>
        <w:bottom w:val="none" w:sz="0" w:space="0" w:color="auto"/>
        <w:right w:val="none" w:sz="0" w:space="0" w:color="auto"/>
      </w:divBdr>
    </w:div>
    <w:div w:id="1237517304">
      <w:bodyDiv w:val="1"/>
      <w:marLeft w:val="0"/>
      <w:marRight w:val="0"/>
      <w:marTop w:val="0"/>
      <w:marBottom w:val="0"/>
      <w:divBdr>
        <w:top w:val="none" w:sz="0" w:space="0" w:color="auto"/>
        <w:left w:val="none" w:sz="0" w:space="0" w:color="auto"/>
        <w:bottom w:val="none" w:sz="0" w:space="0" w:color="auto"/>
        <w:right w:val="none" w:sz="0" w:space="0" w:color="auto"/>
      </w:divBdr>
    </w:div>
    <w:div w:id="1238444049">
      <w:bodyDiv w:val="1"/>
      <w:marLeft w:val="0"/>
      <w:marRight w:val="0"/>
      <w:marTop w:val="0"/>
      <w:marBottom w:val="0"/>
      <w:divBdr>
        <w:top w:val="none" w:sz="0" w:space="0" w:color="auto"/>
        <w:left w:val="none" w:sz="0" w:space="0" w:color="auto"/>
        <w:bottom w:val="none" w:sz="0" w:space="0" w:color="auto"/>
        <w:right w:val="none" w:sz="0" w:space="0" w:color="auto"/>
      </w:divBdr>
    </w:div>
    <w:div w:id="1263102173">
      <w:bodyDiv w:val="1"/>
      <w:marLeft w:val="0"/>
      <w:marRight w:val="0"/>
      <w:marTop w:val="0"/>
      <w:marBottom w:val="0"/>
      <w:divBdr>
        <w:top w:val="none" w:sz="0" w:space="0" w:color="auto"/>
        <w:left w:val="none" w:sz="0" w:space="0" w:color="auto"/>
        <w:bottom w:val="none" w:sz="0" w:space="0" w:color="auto"/>
        <w:right w:val="none" w:sz="0" w:space="0" w:color="auto"/>
      </w:divBdr>
    </w:div>
    <w:div w:id="1316376532">
      <w:bodyDiv w:val="1"/>
      <w:marLeft w:val="0"/>
      <w:marRight w:val="0"/>
      <w:marTop w:val="0"/>
      <w:marBottom w:val="0"/>
      <w:divBdr>
        <w:top w:val="none" w:sz="0" w:space="0" w:color="auto"/>
        <w:left w:val="none" w:sz="0" w:space="0" w:color="auto"/>
        <w:bottom w:val="none" w:sz="0" w:space="0" w:color="auto"/>
        <w:right w:val="none" w:sz="0" w:space="0" w:color="auto"/>
      </w:divBdr>
    </w:div>
    <w:div w:id="1467550395">
      <w:bodyDiv w:val="1"/>
      <w:marLeft w:val="0"/>
      <w:marRight w:val="0"/>
      <w:marTop w:val="0"/>
      <w:marBottom w:val="0"/>
      <w:divBdr>
        <w:top w:val="none" w:sz="0" w:space="0" w:color="auto"/>
        <w:left w:val="none" w:sz="0" w:space="0" w:color="auto"/>
        <w:bottom w:val="none" w:sz="0" w:space="0" w:color="auto"/>
        <w:right w:val="none" w:sz="0" w:space="0" w:color="auto"/>
      </w:divBdr>
    </w:div>
    <w:div w:id="1595287409">
      <w:bodyDiv w:val="1"/>
      <w:marLeft w:val="0"/>
      <w:marRight w:val="0"/>
      <w:marTop w:val="0"/>
      <w:marBottom w:val="0"/>
      <w:divBdr>
        <w:top w:val="none" w:sz="0" w:space="0" w:color="auto"/>
        <w:left w:val="none" w:sz="0" w:space="0" w:color="auto"/>
        <w:bottom w:val="none" w:sz="0" w:space="0" w:color="auto"/>
        <w:right w:val="none" w:sz="0" w:space="0" w:color="auto"/>
      </w:divBdr>
    </w:div>
    <w:div w:id="1693998284">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34367854">
      <w:bodyDiv w:val="1"/>
      <w:marLeft w:val="0"/>
      <w:marRight w:val="0"/>
      <w:marTop w:val="0"/>
      <w:marBottom w:val="0"/>
      <w:divBdr>
        <w:top w:val="none" w:sz="0" w:space="0" w:color="auto"/>
        <w:left w:val="none" w:sz="0" w:space="0" w:color="auto"/>
        <w:bottom w:val="none" w:sz="0" w:space="0" w:color="auto"/>
        <w:right w:val="none" w:sz="0" w:space="0" w:color="auto"/>
      </w:divBdr>
    </w:div>
    <w:div w:id="1841654562">
      <w:bodyDiv w:val="1"/>
      <w:marLeft w:val="0"/>
      <w:marRight w:val="0"/>
      <w:marTop w:val="0"/>
      <w:marBottom w:val="0"/>
      <w:divBdr>
        <w:top w:val="none" w:sz="0" w:space="0" w:color="auto"/>
        <w:left w:val="none" w:sz="0" w:space="0" w:color="auto"/>
        <w:bottom w:val="none" w:sz="0" w:space="0" w:color="auto"/>
        <w:right w:val="none" w:sz="0" w:space="0" w:color="auto"/>
      </w:divBdr>
    </w:div>
    <w:div w:id="1871070093">
      <w:bodyDiv w:val="1"/>
      <w:marLeft w:val="0"/>
      <w:marRight w:val="0"/>
      <w:marTop w:val="0"/>
      <w:marBottom w:val="0"/>
      <w:divBdr>
        <w:top w:val="none" w:sz="0" w:space="0" w:color="auto"/>
        <w:left w:val="none" w:sz="0" w:space="0" w:color="auto"/>
        <w:bottom w:val="none" w:sz="0" w:space="0" w:color="auto"/>
        <w:right w:val="none" w:sz="0" w:space="0" w:color="auto"/>
      </w:divBdr>
    </w:div>
    <w:div w:id="1913151904">
      <w:bodyDiv w:val="1"/>
      <w:marLeft w:val="0"/>
      <w:marRight w:val="0"/>
      <w:marTop w:val="0"/>
      <w:marBottom w:val="0"/>
      <w:divBdr>
        <w:top w:val="none" w:sz="0" w:space="0" w:color="auto"/>
        <w:left w:val="none" w:sz="0" w:space="0" w:color="auto"/>
        <w:bottom w:val="none" w:sz="0" w:space="0" w:color="auto"/>
        <w:right w:val="none" w:sz="0" w:space="0" w:color="auto"/>
      </w:divBdr>
    </w:div>
    <w:div w:id="1936816422">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1962028409">
      <w:bodyDiv w:val="1"/>
      <w:marLeft w:val="0"/>
      <w:marRight w:val="0"/>
      <w:marTop w:val="0"/>
      <w:marBottom w:val="0"/>
      <w:divBdr>
        <w:top w:val="none" w:sz="0" w:space="0" w:color="auto"/>
        <w:left w:val="none" w:sz="0" w:space="0" w:color="auto"/>
        <w:bottom w:val="none" w:sz="0" w:space="0" w:color="auto"/>
        <w:right w:val="none" w:sz="0" w:space="0" w:color="auto"/>
      </w:divBdr>
    </w:div>
    <w:div w:id="1987779300">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53381040">
      <w:bodyDiv w:val="1"/>
      <w:marLeft w:val="0"/>
      <w:marRight w:val="0"/>
      <w:marTop w:val="0"/>
      <w:marBottom w:val="0"/>
      <w:divBdr>
        <w:top w:val="none" w:sz="0" w:space="0" w:color="auto"/>
        <w:left w:val="none" w:sz="0" w:space="0" w:color="auto"/>
        <w:bottom w:val="none" w:sz="0" w:space="0" w:color="auto"/>
        <w:right w:val="none" w:sz="0" w:space="0" w:color="auto"/>
      </w:divBdr>
    </w:div>
    <w:div w:id="21329403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3.png"/><Relationship Id="rId20"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2.png"/><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Version="0">
  <b:Source>
    <b:Tag>Col22</b:Tag>
    <b:SourceType>InternetSite</b:SourceType>
    <b:Guid>{C2415DC4-3E22-42FF-BEB0-D0E41CA69CCA}</b:Guid>
    <b:Title>Recognising and Responding to Vulnerability Related Risks</b:Title>
    <b:Author>
      <b:Author>
        <b:Corporate>College of Policing</b:Corporate>
      </b:Author>
    </b:Author>
    <b:YearAccessed>2022</b:YearAccessed>
    <b:MonthAccessed>October</b:MonthAccessed>
    <b:DayAccessed>20</b:DayAccessed>
    <b:URL>https://paas-s3-broker-prod-lon-6453d964-1d1a-432a-9260-5e0ba7d2fc51.s3.eu-west-2.amazonaws.com/s3fs-public/Recognising-responding-vulnerability-related-risks-guidelines.pdf</b:URL>
    <b:Year>2020</b:Year>
    <b:RefOrder>1</b:RefOrder>
  </b:Source>
  <b:Source>
    <b:Tag>The14</b:Tag>
    <b:SourceType>InternetSite</b:SourceType>
    <b:Guid>{F73A922E-ECDD-4217-80B0-E34AFEB582D8}</b:Guid>
    <b:Author>
      <b:Author>
        <b:Corporate>The College of Policing</b:Corporate>
      </b:Author>
    </b:Author>
    <b:Title>National Decision Making</b:Title>
    <b:Year>2014</b:Year>
    <b:YearAccessed>2022</b:YearAccessed>
    <b:MonthAccessed>September</b:MonthAccessed>
    <b:DayAccessed>4</b:DayAccessed>
    <b:URL>https://www.college.police.uk/app/national-decision-model/national-decision-model?highlight=national%20decision%20model</b:URL>
    <b:RefOrder>2</b:RefOrder>
  </b:Source>
  <b:Source>
    <b:Tag>Leg21</b:Tag>
    <b:SourceType>InternetSite</b:SourceType>
    <b:Guid>{BED7C225-E7B7-4825-A2E0-5C85DD9924AF}</b:Guid>
    <b:Author>
      <b:Author>
        <b:Corporate>Legislation.gov.uk</b:Corporate>
      </b:Author>
    </b:Author>
    <b:Title>Domestic Abuse Act 2021</b:Title>
    <b:Year>2021</b:Year>
    <b:YearAccessed>2022</b:YearAccessed>
    <b:MonthAccessed>September</b:MonthAccessed>
    <b:DayAccessed>1</b:DayAccessed>
    <b:URL>https://www.legislation.gov.uk/ukpga/2021/17/part/1</b:URL>
    <b:RefOrder>3</b:RefOrder>
  </b:Source>
  <b:Source>
    <b:Tag>Leg221</b:Tag>
    <b:SourceType>InternetSite</b:SourceType>
    <b:Guid>{203DB540-7D0C-4557-9C12-3BF0D64D8E60}</b:Guid>
    <b:Author>
      <b:Author>
        <b:Corporate>Legislation.gov</b:Corporate>
      </b:Author>
    </b:Author>
    <b:Title>Social Services and Well-being Act (Wales) 2014</b:Title>
    <b:YearAccessed>2022</b:YearAccessed>
    <b:MonthAccessed>October</b:MonthAccessed>
    <b:DayAccessed>22</b:DayAccessed>
    <b:URL>https://www.legislation.gov.uk/anaw/2014/4/section/3</b:URL>
    <b:RefOrder>4</b:RefOrder>
  </b:Source>
  <b:Source>
    <b:Tag>Lib22</b:Tag>
    <b:SourceType>InternetSite</b:SourceType>
    <b:Guid>{CD4DEB63-BCF9-4093-832E-8CBBAD34C91A}</b:Guid>
    <b:Author>
      <b:Author>
        <b:Corporate>Liberal Democrats</b:Corporate>
      </b:Author>
    </b:Author>
    <b:Title>Safeguarding Under 18's and Vulnerable Adults Policy</b:Title>
    <b:YearAccessed>2022</b:YearAccessed>
    <b:MonthAccessed>October</b:MonthAccessed>
    <b:DayAccessed>22</b:DayAccessed>
    <b:URL>https://www.libdems.org.uk/doc-safeguarding#:~:text=or%20sexual%20orientation.-,Under%2018s%20and%20some%20adults%20are%20less%20able%20to%20protect,under%2018s%20and%20vulnerable%20adults.</b:URL>
    <b:RefOrder>5</b:RefOrder>
  </b:Source>
  <b:Source>
    <b:Tag>Cen21</b:Tag>
    <b:SourceType>InternetSite</b:SourceType>
    <b:Guid>{2355AE1A-74FE-4CEA-B0F1-AC232551F5B1}</b:Guid>
    <b:Author>
      <b:Author>
        <b:Corporate>Prevention Centres for Disease Control and</b:Corporate>
      </b:Author>
    </b:Author>
    <b:Title>Adverse Childhood Experiences (ACEs)</b:Title>
    <b:Year>2021</b:Year>
    <b:YearAccessed>2022</b:YearAccessed>
    <b:MonthAccessed>October</b:MonthAccessed>
    <b:DayAccessed>20</b:DayAccessed>
    <b:URL>https://www.cdc.gov/violenceprevention/aces/index.html</b:URL>
    <b:RefOrder>6</b:RefOrder>
  </b:Source>
  <b:Source>
    <b:Tag>You22</b:Tag>
    <b:SourceType>InternetSite</b:SourceType>
    <b:Guid>{5B590846-90CA-4D9E-9793-D45F1CCA0F3B}</b:Guid>
    <b:Author>
      <b:Author>
        <b:Corporate>Young Minds</b:Corporate>
      </b:Author>
    </b:Author>
    <b:Title>Addressing Trauma and Diversity</b:Title>
    <b:Year>2022</b:Year>
    <b:YearAccessed>2022</b:YearAccessed>
    <b:MonthAccessed>October</b:MonthAccessed>
    <b:DayAccessed>22</b:DayAccessed>
    <b:URL>https://www.youngminds.org.uk/professional/resources/addressing-trauma-and-adversity/?gclid=Cj0KCQjwqc6aBhC4ARIsAN06NmO7ouw8FNUgFHYscnQMH6CBxExzxas85JSEiRCNVolRbfOPw-RNinkaAvg7EALw_wcB</b:URL>
    <b:RefOrder>7</b:RefOrder>
  </b:Source>
  <b:Source>
    <b:Tag>Ber22</b:Tag>
    <b:SourceType>InternetSite</b:SourceType>
    <b:Guid>{335E55AE-C3E3-4951-8CE5-60EF2BDCC9E6}</b:Guid>
    <b:Author>
      <b:Author>
        <b:Corporate>Bernardo's</b:Corporate>
      </b:Author>
    </b:Author>
    <b:Title>Trauma Informed Practice</b:Title>
    <b:Year>2022</b:Year>
    <b:YearAccessed>2022</b:YearAccessed>
    <b:MonthAccessed>October</b:MonthAccessed>
    <b:DayAccessed>21</b:DayAccessed>
    <b:URL>https://www.barnardosbeacon.org.uk/trauma-informed-practice</b:URL>
    <b:RefOrder>8</b:RefOrder>
  </b:Source>
  <b:Source>
    <b:Tag>Leg</b:Tag>
    <b:SourceType>InternetSite</b:SourceType>
    <b:Guid>{8DC9A019-B016-4A5D-960A-B69624DE4654}</b:Guid>
    <b:Author>
      <b:Author>
        <b:Corporate>Legislation.gov.uk</b:Corporate>
      </b:Author>
    </b:Author>
    <b:Title>Domestic Abuse Act 2021</b:Title>
    <b:Year>2021</b:Year>
    <b:YearAccessed>2022</b:YearAccessed>
    <b:MonthAccessed>October</b:MonthAccessed>
    <b:DayAccessed>21</b:DayAccessed>
    <b:URL>https://www.legislation.gov.uk/ukpga/2021/17/part/6/crossheading/disclosure-of-private-sexual-photographs-and-films/enacted</b:URL>
    <b:RefOrder>9</b:RefOrder>
  </b:Source>
  <b:Source>
    <b:Tag>Leg22</b:Tag>
    <b:SourceType>InternetSite</b:SourceType>
    <b:Guid>{331E9C27-7465-418B-837F-11E9973FD714}</b:Guid>
    <b:Author>
      <b:Author>
        <b:Corporate>Legislation.gov.uk</b:Corporate>
      </b:Author>
    </b:Author>
    <b:Title>Public Order Act 1986</b:Title>
    <b:YearAccessed>2022</b:YearAccessed>
    <b:MonthAccessed>October</b:MonthAccessed>
    <b:DayAccessed>21</b:DayAccessed>
    <b:URL>https://www.legislation.gov.uk/ukpga/1986/64/section/4</b:URL>
    <b:RefOrder>10</b:RefOrder>
  </b:Source>
  <b:Source>
    <b:Tag>Bry20</b:Tag>
    <b:SourceType>Book</b:SourceType>
    <b:Guid>{E314CEB4-827C-4161-8350-9C478197C743}</b:Guid>
    <b:Author>
      <b:Author>
        <b:NameList>
          <b:Person>
            <b:Last>Bryant</b:Last>
            <b:First>Professor Robin</b:First>
          </b:Person>
          <b:Person>
            <b:Last>Bryant</b:Last>
            <b:First>Sarah</b:First>
          </b:Person>
        </b:NameList>
      </b:Author>
    </b:Author>
    <b:Title>Blacksone's Handbook for Policing Students 2021</b:Title>
    <b:Year>2020</b:Year>
    <b:City>Oxford</b:City>
    <b:Publisher>Oxford University Press</b:Publisher>
    <b:Edition>15th</b:Edition>
    <b:RefOrder>11</b:RefOrder>
  </b:Source>
  <b:Source>
    <b:Tag>Gov22</b:Tag>
    <b:SourceType>InternetSite</b:SourceType>
    <b:Guid>{EF16D8A8-AD02-40DF-9966-69F2767624E0}</b:Guid>
    <b:Author>
      <b:Author>
        <b:Corporate>Gov.wales</b:Corporate>
      </b:Author>
    </b:Author>
    <b:Title>Live Fear Freee Helpline, Domestic Abuse</b:Title>
    <b:YearAccessed>2022</b:YearAccessed>
    <b:MonthAccessed>October</b:MonthAccessed>
    <b:DayAccessed>22</b:DayAccessed>
    <b:URL>https://gov.wales/live-fear-free/domestic-abuse-wales</b:URL>
    <b:RefOrder>12</b:RefOrder>
  </b:Source>
  <b:Source>
    <b:Tag>Vic22</b:Tag>
    <b:SourceType>InternetSite</b:SourceType>
    <b:Guid>{F244F8DA-EE80-4EA8-9427-5DD2F7C48F28}</b:Guid>
    <b:Author>
      <b:Author>
        <b:Corporate>Victim Support</b:Corporate>
      </b:Author>
    </b:Author>
    <b:Title>Victim Support, How We Can Help</b:Title>
    <b:YearAccessed>2022</b:YearAccessed>
    <b:MonthAccessed>10</b:MonthAccessed>
    <b:DayAccessed>22</b:DayAccessed>
    <b:URL>https://www.victimsupport.org.uk/help-and-support/how-we-can-help/</b:URL>
    <b:RefOrder>13</b:RefOrder>
  </b:Source>
  <b:Source>
    <b:Tag>The18</b:Tag>
    <b:SourceType>InternetSite</b:SourceType>
    <b:Guid>{05033398-35B9-48E0-B65F-76E59021F9F8}</b:Guid>
    <b:Author>
      <b:Author>
        <b:Corporate>The College of Policing</b:Corporate>
      </b:Author>
    </b:Author>
    <b:Title>Core Planning Principles</b:Title>
    <b:Year>2018</b:Year>
    <b:YearAccessed>2022</b:YearAccessed>
    <b:MonthAccessed>September</b:MonthAccessed>
    <b:DayAccessed>1st</b:DayAccessed>
    <b:URL>https://www.college.police.uk/app/operations/operational-planning/core-planning-principles</b:URL>
    <b:RefOrder>14</b:RefOrder>
  </b:Source>
  <b:Source>
    <b:Tag>The12</b:Tag>
    <b:SourceType>InternetSite</b:SourceType>
    <b:Guid>{FFFD10EC-D1CB-487D-9E8B-A1B93762D9C2}</b:Guid>
    <b:Author>
      <b:Author>
        <b:Corporate>The Home Office</b:Corporate>
      </b:Author>
    </b:Author>
    <b:Title>Police and Criminal Evidence Act 1984, Code G, Revised Code of Practice for the Statutory Powers of Arrest by Police Officers</b:Title>
    <b:Year>2012</b:Year>
    <b:YearAccessed>2022</b:YearAccessed>
    <b:MonthAccessed>September</b:MonthAccessed>
    <b:DayAccessed>4th</b:DayAccessed>
    <b:URL>https://assets.publishing.service.gov.uk/government/uploads/system/uploads/attachment_data/file/903814/pace-code-g-2012.pdf</b:URL>
    <b:RefOrder>15</b:RefOrder>
  </b:Source>
  <b:Source>
    <b:Tag>DAS22</b:Tag>
    <b:SourceType>InternetSite</b:SourceType>
    <b:Guid>{03923A6A-E7A7-4BA1-891E-5AF545B5087C}</b:Guid>
    <b:Author>
      <b:Author>
        <b:Corporate>DASH Risk Checklist</b:Corporate>
      </b:Author>
    </b:Author>
    <b:Title>DASH Risk Model</b:Title>
    <b:Year>2022</b:Year>
    <b:YearAccessed>2022</b:YearAccessed>
    <b:MonthAccessed>October</b:MonthAccessed>
    <b:DayAccessed>11</b:DayAccessed>
    <b:URL>https://www.dashriskchecklist.co.uk/dash/</b:URL>
    <b:RefOrder>16</b:RefOrder>
  </b:Source>
</b:Sources>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8A7D2346-CE28-4722-8A11-030D03728E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5947</Words>
  <Characters>33899</Characters>
  <Application>Microsoft Office Word</Application>
  <DocSecurity>0</DocSecurity>
  <Lines>282</Lines>
  <Paragraphs>79</Paragraphs>
  <ScaleCrop>false</ScaleCrop>
  <Company>Powys County Council</Company>
  <LinksUpToDate>false</LinksUpToDate>
  <CharactersWithSpaces>39767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Peter Devonshire</cp:lastModifiedBy>
  <cp:revision>2</cp:revision>
  <cp:lastPrinted>2014-08-26T08:55:00Z</cp:lastPrinted>
  <dcterms:created xsi:type="dcterms:W3CDTF">2022-10-24T20:41:00Z</dcterms:created>
  <dcterms:modified xsi:type="dcterms:W3CDTF">2022-10-24T20:41:00Z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