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BF0ED" w14:textId="77777777" w:rsidR="00975117" w:rsidRDefault="00000000">
      <w:pPr>
        <w:pStyle w:val="NormalWeb"/>
        <w:spacing w:before="0" w:beforeAutospacing="0" w:after="0" w:afterAutospacing="0" w:line="360" w:lineRule="auto"/>
        <w:jc w:val="center"/>
        <w:rPr>
          <w:rStyle w:val="Strong"/>
          <w:rFonts w:ascii="Arial" w:hAnsi="Arial" w:cs="Arial"/>
          <w:color w:val="0E101A"/>
          <w:u w:val="single"/>
        </w:rPr>
      </w:pPr>
      <w:r>
        <w:rPr>
          <w:rStyle w:val="Strong"/>
          <w:rFonts w:ascii="Arial" w:hAnsi="Arial" w:cs="Arial"/>
          <w:noProof/>
          <w:color w:val="0E101A"/>
          <w:lang w:bidi="hi-IN"/>
        </w:rPr>
        <w:drawing>
          <wp:inline distT="0" distB="0" distL="0" distR="0" wp14:anchorId="562FC785" wp14:editId="02061076">
            <wp:extent cx="2524125" cy="904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2524477" cy="905001"/>
                    </a:xfrm>
                    <a:prstGeom prst="rect">
                      <a:avLst/>
                    </a:prstGeom>
                  </pic:spPr>
                </pic:pic>
              </a:graphicData>
            </a:graphic>
          </wp:inline>
        </w:drawing>
      </w:r>
    </w:p>
    <w:p w14:paraId="39769C53" w14:textId="77777777" w:rsidR="00975117" w:rsidRDefault="00000000">
      <w:pPr>
        <w:pStyle w:val="NormalWeb"/>
        <w:spacing w:before="0" w:beforeAutospacing="0" w:after="0" w:afterAutospacing="0" w:line="360" w:lineRule="auto"/>
        <w:jc w:val="center"/>
        <w:rPr>
          <w:rFonts w:ascii="Arial" w:hAnsi="Arial" w:cs="Arial"/>
          <w:color w:val="0E101A"/>
        </w:rPr>
      </w:pPr>
      <w:r>
        <w:rPr>
          <w:rStyle w:val="Strong"/>
          <w:rFonts w:ascii="Arial" w:hAnsi="Arial" w:cs="Arial"/>
          <w:color w:val="0E101A"/>
          <w:u w:val="single"/>
        </w:rPr>
        <w:t>Certificate of Higher Education Skills for the Workplace (Health &amp; Social Care)</w:t>
      </w:r>
    </w:p>
    <w:p w14:paraId="1657E908" w14:textId="77777777" w:rsidR="00975117" w:rsidRDefault="00975117">
      <w:pPr>
        <w:pStyle w:val="NormalWeb"/>
        <w:spacing w:before="0" w:beforeAutospacing="0" w:after="0" w:afterAutospacing="0" w:line="360" w:lineRule="auto"/>
        <w:jc w:val="center"/>
        <w:rPr>
          <w:rStyle w:val="Emphasis"/>
          <w:rFonts w:ascii="Arial" w:hAnsi="Arial" w:cs="Arial"/>
          <w:b/>
          <w:bCs/>
          <w:color w:val="0E101A"/>
        </w:rPr>
      </w:pPr>
    </w:p>
    <w:p w14:paraId="45939952" w14:textId="77777777" w:rsidR="00975117" w:rsidRDefault="00000000">
      <w:pPr>
        <w:pStyle w:val="NormalWeb"/>
        <w:spacing w:before="0" w:beforeAutospacing="0" w:after="0" w:afterAutospacing="0" w:line="360" w:lineRule="auto"/>
        <w:jc w:val="center"/>
        <w:rPr>
          <w:rFonts w:ascii="Arial" w:hAnsi="Arial" w:cs="Arial"/>
          <w:color w:val="0E101A"/>
        </w:rPr>
      </w:pPr>
      <w:r>
        <w:rPr>
          <w:rStyle w:val="Emphasis"/>
          <w:rFonts w:ascii="Arial" w:hAnsi="Arial" w:cs="Arial"/>
          <w:b/>
          <w:bCs/>
          <w:color w:val="0E101A"/>
        </w:rPr>
        <w:t>Introduction to Health and Social Care</w:t>
      </w:r>
    </w:p>
    <w:p w14:paraId="4A6DA838" w14:textId="77777777" w:rsidR="00975117" w:rsidRDefault="00000000">
      <w:pPr>
        <w:pStyle w:val="NormalWeb"/>
        <w:spacing w:before="0" w:beforeAutospacing="0" w:after="0" w:afterAutospacing="0" w:line="360" w:lineRule="auto"/>
        <w:jc w:val="center"/>
        <w:rPr>
          <w:rStyle w:val="Strong"/>
          <w:rFonts w:ascii="Arial" w:hAnsi="Arial" w:cs="Arial"/>
          <w:i/>
          <w:iCs/>
          <w:color w:val="0E101A"/>
        </w:rPr>
      </w:pPr>
      <w:r>
        <w:rPr>
          <w:rStyle w:val="Strong"/>
          <w:rFonts w:ascii="Arial" w:hAnsi="Arial" w:cs="Arial"/>
          <w:i/>
          <w:iCs/>
          <w:color w:val="0E101A"/>
        </w:rPr>
        <w:t>LCHS4003</w:t>
      </w:r>
    </w:p>
    <w:p w14:paraId="6BDB467B" w14:textId="77777777" w:rsidR="00975117" w:rsidRDefault="00975117">
      <w:pPr>
        <w:pStyle w:val="NormalWeb"/>
        <w:spacing w:before="0" w:beforeAutospacing="0" w:after="0" w:afterAutospacing="0" w:line="360" w:lineRule="auto"/>
        <w:jc w:val="center"/>
        <w:rPr>
          <w:rStyle w:val="Strong"/>
          <w:rFonts w:ascii="Arial" w:hAnsi="Arial" w:cs="Arial"/>
          <w:i/>
          <w:iCs/>
          <w:color w:val="0E101A"/>
        </w:rPr>
      </w:pPr>
    </w:p>
    <w:p w14:paraId="562BCA3A" w14:textId="77777777" w:rsidR="00975117" w:rsidRDefault="00975117">
      <w:pPr>
        <w:pStyle w:val="NormalWeb"/>
        <w:spacing w:before="0" w:beforeAutospacing="0" w:after="0" w:afterAutospacing="0" w:line="360" w:lineRule="auto"/>
        <w:jc w:val="center"/>
        <w:rPr>
          <w:rStyle w:val="Strong"/>
          <w:rFonts w:ascii="Arial" w:hAnsi="Arial" w:cs="Arial"/>
          <w:i/>
          <w:iCs/>
          <w:color w:val="0E101A"/>
        </w:rPr>
      </w:pPr>
    </w:p>
    <w:p w14:paraId="68FA027D" w14:textId="43257BAC" w:rsidR="00975117" w:rsidRDefault="00000000">
      <w:pPr>
        <w:pStyle w:val="NormalWeb"/>
        <w:spacing w:before="0" w:beforeAutospacing="0" w:after="0" w:afterAutospacing="0" w:line="360" w:lineRule="auto"/>
        <w:jc w:val="center"/>
        <w:rPr>
          <w:rStyle w:val="Strong"/>
          <w:rFonts w:ascii="Arial" w:hAnsi="Arial" w:cs="Arial"/>
          <w:i/>
          <w:iCs/>
          <w:color w:val="0E101A"/>
        </w:rPr>
      </w:pPr>
      <w:r>
        <w:rPr>
          <w:rStyle w:val="Strong"/>
          <w:rFonts w:ascii="Arial" w:hAnsi="Arial" w:cs="Arial"/>
          <w:i/>
          <w:iCs/>
          <w:color w:val="0E101A"/>
        </w:rPr>
        <w:t>Student Name:</w:t>
      </w:r>
      <w:r w:rsidR="00DC7C27">
        <w:rPr>
          <w:rStyle w:val="Strong"/>
          <w:rFonts w:ascii="Arial" w:hAnsi="Arial" w:cs="Arial"/>
          <w:i/>
          <w:iCs/>
          <w:color w:val="0E101A"/>
        </w:rPr>
        <w:t xml:space="preserve"> Soumeya Rekabi</w:t>
      </w:r>
    </w:p>
    <w:p w14:paraId="5A3E5312" w14:textId="40872AFF" w:rsidR="00975117" w:rsidRDefault="00000000">
      <w:pPr>
        <w:pStyle w:val="NormalWeb"/>
        <w:spacing w:before="0" w:beforeAutospacing="0" w:after="0" w:afterAutospacing="0" w:line="360" w:lineRule="auto"/>
        <w:jc w:val="center"/>
        <w:rPr>
          <w:rStyle w:val="Strong"/>
          <w:rFonts w:ascii="Arial" w:hAnsi="Arial" w:cs="Arial"/>
          <w:i/>
          <w:iCs/>
          <w:color w:val="0E101A"/>
        </w:rPr>
      </w:pPr>
      <w:r>
        <w:rPr>
          <w:rStyle w:val="Strong"/>
          <w:rFonts w:ascii="Arial" w:hAnsi="Arial" w:cs="Arial"/>
          <w:i/>
          <w:iCs/>
          <w:color w:val="0E101A"/>
        </w:rPr>
        <w:t>Student ID:</w:t>
      </w:r>
      <w:r w:rsidR="00DC7C27">
        <w:rPr>
          <w:rStyle w:val="Strong"/>
          <w:rFonts w:ascii="Arial" w:hAnsi="Arial" w:cs="Arial"/>
          <w:i/>
          <w:iCs/>
          <w:color w:val="0E101A"/>
        </w:rPr>
        <w:t>2513643</w:t>
      </w:r>
    </w:p>
    <w:p w14:paraId="2405B554" w14:textId="61AF92F0" w:rsidR="00975117" w:rsidRDefault="00000000">
      <w:pPr>
        <w:pStyle w:val="NormalWeb"/>
        <w:spacing w:before="0" w:beforeAutospacing="0" w:after="0" w:afterAutospacing="0" w:line="360" w:lineRule="auto"/>
        <w:jc w:val="center"/>
        <w:rPr>
          <w:rStyle w:val="Strong"/>
          <w:rFonts w:ascii="Arial" w:hAnsi="Arial" w:cs="Arial"/>
          <w:i/>
          <w:iCs/>
          <w:color w:val="0E101A"/>
        </w:rPr>
      </w:pPr>
      <w:r>
        <w:rPr>
          <w:rStyle w:val="Strong"/>
          <w:rFonts w:ascii="Arial" w:hAnsi="Arial" w:cs="Arial"/>
          <w:i/>
          <w:iCs/>
          <w:color w:val="0E101A"/>
        </w:rPr>
        <w:t>Lecturer Name:</w:t>
      </w:r>
      <w:r w:rsidR="00DC7C27">
        <w:rPr>
          <w:rStyle w:val="Strong"/>
          <w:rFonts w:ascii="Arial" w:hAnsi="Arial" w:cs="Arial"/>
          <w:i/>
          <w:iCs/>
          <w:color w:val="0E101A"/>
        </w:rPr>
        <w:t xml:space="preserve"> Mark Kane</w:t>
      </w:r>
    </w:p>
    <w:p w14:paraId="0A0A1E8D" w14:textId="77777777" w:rsidR="00975117" w:rsidRDefault="00975117">
      <w:pPr>
        <w:pStyle w:val="NormalWeb"/>
        <w:spacing w:before="0" w:beforeAutospacing="0" w:after="0" w:afterAutospacing="0" w:line="360" w:lineRule="auto"/>
        <w:jc w:val="center"/>
        <w:rPr>
          <w:rFonts w:ascii="Arial" w:hAnsi="Arial" w:cs="Arial"/>
          <w:i/>
          <w:iCs/>
          <w:color w:val="0E101A"/>
        </w:rPr>
      </w:pPr>
    </w:p>
    <w:p w14:paraId="4142C231" w14:textId="77777777" w:rsidR="00975117" w:rsidRDefault="00000000">
      <w:pPr>
        <w:spacing w:line="360" w:lineRule="auto"/>
        <w:jc w:val="center"/>
        <w:rPr>
          <w:rStyle w:val="Strong"/>
          <w:rFonts w:ascii="Arial" w:eastAsia="Times New Roman" w:hAnsi="Arial" w:cs="Arial"/>
          <w:color w:val="0E101A"/>
          <w:sz w:val="24"/>
          <w:szCs w:val="24"/>
          <w:lang w:eastAsia="en-IN"/>
        </w:rPr>
      </w:pPr>
      <w:r>
        <w:rPr>
          <w:rStyle w:val="Strong"/>
          <w:rFonts w:ascii="Arial" w:hAnsi="Arial" w:cs="Arial"/>
          <w:color w:val="0E101A"/>
          <w:sz w:val="24"/>
          <w:szCs w:val="24"/>
        </w:rPr>
        <w:br w:type="page"/>
      </w:r>
    </w:p>
    <w:sdt>
      <w:sdtPr>
        <w:rPr>
          <w:rFonts w:ascii="Arial" w:eastAsiaTheme="minorHAnsi" w:hAnsi="Arial" w:cs="Arial"/>
          <w:color w:val="auto"/>
          <w:sz w:val="24"/>
          <w:szCs w:val="24"/>
          <w:lang w:val="en-IN"/>
        </w:rPr>
        <w:id w:val="506795389"/>
        <w:docPartObj>
          <w:docPartGallery w:val="Table of Contents"/>
          <w:docPartUnique/>
        </w:docPartObj>
      </w:sdtPr>
      <w:sdtEndPr>
        <w:rPr>
          <w:b/>
          <w:bCs/>
        </w:rPr>
      </w:sdtEndPr>
      <w:sdtContent>
        <w:p w14:paraId="3920A9C4" w14:textId="77777777" w:rsidR="00975117" w:rsidRDefault="00000000">
          <w:pPr>
            <w:pStyle w:val="TOCHeading1"/>
            <w:spacing w:line="360" w:lineRule="auto"/>
            <w:rPr>
              <w:rFonts w:ascii="Arial" w:hAnsi="Arial" w:cs="Arial"/>
              <w:b/>
              <w:bCs/>
              <w:color w:val="000000" w:themeColor="text1"/>
              <w:sz w:val="24"/>
              <w:szCs w:val="24"/>
            </w:rPr>
          </w:pPr>
          <w:r>
            <w:rPr>
              <w:rFonts w:ascii="Arial" w:hAnsi="Arial" w:cs="Arial"/>
              <w:b/>
              <w:bCs/>
              <w:color w:val="000000" w:themeColor="text1"/>
              <w:sz w:val="24"/>
              <w:szCs w:val="24"/>
            </w:rPr>
            <w:t>Contents</w:t>
          </w:r>
        </w:p>
        <w:p w14:paraId="351DA77C" w14:textId="77777777" w:rsidR="00975117" w:rsidRDefault="00000000">
          <w:pPr>
            <w:pStyle w:val="TOC1"/>
            <w:tabs>
              <w:tab w:val="right" w:leader="dot" w:pos="9016"/>
            </w:tabs>
            <w:rPr>
              <w:rFonts w:eastAsiaTheme="minorEastAsia"/>
              <w:szCs w:val="20"/>
              <w:lang w:eastAsia="en-IN" w:bidi="hi-IN"/>
            </w:rPr>
          </w:pP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TOC \o "1-3" \h \z \u </w:instrText>
          </w:r>
          <w:r>
            <w:rPr>
              <w:rFonts w:ascii="Arial" w:hAnsi="Arial" w:cs="Arial"/>
              <w:color w:val="000000" w:themeColor="text1"/>
              <w:sz w:val="24"/>
              <w:szCs w:val="24"/>
            </w:rPr>
            <w:fldChar w:fldCharType="separate"/>
          </w:r>
          <w:hyperlink w:anchor="_Toc227621346" w:history="1">
            <w:r>
              <w:rPr>
                <w:rStyle w:val="Hyperlink"/>
                <w:rFonts w:ascii="Arial" w:hAnsi="Arial" w:cs="Arial"/>
                <w:b/>
                <w:bCs/>
              </w:rPr>
              <w:t>Introduction</w:t>
            </w:r>
            <w:r>
              <w:tab/>
            </w:r>
            <w:r>
              <w:fldChar w:fldCharType="begin"/>
            </w:r>
            <w:r>
              <w:instrText xml:space="preserve"> PAGEREF _Toc227621346 \h </w:instrText>
            </w:r>
            <w:r>
              <w:fldChar w:fldCharType="separate"/>
            </w:r>
            <w:r>
              <w:t>3</w:t>
            </w:r>
            <w:r>
              <w:fldChar w:fldCharType="end"/>
            </w:r>
          </w:hyperlink>
        </w:p>
        <w:p w14:paraId="4DAF0D5F" w14:textId="77777777" w:rsidR="00975117" w:rsidRDefault="00000000">
          <w:pPr>
            <w:pStyle w:val="TOC1"/>
            <w:tabs>
              <w:tab w:val="right" w:leader="dot" w:pos="9016"/>
            </w:tabs>
            <w:rPr>
              <w:rFonts w:eastAsiaTheme="minorEastAsia"/>
              <w:szCs w:val="20"/>
              <w:lang w:eastAsia="en-IN" w:bidi="hi-IN"/>
            </w:rPr>
          </w:pPr>
          <w:hyperlink w:anchor="_Toc227621347" w:history="1">
            <w:r>
              <w:rPr>
                <w:rStyle w:val="Hyperlink"/>
                <w:rFonts w:ascii="Arial" w:hAnsi="Arial" w:cs="Arial"/>
                <w:b/>
                <w:bCs/>
              </w:rPr>
              <w:t>Importance of effective communication within the context of Mr Ahmed’s care</w:t>
            </w:r>
            <w:r>
              <w:tab/>
            </w:r>
            <w:r>
              <w:fldChar w:fldCharType="begin"/>
            </w:r>
            <w:r>
              <w:instrText xml:space="preserve"> PAGEREF _Toc227621347 \h </w:instrText>
            </w:r>
            <w:r>
              <w:fldChar w:fldCharType="separate"/>
            </w:r>
            <w:r>
              <w:t>4</w:t>
            </w:r>
            <w:r>
              <w:fldChar w:fldCharType="end"/>
            </w:r>
          </w:hyperlink>
        </w:p>
        <w:p w14:paraId="4FA0E0BC" w14:textId="77777777" w:rsidR="00975117" w:rsidRDefault="00000000">
          <w:pPr>
            <w:pStyle w:val="TOC1"/>
            <w:tabs>
              <w:tab w:val="right" w:leader="dot" w:pos="9016"/>
            </w:tabs>
            <w:rPr>
              <w:rFonts w:eastAsiaTheme="minorEastAsia"/>
              <w:szCs w:val="20"/>
              <w:lang w:eastAsia="en-IN" w:bidi="hi-IN"/>
            </w:rPr>
          </w:pPr>
          <w:hyperlink w:anchor="_Toc227621348" w:history="1">
            <w:r>
              <w:rPr>
                <w:rStyle w:val="Hyperlink"/>
                <w:rFonts w:ascii="Arial" w:hAnsi="Arial" w:cs="Arial"/>
                <w:b/>
                <w:bCs/>
              </w:rPr>
              <w:t>Importance of good administrative skills within professional practice within the context of Mr Ahmed’s care</w:t>
            </w:r>
            <w:r>
              <w:tab/>
            </w:r>
            <w:r>
              <w:fldChar w:fldCharType="begin"/>
            </w:r>
            <w:r>
              <w:instrText xml:space="preserve"> PAGEREF _Toc227621348 \h </w:instrText>
            </w:r>
            <w:r>
              <w:fldChar w:fldCharType="separate"/>
            </w:r>
            <w:r>
              <w:t>5</w:t>
            </w:r>
            <w:r>
              <w:fldChar w:fldCharType="end"/>
            </w:r>
          </w:hyperlink>
        </w:p>
        <w:p w14:paraId="69DA635C" w14:textId="77777777" w:rsidR="00975117" w:rsidRDefault="00000000">
          <w:pPr>
            <w:pStyle w:val="TOC1"/>
            <w:tabs>
              <w:tab w:val="right" w:leader="dot" w:pos="9016"/>
            </w:tabs>
            <w:rPr>
              <w:rFonts w:eastAsiaTheme="minorEastAsia"/>
              <w:szCs w:val="20"/>
              <w:lang w:eastAsia="en-IN" w:bidi="hi-IN"/>
            </w:rPr>
          </w:pPr>
          <w:hyperlink w:anchor="_Toc227621349" w:history="1">
            <w:r>
              <w:rPr>
                <w:rStyle w:val="Hyperlink"/>
                <w:rFonts w:ascii="Arial" w:hAnsi="Arial" w:cs="Arial"/>
                <w:b/>
                <w:bCs/>
              </w:rPr>
              <w:t>Importance of Working Collaboratively Involved in Ahmed’s Care</w:t>
            </w:r>
            <w:r>
              <w:tab/>
            </w:r>
            <w:r>
              <w:fldChar w:fldCharType="begin"/>
            </w:r>
            <w:r>
              <w:instrText xml:space="preserve"> PAGEREF _Toc227621349 \h </w:instrText>
            </w:r>
            <w:r>
              <w:fldChar w:fldCharType="separate"/>
            </w:r>
            <w:r>
              <w:t>7</w:t>
            </w:r>
            <w:r>
              <w:fldChar w:fldCharType="end"/>
            </w:r>
          </w:hyperlink>
        </w:p>
        <w:p w14:paraId="7A22C32B" w14:textId="77777777" w:rsidR="00975117" w:rsidRDefault="00000000">
          <w:pPr>
            <w:pStyle w:val="TOC1"/>
            <w:tabs>
              <w:tab w:val="right" w:leader="dot" w:pos="9016"/>
            </w:tabs>
            <w:rPr>
              <w:rFonts w:eastAsiaTheme="minorEastAsia"/>
              <w:szCs w:val="20"/>
              <w:lang w:eastAsia="en-IN" w:bidi="hi-IN"/>
            </w:rPr>
          </w:pPr>
          <w:hyperlink w:anchor="_Toc227621350" w:history="1">
            <w:r>
              <w:rPr>
                <w:rStyle w:val="Hyperlink"/>
                <w:rFonts w:ascii="Arial" w:hAnsi="Arial" w:cs="Arial"/>
                <w:b/>
                <w:bCs/>
              </w:rPr>
              <w:t>Conclusion</w:t>
            </w:r>
            <w:r>
              <w:tab/>
            </w:r>
            <w:r>
              <w:fldChar w:fldCharType="begin"/>
            </w:r>
            <w:r>
              <w:instrText xml:space="preserve"> PAGEREF _Toc227621350 \h </w:instrText>
            </w:r>
            <w:r>
              <w:fldChar w:fldCharType="separate"/>
            </w:r>
            <w:r>
              <w:t>8</w:t>
            </w:r>
            <w:r>
              <w:fldChar w:fldCharType="end"/>
            </w:r>
          </w:hyperlink>
        </w:p>
        <w:p w14:paraId="22A64767" w14:textId="77777777" w:rsidR="00975117" w:rsidRDefault="00000000">
          <w:pPr>
            <w:pStyle w:val="TOC1"/>
            <w:tabs>
              <w:tab w:val="right" w:leader="dot" w:pos="9016"/>
            </w:tabs>
            <w:rPr>
              <w:rFonts w:eastAsiaTheme="minorEastAsia"/>
              <w:szCs w:val="20"/>
              <w:lang w:eastAsia="en-IN" w:bidi="hi-IN"/>
            </w:rPr>
          </w:pPr>
          <w:hyperlink w:anchor="_Toc227621351" w:history="1">
            <w:r>
              <w:rPr>
                <w:rStyle w:val="Hyperlink"/>
                <w:rFonts w:ascii="Arial" w:hAnsi="Arial" w:cs="Arial"/>
                <w:b/>
                <w:bCs/>
              </w:rPr>
              <w:t>References</w:t>
            </w:r>
            <w:r>
              <w:tab/>
            </w:r>
            <w:r>
              <w:fldChar w:fldCharType="begin"/>
            </w:r>
            <w:r>
              <w:instrText xml:space="preserve"> PAGEREF _Toc227621351 \h </w:instrText>
            </w:r>
            <w:r>
              <w:fldChar w:fldCharType="separate"/>
            </w:r>
            <w:r>
              <w:t>9</w:t>
            </w:r>
            <w:r>
              <w:fldChar w:fldCharType="end"/>
            </w:r>
          </w:hyperlink>
        </w:p>
        <w:p w14:paraId="600DFAC8" w14:textId="77777777" w:rsidR="00975117" w:rsidRDefault="00000000">
          <w:pPr>
            <w:spacing w:line="360" w:lineRule="auto"/>
            <w:rPr>
              <w:rFonts w:ascii="Arial" w:hAnsi="Arial" w:cs="Arial"/>
              <w:sz w:val="24"/>
              <w:szCs w:val="24"/>
            </w:rPr>
          </w:pPr>
          <w:r>
            <w:rPr>
              <w:rFonts w:ascii="Arial" w:hAnsi="Arial" w:cs="Arial"/>
              <w:b/>
              <w:bCs/>
              <w:color w:val="000000" w:themeColor="text1"/>
              <w:sz w:val="24"/>
              <w:szCs w:val="24"/>
            </w:rPr>
            <w:fldChar w:fldCharType="end"/>
          </w:r>
        </w:p>
      </w:sdtContent>
    </w:sdt>
    <w:p w14:paraId="135AA59F" w14:textId="77777777" w:rsidR="00975117" w:rsidRDefault="00000000">
      <w:pPr>
        <w:spacing w:line="360" w:lineRule="auto"/>
        <w:rPr>
          <w:rStyle w:val="Strong"/>
          <w:rFonts w:ascii="Arial" w:eastAsiaTheme="majorEastAsia" w:hAnsi="Arial" w:cs="Arial"/>
          <w:color w:val="0E101A"/>
          <w:sz w:val="24"/>
          <w:szCs w:val="24"/>
          <w:u w:val="single"/>
        </w:rPr>
      </w:pPr>
      <w:r>
        <w:rPr>
          <w:rStyle w:val="Strong"/>
          <w:rFonts w:ascii="Arial" w:hAnsi="Arial" w:cs="Arial"/>
          <w:color w:val="0E101A"/>
          <w:sz w:val="24"/>
          <w:szCs w:val="24"/>
          <w:u w:val="single"/>
        </w:rPr>
        <w:br w:type="page"/>
      </w:r>
    </w:p>
    <w:p w14:paraId="17908BDF" w14:textId="77777777" w:rsidR="00975117" w:rsidRDefault="00000000">
      <w:pPr>
        <w:pStyle w:val="Heading1"/>
        <w:spacing w:line="360" w:lineRule="auto"/>
        <w:jc w:val="both"/>
        <w:rPr>
          <w:rFonts w:ascii="Arial" w:hAnsi="Arial" w:cs="Arial"/>
          <w:sz w:val="24"/>
          <w:szCs w:val="24"/>
        </w:rPr>
      </w:pPr>
      <w:bookmarkStart w:id="0" w:name="_Toc227621346"/>
      <w:r>
        <w:rPr>
          <w:rStyle w:val="Strong"/>
          <w:rFonts w:ascii="Arial" w:hAnsi="Arial" w:cs="Arial"/>
          <w:color w:val="0E101A"/>
          <w:sz w:val="24"/>
          <w:szCs w:val="24"/>
          <w:u w:val="single"/>
        </w:rPr>
        <w:lastRenderedPageBreak/>
        <w:t>Introduction</w:t>
      </w:r>
      <w:bookmarkEnd w:id="0"/>
      <w:r>
        <w:rPr>
          <w:rStyle w:val="Strong"/>
          <w:rFonts w:ascii="Arial" w:hAnsi="Arial" w:cs="Arial"/>
          <w:color w:val="0E101A"/>
          <w:sz w:val="24"/>
          <w:szCs w:val="24"/>
          <w:u w:val="single"/>
        </w:rPr>
        <w:t xml:space="preserve"> </w:t>
      </w:r>
    </w:p>
    <w:p w14:paraId="1F52ABF3" w14:textId="77777777" w:rsidR="00975117" w:rsidRDefault="00000000">
      <w:pPr>
        <w:pStyle w:val="NormalWeb"/>
        <w:spacing w:before="0" w:beforeAutospacing="0" w:after="0" w:afterAutospacing="0" w:line="360" w:lineRule="auto"/>
        <w:jc w:val="both"/>
        <w:rPr>
          <w:rFonts w:ascii="Arial" w:hAnsi="Arial" w:cs="Arial"/>
          <w:color w:val="0E101A"/>
        </w:rPr>
      </w:pPr>
      <w:r>
        <w:rPr>
          <w:rFonts w:ascii="Arial" w:hAnsi="Arial" w:cs="Arial"/>
          <w:color w:val="0E101A"/>
        </w:rPr>
        <w:t>In the current healthcare practices, effective communication, robust administrative practices and interdisciplinary collaboration are the critical components for safe and person-centred care. The key aim of this report is to discuss the case study of Mr Ahmed, in which the user is suffering from complexities that require ensuring his dignity, safety and continuity of care. This report will discuss three major areas of case study, such as the role of communication, the importance of good administrative skills within the context of Mr Ahmed, and the role of collaborative working with professionals (</w:t>
      </w:r>
      <w:proofErr w:type="spellStart"/>
      <w:r>
        <w:rPr>
          <w:rFonts w:ascii="Arial" w:hAnsi="Arial" w:cs="Arial"/>
          <w:color w:val="222222"/>
          <w:shd w:val="clear" w:color="auto" w:fill="FFFFFF"/>
        </w:rPr>
        <w:t>Sharkiya</w:t>
      </w:r>
      <w:proofErr w:type="spellEnd"/>
      <w:r>
        <w:rPr>
          <w:rFonts w:ascii="Arial" w:hAnsi="Arial" w:cs="Arial"/>
          <w:color w:val="222222"/>
          <w:shd w:val="clear" w:color="auto" w:fill="FFFFFF"/>
        </w:rPr>
        <w:t>, 2023)</w:t>
      </w:r>
      <w:r>
        <w:rPr>
          <w:rFonts w:ascii="Arial" w:hAnsi="Arial" w:cs="Arial"/>
          <w:color w:val="0E101A"/>
        </w:rPr>
        <w:t>. It will also apply the principle of the Health Equality Act 2010. It will also require strong administrative skills, particularly in relation to accurate record-keeping and adherence to the Data Protection Act 2018, which ensures that data is protected lawfully and ethically (</w:t>
      </w:r>
      <w:r>
        <w:rPr>
          <w:rFonts w:ascii="Arial" w:hAnsi="Arial" w:cs="Arial"/>
        </w:rPr>
        <w:t>GOV.UK 2026)</w:t>
      </w:r>
      <w:r>
        <w:rPr>
          <w:rFonts w:ascii="Arial" w:hAnsi="Arial" w:cs="Arial"/>
          <w:color w:val="0E101A"/>
        </w:rPr>
        <w:t>. Further, the report will follow an outline in which it will first discuss effective communication skills, administrative skills and a multi-agency environment in improving the health of Mr Ahmed.</w:t>
      </w:r>
      <w:r>
        <w:rPr>
          <w:rStyle w:val="Strong"/>
          <w:rFonts w:ascii="Arial" w:hAnsi="Arial" w:cs="Arial"/>
          <w:color w:val="0E101A"/>
        </w:rPr>
        <w:t xml:space="preserve"> </w:t>
      </w:r>
    </w:p>
    <w:p w14:paraId="419B5D1F" w14:textId="77777777" w:rsidR="00975117" w:rsidRDefault="00000000">
      <w:pPr>
        <w:spacing w:line="360" w:lineRule="auto"/>
        <w:jc w:val="both"/>
        <w:rPr>
          <w:rStyle w:val="Strong"/>
          <w:rFonts w:ascii="Arial" w:eastAsia="Times New Roman" w:hAnsi="Arial" w:cs="Arial"/>
          <w:color w:val="0E101A"/>
          <w:sz w:val="24"/>
          <w:szCs w:val="24"/>
          <w:u w:val="single"/>
          <w:lang w:eastAsia="en-IN"/>
        </w:rPr>
      </w:pPr>
      <w:r>
        <w:rPr>
          <w:rStyle w:val="Strong"/>
          <w:rFonts w:ascii="Arial" w:hAnsi="Arial" w:cs="Arial"/>
          <w:color w:val="0E101A"/>
          <w:sz w:val="24"/>
          <w:szCs w:val="24"/>
          <w:u w:val="single"/>
        </w:rPr>
        <w:br w:type="page"/>
      </w:r>
    </w:p>
    <w:p w14:paraId="005051EC" w14:textId="77777777" w:rsidR="00975117" w:rsidRDefault="00000000">
      <w:pPr>
        <w:pStyle w:val="Heading1"/>
        <w:spacing w:line="360" w:lineRule="auto"/>
        <w:jc w:val="both"/>
        <w:rPr>
          <w:rFonts w:ascii="Arial" w:hAnsi="Arial" w:cs="Arial"/>
          <w:sz w:val="24"/>
          <w:szCs w:val="24"/>
        </w:rPr>
      </w:pPr>
      <w:bookmarkStart w:id="1" w:name="_Toc227621347"/>
      <w:r>
        <w:rPr>
          <w:rStyle w:val="Strong"/>
          <w:rFonts w:ascii="Arial" w:hAnsi="Arial" w:cs="Arial"/>
          <w:color w:val="0E101A"/>
          <w:sz w:val="24"/>
          <w:szCs w:val="24"/>
          <w:u w:val="single"/>
        </w:rPr>
        <w:lastRenderedPageBreak/>
        <w:t>Importance of effective communication within the context of Mr Ahmed’s care</w:t>
      </w:r>
      <w:bookmarkEnd w:id="1"/>
    </w:p>
    <w:p w14:paraId="24636E2D" w14:textId="77777777" w:rsidR="00975117" w:rsidRDefault="00000000">
      <w:pPr>
        <w:pStyle w:val="NormalWeb"/>
        <w:spacing w:before="0" w:beforeAutospacing="0" w:after="0" w:afterAutospacing="0" w:line="360" w:lineRule="auto"/>
        <w:jc w:val="both"/>
        <w:rPr>
          <w:rStyle w:val="Emphasis"/>
          <w:rFonts w:ascii="Arial" w:hAnsi="Arial" w:cs="Arial"/>
          <w:i w:val="0"/>
          <w:iCs w:val="0"/>
          <w:color w:val="0E101A"/>
        </w:rPr>
      </w:pPr>
      <w:r>
        <w:rPr>
          <w:rFonts w:ascii="Arial" w:hAnsi="Arial" w:cs="Arial"/>
          <w:color w:val="0E101A"/>
        </w:rPr>
        <w:t xml:space="preserve">Effective communication is considered a strong foundational approach to rehabilitation for his stroke. Effective communication will ensure the dignity and respect of patients, facilitating fast recovery. It is because after the stroke, Mr Ahmed's communication disability and language barrier were identified, due to which he cannot speak properly and express their feelings. In this condition, establishing effective communication is important to speed up his recovery and to monitor his current health situation effectively. It is because a lack of expressive skills among patients could lead to serious circumstances. </w:t>
      </w:r>
    </w:p>
    <w:p w14:paraId="15868AF8" w14:textId="77777777" w:rsidR="00975117" w:rsidRDefault="00975117">
      <w:pPr>
        <w:pStyle w:val="NormalWeb"/>
        <w:spacing w:before="0" w:beforeAutospacing="0" w:after="0" w:afterAutospacing="0" w:line="360" w:lineRule="auto"/>
        <w:jc w:val="both"/>
        <w:rPr>
          <w:rStyle w:val="Emphasis"/>
          <w:rFonts w:ascii="Arial" w:hAnsi="Arial" w:cs="Arial"/>
          <w:b/>
          <w:bCs/>
          <w:color w:val="0E101A"/>
        </w:rPr>
      </w:pPr>
    </w:p>
    <w:p w14:paraId="658E0D0E" w14:textId="77777777" w:rsidR="00975117" w:rsidRDefault="00000000">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 xml:space="preserve">Effective communication with Mr Ahmed and his wife </w:t>
      </w:r>
    </w:p>
    <w:p w14:paraId="1597BE6F" w14:textId="77777777" w:rsidR="00975117" w:rsidRDefault="00000000">
      <w:pPr>
        <w:pStyle w:val="NormalWeb"/>
        <w:spacing w:before="0" w:beforeAutospacing="0" w:after="0" w:afterAutospacing="0" w:line="360" w:lineRule="auto"/>
        <w:jc w:val="both"/>
        <w:rPr>
          <w:rStyle w:val="Emphasis"/>
          <w:rFonts w:ascii="Arial" w:hAnsi="Arial" w:cs="Arial"/>
          <w:i w:val="0"/>
          <w:iCs w:val="0"/>
          <w:color w:val="0E101A"/>
        </w:rPr>
      </w:pPr>
      <w:r>
        <w:rPr>
          <w:rFonts w:ascii="Arial" w:hAnsi="Arial" w:cs="Arial"/>
          <w:color w:val="0E101A"/>
        </w:rPr>
        <w:t>Establishing effective communication is related to aphasia-friendly strategies, which the caregiver of Mr Ahmed must focus on using short sentences and speaking clearly and in a polite way, not loudly. In this line, they should use non-verbal cues such as gestures, facial expressions, and visual aids like a picture for the word boarder to aid understanding (</w:t>
      </w:r>
      <w:r>
        <w:rPr>
          <w:rFonts w:ascii="Arial" w:hAnsi="Arial" w:cs="Arial"/>
          <w:color w:val="222222"/>
          <w:shd w:val="clear" w:color="auto" w:fill="FFFFFF"/>
        </w:rPr>
        <w:t xml:space="preserve">Chen et al., 2022). </w:t>
      </w:r>
      <w:r>
        <w:rPr>
          <w:rFonts w:ascii="Arial" w:hAnsi="Arial" w:cs="Arial"/>
          <w:color w:val="0E101A"/>
        </w:rPr>
        <w:t xml:space="preserve">In this line of involvement and dignity, they should focus on the fact that caregivers must always involve Mr Ahmed directly in conversation, not just talk to his wife. This factor will foster a sense of heard and respect. Moreover, it will also ensure the equal contribution of Mr Ahmed in the treatment process, which will lead to maintaining his dignity and personhood. Next, the cultural and linguistic needs (language needs) could also be prioritised, such as care providers must use the Bengali language while addressing their needs and arranging professionals as he is Bengali, which will also be helpful in reducing the chances of misinterpretation as per </w:t>
      </w:r>
      <w:r>
        <w:rPr>
          <w:rFonts w:ascii="Arial" w:hAnsi="Arial" w:cs="Arial"/>
          <w:color w:val="222222"/>
          <w:shd w:val="clear" w:color="auto" w:fill="FFFFFF"/>
        </w:rPr>
        <w:t>Liu et al (2023)</w:t>
      </w:r>
      <w:r>
        <w:rPr>
          <w:rFonts w:ascii="Arial" w:hAnsi="Arial" w:cs="Arial"/>
          <w:color w:val="0E101A"/>
        </w:rPr>
        <w:t>.</w:t>
      </w:r>
    </w:p>
    <w:p w14:paraId="797174D3" w14:textId="77777777" w:rsidR="00975117" w:rsidRDefault="00975117">
      <w:pPr>
        <w:pStyle w:val="NormalWeb"/>
        <w:spacing w:before="0" w:beforeAutospacing="0" w:after="0" w:afterAutospacing="0" w:line="360" w:lineRule="auto"/>
        <w:jc w:val="both"/>
        <w:rPr>
          <w:rStyle w:val="Emphasis"/>
          <w:rFonts w:ascii="Arial" w:hAnsi="Arial" w:cs="Arial"/>
          <w:b/>
          <w:bCs/>
          <w:color w:val="0E101A"/>
        </w:rPr>
      </w:pPr>
    </w:p>
    <w:p w14:paraId="109BADF4" w14:textId="77777777" w:rsidR="00975117" w:rsidRDefault="00000000">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 xml:space="preserve">Aligning with the core principles of the Equality Act 2010 </w:t>
      </w:r>
    </w:p>
    <w:p w14:paraId="3F6D2150" w14:textId="77777777" w:rsidR="00975117" w:rsidRDefault="00000000">
      <w:pPr>
        <w:pStyle w:val="NormalWeb"/>
        <w:spacing w:before="0" w:beforeAutospacing="0" w:after="0" w:afterAutospacing="0" w:line="360" w:lineRule="auto"/>
        <w:jc w:val="both"/>
        <w:rPr>
          <w:rStyle w:val="Emphasis"/>
          <w:rFonts w:ascii="Arial" w:hAnsi="Arial" w:cs="Arial"/>
          <w:i w:val="0"/>
          <w:iCs w:val="0"/>
          <w:color w:val="0E101A"/>
        </w:rPr>
      </w:pPr>
      <w:r>
        <w:rPr>
          <w:rFonts w:ascii="Arial" w:hAnsi="Arial" w:cs="Arial"/>
          <w:color w:val="0E101A"/>
        </w:rPr>
        <w:t xml:space="preserve">The Equality Act 2010 in healthcare is considered a landmark piece of UK legislation which legally proposes to protect people from healthcare inequalities, harassment and victimisation. The core components of the Equality Act 2010 are protected characteristics and preventing unauthorised behaviour, which could be defined as the nine personal characteristics that are protected from discrimination and inequality. In next preventing misconduct could be defined as preventing unlawful behaviour. In the context of Mr Ahmed, this act must be applied by care providers by </w:t>
      </w:r>
      <w:r>
        <w:rPr>
          <w:rFonts w:ascii="Arial" w:hAnsi="Arial" w:cs="Arial"/>
          <w:color w:val="0E101A"/>
        </w:rPr>
        <w:lastRenderedPageBreak/>
        <w:t>offering care in the regional language of the patient, which is Bengali, so that he could understand the aim behind the treatment process.</w:t>
      </w:r>
    </w:p>
    <w:p w14:paraId="58A3D254" w14:textId="77777777" w:rsidR="00975117" w:rsidRDefault="00975117">
      <w:pPr>
        <w:pStyle w:val="NormalWeb"/>
        <w:spacing w:before="0" w:beforeAutospacing="0" w:after="0" w:afterAutospacing="0" w:line="360" w:lineRule="auto"/>
        <w:jc w:val="both"/>
        <w:rPr>
          <w:rStyle w:val="Emphasis"/>
          <w:rFonts w:ascii="Arial" w:hAnsi="Arial" w:cs="Arial"/>
          <w:b/>
          <w:bCs/>
          <w:color w:val="0E101A"/>
        </w:rPr>
      </w:pPr>
    </w:p>
    <w:p w14:paraId="1FC8B94F" w14:textId="77777777" w:rsidR="00975117" w:rsidRDefault="00000000">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 xml:space="preserve">Implementation of communication tools </w:t>
      </w:r>
    </w:p>
    <w:p w14:paraId="7279C88A" w14:textId="77777777" w:rsidR="00975117" w:rsidRDefault="00000000">
      <w:pPr>
        <w:pStyle w:val="NormalWeb"/>
        <w:spacing w:before="0" w:beforeAutospacing="0" w:after="0" w:afterAutospacing="0" w:line="360" w:lineRule="auto"/>
        <w:jc w:val="both"/>
        <w:rPr>
          <w:rFonts w:ascii="Arial" w:hAnsi="Arial" w:cs="Arial"/>
          <w:color w:val="0E101A"/>
        </w:rPr>
      </w:pPr>
      <w:r>
        <w:rPr>
          <w:rFonts w:ascii="Arial" w:hAnsi="Arial" w:cs="Arial"/>
          <w:color w:val="0E101A"/>
        </w:rPr>
        <w:t>In this line, the communication tool could also be applied as a supported conversation for adults with aphasia. This model will be highly appropriate and effective for Mr Ahmed because it focuses on communication partner skills in helping the user to express themselves and understand the crucial information (</w:t>
      </w:r>
      <w:r>
        <w:rPr>
          <w:rFonts w:ascii="Arial" w:hAnsi="Arial" w:cs="Arial"/>
          <w:color w:val="222222"/>
          <w:shd w:val="clear" w:color="auto" w:fill="FFFFFF"/>
        </w:rPr>
        <w:t>Yun et al., 2023)</w:t>
      </w:r>
      <w:r>
        <w:rPr>
          <w:rFonts w:ascii="Arial" w:hAnsi="Arial" w:cs="Arial"/>
          <w:color w:val="0E101A"/>
        </w:rPr>
        <w:t xml:space="preserve">. It could be applied by treating Mr Ahmed as an intelligent adult who could understand everything and not like a child to secure his values. </w:t>
      </w:r>
    </w:p>
    <w:p w14:paraId="450F42DB" w14:textId="77777777" w:rsidR="00975117" w:rsidRDefault="00000000">
      <w:pPr>
        <w:pStyle w:val="Heading1"/>
        <w:spacing w:line="360" w:lineRule="auto"/>
        <w:jc w:val="both"/>
        <w:rPr>
          <w:rFonts w:ascii="Arial" w:hAnsi="Arial" w:cs="Arial"/>
          <w:sz w:val="24"/>
          <w:szCs w:val="24"/>
        </w:rPr>
      </w:pPr>
      <w:bookmarkStart w:id="2" w:name="_Toc227621348"/>
      <w:r>
        <w:rPr>
          <w:rStyle w:val="Strong"/>
          <w:rFonts w:ascii="Arial" w:hAnsi="Arial" w:cs="Arial"/>
          <w:color w:val="0E101A"/>
          <w:sz w:val="24"/>
          <w:szCs w:val="24"/>
          <w:u w:val="single"/>
        </w:rPr>
        <w:t>Importance of good administrative skills within professional practice within the context of Mr Ahmed’s care</w:t>
      </w:r>
      <w:bookmarkEnd w:id="2"/>
    </w:p>
    <w:p w14:paraId="7584949C" w14:textId="77777777" w:rsidR="00975117" w:rsidRDefault="00000000">
      <w:pPr>
        <w:pStyle w:val="NormalWeb"/>
        <w:spacing w:before="0" w:beforeAutospacing="0" w:after="0" w:afterAutospacing="0" w:line="360" w:lineRule="auto"/>
        <w:jc w:val="both"/>
        <w:rPr>
          <w:rStyle w:val="Emphasis"/>
          <w:rFonts w:ascii="Arial" w:hAnsi="Arial" w:cs="Arial"/>
          <w:i w:val="0"/>
          <w:iCs w:val="0"/>
          <w:color w:val="0E101A"/>
        </w:rPr>
      </w:pPr>
      <w:r>
        <w:rPr>
          <w:rFonts w:ascii="Arial" w:hAnsi="Arial" w:cs="Arial"/>
          <w:color w:val="0E101A"/>
        </w:rPr>
        <w:t xml:space="preserve">In health and social care, good administrative skills play an important role in providing safe, person-centred care, which is responsible for future outcomes and professional accountability while providing treatment. This section will analyse the role of good administrative skills in professional practices through the case study of Mr Ahmed. </w:t>
      </w:r>
    </w:p>
    <w:p w14:paraId="7A4628B1" w14:textId="77777777" w:rsidR="00975117" w:rsidRDefault="00975117">
      <w:pPr>
        <w:pStyle w:val="NormalWeb"/>
        <w:spacing w:before="0" w:beforeAutospacing="0" w:after="0" w:afterAutospacing="0" w:line="360" w:lineRule="auto"/>
        <w:jc w:val="both"/>
        <w:rPr>
          <w:rStyle w:val="Emphasis"/>
          <w:rFonts w:ascii="Arial" w:hAnsi="Arial" w:cs="Arial"/>
          <w:b/>
          <w:bCs/>
          <w:color w:val="0E101A"/>
        </w:rPr>
      </w:pPr>
    </w:p>
    <w:p w14:paraId="70941099" w14:textId="77777777" w:rsidR="00975117" w:rsidRDefault="00000000">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Importance of Administrative Skills in Mr Ahmed</w:t>
      </w:r>
    </w:p>
    <w:p w14:paraId="7B4DB8FC" w14:textId="77777777" w:rsidR="00975117" w:rsidRDefault="00000000">
      <w:pPr>
        <w:pStyle w:val="NormalWeb"/>
        <w:spacing w:before="0" w:beforeAutospacing="0" w:after="0" w:afterAutospacing="0" w:line="360" w:lineRule="auto"/>
        <w:jc w:val="both"/>
        <w:rPr>
          <w:rStyle w:val="Emphasis"/>
          <w:rFonts w:ascii="Arial" w:hAnsi="Arial" w:cs="Arial"/>
          <w:i w:val="0"/>
          <w:iCs w:val="0"/>
          <w:color w:val="0E101A"/>
        </w:rPr>
      </w:pPr>
      <w:r>
        <w:rPr>
          <w:rFonts w:ascii="Arial" w:hAnsi="Arial" w:cs="Arial"/>
          <w:color w:val="0E101A"/>
        </w:rPr>
        <w:t> In the case of Mr Ahmed, it could be understood that the care plan of the patient must be prepared through the application of administrative skill, which will ensure regular home care visits, consistent follow-up and medical regimen to maintain accuracy in the treatment.  There are three aspects by which effective care could be applied. The first one is continuity of care and safety, such as efficient scheduling and a handover process, which should ensure that care is provided as per the needs of Mr Ahmed (</w:t>
      </w:r>
      <w:r>
        <w:rPr>
          <w:rFonts w:ascii="Arial" w:hAnsi="Arial" w:cs="Arial"/>
          <w:color w:val="222222"/>
          <w:shd w:val="clear" w:color="auto" w:fill="FFFFFF"/>
        </w:rPr>
        <w:t>Buchbinder et al., 2019)</w:t>
      </w:r>
      <w:r>
        <w:rPr>
          <w:rFonts w:ascii="Arial" w:hAnsi="Arial" w:cs="Arial"/>
          <w:color w:val="0E101A"/>
        </w:rPr>
        <w:t xml:space="preserve">. In the next MDT approach, the approach could also be applied in the context of administrative skills, such as GPs, nurses, and care coordinators, who must be involved in the overall care of Mr Ahmed (Taberna et al., 2020). In this line, accurate record sharing and data keeping are extremely important for the patient who is suffering from stroke-related difficulties. </w:t>
      </w:r>
    </w:p>
    <w:p w14:paraId="6FBEA20A" w14:textId="77777777" w:rsidR="00975117" w:rsidRDefault="00975117">
      <w:pPr>
        <w:pStyle w:val="NormalWeb"/>
        <w:spacing w:before="0" w:beforeAutospacing="0" w:after="0" w:afterAutospacing="0" w:line="360" w:lineRule="auto"/>
        <w:jc w:val="both"/>
        <w:rPr>
          <w:rStyle w:val="Emphasis"/>
          <w:rFonts w:ascii="Arial" w:hAnsi="Arial" w:cs="Arial"/>
          <w:b/>
          <w:bCs/>
          <w:color w:val="0E101A"/>
        </w:rPr>
      </w:pPr>
    </w:p>
    <w:p w14:paraId="7F5B5BA1" w14:textId="77777777" w:rsidR="00975117" w:rsidRDefault="00000000">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Records Keeping and Data Protection Act 2018</w:t>
      </w:r>
    </w:p>
    <w:p w14:paraId="6ED73562" w14:textId="77777777" w:rsidR="00975117" w:rsidRDefault="00000000">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The record-keeping process is legal and required to maintain accuracy in data protection of the patient, which aligns with the Health and Social Care Act 2008 of regulated activities. In the context of Regulation 2014, which was the Data Protection Act 1998, it states that this is necessary to protect confidential information of patients to maintain privacy and accuracy, and to manage up-to-date records. In the case of Mr Ahmed, the Data Protection Act 2018 must be incorporated by using UK GDPR (Government Data Protection Regulations) and governs how information is processed (</w:t>
      </w:r>
      <w:r>
        <w:rPr>
          <w:rFonts w:ascii="Arial" w:hAnsi="Arial" w:cs="Arial"/>
          <w:color w:val="222222"/>
          <w:shd w:val="clear" w:color="auto" w:fill="FFFFFF"/>
        </w:rPr>
        <w:t>Hoofnagle et al., 2019)</w:t>
      </w:r>
      <w:r>
        <w:rPr>
          <w:rFonts w:ascii="Arial" w:hAnsi="Arial" w:cs="Arial"/>
          <w:color w:val="0E101A"/>
        </w:rPr>
        <w:t>. The principles of the Data Protection Act could be applied through maintaining accuracy, such as a medic must ensure that every visit of Mr Ahmed must be recorded accurately, and if missed, that also should be mentioned in the records. Next, this is also related to confidentiality and security, which could be understood as Mr Ahmed’s health data must be recorded in a specialised category and electronic records so that they could easily be accessed and investigated to identify which stop was involved in his care. The investigation into the missed visit required complete records to identify the reason behind the missed visit and to adhere to the duty of candour, which is a legal obligation for health professionals to be honest and transparent with patient service.</w:t>
      </w:r>
    </w:p>
    <w:p w14:paraId="5127E138" w14:textId="77777777" w:rsidR="00975117" w:rsidRDefault="00000000">
      <w:pPr>
        <w:spacing w:line="360" w:lineRule="auto"/>
        <w:jc w:val="both"/>
        <w:rPr>
          <w:rStyle w:val="Strong"/>
          <w:rFonts w:ascii="Arial" w:eastAsia="Times New Roman" w:hAnsi="Arial" w:cs="Arial"/>
          <w:color w:val="0E101A"/>
          <w:sz w:val="24"/>
          <w:szCs w:val="24"/>
          <w:u w:val="single"/>
          <w:lang w:eastAsia="en-IN"/>
        </w:rPr>
      </w:pPr>
      <w:r>
        <w:rPr>
          <w:rStyle w:val="Strong"/>
          <w:rFonts w:ascii="Arial" w:hAnsi="Arial" w:cs="Arial"/>
          <w:color w:val="0E101A"/>
          <w:sz w:val="24"/>
          <w:szCs w:val="24"/>
          <w:u w:val="single"/>
        </w:rPr>
        <w:br w:type="page"/>
      </w:r>
    </w:p>
    <w:p w14:paraId="01F7FB7D" w14:textId="77777777" w:rsidR="00975117" w:rsidRDefault="00000000">
      <w:pPr>
        <w:pStyle w:val="Heading1"/>
        <w:spacing w:line="360" w:lineRule="auto"/>
        <w:jc w:val="both"/>
        <w:rPr>
          <w:rFonts w:ascii="Arial" w:hAnsi="Arial" w:cs="Arial"/>
          <w:sz w:val="24"/>
          <w:szCs w:val="24"/>
        </w:rPr>
      </w:pPr>
      <w:bookmarkStart w:id="3" w:name="_Toc227621349"/>
      <w:r>
        <w:rPr>
          <w:rStyle w:val="Strong"/>
          <w:rFonts w:ascii="Arial" w:hAnsi="Arial" w:cs="Arial"/>
          <w:color w:val="0E101A"/>
          <w:sz w:val="24"/>
          <w:szCs w:val="24"/>
          <w:u w:val="single"/>
        </w:rPr>
        <w:lastRenderedPageBreak/>
        <w:t>Importance of Working Collaboratively Involved in Ahmed’s Care</w:t>
      </w:r>
      <w:bookmarkEnd w:id="3"/>
    </w:p>
    <w:p w14:paraId="21778B3B" w14:textId="77777777" w:rsidR="00975117" w:rsidRDefault="00000000">
      <w:pPr>
        <w:pStyle w:val="NormalWeb"/>
        <w:spacing w:before="0" w:beforeAutospacing="0" w:after="0" w:afterAutospacing="0" w:line="360" w:lineRule="auto"/>
        <w:jc w:val="both"/>
        <w:rPr>
          <w:rFonts w:ascii="Arial" w:hAnsi="Arial" w:cs="Arial"/>
          <w:color w:val="0E101A"/>
        </w:rPr>
      </w:pPr>
      <w:r>
        <w:rPr>
          <w:rFonts w:ascii="Arial" w:hAnsi="Arial" w:cs="Arial"/>
          <w:color w:val="0E101A"/>
        </w:rPr>
        <w:t>The collaborative and multi-Agency working is necessary for the fast recovery of Mr Ahmed to prevent stroke and long-term disease and negative circumstances. It will ensure continuity of care, safety and a holistic approach to support for his complex needs (</w:t>
      </w:r>
      <w:proofErr w:type="spellStart"/>
      <w:r>
        <w:rPr>
          <w:rFonts w:ascii="Arial" w:hAnsi="Arial" w:cs="Arial"/>
          <w:color w:val="222222"/>
          <w:shd w:val="clear" w:color="auto" w:fill="FFFFFF"/>
        </w:rPr>
        <w:t>Kates</w:t>
      </w:r>
      <w:proofErr w:type="spellEnd"/>
      <w:r>
        <w:rPr>
          <w:rFonts w:ascii="Arial" w:hAnsi="Arial" w:cs="Arial"/>
          <w:color w:val="222222"/>
          <w:shd w:val="clear" w:color="auto" w:fill="FFFFFF"/>
        </w:rPr>
        <w:t xml:space="preserve"> et al., 2019)</w:t>
      </w:r>
      <w:r>
        <w:rPr>
          <w:rFonts w:ascii="Arial" w:hAnsi="Arial" w:cs="Arial"/>
          <w:color w:val="0E101A"/>
        </w:rPr>
        <w:t xml:space="preserve">. The effective collaboration between the group practitioner, district nurse, speech and language therapist and domiciliary care workers prevents fragmented care and reduces medication error. The collaborative working ensures both physical and rehabilitation needs. This also plays a leading role in integrated care planning, which ensures utilising digital tools and records physical in the home, ensuring all providers, including care workers and medication lists. </w:t>
      </w:r>
    </w:p>
    <w:p w14:paraId="02251F58" w14:textId="77777777" w:rsidR="00975117" w:rsidRDefault="00975117">
      <w:pPr>
        <w:pStyle w:val="NormalWeb"/>
        <w:spacing w:before="0" w:beforeAutospacing="0" w:after="0" w:afterAutospacing="0" w:line="360" w:lineRule="auto"/>
        <w:jc w:val="both"/>
        <w:rPr>
          <w:rFonts w:ascii="Arial" w:hAnsi="Arial" w:cs="Arial"/>
          <w:color w:val="0E101A"/>
        </w:rPr>
      </w:pPr>
    </w:p>
    <w:p w14:paraId="65303355" w14:textId="77777777" w:rsidR="00975117" w:rsidRDefault="00000000">
      <w:pPr>
        <w:pStyle w:val="NormalWeb"/>
        <w:spacing w:before="0" w:beforeAutospacing="0" w:after="0" w:afterAutospacing="0" w:line="360" w:lineRule="auto"/>
        <w:jc w:val="both"/>
        <w:rPr>
          <w:rFonts w:ascii="Arial" w:hAnsi="Arial" w:cs="Arial"/>
          <w:color w:val="0E101A"/>
        </w:rPr>
      </w:pPr>
      <w:r>
        <w:rPr>
          <w:rFonts w:ascii="Arial" w:hAnsi="Arial" w:cs="Arial"/>
          <w:color w:val="0E101A"/>
        </w:rPr>
        <w:t>An interdisciplinary approach, this is related to regular scheduled multidisciplinary meetings in which GP, nurses and care agents are included, which allow for review of Mr Ahmed's progress and immediate troubleshooting for concern (</w:t>
      </w:r>
      <w:r>
        <w:rPr>
          <w:rFonts w:ascii="Arial" w:hAnsi="Arial" w:cs="Arial"/>
          <w:color w:val="222222"/>
          <w:shd w:val="clear" w:color="auto" w:fill="FFFFFF"/>
        </w:rPr>
        <w:t>Taberna et. al., 2020)</w:t>
      </w:r>
      <w:r>
        <w:rPr>
          <w:rFonts w:ascii="Arial" w:hAnsi="Arial" w:cs="Arial"/>
          <w:color w:val="0E101A"/>
        </w:rPr>
        <w:t xml:space="preserve">. This is also related to involving the family in their operations, which could include engaging Mr Ahmed in the team structure to empower her as a partner, ensuring she understands rehabilitation goals and acts as a key monitor, reducing isolation.  The key strategies which will be helpful are the role of ambiguity and responsibility, such as creating a formal agreement outlining which professionals are responsible for tasks in a specific area, such as general care or specific modification. Another one is power dynamics and respect, such as creating a culture where care workers are valued and feel comfortable while raising their concerns with general practitioners. </w:t>
      </w:r>
    </w:p>
    <w:p w14:paraId="052E1ED9" w14:textId="77777777" w:rsidR="00975117" w:rsidRDefault="00000000">
      <w:pPr>
        <w:spacing w:line="360" w:lineRule="auto"/>
        <w:jc w:val="both"/>
        <w:rPr>
          <w:rStyle w:val="Strong"/>
          <w:rFonts w:ascii="Arial" w:eastAsia="Times New Roman" w:hAnsi="Arial" w:cs="Arial"/>
          <w:color w:val="0E101A"/>
          <w:sz w:val="24"/>
          <w:szCs w:val="24"/>
          <w:u w:val="single"/>
          <w:lang w:eastAsia="en-IN"/>
        </w:rPr>
      </w:pPr>
      <w:r>
        <w:rPr>
          <w:rStyle w:val="Strong"/>
          <w:rFonts w:ascii="Arial" w:hAnsi="Arial" w:cs="Arial"/>
          <w:color w:val="0E101A"/>
          <w:sz w:val="24"/>
          <w:szCs w:val="24"/>
          <w:u w:val="single"/>
        </w:rPr>
        <w:br w:type="page"/>
      </w:r>
    </w:p>
    <w:p w14:paraId="55622294" w14:textId="77777777" w:rsidR="00975117" w:rsidRDefault="00000000">
      <w:pPr>
        <w:pStyle w:val="Heading1"/>
        <w:spacing w:line="360" w:lineRule="auto"/>
        <w:jc w:val="both"/>
        <w:rPr>
          <w:rFonts w:ascii="Arial" w:hAnsi="Arial" w:cs="Arial"/>
          <w:sz w:val="24"/>
          <w:szCs w:val="24"/>
        </w:rPr>
      </w:pPr>
      <w:bookmarkStart w:id="4" w:name="_Toc227621350"/>
      <w:r>
        <w:rPr>
          <w:rStyle w:val="Strong"/>
          <w:rFonts w:ascii="Arial" w:hAnsi="Arial" w:cs="Arial"/>
          <w:color w:val="0E101A"/>
          <w:sz w:val="24"/>
          <w:szCs w:val="24"/>
          <w:u w:val="single"/>
        </w:rPr>
        <w:lastRenderedPageBreak/>
        <w:t>Conclusion</w:t>
      </w:r>
      <w:bookmarkEnd w:id="4"/>
      <w:r>
        <w:rPr>
          <w:rStyle w:val="Strong"/>
          <w:rFonts w:ascii="Arial" w:hAnsi="Arial" w:cs="Arial"/>
          <w:color w:val="0E101A"/>
          <w:sz w:val="24"/>
          <w:szCs w:val="24"/>
          <w:u w:val="single"/>
        </w:rPr>
        <w:t xml:space="preserve"> </w:t>
      </w:r>
    </w:p>
    <w:p w14:paraId="30D56700" w14:textId="77777777" w:rsidR="00975117" w:rsidRDefault="00000000">
      <w:pPr>
        <w:pStyle w:val="NormalWeb"/>
        <w:spacing w:before="0" w:beforeAutospacing="0" w:after="0" w:afterAutospacing="0" w:line="360" w:lineRule="auto"/>
        <w:jc w:val="both"/>
        <w:rPr>
          <w:rFonts w:ascii="Arial" w:hAnsi="Arial" w:cs="Arial"/>
          <w:color w:val="0E101A"/>
        </w:rPr>
      </w:pPr>
      <w:r>
        <w:rPr>
          <w:rFonts w:ascii="Arial" w:hAnsi="Arial" w:cs="Arial"/>
          <w:color w:val="0E101A"/>
        </w:rPr>
        <w:t>In conclusion, as previously discussed, Mr Ahmed is a 68-year-old man who was discharged from the hospital. The key aim of this is to address the care, rehabilitation and holistic person-centred care approaches that integrate effective communication, robust administration practices and inter-agency. This case study is about investigating the reason behind the poor care of Mr Ahmed, regarding which missed medication highlights that communication failures can lead directly to risks in patient safety (</w:t>
      </w:r>
      <w:r>
        <w:rPr>
          <w:rFonts w:ascii="Arial" w:hAnsi="Arial" w:cs="Arial"/>
          <w:shd w:val="clear" w:color="auto" w:fill="FFFFFF"/>
        </w:rPr>
        <w:t>Kaji et al., 2021)</w:t>
      </w:r>
      <w:r>
        <w:rPr>
          <w:rFonts w:ascii="Arial" w:hAnsi="Arial" w:cs="Arial"/>
          <w:color w:val="0E101A"/>
        </w:rPr>
        <w:t xml:space="preserve">. In this line, this report discussed the role of effective communication in improving the health of Mr Ahmed, the role of collaborative working and integration legislation in maintaining patient confidentiality and privacy. Through this report, it has been understood that effective communication not only works in general scenarios, but also in the case of healthcare needs. </w:t>
      </w:r>
    </w:p>
    <w:p w14:paraId="05DD3FAC" w14:textId="77777777" w:rsidR="00975117" w:rsidRDefault="00000000">
      <w:pPr>
        <w:spacing w:line="360" w:lineRule="auto"/>
        <w:jc w:val="both"/>
        <w:rPr>
          <w:rFonts w:ascii="Arial" w:eastAsia="Times New Roman" w:hAnsi="Arial" w:cs="Arial"/>
          <w:color w:val="0E101A"/>
          <w:sz w:val="24"/>
          <w:szCs w:val="24"/>
          <w:lang w:eastAsia="en-IN"/>
        </w:rPr>
      </w:pPr>
      <w:r>
        <w:rPr>
          <w:rFonts w:ascii="Arial" w:hAnsi="Arial" w:cs="Arial"/>
          <w:color w:val="0E101A"/>
          <w:sz w:val="24"/>
          <w:szCs w:val="24"/>
        </w:rPr>
        <w:br w:type="page"/>
      </w:r>
    </w:p>
    <w:p w14:paraId="13E066B4" w14:textId="77777777" w:rsidR="00975117" w:rsidRDefault="00000000">
      <w:pPr>
        <w:pStyle w:val="Heading1"/>
        <w:spacing w:line="360" w:lineRule="auto"/>
        <w:jc w:val="both"/>
        <w:rPr>
          <w:rStyle w:val="Hyperlink"/>
          <w:rFonts w:ascii="Arial" w:hAnsi="Arial" w:cs="Arial"/>
          <w:b/>
          <w:bCs/>
          <w:color w:val="000000" w:themeColor="text1"/>
          <w:sz w:val="24"/>
          <w:szCs w:val="24"/>
          <w:u w:val="none"/>
        </w:rPr>
      </w:pPr>
      <w:bookmarkStart w:id="5" w:name="_Toc227621351"/>
      <w:r>
        <w:rPr>
          <w:rFonts w:ascii="Arial" w:hAnsi="Arial" w:cs="Arial"/>
          <w:b/>
          <w:bCs/>
          <w:color w:val="000000" w:themeColor="text1"/>
          <w:sz w:val="24"/>
          <w:szCs w:val="24"/>
        </w:rPr>
        <w:lastRenderedPageBreak/>
        <w:t>References</w:t>
      </w:r>
      <w:bookmarkEnd w:id="5"/>
      <w:r>
        <w:rPr>
          <w:rFonts w:ascii="Arial" w:hAnsi="Arial" w:cs="Arial"/>
          <w:b/>
          <w:bCs/>
          <w:color w:val="000000" w:themeColor="text1"/>
          <w:sz w:val="24"/>
          <w:szCs w:val="24"/>
        </w:rPr>
        <w:t xml:space="preserve"> </w:t>
      </w:r>
    </w:p>
    <w:p w14:paraId="22D0CA3B" w14:textId="65272022" w:rsidR="00975117" w:rsidRDefault="0000000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Buchbinder, S.B., Shanks, N.H. and Kite, B.J. (2019) ‘</w:t>
      </w:r>
      <w:r>
        <w:rPr>
          <w:rFonts w:ascii="Arial" w:hAnsi="Arial" w:cs="Arial"/>
          <w:iCs/>
          <w:color w:val="222222"/>
          <w:sz w:val="24"/>
          <w:szCs w:val="24"/>
          <w:shd w:val="clear" w:color="auto" w:fill="FFFFFF"/>
        </w:rPr>
        <w:t>Introduction to health care management</w:t>
      </w:r>
      <w:r>
        <w:rPr>
          <w:rFonts w:ascii="Arial" w:hAnsi="Arial" w:cs="Arial"/>
          <w:color w:val="222222"/>
          <w:sz w:val="24"/>
          <w:szCs w:val="24"/>
          <w:shd w:val="clear" w:color="auto" w:fill="FFFFFF"/>
        </w:rPr>
        <w:t xml:space="preserve">’ Jones &amp; Bartlett Learning. </w:t>
      </w:r>
      <w:hyperlink r:id="rId8" w:history="1">
        <w:r w:rsidR="00DC7C27" w:rsidRPr="007C0AE9">
          <w:rPr>
            <w:rStyle w:val="Hyperlink"/>
            <w:rFonts w:ascii="Arial" w:hAnsi="Arial" w:cs="Arial"/>
            <w:sz w:val="24"/>
            <w:szCs w:val="24"/>
            <w:shd w:val="clear" w:color="auto" w:fill="FFFFFF"/>
          </w:rPr>
          <w:t>https://samples.jbpub.com/9781284081015/FrontMatter.pdf</w:t>
        </w:r>
      </w:hyperlink>
      <w:r w:rsidR="00DC7C27">
        <w:rPr>
          <w:rFonts w:ascii="Arial" w:hAnsi="Arial" w:cs="Arial"/>
          <w:sz w:val="24"/>
          <w:szCs w:val="24"/>
          <w:shd w:val="clear" w:color="auto" w:fill="FFFFFF"/>
        </w:rPr>
        <w:t xml:space="preserve"> </w:t>
      </w:r>
    </w:p>
    <w:p w14:paraId="3EEAEDCF" w14:textId="08E464F9" w:rsidR="00975117" w:rsidRDefault="0000000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Chen, A.T., Teng, A.K., Zhao, J., </w:t>
      </w:r>
      <w:proofErr w:type="spellStart"/>
      <w:r>
        <w:rPr>
          <w:rFonts w:ascii="Arial" w:hAnsi="Arial" w:cs="Arial"/>
          <w:color w:val="222222"/>
          <w:sz w:val="24"/>
          <w:szCs w:val="24"/>
          <w:shd w:val="clear" w:color="auto" w:fill="FFFFFF"/>
        </w:rPr>
        <w:t>Asirot</w:t>
      </w:r>
      <w:proofErr w:type="spellEnd"/>
      <w:r>
        <w:rPr>
          <w:rFonts w:ascii="Arial" w:hAnsi="Arial" w:cs="Arial"/>
          <w:color w:val="222222"/>
          <w:sz w:val="24"/>
          <w:szCs w:val="24"/>
          <w:shd w:val="clear" w:color="auto" w:fill="FFFFFF"/>
        </w:rPr>
        <w:t xml:space="preserve">, M.G. and Turner, A.M. (2022) ‘The use of visual methods to support communication with older adults with cognitive impairment: a scoping review’ </w:t>
      </w:r>
      <w:r>
        <w:rPr>
          <w:rFonts w:ascii="Arial" w:hAnsi="Arial" w:cs="Arial"/>
          <w:i/>
          <w:iCs/>
          <w:color w:val="222222"/>
          <w:sz w:val="24"/>
          <w:szCs w:val="24"/>
          <w:shd w:val="clear" w:color="auto" w:fill="FFFFFF"/>
        </w:rPr>
        <w:t>Geriatric Nursing</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46</w:t>
      </w:r>
      <w:r>
        <w:rPr>
          <w:rFonts w:ascii="Arial" w:hAnsi="Arial" w:cs="Arial"/>
          <w:color w:val="222222"/>
          <w:sz w:val="24"/>
          <w:szCs w:val="24"/>
          <w:shd w:val="clear" w:color="auto" w:fill="FFFFFF"/>
        </w:rPr>
        <w:t xml:space="preserve">, pp.52-60. </w:t>
      </w:r>
      <w:hyperlink r:id="rId9" w:history="1">
        <w:r w:rsidR="00DC7C27" w:rsidRPr="007C0AE9">
          <w:rPr>
            <w:rStyle w:val="Hyperlink"/>
            <w:rFonts w:ascii="Arial" w:hAnsi="Arial" w:cs="Arial"/>
            <w:sz w:val="24"/>
            <w:szCs w:val="24"/>
            <w:shd w:val="clear" w:color="auto" w:fill="FFFFFF"/>
          </w:rPr>
          <w:t>https://www.sciencedirect.com/science/article/am/pii/S0197457222001045</w:t>
        </w:r>
      </w:hyperlink>
      <w:r w:rsidR="00DC7C27">
        <w:rPr>
          <w:rFonts w:ascii="Arial" w:hAnsi="Arial" w:cs="Arial"/>
          <w:color w:val="222222"/>
          <w:sz w:val="24"/>
          <w:szCs w:val="24"/>
          <w:shd w:val="clear" w:color="auto" w:fill="FFFFFF"/>
        </w:rPr>
        <w:t xml:space="preserve"> </w:t>
      </w:r>
    </w:p>
    <w:p w14:paraId="55B1F6C3" w14:textId="50718572" w:rsidR="00975117" w:rsidRDefault="00000000">
      <w:pPr>
        <w:spacing w:line="360" w:lineRule="auto"/>
        <w:rPr>
          <w:rFonts w:ascii="Arial" w:hAnsi="Arial" w:cs="Arial"/>
          <w:sz w:val="24"/>
          <w:szCs w:val="24"/>
        </w:rPr>
      </w:pPr>
      <w:r>
        <w:rPr>
          <w:rFonts w:ascii="Arial" w:hAnsi="Arial" w:cs="Arial"/>
          <w:sz w:val="24"/>
          <w:szCs w:val="24"/>
        </w:rPr>
        <w:t xml:space="preserve">GOV.UK (2026) </w:t>
      </w:r>
      <w:r>
        <w:rPr>
          <w:rFonts w:ascii="Arial" w:hAnsi="Arial" w:cs="Arial"/>
          <w:i/>
          <w:sz w:val="24"/>
          <w:szCs w:val="24"/>
        </w:rPr>
        <w:t>Data Protection</w:t>
      </w:r>
      <w:r>
        <w:rPr>
          <w:rFonts w:ascii="Arial" w:hAnsi="Arial" w:cs="Arial"/>
          <w:sz w:val="24"/>
          <w:szCs w:val="24"/>
        </w:rPr>
        <w:t xml:space="preserve">. Available at: </w:t>
      </w:r>
      <w:hyperlink r:id="rId10" w:history="1">
        <w:r w:rsidR="00DC7C27" w:rsidRPr="007C0AE9">
          <w:rPr>
            <w:rStyle w:val="Hyperlink"/>
            <w:rFonts w:ascii="Arial" w:hAnsi="Arial" w:cs="Arial"/>
            <w:sz w:val="24"/>
            <w:szCs w:val="24"/>
          </w:rPr>
          <w:t>https://www.gov.uk/data-protection</w:t>
        </w:r>
      </w:hyperlink>
      <w:r w:rsidR="00DC7C27">
        <w:rPr>
          <w:rFonts w:ascii="Arial" w:hAnsi="Arial" w:cs="Arial"/>
          <w:sz w:val="24"/>
          <w:szCs w:val="24"/>
        </w:rPr>
        <w:t xml:space="preserve"> </w:t>
      </w:r>
      <w:r>
        <w:rPr>
          <w:rFonts w:ascii="Arial" w:hAnsi="Arial" w:cs="Arial"/>
          <w:sz w:val="24"/>
          <w:szCs w:val="24"/>
        </w:rPr>
        <w:t xml:space="preserve"> (Accessed 31 March 2026)</w:t>
      </w:r>
    </w:p>
    <w:p w14:paraId="27548B81" w14:textId="5AB0AEC3" w:rsidR="00975117" w:rsidRDefault="0000000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Hoofnagle, C.J., Van Der Sloot, B. and Borgesius, F.Z. (2019) ‘The European Union general data protection regulation: what it is and what it means’ </w:t>
      </w:r>
      <w:r>
        <w:rPr>
          <w:rFonts w:ascii="Arial" w:hAnsi="Arial" w:cs="Arial"/>
          <w:i/>
          <w:iCs/>
          <w:color w:val="222222"/>
          <w:sz w:val="24"/>
          <w:szCs w:val="24"/>
          <w:shd w:val="clear" w:color="auto" w:fill="FFFFFF"/>
        </w:rPr>
        <w:t>Information &amp; communications technology law</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28</w:t>
      </w:r>
      <w:r>
        <w:rPr>
          <w:rFonts w:ascii="Arial" w:hAnsi="Arial" w:cs="Arial"/>
          <w:color w:val="222222"/>
          <w:sz w:val="24"/>
          <w:szCs w:val="24"/>
          <w:shd w:val="clear" w:color="auto" w:fill="FFFFFF"/>
        </w:rPr>
        <w:t xml:space="preserve">(1), pp.65-98. </w:t>
      </w:r>
      <w:hyperlink r:id="rId11" w:history="1">
        <w:r w:rsidR="00DC7C27" w:rsidRPr="007C0AE9">
          <w:rPr>
            <w:rStyle w:val="Hyperlink"/>
            <w:rFonts w:ascii="Arial" w:hAnsi="Arial" w:cs="Arial"/>
            <w:sz w:val="24"/>
            <w:szCs w:val="24"/>
            <w:shd w:val="clear" w:color="auto" w:fill="FFFFFF"/>
          </w:rPr>
          <w:t>https://www.tandfonline.com/doi/pdf/10.1080/13600834.2019.1573501</w:t>
        </w:r>
      </w:hyperlink>
      <w:r w:rsidR="00DC7C27">
        <w:rPr>
          <w:rFonts w:ascii="Arial" w:hAnsi="Arial" w:cs="Arial"/>
          <w:sz w:val="24"/>
          <w:szCs w:val="24"/>
          <w:shd w:val="clear" w:color="auto" w:fill="FFFFFF"/>
        </w:rPr>
        <w:t xml:space="preserve">  </w:t>
      </w:r>
    </w:p>
    <w:p w14:paraId="7178A695" w14:textId="1E6693C5" w:rsidR="00975117" w:rsidRDefault="00000000">
      <w:pPr>
        <w:spacing w:line="360" w:lineRule="auto"/>
        <w:rPr>
          <w:rFonts w:ascii="Arial" w:hAnsi="Arial" w:cs="Arial"/>
          <w:sz w:val="24"/>
          <w:szCs w:val="24"/>
          <w:shd w:val="clear" w:color="auto" w:fill="FFFFFF"/>
        </w:rPr>
      </w:pPr>
      <w:r>
        <w:rPr>
          <w:rFonts w:ascii="Arial" w:hAnsi="Arial" w:cs="Arial"/>
          <w:sz w:val="24"/>
          <w:szCs w:val="24"/>
          <w:shd w:val="clear" w:color="auto" w:fill="FFFFFF"/>
        </w:rPr>
        <w:t>Kaji, A., Pedigo MD, R. A., Pedigo, R. A. (2021). Emergency Medicine Board Review E-Book. Netherlands: Elsevier.</w:t>
      </w:r>
    </w:p>
    <w:p w14:paraId="3C9B9059" w14:textId="4777C405" w:rsidR="00975117" w:rsidRDefault="00000000">
      <w:pPr>
        <w:spacing w:line="36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Kates</w:t>
      </w:r>
      <w:proofErr w:type="spellEnd"/>
      <w:r>
        <w:rPr>
          <w:rFonts w:ascii="Arial" w:hAnsi="Arial" w:cs="Arial"/>
          <w:color w:val="222222"/>
          <w:sz w:val="24"/>
          <w:szCs w:val="24"/>
          <w:shd w:val="clear" w:color="auto" w:fill="FFFFFF"/>
        </w:rPr>
        <w:t xml:space="preserve">, N., </w:t>
      </w:r>
      <w:proofErr w:type="spellStart"/>
      <w:r>
        <w:rPr>
          <w:rFonts w:ascii="Arial" w:hAnsi="Arial" w:cs="Arial"/>
          <w:color w:val="222222"/>
          <w:sz w:val="24"/>
          <w:szCs w:val="24"/>
          <w:shd w:val="clear" w:color="auto" w:fill="FFFFFF"/>
        </w:rPr>
        <w:t>Arroll</w:t>
      </w:r>
      <w:proofErr w:type="spellEnd"/>
      <w:r>
        <w:rPr>
          <w:rFonts w:ascii="Arial" w:hAnsi="Arial" w:cs="Arial"/>
          <w:color w:val="222222"/>
          <w:sz w:val="24"/>
          <w:szCs w:val="24"/>
          <w:shd w:val="clear" w:color="auto" w:fill="FFFFFF"/>
        </w:rPr>
        <w:t>, B., Currie, E., Hanlon, C., Gask, L., Klasen, H., Meadows, G., Rukundo, G., Sunderji, N., Ruud, T. and Williams, M. (2019) ‘Improving collaboration between primary care and mental health services’. </w:t>
      </w:r>
      <w:r>
        <w:rPr>
          <w:rFonts w:ascii="Arial" w:hAnsi="Arial" w:cs="Arial"/>
          <w:i/>
          <w:iCs/>
          <w:color w:val="222222"/>
          <w:sz w:val="24"/>
          <w:szCs w:val="24"/>
          <w:shd w:val="clear" w:color="auto" w:fill="FFFFFF"/>
        </w:rPr>
        <w:t>The World Journal of Biological Psychiatry</w:t>
      </w:r>
      <w:r>
        <w:rPr>
          <w:rFonts w:ascii="Arial" w:hAnsi="Arial" w:cs="Arial"/>
          <w:color w:val="222222"/>
          <w:sz w:val="24"/>
          <w:szCs w:val="24"/>
          <w:shd w:val="clear" w:color="auto" w:fill="FFFFFF"/>
        </w:rPr>
        <w:t xml:space="preserve">. </w:t>
      </w:r>
      <w:hyperlink r:id="rId12" w:history="1">
        <w:r w:rsidR="00DC7C27" w:rsidRPr="007C0AE9">
          <w:rPr>
            <w:rStyle w:val="Hyperlink"/>
            <w:rFonts w:ascii="Arial" w:hAnsi="Arial" w:cs="Arial"/>
            <w:sz w:val="24"/>
            <w:szCs w:val="24"/>
            <w:shd w:val="clear" w:color="auto" w:fill="FFFFFF"/>
          </w:rPr>
          <w:t>https://research.monash.edu/files/300044574/248109700_oa.pdf</w:t>
        </w:r>
      </w:hyperlink>
      <w:r w:rsidR="00DC7C27">
        <w:rPr>
          <w:rFonts w:ascii="Arial" w:hAnsi="Arial" w:cs="Arial"/>
          <w:sz w:val="24"/>
          <w:szCs w:val="24"/>
          <w:shd w:val="clear" w:color="auto" w:fill="FFFFFF"/>
        </w:rPr>
        <w:t xml:space="preserve"> </w:t>
      </w:r>
    </w:p>
    <w:p w14:paraId="36FD87AA" w14:textId="1EA3DC21" w:rsidR="00975117" w:rsidRDefault="0000000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Liu, X., Zhou, S. and Chi, X.  (2023) ‘How do team-level and individual-level linguistic styles affect Patients’ emotional well-being—evidence from online doctor teams’ </w:t>
      </w:r>
      <w:r>
        <w:rPr>
          <w:rFonts w:ascii="Arial" w:hAnsi="Arial" w:cs="Arial"/>
          <w:i/>
          <w:iCs/>
          <w:color w:val="222222"/>
          <w:sz w:val="24"/>
          <w:szCs w:val="24"/>
          <w:shd w:val="clear" w:color="auto" w:fill="FFFFFF"/>
        </w:rPr>
        <w:t>International Journal of Environmental Research and Public Health</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20</w:t>
      </w:r>
      <w:r>
        <w:rPr>
          <w:rFonts w:ascii="Arial" w:hAnsi="Arial" w:cs="Arial"/>
          <w:color w:val="222222"/>
          <w:sz w:val="24"/>
          <w:szCs w:val="24"/>
          <w:shd w:val="clear" w:color="auto" w:fill="FFFFFF"/>
        </w:rPr>
        <w:t xml:space="preserve">(3), p.1915. </w:t>
      </w:r>
      <w:r>
        <w:rPr>
          <w:rFonts w:ascii="Arial" w:hAnsi="Arial" w:cs="Arial"/>
          <w:sz w:val="24"/>
          <w:szCs w:val="24"/>
          <w:shd w:val="clear" w:color="auto" w:fill="FFFFFF"/>
        </w:rPr>
        <w:t xml:space="preserve">7. </w:t>
      </w:r>
      <w:hyperlink r:id="rId13" w:history="1">
        <w:r w:rsidR="00DC7C27" w:rsidRPr="007C0AE9">
          <w:rPr>
            <w:rStyle w:val="Hyperlink"/>
            <w:rFonts w:ascii="Arial" w:hAnsi="Arial" w:cs="Arial"/>
            <w:sz w:val="24"/>
            <w:szCs w:val="24"/>
            <w:shd w:val="clear" w:color="auto" w:fill="FFFFFF"/>
          </w:rPr>
          <w:t>https://doi.org/10.3390/ijerph20031915</w:t>
        </w:r>
      </w:hyperlink>
      <w:r w:rsidR="00DC7C27">
        <w:rPr>
          <w:rFonts w:ascii="Arial" w:hAnsi="Arial" w:cs="Arial"/>
          <w:sz w:val="24"/>
          <w:szCs w:val="24"/>
          <w:shd w:val="clear" w:color="auto" w:fill="FFFFFF"/>
        </w:rPr>
        <w:t xml:space="preserve"> </w:t>
      </w:r>
    </w:p>
    <w:p w14:paraId="374A5CB9" w14:textId="20A3A7A7" w:rsidR="00975117" w:rsidRDefault="00000000">
      <w:pPr>
        <w:spacing w:line="36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Sharkiya</w:t>
      </w:r>
      <w:proofErr w:type="spellEnd"/>
      <w:r>
        <w:rPr>
          <w:rFonts w:ascii="Arial" w:hAnsi="Arial" w:cs="Arial"/>
          <w:color w:val="222222"/>
          <w:sz w:val="24"/>
          <w:szCs w:val="24"/>
          <w:shd w:val="clear" w:color="auto" w:fill="FFFFFF"/>
        </w:rPr>
        <w:t xml:space="preserve">, S.H. (2023) ‘Quality communication can improve patient-centred health outcomes among older patients: a rapid review’ </w:t>
      </w:r>
      <w:r>
        <w:rPr>
          <w:rFonts w:ascii="Arial" w:hAnsi="Arial" w:cs="Arial"/>
          <w:i/>
          <w:iCs/>
          <w:color w:val="222222"/>
          <w:sz w:val="24"/>
          <w:szCs w:val="24"/>
          <w:shd w:val="clear" w:color="auto" w:fill="FFFFFF"/>
        </w:rPr>
        <w:t>BMC health services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23</w:t>
      </w:r>
      <w:r>
        <w:rPr>
          <w:rFonts w:ascii="Arial" w:hAnsi="Arial" w:cs="Arial"/>
          <w:color w:val="222222"/>
          <w:sz w:val="24"/>
          <w:szCs w:val="24"/>
          <w:shd w:val="clear" w:color="auto" w:fill="FFFFFF"/>
        </w:rPr>
        <w:t xml:space="preserve">(1), p.886. </w:t>
      </w:r>
      <w:hyperlink r:id="rId14" w:history="1">
        <w:r w:rsidR="00DC7C27" w:rsidRPr="007C0AE9">
          <w:rPr>
            <w:rStyle w:val="Hyperlink"/>
            <w:rFonts w:ascii="Arial" w:hAnsi="Arial" w:cs="Arial"/>
            <w:sz w:val="24"/>
            <w:szCs w:val="24"/>
            <w:shd w:val="clear" w:color="auto" w:fill="FFFFFF"/>
          </w:rPr>
          <w:t>https://doi.org/10.1186/s12913-023-09869-8</w:t>
        </w:r>
      </w:hyperlink>
      <w:r w:rsidR="00DC7C27">
        <w:rPr>
          <w:rFonts w:ascii="Arial" w:hAnsi="Arial" w:cs="Arial"/>
          <w:color w:val="222222"/>
          <w:sz w:val="24"/>
          <w:szCs w:val="24"/>
          <w:shd w:val="clear" w:color="auto" w:fill="FFFFFF"/>
        </w:rPr>
        <w:t xml:space="preserve"> </w:t>
      </w:r>
    </w:p>
    <w:p w14:paraId="3AD4087D" w14:textId="6A1E3E4B" w:rsidR="00975117" w:rsidRDefault="00000000">
      <w:pPr>
        <w:spacing w:line="360" w:lineRule="auto"/>
        <w:rPr>
          <w:rFonts w:ascii="Arial" w:hAnsi="Arial" w:cs="Arial"/>
          <w:color w:val="0000FF" w:themeColor="hyperlink"/>
          <w:sz w:val="24"/>
          <w:szCs w:val="24"/>
          <w:u w:val="single"/>
          <w:shd w:val="clear" w:color="auto" w:fill="FFFFFF"/>
        </w:rPr>
      </w:pPr>
      <w:r>
        <w:rPr>
          <w:rFonts w:ascii="Arial" w:hAnsi="Arial" w:cs="Arial"/>
          <w:color w:val="222222"/>
          <w:sz w:val="24"/>
          <w:szCs w:val="24"/>
          <w:shd w:val="clear" w:color="auto" w:fill="FFFFFF"/>
        </w:rPr>
        <w:t xml:space="preserve">Smye, S.W. and </w:t>
      </w:r>
      <w:proofErr w:type="spellStart"/>
      <w:r>
        <w:rPr>
          <w:rFonts w:ascii="Arial" w:hAnsi="Arial" w:cs="Arial"/>
          <w:color w:val="222222"/>
          <w:sz w:val="24"/>
          <w:szCs w:val="24"/>
          <w:shd w:val="clear" w:color="auto" w:fill="FFFFFF"/>
        </w:rPr>
        <w:t>Frangi</w:t>
      </w:r>
      <w:proofErr w:type="spellEnd"/>
      <w:r>
        <w:rPr>
          <w:rFonts w:ascii="Arial" w:hAnsi="Arial" w:cs="Arial"/>
          <w:color w:val="222222"/>
          <w:sz w:val="24"/>
          <w:szCs w:val="24"/>
          <w:shd w:val="clear" w:color="auto" w:fill="FFFFFF"/>
        </w:rPr>
        <w:t xml:space="preserve">, A.F. (2021) ‘Interdisciplinary research: shaping the healthcare of the future’ </w:t>
      </w:r>
      <w:r>
        <w:rPr>
          <w:rFonts w:ascii="Arial" w:hAnsi="Arial" w:cs="Arial"/>
          <w:i/>
          <w:iCs/>
          <w:color w:val="222222"/>
          <w:sz w:val="24"/>
          <w:szCs w:val="24"/>
          <w:shd w:val="clear" w:color="auto" w:fill="FFFFFF"/>
        </w:rPr>
        <w:t>Future Healthcare Journal</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8</w:t>
      </w:r>
      <w:r>
        <w:rPr>
          <w:rFonts w:ascii="Arial" w:hAnsi="Arial" w:cs="Arial"/>
          <w:color w:val="222222"/>
          <w:sz w:val="24"/>
          <w:szCs w:val="24"/>
          <w:shd w:val="clear" w:color="auto" w:fill="FFFFFF"/>
        </w:rPr>
        <w:t xml:space="preserve">(2), pp.e218-e223. </w:t>
      </w:r>
      <w:hyperlink r:id="rId15" w:history="1">
        <w:r w:rsidR="00DC7C27" w:rsidRPr="007C0AE9">
          <w:rPr>
            <w:rStyle w:val="Hyperlink"/>
            <w:rFonts w:ascii="Arial" w:hAnsi="Arial" w:cs="Arial"/>
            <w:sz w:val="24"/>
            <w:szCs w:val="24"/>
            <w:shd w:val="clear" w:color="auto" w:fill="FFFFFF"/>
          </w:rPr>
          <w:t>https://doi.org/10.7861/fhj.2021-0025</w:t>
        </w:r>
      </w:hyperlink>
      <w:r w:rsidR="00DC7C27">
        <w:rPr>
          <w:rFonts w:ascii="Arial" w:hAnsi="Arial" w:cs="Arial"/>
          <w:color w:val="222222"/>
          <w:sz w:val="24"/>
          <w:szCs w:val="24"/>
          <w:shd w:val="clear" w:color="auto" w:fill="FFFFFF"/>
        </w:rPr>
        <w:t xml:space="preserve"> </w:t>
      </w:r>
    </w:p>
    <w:p w14:paraId="735670BC" w14:textId="7EAE2837" w:rsidR="00975117" w:rsidRDefault="0000000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Yun, J., Lee, Y.J., Kang, K. and Park, J. (2023) ‘Effectiveness of SBAR-based simulation programs for nursing students: a systematic review’ </w:t>
      </w:r>
      <w:r>
        <w:rPr>
          <w:rFonts w:ascii="Arial" w:hAnsi="Arial" w:cs="Arial"/>
          <w:i/>
          <w:iCs/>
          <w:color w:val="222222"/>
          <w:sz w:val="24"/>
          <w:szCs w:val="24"/>
          <w:shd w:val="clear" w:color="auto" w:fill="FFFFFF"/>
        </w:rPr>
        <w:t>BMC Medical Education</w:t>
      </w:r>
      <w:r>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23</w:t>
      </w:r>
      <w:r>
        <w:rPr>
          <w:rFonts w:ascii="Arial" w:hAnsi="Arial" w:cs="Arial"/>
          <w:color w:val="222222"/>
          <w:sz w:val="24"/>
          <w:szCs w:val="24"/>
          <w:shd w:val="clear" w:color="auto" w:fill="FFFFFF"/>
        </w:rPr>
        <w:t>(1), p.507.</w:t>
      </w:r>
      <w:r>
        <w:rPr>
          <w:rFonts w:ascii="Arial" w:hAnsi="Arial" w:cs="Arial"/>
          <w:sz w:val="24"/>
          <w:szCs w:val="24"/>
        </w:rPr>
        <w:t xml:space="preserve"> </w:t>
      </w:r>
      <w:hyperlink r:id="rId16" w:history="1">
        <w:r w:rsidR="00DC7C27" w:rsidRPr="007C0AE9">
          <w:rPr>
            <w:rStyle w:val="Hyperlink"/>
            <w:rFonts w:ascii="Arial" w:hAnsi="Arial" w:cs="Arial"/>
            <w:sz w:val="24"/>
            <w:szCs w:val="24"/>
            <w:shd w:val="clear" w:color="auto" w:fill="FFFFFF"/>
          </w:rPr>
          <w:t>https://doi.org/10.1186/s12909-023-04495-8</w:t>
        </w:r>
      </w:hyperlink>
      <w:r w:rsidR="00DC7C27">
        <w:rPr>
          <w:rFonts w:ascii="Arial" w:hAnsi="Arial" w:cs="Arial"/>
          <w:color w:val="222222"/>
          <w:sz w:val="24"/>
          <w:szCs w:val="24"/>
          <w:shd w:val="clear" w:color="auto" w:fill="FFFFFF"/>
        </w:rPr>
        <w:t xml:space="preserve"> </w:t>
      </w:r>
    </w:p>
    <w:sectPr w:rsidR="0097511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517EC" w14:textId="77777777" w:rsidR="003642E7" w:rsidRDefault="003642E7">
      <w:pPr>
        <w:spacing w:line="240" w:lineRule="auto"/>
      </w:pPr>
      <w:r>
        <w:separator/>
      </w:r>
    </w:p>
  </w:endnote>
  <w:endnote w:type="continuationSeparator" w:id="0">
    <w:p w14:paraId="0878456C" w14:textId="77777777" w:rsidR="003642E7" w:rsidRDefault="003642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sig w:usb0="E1002A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0968939"/>
      <w:docPartObj>
        <w:docPartGallery w:val="AutoText"/>
      </w:docPartObj>
    </w:sdtPr>
    <w:sdtContent>
      <w:p w14:paraId="6C0509C5" w14:textId="77777777" w:rsidR="00975117" w:rsidRDefault="00000000">
        <w:pPr>
          <w:pStyle w:val="Footer"/>
          <w:jc w:val="center"/>
        </w:pPr>
        <w:r>
          <w:fldChar w:fldCharType="begin"/>
        </w:r>
        <w:r>
          <w:instrText xml:space="preserve"> PAGE   \* MERGEFORMAT </w:instrText>
        </w:r>
        <w:r>
          <w:fldChar w:fldCharType="separate"/>
        </w:r>
        <w:r>
          <w:t>2</w:t>
        </w:r>
        <w:r>
          <w:fldChar w:fldCharType="end"/>
        </w:r>
      </w:p>
    </w:sdtContent>
  </w:sdt>
  <w:p w14:paraId="1854B8F0" w14:textId="77777777" w:rsidR="00975117" w:rsidRDefault="00975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84C03" w14:textId="77777777" w:rsidR="003642E7" w:rsidRDefault="003642E7">
      <w:pPr>
        <w:spacing w:after="0"/>
      </w:pPr>
      <w:r>
        <w:separator/>
      </w:r>
    </w:p>
  </w:footnote>
  <w:footnote w:type="continuationSeparator" w:id="0">
    <w:p w14:paraId="76670463" w14:textId="77777777" w:rsidR="003642E7" w:rsidRDefault="003642E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SxNDExtzQzNrA0NTZS0lEKTi0uzszPAykwrAUAxuYaKSwAAAA="/>
  </w:docVars>
  <w:rsids>
    <w:rsidRoot w:val="0014552C"/>
    <w:rsid w:val="00022E77"/>
    <w:rsid w:val="000935D1"/>
    <w:rsid w:val="0014552C"/>
    <w:rsid w:val="001C5943"/>
    <w:rsid w:val="00212A75"/>
    <w:rsid w:val="003642E7"/>
    <w:rsid w:val="00450C32"/>
    <w:rsid w:val="004A57C3"/>
    <w:rsid w:val="00510FEB"/>
    <w:rsid w:val="00583828"/>
    <w:rsid w:val="00595DEE"/>
    <w:rsid w:val="005B413B"/>
    <w:rsid w:val="00730DC2"/>
    <w:rsid w:val="007526F2"/>
    <w:rsid w:val="0077166A"/>
    <w:rsid w:val="00784233"/>
    <w:rsid w:val="007C6C44"/>
    <w:rsid w:val="00814556"/>
    <w:rsid w:val="00852C14"/>
    <w:rsid w:val="00910302"/>
    <w:rsid w:val="00952DC4"/>
    <w:rsid w:val="00975117"/>
    <w:rsid w:val="00984947"/>
    <w:rsid w:val="00987F88"/>
    <w:rsid w:val="00A52C48"/>
    <w:rsid w:val="00A54370"/>
    <w:rsid w:val="00A8768E"/>
    <w:rsid w:val="00AA29C2"/>
    <w:rsid w:val="00AA6B8E"/>
    <w:rsid w:val="00AD1EEE"/>
    <w:rsid w:val="00AE10D4"/>
    <w:rsid w:val="00B0237F"/>
    <w:rsid w:val="00B023EC"/>
    <w:rsid w:val="00B63BDC"/>
    <w:rsid w:val="00C02CCC"/>
    <w:rsid w:val="00C42127"/>
    <w:rsid w:val="00CB35EA"/>
    <w:rsid w:val="00D81F72"/>
    <w:rsid w:val="00DC7C27"/>
    <w:rsid w:val="00DD0883"/>
    <w:rsid w:val="00DD2325"/>
    <w:rsid w:val="00DF375E"/>
    <w:rsid w:val="00F00AF3"/>
    <w:rsid w:val="00F52B56"/>
    <w:rsid w:val="00F921CB"/>
    <w:rsid w:val="D5B37710"/>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732EA"/>
  <w15:docId w15:val="{C531A06C-DAF2-4362-BDA7-8B942B32E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IN"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after="100"/>
    </w:p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32"/>
      <w:szCs w:val="32"/>
    </w:rPr>
  </w:style>
  <w:style w:type="paragraph" w:customStyle="1" w:styleId="TOCHeading1">
    <w:name w:val="TOC Heading1"/>
    <w:basedOn w:val="Heading1"/>
    <w:next w:val="Normal"/>
    <w:uiPriority w:val="39"/>
    <w:unhideWhenUsed/>
    <w:qFormat/>
    <w:pPr>
      <w:spacing w:line="259" w:lineRule="auto"/>
      <w:outlineLvl w:val="9"/>
    </w:pPr>
    <w:rPr>
      <w:lang w:val="en-US"/>
    </w:rPr>
  </w:style>
  <w:style w:type="character" w:styleId="UnresolvedMention">
    <w:name w:val="Unresolved Mention"/>
    <w:basedOn w:val="DefaultParagraphFont"/>
    <w:uiPriority w:val="99"/>
    <w:semiHidden/>
    <w:unhideWhenUsed/>
    <w:rsid w:val="00DC7C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samples.jbpub.com/9781284081015/FrontMatter.pdf" TargetMode="External"/><Relationship Id="rId13" Type="http://schemas.openxmlformats.org/officeDocument/2006/relationships/hyperlink" Target="https://doi.org/10.3390/ijerph2003191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search.monash.edu/files/300044574/248109700_oa.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86/s12909-023-04495-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pdf/10.1080/13600834.2019.1573501" TargetMode="External"/><Relationship Id="rId5" Type="http://schemas.openxmlformats.org/officeDocument/2006/relationships/footnotes" Target="footnotes.xml"/><Relationship Id="rId15" Type="http://schemas.openxmlformats.org/officeDocument/2006/relationships/hyperlink" Target="https://doi.org/10.7861/fhj.2021-0025" TargetMode="External"/><Relationship Id="rId10" Type="http://schemas.openxmlformats.org/officeDocument/2006/relationships/hyperlink" Target="https://www.gov.uk/data-protec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am/pii/S0197457222001045" TargetMode="External"/><Relationship Id="rId14" Type="http://schemas.openxmlformats.org/officeDocument/2006/relationships/hyperlink" Target="https://doi.org/10.1186/s12913-023-098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Version="6" StyleName="APA"/>
</file>

<file path=customXml/itemProps1.xml><?xml version="1.0" encoding="utf-8"?>
<ds:datastoreItem xmlns:ds="http://schemas.openxmlformats.org/officeDocument/2006/customXml" ds:itemID="{CA5E3CFB-C123-4C03-B53D-AFD7DAD2E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10</Pages>
  <Words>2005</Words>
  <Characters>11435</Characters>
  <Application>Microsoft Office Word</Application>
  <DocSecurity>0</DocSecurity>
  <Lines>95</Lines>
  <Paragraphs>26</Paragraphs>
  <ScaleCrop>false</ScaleCrop>
  <Company/>
  <LinksUpToDate>false</LinksUpToDate>
  <CharactersWithSpaces>13414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Soumeya Rekabi (2513643)</cp:lastModifiedBy>
  <cp:revision>13</cp:revision>
  <dcterms:created xsi:type="dcterms:W3CDTF">2026-03-31T12:55:00Z</dcterms:created>
  <dcterms:modified xsi:type="dcterms:W3CDTF">2026-04-20T21:04:00Z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36874E22A08CE63D6293E66956F893F6_42</vt:lpwstr>
  </property>
</Properties>
</file>