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2B43357" wp14:paraId="6C4613AF" wp14:textId="3A817ADF">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criminal justice process is a multifaceted system aimed at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maintaining</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societal order, enforcing the law, and delivering justice. Central to this system are two primary actors: the victim and the suspect or accuse</w:t>
      </w:r>
      <w:r w:rsidRPr="12B43357" w:rsidR="2D25A9E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While traditionally, criminal justice has focused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predominantly on</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offender</w:t>
      </w:r>
      <w:r w:rsidRPr="12B43357" w:rsidR="2FA6C30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ensuring their rights are protected and that due process is followe</w:t>
      </w:r>
      <w:r w:rsidRPr="12B43357" w:rsidR="0CD087E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 t</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here has been increasing recognition of the importance of supporting victims through their journey in the system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Walklate</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2012). This essay aims to evaluate the balance between the victim and suspect’s experience within the criminal justice process in the UK, exploring how each is treated at various stages: reporting, investigation, trial, sentencing, and post-trial. It will critically assess whether this balance is fair, just, and reflective of the principles of justice, or whether disparities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remain</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need </w:t>
      </w:r>
      <w:r w:rsidRPr="12B43357" w:rsidR="75F587A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correcting</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12B43357" wp14:paraId="7556F76B" wp14:textId="1A3CAF11">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Rights and Protections</w:t>
      </w:r>
      <w:r w:rsidRPr="12B43357" w:rsidR="7EA8769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UK legal system places significant emphasis on the rights of suspects. These rights are grounded in both domestic and international law, notably the European Convention on Human Rights (ECHR). Article 6 of the ECHR guarantees the right to a fair trial, including the presumption of innocence, the right to legal representation, and the right to silence (Council of Europe, 1950).</w:t>
      </w:r>
      <w:r w:rsidRPr="12B43357" w:rsidR="70D468A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From the moment of arrest, suspects are entitled to legal safeguards under the Police and Criminal Evidence Act 1984 (PACE). They have the right to be informed of the reason for their arrest, access to legal counsel, and to have someone informed of their arrest. During interviews, safeguards exist to ensure that suspects are not coerced into self-incrimination, such as audio and video recordings (Newburn, 2017).</w:t>
      </w:r>
      <w:r w:rsidRPr="12B43357" w:rsidR="0BE9435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In the pre-trial stage, suspects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benefit</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from protections against unlawful detention. They must be charged or released within 24 hours unless granted an extension. If charged, the Crown Prosecution Service CPS assesses whether there is sufficient evidence and whether prosecution is in the public interest (CPS, 2021).</w:t>
      </w:r>
      <w:r w:rsidRPr="12B43357" w:rsidR="04FAFC4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During trial, the suspect is afforded full legal representation and the right to challenge evidence. The adversarial nature of the UK system ensures that the burden of proof rests on the prosecution, and the standard is ‘beyond reasonable doubt</w:t>
      </w:r>
      <w:r w:rsidRPr="12B43357" w:rsidR="3A23005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 high threshold designed to protect the innocent.</w:t>
      </w:r>
      <w:r w:rsidRPr="12B43357" w:rsidR="666AAF1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If convicted, suspects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retain</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rights, such as the ability to appeal. Moreover, prison conditions and parole are subject to legal oversight, with institutions like the Independent Monitoring Boards ensuring compliance with human rights (Ministry of Justice, 2020).</w:t>
      </w:r>
      <w:r w:rsidRPr="12B43357" w:rsidR="2B16639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Victims often face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numerous</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barriers when reporting crimes, including fear of retaliation, lack of faith in the justice system, or trauma. The introduction of the Victims’ Code in 2006 (updated in 2020) has aimed to address these issues by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establishing</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entitlements, such as being kept informed about the progress of the case and receiving support services (Ministry of Justice, 2020).</w:t>
      </w:r>
      <w:r w:rsidRPr="12B43357" w:rsidR="2F73785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However, studies have shown that many victims still feel sidelined in the process. For instance, they may not be consulted before major decisions like case dismissal or plea deals (Hoyle, 2011).</w:t>
      </w:r>
      <w:r w:rsidRPr="12B43357" w:rsidR="40CC49C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Victims can be re-traumatized during investigations, especially in cases involving sexual or violent crime. Special Measures</w:t>
      </w:r>
      <w:r w:rsidRPr="12B43357" w:rsidR="44D350C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such as giving evidence via video link or behind screens—have been introduced to mitigate this (Ellison, 2001). Nevertheless, participation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remains</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limited, and victims often have little control over the process.</w:t>
      </w:r>
      <w:r w:rsidRPr="12B43357" w:rsidR="1AF7371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CPS Victim Liaison Units are tasked with communicating with victims, but reports suggest inconsistencies in implementation (Victims’ Commissioner, 2022). Additionally, in adversarial trials, victims often feel like bystanders or even secondary defendants due to aggressive cross-examinations, particularly in sexual assault cases (McGlynn et al., 2017).</w:t>
      </w:r>
      <w:r w:rsidRPr="12B43357" w:rsidR="0AB4317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Post-trial, victims can receive updates on sentencing and parole decisions through the Victim Contact Scheme. They may also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submit</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Victim Personal Statements, allowing their voice to be heard in sentencing decisions (Ministry of Justice, 2020). However, the extent to which these influence outcomes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varies</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12B43357" w:rsidR="3512048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Support services such as Victim Support offer emotional and practical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assistance</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but access and quality can be inconsistent, particularly in rural or under-resourced areas (Rock, 2004).</w:t>
      </w:r>
      <w:r>
        <w:br/>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criminal justice system is heavily weighted towards ensuring that suspects receive a fair trial</w:t>
      </w:r>
      <w:r w:rsidRPr="12B43357" w:rsidR="3AE0365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 cornerstone of democratic legal systems. This is not inherently unjust; protecting the rights of the accused is essential to prevent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miscarriages of justice</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However, this emphasis can inadvertently marginalize victims, who often seek emotional justice, recognition, and closure</w:t>
      </w:r>
      <w:r w:rsidRPr="12B43357" w:rsidR="3963B7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needs not always met by formal procedures (Doak, 2008</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Despite</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policy reforms, victims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remain</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largely peripheral</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the criminal justice process. They do not have formal legal standing in proceedings and cannot compel prosecution or influence legal strategies. This stands in contrast to other systems, such as those in some European countries where victims have greater participatory rights (Pemberton &amp;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Reynaers</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2011</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Recent</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reforms have sought to redress this imbalance. For example, the Domestic Abuse Act 2021 includes provisions for better victim support. The proposed Victims and Prisoners Bill aims to enshrine victim entitlements into law, potentially improving accountability (Home Office, 2023).</w:t>
      </w:r>
      <w:r w:rsidRPr="12B43357" w:rsidR="09C8086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Nevertheless, implementation gaps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remain</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Delays in trials, inconsistent support services, and a lack of communication often frustrate victims. In contrast, suspects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benefit</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from clearer, more enforceable rights due to centuries of legal </w:t>
      </w:r>
      <w:r w:rsidRPr="12B43357" w:rsidR="098E611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development. Public</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discourse often fuels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perceptions</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the system is either too lenient on offenders or dismissive of victims. Media portrayals can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exacerbate</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these tensions by focusing on sensational cases or perceived injustices (Greer, 2007). This can skew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perceptions</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of balance even when procedures are legally sound.</w:t>
      </w:r>
      <w:r w:rsidRPr="12B43357" w:rsidR="1E04D1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An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additional</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layer of complexity in balancing the journeys of victims and suspects is the increasing recognition of intersectionality in justice experiences. Individuals’ experiences of the criminal justice system are shaped by factors such as race, gender, age, disability, and socio-economic status. Research has shown that ethnic minorities, particularly Black individuals, are more likely to be stopped, searched, and subjected to harsher sentences compared to their white counterparts (Lammy, 2017</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).At</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same time, victims from marginalized backgrounds often face greater barriers to reporting and accessing support services. For instance, women from minority communities may experience cultural and systemic obstacles that discourage engagement with law enforcement (Thiara and Gill, 2012). Disabled victims may struggle with a lack of accessible reporting mechanisms or tailored support (Sin et al., 2009). This dual disparity</w:t>
      </w:r>
      <w:r w:rsidRPr="12B43357" w:rsidR="3BB4005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where suspects and victims alike face differential treatment</w:t>
      </w:r>
      <w:r w:rsidRPr="12B43357" w:rsidR="530069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12B43357" wp14:paraId="5E2791A9" wp14:textId="04182FF1">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Ultimately, a</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balanced justice system must safeguard the rights of suspects while simultaneously ensuring that victims are treated with dignity, respect, and empathy. Both parties deserve a system that delivers not only legal justice but also emotional and restorative support. Only by addressing the systemic gaps and ensuring both legal and emotional needs are met can the criminal justice process truly claim to be fair and just for all.</w:t>
      </w:r>
    </w:p>
    <w:p xmlns:wp14="http://schemas.microsoft.com/office/word/2010/wordml" w:rsidP="12B43357" wp14:paraId="233FB88F" wp14:textId="53FA1881">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xmlns:wp14="http://schemas.microsoft.com/office/word/2010/wordml" w:rsidP="12B43357" wp14:paraId="7BF29CD3" wp14:textId="3B0A605E">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Moving forward, greater investment in support services, legal reform to enforce victims’ rights, and enhanced victim participation are necessary. For instance, fully enacting the proposed Victims and Prisoners Bill and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establishing</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robust enforcement mechanisms could help shift the culture from procedural compliance to proactive victim engagement (Home Office, 2023). Additionally, ongoing training for legal professionals and better public awareness campaigns could help challenge negative stereotypes</w:t>
      </w:r>
      <w:r w:rsidRPr="12B43357" w:rsidR="10BA1E0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One of the key problems is that while suspects are active participants in the justice process, with clearly defined legal representation and procedural rights, victims are often reduced to the role of witnesses or observers (Doak, 2008). Their involvement typically ends once their</w:t>
      </w:r>
      <w:r w:rsidRPr="12B43357" w:rsidR="545289C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testimony is given, with limited influence over how cases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proceed</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Comparative criminal justice systems</w:t>
      </w:r>
      <w:r w:rsidRPr="12B43357" w:rsidR="12515F4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such as those in Sweden or the Netherlands</w:t>
      </w:r>
      <w:r w:rsidRPr="12B43357" w:rsidR="38D4505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offer more participatory rights to victims,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indicating</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a better balance</w:t>
      </w:r>
      <w:r w:rsidRPr="12B43357" w:rsidR="0058FE3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On the other hand, the journey of victims through the system has historically been one of marginalization. Although significant steps have been taken</w:t>
      </w:r>
      <w:r w:rsidRPr="12B43357" w:rsidR="6A5BFE9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such as the introduction of the Victims’ Code and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special measures</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support vulnerable witnesses (Ministry of Justice, 2020; Ellison, 2001)</w:t>
      </w:r>
      <w:r w:rsidRPr="12B43357" w:rsidR="0E7EFD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practical implementation often falls short. Victims continue to report feelings of exclusion and a lack of agency in criminal proceedings (Hoyle, 2011; Victims’ Commissioner, 2022). The emotional and </w:t>
      </w:r>
      <w:r w:rsidRPr="12B43357" w:rsidR="5E7BDDE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psychological.</w:t>
      </w:r>
      <w:r w:rsidRPr="12B43357" w:rsidR="0403510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criminal justice process in the UK illustrates the ongoing struggle to balance the rights and needs of both the suspect and the victim. On one hand, the legal system’s strong emphasis on the rights of suspects is essential to upholding the rule of law, protecting the innocent from wrongful conviction, and </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maintaining</w:t>
      </w:r>
      <w:r w:rsidRPr="12B43357" w:rsidR="45783E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due process (Council of Europe, 1950; Newburn, 2017). These rights are thoroughly embedded through legislation such as the Police and Criminal Evidence Act 1984 and international con</w:t>
      </w:r>
      <w:r w:rsidRPr="12B43357" w:rsidR="4D3CA0F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12B43357" wp14:paraId="552233D1" wp14:textId="7AD400A4">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xmlns:wp14="http://schemas.microsoft.com/office/word/2010/wordml" w:rsidP="12B43357" wp14:paraId="43C59785" wp14:textId="5DF2A724">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12B43357" w:rsidR="50DBD24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Reference list </w:t>
      </w:r>
    </w:p>
    <w:p xmlns:wp14="http://schemas.microsoft.com/office/word/2010/wordml" w:rsidP="12B43357" wp14:paraId="56D18715" wp14:textId="6C0C2728">
      <w:pPr>
        <w:pStyle w:val="Heading1"/>
        <w:keepNext w:val="0"/>
        <w:keepLines w:val="0"/>
        <w:spacing w:before="40" w:beforeAutospacing="off" w:after="40" w:afterAutospacing="off" w:line="480" w:lineRule="auto"/>
        <w:jc w:val="left"/>
        <w:rPr>
          <w:rFonts w:ascii="Aptos" w:hAnsi="Aptos" w:eastAsia="Aptos" w:cs="Aptos" w:asciiTheme="minorAscii" w:hAnsiTheme="minorAscii" w:eastAsiaTheme="minorAscii" w:cstheme="minorAscii"/>
          <w:b w:val="1"/>
          <w:bCs w:val="1"/>
          <w:noProof w:val="0"/>
          <w:sz w:val="22"/>
          <w:szCs w:val="22"/>
          <w:lang w:val="en-GB"/>
        </w:rPr>
      </w:pPr>
      <w:r w:rsidRPr="12B43357" w:rsidR="50DBD24E">
        <w:rPr>
          <w:rFonts w:ascii="Aptos" w:hAnsi="Aptos" w:eastAsia="Aptos" w:cs="Aptos" w:asciiTheme="minorAscii" w:hAnsiTheme="minorAscii" w:eastAsiaTheme="minorAscii" w:cstheme="minorAscii"/>
          <w:b w:val="1"/>
          <w:bCs w:val="1"/>
          <w:noProof w:val="0"/>
          <w:sz w:val="22"/>
          <w:szCs w:val="22"/>
          <w:lang w:val="en-GB"/>
        </w:rPr>
        <w:t>Reference list</w:t>
      </w:r>
    </w:p>
    <w:p xmlns:wp14="http://schemas.microsoft.com/office/word/2010/wordml" w:rsidP="12B43357" wp14:paraId="53A08AB3" wp14:textId="0AB01BDD">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Brown, D.K., Turner, J.I. and Weisser, B. (2019). </w:t>
      </w:r>
      <w:r w:rsidRPr="12B43357" w:rsidR="50DBD24E">
        <w:rPr>
          <w:rFonts w:ascii="Aptos" w:hAnsi="Aptos" w:eastAsia="Aptos" w:cs="Aptos" w:asciiTheme="minorAscii" w:hAnsiTheme="minorAscii" w:eastAsiaTheme="minorAscii" w:cstheme="minorAscii"/>
          <w:i w:val="1"/>
          <w:iCs w:val="1"/>
          <w:noProof w:val="0"/>
          <w:sz w:val="22"/>
          <w:szCs w:val="22"/>
          <w:lang w:val="en-GB"/>
        </w:rPr>
        <w:t>The Oxford handbook of criminal process</w:t>
      </w:r>
      <w:r w:rsidRPr="12B43357" w:rsidR="50DBD24E">
        <w:rPr>
          <w:rFonts w:ascii="Aptos" w:hAnsi="Aptos" w:eastAsia="Aptos" w:cs="Aptos" w:asciiTheme="minorAscii" w:hAnsiTheme="minorAscii" w:eastAsiaTheme="minorAscii" w:cstheme="minorAscii"/>
          <w:noProof w:val="0"/>
          <w:sz w:val="22"/>
          <w:szCs w:val="22"/>
          <w:lang w:val="en-GB"/>
        </w:rPr>
        <w:t>. New York, NY: Oxford University Press.</w:t>
      </w:r>
    </w:p>
    <w:p xmlns:wp14="http://schemas.microsoft.com/office/word/2010/wordml" w:rsidP="12B43357" wp14:paraId="0176E65C" wp14:textId="7CF1E24E">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commisinor</w:t>
      </w:r>
      <w:r w:rsidRPr="12B43357" w:rsidR="50DBD24E">
        <w:rPr>
          <w:rFonts w:ascii="Aptos" w:hAnsi="Aptos" w:eastAsia="Aptos" w:cs="Aptos" w:asciiTheme="minorAscii" w:hAnsiTheme="minorAscii" w:eastAsiaTheme="minorAscii" w:cstheme="minorAscii"/>
          <w:noProof w:val="0"/>
          <w:sz w:val="22"/>
          <w:szCs w:val="22"/>
          <w:lang w:val="en-GB"/>
        </w:rPr>
        <w:t xml:space="preserve">, victims (2022). </w:t>
      </w:r>
      <w:r w:rsidRPr="12B43357" w:rsidR="50DBD24E">
        <w:rPr>
          <w:rFonts w:ascii="Aptos" w:hAnsi="Aptos" w:eastAsia="Aptos" w:cs="Aptos" w:asciiTheme="minorAscii" w:hAnsiTheme="minorAscii" w:eastAsiaTheme="minorAscii" w:cstheme="minorAscii"/>
          <w:i w:val="1"/>
          <w:iCs w:val="1"/>
          <w:noProof w:val="0"/>
          <w:sz w:val="22"/>
          <w:szCs w:val="22"/>
          <w:lang w:val="en-GB"/>
        </w:rPr>
        <w:t>**Home</w:t>
      </w:r>
      <w:r w:rsidRPr="12B43357" w:rsidR="50DBD24E">
        <w:rPr>
          <w:rFonts w:ascii="Aptos" w:hAnsi="Aptos" w:eastAsia="Aptos" w:cs="Aptos" w:asciiTheme="minorAscii" w:hAnsiTheme="minorAscii" w:eastAsiaTheme="minorAscii" w:cstheme="minorAscii"/>
          <w:noProof w:val="0"/>
          <w:sz w:val="22"/>
          <w:szCs w:val="22"/>
          <w:lang w:val="en-GB"/>
        </w:rPr>
        <w:t xml:space="preserve">. [online] Victims Commissioner. Available at: </w:t>
      </w:r>
      <w:hyperlink r:id="R1d2f48b4254a47a6">
        <w:r w:rsidRPr="12B43357" w:rsidR="50DBD24E">
          <w:rPr>
            <w:rStyle w:val="Hyperlink"/>
            <w:rFonts w:ascii="Aptos" w:hAnsi="Aptos" w:eastAsia="Aptos" w:cs="Aptos" w:asciiTheme="minorAscii" w:hAnsiTheme="minorAscii" w:eastAsiaTheme="minorAscii" w:cstheme="minorAscii"/>
            <w:noProof w:val="0"/>
            <w:sz w:val="22"/>
            <w:szCs w:val="22"/>
            <w:lang w:val="en-GB"/>
          </w:rPr>
          <w:t>https://victimscommissioner.org.uk</w:t>
        </w:r>
      </w:hyperlink>
      <w:r w:rsidRPr="12B43357" w:rsidR="50DBD24E">
        <w:rPr>
          <w:rFonts w:ascii="Aptos" w:hAnsi="Aptos" w:eastAsia="Aptos" w:cs="Aptos" w:asciiTheme="minorAscii" w:hAnsiTheme="minorAscii" w:eastAsiaTheme="minorAscii" w:cstheme="minorAscii"/>
          <w:noProof w:val="0"/>
          <w:sz w:val="22"/>
          <w:szCs w:val="22"/>
          <w:lang w:val="en-GB"/>
        </w:rPr>
        <w:t>.</w:t>
      </w:r>
    </w:p>
    <w:p xmlns:wp14="http://schemas.microsoft.com/office/word/2010/wordml" w:rsidP="12B43357" wp14:paraId="25A114C1" wp14:textId="04FDA9BC">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Crown Prosecution Service (2018). </w:t>
      </w:r>
      <w:r w:rsidRPr="12B43357" w:rsidR="50DBD24E">
        <w:rPr>
          <w:rFonts w:ascii="Aptos" w:hAnsi="Aptos" w:eastAsia="Aptos" w:cs="Aptos" w:asciiTheme="minorAscii" w:hAnsiTheme="minorAscii" w:eastAsiaTheme="minorAscii" w:cstheme="minorAscii"/>
          <w:i w:val="1"/>
          <w:iCs w:val="1"/>
          <w:noProof w:val="0"/>
          <w:sz w:val="22"/>
          <w:szCs w:val="22"/>
          <w:lang w:val="en-GB"/>
        </w:rPr>
        <w:t>The Code for Crown Prosecutors</w:t>
      </w:r>
      <w:r w:rsidRPr="12B43357" w:rsidR="50DBD24E">
        <w:rPr>
          <w:rFonts w:ascii="Aptos" w:hAnsi="Aptos" w:eastAsia="Aptos" w:cs="Aptos" w:asciiTheme="minorAscii" w:hAnsiTheme="minorAscii" w:eastAsiaTheme="minorAscii" w:cstheme="minorAscii"/>
          <w:noProof w:val="0"/>
          <w:sz w:val="22"/>
          <w:szCs w:val="22"/>
          <w:lang w:val="en-GB"/>
        </w:rPr>
        <w:t xml:space="preserve">. [online] Cps.gov.uk. Available at: </w:t>
      </w:r>
      <w:hyperlink r:id="R2eb091b5a87a4e0c">
        <w:r w:rsidRPr="12B43357" w:rsidR="50DBD24E">
          <w:rPr>
            <w:rStyle w:val="Hyperlink"/>
            <w:rFonts w:ascii="Aptos" w:hAnsi="Aptos" w:eastAsia="Aptos" w:cs="Aptos" w:asciiTheme="minorAscii" w:hAnsiTheme="minorAscii" w:eastAsiaTheme="minorAscii" w:cstheme="minorAscii"/>
            <w:noProof w:val="0"/>
            <w:sz w:val="22"/>
            <w:szCs w:val="22"/>
            <w:lang w:val="en-GB"/>
          </w:rPr>
          <w:t>https://www.cps.gov.uk/publication/code-crown-prosecutors</w:t>
        </w:r>
      </w:hyperlink>
      <w:r w:rsidRPr="12B43357" w:rsidR="50DBD24E">
        <w:rPr>
          <w:rFonts w:ascii="Aptos" w:hAnsi="Aptos" w:eastAsia="Aptos" w:cs="Aptos" w:asciiTheme="minorAscii" w:hAnsiTheme="minorAscii" w:eastAsiaTheme="minorAscii" w:cstheme="minorAscii"/>
          <w:noProof w:val="0"/>
          <w:sz w:val="22"/>
          <w:szCs w:val="22"/>
          <w:lang w:val="en-GB"/>
        </w:rPr>
        <w:t>.</w:t>
      </w:r>
    </w:p>
    <w:p xmlns:wp14="http://schemas.microsoft.com/office/word/2010/wordml" w:rsidP="12B43357" wp14:paraId="5B3B001E" wp14:textId="6A6B4745">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Doak, J. (2008). </w:t>
      </w:r>
      <w:r w:rsidRPr="12B43357" w:rsidR="50DBD24E">
        <w:rPr>
          <w:rFonts w:ascii="Aptos" w:hAnsi="Aptos" w:eastAsia="Aptos" w:cs="Aptos" w:asciiTheme="minorAscii" w:hAnsiTheme="minorAscii" w:eastAsiaTheme="minorAscii" w:cstheme="minorAscii"/>
          <w:i w:val="1"/>
          <w:iCs w:val="1"/>
          <w:noProof w:val="0"/>
          <w:sz w:val="22"/>
          <w:szCs w:val="22"/>
          <w:lang w:val="en-GB"/>
        </w:rPr>
        <w:t>Victims’ Rights, Human Rights and Criminal Justice Reconceiving the Role of Third Parties</w:t>
      </w:r>
      <w:r w:rsidRPr="12B43357" w:rsidR="50DBD24E">
        <w:rPr>
          <w:rFonts w:ascii="Aptos" w:hAnsi="Aptos" w:eastAsia="Aptos" w:cs="Aptos" w:asciiTheme="minorAscii" w:hAnsiTheme="minorAscii" w:eastAsiaTheme="minorAscii" w:cstheme="minorAscii"/>
          <w:noProof w:val="0"/>
          <w:sz w:val="22"/>
          <w:szCs w:val="22"/>
          <w:lang w:val="en-GB"/>
        </w:rPr>
        <w:t>. London Bloomsbury Publishing (Uk) Hart Publishing.</w:t>
      </w:r>
    </w:p>
    <w:p xmlns:wp14="http://schemas.microsoft.com/office/word/2010/wordml" w:rsidP="12B43357" wp14:paraId="3A3D6FFD" wp14:textId="2230D3C0">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Duff, A. (2004). </w:t>
      </w:r>
      <w:r w:rsidRPr="12B43357" w:rsidR="50DBD24E">
        <w:rPr>
          <w:rFonts w:ascii="Aptos" w:hAnsi="Aptos" w:eastAsia="Aptos" w:cs="Aptos" w:asciiTheme="minorAscii" w:hAnsiTheme="minorAscii" w:eastAsiaTheme="minorAscii" w:cstheme="minorAscii"/>
          <w:i w:val="1"/>
          <w:iCs w:val="1"/>
          <w:noProof w:val="0"/>
          <w:sz w:val="22"/>
          <w:szCs w:val="22"/>
          <w:lang w:val="en-GB"/>
        </w:rPr>
        <w:t xml:space="preserve">The trial on </w:t>
      </w:r>
      <w:r w:rsidRPr="12B43357" w:rsidR="50DBD24E">
        <w:rPr>
          <w:rFonts w:ascii="Aptos" w:hAnsi="Aptos" w:eastAsia="Aptos" w:cs="Aptos" w:asciiTheme="minorAscii" w:hAnsiTheme="minorAscii" w:eastAsiaTheme="minorAscii" w:cstheme="minorAscii"/>
          <w:i w:val="1"/>
          <w:iCs w:val="1"/>
          <w:noProof w:val="0"/>
          <w:sz w:val="22"/>
          <w:szCs w:val="22"/>
          <w:lang w:val="en-GB"/>
        </w:rPr>
        <w:t>trial :</w:t>
      </w:r>
      <w:r w:rsidRPr="12B43357" w:rsidR="50DBD24E">
        <w:rPr>
          <w:rFonts w:ascii="Aptos" w:hAnsi="Aptos" w:eastAsia="Aptos" w:cs="Aptos" w:asciiTheme="minorAscii" w:hAnsiTheme="minorAscii" w:eastAsiaTheme="minorAscii" w:cstheme="minorAscii"/>
          <w:i w:val="1"/>
          <w:iCs w:val="1"/>
          <w:noProof w:val="0"/>
          <w:sz w:val="22"/>
          <w:szCs w:val="22"/>
          <w:lang w:val="en-GB"/>
        </w:rPr>
        <w:t xml:space="preserve"> truth and due process, volume 1</w:t>
      </w:r>
      <w:r w:rsidRPr="12B43357" w:rsidR="50DBD24E">
        <w:rPr>
          <w:rFonts w:ascii="Aptos" w:hAnsi="Aptos" w:eastAsia="Aptos" w:cs="Aptos" w:asciiTheme="minorAscii" w:hAnsiTheme="minorAscii" w:eastAsiaTheme="minorAscii" w:cstheme="minorAscii"/>
          <w:noProof w:val="0"/>
          <w:sz w:val="22"/>
          <w:szCs w:val="22"/>
          <w:lang w:val="en-GB"/>
        </w:rPr>
        <w:t>. Oxford: Hart.</w:t>
      </w:r>
    </w:p>
    <w:p xmlns:wp14="http://schemas.microsoft.com/office/word/2010/wordml" w:rsidP="12B43357" wp14:paraId="1BF44F8C" wp14:textId="0CFE8C06">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ECHR. (1950). </w:t>
      </w:r>
      <w:r w:rsidRPr="12B43357" w:rsidR="50DBD24E">
        <w:rPr>
          <w:rFonts w:ascii="Aptos" w:hAnsi="Aptos" w:eastAsia="Aptos" w:cs="Aptos" w:asciiTheme="minorAscii" w:hAnsiTheme="minorAscii" w:eastAsiaTheme="minorAscii" w:cstheme="minorAscii"/>
          <w:i w:val="1"/>
          <w:iCs w:val="1"/>
          <w:noProof w:val="0"/>
          <w:sz w:val="22"/>
          <w:szCs w:val="22"/>
          <w:lang w:val="en-GB"/>
        </w:rPr>
        <w:t>ECHR - Homepage of the European Court of Human Rights - ECHR - ECHR / CEDH</w:t>
      </w:r>
      <w:r w:rsidRPr="12B43357" w:rsidR="50DBD24E">
        <w:rPr>
          <w:rFonts w:ascii="Aptos" w:hAnsi="Aptos" w:eastAsia="Aptos" w:cs="Aptos" w:asciiTheme="minorAscii" w:hAnsiTheme="minorAscii" w:eastAsiaTheme="minorAscii" w:cstheme="minorAscii"/>
          <w:noProof w:val="0"/>
          <w:sz w:val="22"/>
          <w:szCs w:val="22"/>
          <w:lang w:val="en-GB"/>
        </w:rPr>
        <w:t xml:space="preserve">. [online] Available at: </w:t>
      </w:r>
      <w:hyperlink r:id="R5fd5063be41e4ac4">
        <w:r w:rsidRPr="12B43357" w:rsidR="50DBD24E">
          <w:rPr>
            <w:rStyle w:val="Hyperlink"/>
            <w:rFonts w:ascii="Aptos" w:hAnsi="Aptos" w:eastAsia="Aptos" w:cs="Aptos" w:asciiTheme="minorAscii" w:hAnsiTheme="minorAscii" w:eastAsiaTheme="minorAscii" w:cstheme="minorAscii"/>
            <w:noProof w:val="0"/>
            <w:sz w:val="22"/>
            <w:szCs w:val="22"/>
            <w:lang w:val="en-GB"/>
          </w:rPr>
          <w:t>https://www.echr.coe.int</w:t>
        </w:r>
      </w:hyperlink>
      <w:r w:rsidRPr="12B43357" w:rsidR="50DBD24E">
        <w:rPr>
          <w:rFonts w:ascii="Aptos" w:hAnsi="Aptos" w:eastAsia="Aptos" w:cs="Aptos" w:asciiTheme="minorAscii" w:hAnsiTheme="minorAscii" w:eastAsiaTheme="minorAscii" w:cstheme="minorAscii"/>
          <w:noProof w:val="0"/>
          <w:sz w:val="22"/>
          <w:szCs w:val="22"/>
          <w:lang w:val="en-GB"/>
        </w:rPr>
        <w:t>..</w:t>
      </w:r>
    </w:p>
    <w:p xmlns:wp14="http://schemas.microsoft.com/office/word/2010/wordml" w:rsidP="12B43357" wp14:paraId="2287068E" wp14:textId="59F0A8A1">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Eleonora, M. and Hoegen, E.H. (2000). </w:t>
      </w:r>
      <w:r w:rsidRPr="12B43357" w:rsidR="50DBD24E">
        <w:rPr>
          <w:rFonts w:ascii="Aptos" w:hAnsi="Aptos" w:eastAsia="Aptos" w:cs="Aptos" w:asciiTheme="minorAscii" w:hAnsiTheme="minorAscii" w:eastAsiaTheme="minorAscii" w:cstheme="minorAscii"/>
          <w:i w:val="1"/>
          <w:iCs w:val="1"/>
          <w:noProof w:val="0"/>
          <w:sz w:val="22"/>
          <w:szCs w:val="22"/>
          <w:lang w:val="en-GB"/>
        </w:rPr>
        <w:t>Victims of Crime in 22 European Criminal Justice Systems</w:t>
      </w:r>
      <w:r w:rsidRPr="12B43357" w:rsidR="50DBD24E">
        <w:rPr>
          <w:rFonts w:ascii="Aptos" w:hAnsi="Aptos" w:eastAsia="Aptos" w:cs="Aptos" w:asciiTheme="minorAscii" w:hAnsiTheme="minorAscii" w:eastAsiaTheme="minorAscii" w:cstheme="minorAscii"/>
          <w:noProof w:val="0"/>
          <w:sz w:val="22"/>
          <w:szCs w:val="22"/>
          <w:lang w:val="en-GB"/>
        </w:rPr>
        <w:t xml:space="preserve">. </w:t>
      </w:r>
      <w:r w:rsidRPr="12B43357" w:rsidR="50DBD24E">
        <w:rPr>
          <w:rFonts w:ascii="Aptos" w:hAnsi="Aptos" w:eastAsia="Aptos" w:cs="Aptos" w:asciiTheme="minorAscii" w:hAnsiTheme="minorAscii" w:eastAsiaTheme="minorAscii" w:cstheme="minorAscii"/>
          <w:noProof w:val="0"/>
          <w:sz w:val="22"/>
          <w:szCs w:val="22"/>
          <w:lang w:val="en-GB"/>
        </w:rPr>
        <w:t>Pembroton</w:t>
      </w:r>
      <w:r w:rsidRPr="12B43357" w:rsidR="50DBD24E">
        <w:rPr>
          <w:rFonts w:ascii="Aptos" w:hAnsi="Aptos" w:eastAsia="Aptos" w:cs="Aptos" w:asciiTheme="minorAscii" w:hAnsiTheme="minorAscii" w:eastAsiaTheme="minorAscii" w:cstheme="minorAscii"/>
          <w:noProof w:val="0"/>
          <w:sz w:val="22"/>
          <w:szCs w:val="22"/>
          <w:lang w:val="en-GB"/>
        </w:rPr>
        <w:t xml:space="preserve"> A.</w:t>
      </w:r>
    </w:p>
    <w:p xmlns:wp14="http://schemas.microsoft.com/office/word/2010/wordml" w:rsidP="12B43357" wp14:paraId="46BD133C" wp14:textId="1C814392">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GOV.UK. (2023). </w:t>
      </w:r>
      <w:r w:rsidRPr="12B43357" w:rsidR="50DBD24E">
        <w:rPr>
          <w:rFonts w:ascii="Aptos" w:hAnsi="Aptos" w:eastAsia="Aptos" w:cs="Aptos" w:asciiTheme="minorAscii" w:hAnsiTheme="minorAscii" w:eastAsiaTheme="minorAscii" w:cstheme="minorAscii"/>
          <w:i w:val="1"/>
          <w:iCs w:val="1"/>
          <w:noProof w:val="0"/>
          <w:sz w:val="22"/>
          <w:szCs w:val="22"/>
          <w:lang w:val="en-GB"/>
        </w:rPr>
        <w:t>Victims</w:t>
      </w:r>
      <w:r w:rsidRPr="12B43357" w:rsidR="50DBD24E">
        <w:rPr>
          <w:rFonts w:ascii="Aptos" w:hAnsi="Aptos" w:eastAsia="Aptos" w:cs="Aptos" w:asciiTheme="minorAscii" w:hAnsiTheme="minorAscii" w:eastAsiaTheme="minorAscii" w:cstheme="minorAscii"/>
          <w:i w:val="1"/>
          <w:iCs w:val="1"/>
          <w:noProof w:val="0"/>
          <w:sz w:val="22"/>
          <w:szCs w:val="22"/>
          <w:lang w:val="en-GB"/>
        </w:rPr>
        <w:t xml:space="preserve"> measures fact sheet</w:t>
      </w:r>
      <w:r w:rsidRPr="12B43357" w:rsidR="50DBD24E">
        <w:rPr>
          <w:rFonts w:ascii="Aptos" w:hAnsi="Aptos" w:eastAsia="Aptos" w:cs="Aptos" w:asciiTheme="minorAscii" w:hAnsiTheme="minorAscii" w:eastAsiaTheme="minorAscii" w:cstheme="minorAscii"/>
          <w:noProof w:val="0"/>
          <w:sz w:val="22"/>
          <w:szCs w:val="22"/>
          <w:lang w:val="en-GB"/>
        </w:rPr>
        <w:t xml:space="preserve">. [online] Available at: </w:t>
      </w:r>
      <w:hyperlink r:id="Rd80154e5a22440e2">
        <w:r w:rsidRPr="12B43357" w:rsidR="50DBD24E">
          <w:rPr>
            <w:rStyle w:val="Hyperlink"/>
            <w:rFonts w:ascii="Aptos" w:hAnsi="Aptos" w:eastAsia="Aptos" w:cs="Aptos" w:asciiTheme="minorAscii" w:hAnsiTheme="minorAscii" w:eastAsiaTheme="minorAscii" w:cstheme="minorAscii"/>
            <w:noProof w:val="0"/>
            <w:sz w:val="22"/>
            <w:szCs w:val="22"/>
            <w:lang w:val="en-GB"/>
          </w:rPr>
          <w:t>https://www.gov.uk/government/publications/victims-and-prisoners-bill/victims-measures-fact-sheet</w:t>
        </w:r>
      </w:hyperlink>
      <w:r w:rsidRPr="12B43357" w:rsidR="50DBD24E">
        <w:rPr>
          <w:rFonts w:ascii="Aptos" w:hAnsi="Aptos" w:eastAsia="Aptos" w:cs="Aptos" w:asciiTheme="minorAscii" w:hAnsiTheme="minorAscii" w:eastAsiaTheme="minorAscii" w:cstheme="minorAscii"/>
          <w:noProof w:val="0"/>
          <w:sz w:val="22"/>
          <w:szCs w:val="22"/>
          <w:lang w:val="en-GB"/>
        </w:rPr>
        <w:t>.</w:t>
      </w:r>
    </w:p>
    <w:p xmlns:wp14="http://schemas.microsoft.com/office/word/2010/wordml" w:rsidP="12B43357" wp14:paraId="1ECA2B91" wp14:textId="01A34606">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Henry, N., McGlynn, C., Flynn, A., Johnson, K., Powell, </w:t>
      </w:r>
      <w:r w:rsidRPr="12B43357" w:rsidR="50DBD24E">
        <w:rPr>
          <w:rFonts w:ascii="Aptos" w:hAnsi="Aptos" w:eastAsia="Aptos" w:cs="Aptos" w:asciiTheme="minorAscii" w:hAnsiTheme="minorAscii" w:eastAsiaTheme="minorAscii" w:cstheme="minorAscii"/>
          <w:noProof w:val="0"/>
          <w:sz w:val="22"/>
          <w:szCs w:val="22"/>
          <w:lang w:val="en-GB"/>
        </w:rPr>
        <w:t>A.</w:t>
      </w:r>
      <w:r w:rsidRPr="12B43357" w:rsidR="50DBD24E">
        <w:rPr>
          <w:rFonts w:ascii="Aptos" w:hAnsi="Aptos" w:eastAsia="Aptos" w:cs="Aptos" w:asciiTheme="minorAscii" w:hAnsiTheme="minorAscii" w:eastAsiaTheme="minorAscii" w:cstheme="minorAscii"/>
          <w:noProof w:val="0"/>
          <w:sz w:val="22"/>
          <w:szCs w:val="22"/>
          <w:lang w:val="en-GB"/>
        </w:rPr>
        <w:t xml:space="preserve"> and Scott, A.J. (2020). </w:t>
      </w:r>
      <w:r w:rsidRPr="12B43357" w:rsidR="50DBD24E">
        <w:rPr>
          <w:rFonts w:ascii="Aptos" w:hAnsi="Aptos" w:eastAsia="Aptos" w:cs="Aptos" w:asciiTheme="minorAscii" w:hAnsiTheme="minorAscii" w:eastAsiaTheme="minorAscii" w:cstheme="minorAscii"/>
          <w:i w:val="1"/>
          <w:iCs w:val="1"/>
          <w:noProof w:val="0"/>
          <w:sz w:val="22"/>
          <w:szCs w:val="22"/>
          <w:lang w:val="en-GB"/>
        </w:rPr>
        <w:t>Image-based Sexual Abuse</w:t>
      </w:r>
      <w:r w:rsidRPr="12B43357" w:rsidR="50DBD24E">
        <w:rPr>
          <w:rFonts w:ascii="Aptos" w:hAnsi="Aptos" w:eastAsia="Aptos" w:cs="Aptos" w:asciiTheme="minorAscii" w:hAnsiTheme="minorAscii" w:eastAsiaTheme="minorAscii" w:cstheme="minorAscii"/>
          <w:noProof w:val="0"/>
          <w:sz w:val="22"/>
          <w:szCs w:val="22"/>
          <w:lang w:val="en-GB"/>
        </w:rPr>
        <w:t>. Routledge.</w:t>
      </w:r>
    </w:p>
    <w:p xmlns:wp14="http://schemas.microsoft.com/office/word/2010/wordml" w:rsidP="12B43357" wp14:paraId="42EF0233" wp14:textId="31E9808B">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Ministry of Justice (2005). </w:t>
      </w:r>
      <w:r w:rsidRPr="12B43357" w:rsidR="50DBD24E">
        <w:rPr>
          <w:rFonts w:ascii="Aptos" w:hAnsi="Aptos" w:eastAsia="Aptos" w:cs="Aptos" w:asciiTheme="minorAscii" w:hAnsiTheme="minorAscii" w:eastAsiaTheme="minorAscii" w:cstheme="minorAscii"/>
          <w:i w:val="1"/>
          <w:iCs w:val="1"/>
          <w:noProof w:val="0"/>
          <w:sz w:val="22"/>
          <w:szCs w:val="22"/>
          <w:lang w:val="en-GB"/>
        </w:rPr>
        <w:t>The code of practice for victims of crime and supporting public information materials</w:t>
      </w:r>
      <w:r w:rsidRPr="12B43357" w:rsidR="50DBD24E">
        <w:rPr>
          <w:rFonts w:ascii="Aptos" w:hAnsi="Aptos" w:eastAsia="Aptos" w:cs="Aptos" w:asciiTheme="minorAscii" w:hAnsiTheme="minorAscii" w:eastAsiaTheme="minorAscii" w:cstheme="minorAscii"/>
          <w:noProof w:val="0"/>
          <w:sz w:val="22"/>
          <w:szCs w:val="22"/>
          <w:lang w:val="en-GB"/>
        </w:rPr>
        <w:t xml:space="preserve">. [online] GOV.UK. Available at: </w:t>
      </w:r>
      <w:hyperlink r:id="R72a4a8f9b7af4a7e">
        <w:r w:rsidRPr="12B43357" w:rsidR="50DBD24E">
          <w:rPr>
            <w:rStyle w:val="Hyperlink"/>
            <w:rFonts w:ascii="Aptos" w:hAnsi="Aptos" w:eastAsia="Aptos" w:cs="Aptos" w:asciiTheme="minorAscii" w:hAnsiTheme="minorAscii" w:eastAsiaTheme="minorAscii" w:cstheme="minorAscii"/>
            <w:noProof w:val="0"/>
            <w:sz w:val="22"/>
            <w:szCs w:val="22"/>
            <w:lang w:val="en-GB"/>
          </w:rPr>
          <w:t>https://www.gov.uk/government/publications/the-code-of-practice-for-victims-of-crime</w:t>
        </w:r>
      </w:hyperlink>
      <w:r w:rsidRPr="12B43357" w:rsidR="50DBD24E">
        <w:rPr>
          <w:rFonts w:ascii="Aptos" w:hAnsi="Aptos" w:eastAsia="Aptos" w:cs="Aptos" w:asciiTheme="minorAscii" w:hAnsiTheme="minorAscii" w:eastAsiaTheme="minorAscii" w:cstheme="minorAscii"/>
          <w:noProof w:val="0"/>
          <w:sz w:val="22"/>
          <w:szCs w:val="22"/>
          <w:lang w:val="en-GB"/>
        </w:rPr>
        <w:t>.</w:t>
      </w:r>
    </w:p>
    <w:p xmlns:wp14="http://schemas.microsoft.com/office/word/2010/wordml" w:rsidP="12B43357" wp14:paraId="6BD129E7" wp14:textId="2F2D26A4">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Newburn, T. (2017). </w:t>
      </w:r>
      <w:r w:rsidRPr="12B43357" w:rsidR="50DBD24E">
        <w:rPr>
          <w:rFonts w:ascii="Aptos" w:hAnsi="Aptos" w:eastAsia="Aptos" w:cs="Aptos" w:asciiTheme="minorAscii" w:hAnsiTheme="minorAscii" w:eastAsiaTheme="minorAscii" w:cstheme="minorAscii"/>
          <w:i w:val="1"/>
          <w:iCs w:val="1"/>
          <w:noProof w:val="0"/>
          <w:sz w:val="22"/>
          <w:szCs w:val="22"/>
          <w:lang w:val="en-GB"/>
        </w:rPr>
        <w:t>Criminology</w:t>
      </w:r>
      <w:r w:rsidRPr="12B43357" w:rsidR="50DBD24E">
        <w:rPr>
          <w:rFonts w:ascii="Aptos" w:hAnsi="Aptos" w:eastAsia="Aptos" w:cs="Aptos" w:asciiTheme="minorAscii" w:hAnsiTheme="minorAscii" w:eastAsiaTheme="minorAscii" w:cstheme="minorAscii"/>
          <w:noProof w:val="0"/>
          <w:sz w:val="22"/>
          <w:szCs w:val="22"/>
          <w:lang w:val="en-GB"/>
        </w:rPr>
        <w:t>. 3rd ed. London, New York: Routledge, Taylor &amp; Francis Group.</w:t>
      </w:r>
    </w:p>
    <w:p xmlns:wp14="http://schemas.microsoft.com/office/word/2010/wordml" w:rsidP="12B43357" wp14:paraId="6D0768BC" wp14:textId="014EBD1F">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 xml:space="preserve">Rock, P.E. (2004). </w:t>
      </w:r>
      <w:r w:rsidRPr="12B43357" w:rsidR="50DBD24E">
        <w:rPr>
          <w:rFonts w:ascii="Aptos" w:hAnsi="Aptos" w:eastAsia="Aptos" w:cs="Aptos" w:asciiTheme="minorAscii" w:hAnsiTheme="minorAscii" w:eastAsiaTheme="minorAscii" w:cstheme="minorAscii"/>
          <w:i w:val="1"/>
          <w:iCs w:val="1"/>
          <w:noProof w:val="0"/>
          <w:sz w:val="22"/>
          <w:szCs w:val="22"/>
          <w:lang w:val="en-GB"/>
        </w:rPr>
        <w:t>Constructing Victims’ Rights</w:t>
      </w:r>
      <w:r w:rsidRPr="12B43357" w:rsidR="50DBD24E">
        <w:rPr>
          <w:rFonts w:ascii="Aptos" w:hAnsi="Aptos" w:eastAsia="Aptos" w:cs="Aptos" w:asciiTheme="minorAscii" w:hAnsiTheme="minorAscii" w:eastAsiaTheme="minorAscii" w:cstheme="minorAscii"/>
          <w:noProof w:val="0"/>
          <w:sz w:val="22"/>
          <w:szCs w:val="22"/>
          <w:lang w:val="en-GB"/>
        </w:rPr>
        <w:t>. Oxford University Press, USA.</w:t>
      </w:r>
    </w:p>
    <w:p xmlns:wp14="http://schemas.microsoft.com/office/word/2010/wordml" w:rsidP="12B43357" wp14:paraId="09C803B0" wp14:textId="43760788">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Walklate</w:t>
      </w:r>
      <w:r w:rsidRPr="12B43357" w:rsidR="50DBD24E">
        <w:rPr>
          <w:rFonts w:ascii="Aptos" w:hAnsi="Aptos" w:eastAsia="Aptos" w:cs="Aptos" w:asciiTheme="minorAscii" w:hAnsiTheme="minorAscii" w:eastAsiaTheme="minorAscii" w:cstheme="minorAscii"/>
          <w:noProof w:val="0"/>
          <w:sz w:val="22"/>
          <w:szCs w:val="22"/>
          <w:lang w:val="en-GB"/>
        </w:rPr>
        <w:t xml:space="preserve">, S. (2018a). </w:t>
      </w:r>
      <w:r w:rsidRPr="12B43357" w:rsidR="50DBD24E">
        <w:rPr>
          <w:rFonts w:ascii="Aptos" w:hAnsi="Aptos" w:eastAsia="Aptos" w:cs="Aptos" w:asciiTheme="minorAscii" w:hAnsiTheme="minorAscii" w:eastAsiaTheme="minorAscii" w:cstheme="minorAscii"/>
          <w:i w:val="1"/>
          <w:iCs w:val="1"/>
          <w:noProof w:val="0"/>
          <w:sz w:val="22"/>
          <w:szCs w:val="22"/>
          <w:lang w:val="en-GB"/>
        </w:rPr>
        <w:t>Handbook of Victims and Victimology</w:t>
      </w:r>
      <w:r w:rsidRPr="12B43357" w:rsidR="50DBD24E">
        <w:rPr>
          <w:rFonts w:ascii="Aptos" w:hAnsi="Aptos" w:eastAsia="Aptos" w:cs="Aptos" w:asciiTheme="minorAscii" w:hAnsiTheme="minorAscii" w:eastAsiaTheme="minorAscii" w:cstheme="minorAscii"/>
          <w:noProof w:val="0"/>
          <w:sz w:val="22"/>
          <w:szCs w:val="22"/>
          <w:lang w:val="en-GB"/>
        </w:rPr>
        <w:t>. Routledge.</w:t>
      </w:r>
    </w:p>
    <w:p xmlns:wp14="http://schemas.microsoft.com/office/word/2010/wordml" w:rsidP="12B43357" wp14:paraId="4C821F0D" wp14:textId="11B00D2F">
      <w:pPr>
        <w:keepNext w:val="0"/>
        <w:keepLines w:val="0"/>
        <w:spacing w:before="40" w:beforeAutospacing="off" w:after="40" w:afterAutospacing="off" w:line="480" w:lineRule="auto"/>
        <w:rPr>
          <w:rFonts w:ascii="Aptos" w:hAnsi="Aptos" w:eastAsia="Aptos" w:cs="Aptos" w:asciiTheme="minorAscii" w:hAnsiTheme="minorAscii" w:eastAsiaTheme="minorAscii" w:cstheme="minorAscii"/>
          <w:noProof w:val="0"/>
          <w:sz w:val="22"/>
          <w:szCs w:val="22"/>
          <w:lang w:val="en-GB"/>
        </w:rPr>
      </w:pPr>
      <w:r w:rsidRPr="12B43357" w:rsidR="50DBD24E">
        <w:rPr>
          <w:rFonts w:ascii="Aptos" w:hAnsi="Aptos" w:eastAsia="Aptos" w:cs="Aptos" w:asciiTheme="minorAscii" w:hAnsiTheme="minorAscii" w:eastAsiaTheme="minorAscii" w:cstheme="minorAscii"/>
          <w:noProof w:val="0"/>
          <w:sz w:val="22"/>
          <w:szCs w:val="22"/>
          <w:lang w:val="en-GB"/>
        </w:rPr>
        <w:t>Walklate</w:t>
      </w:r>
      <w:r w:rsidRPr="12B43357" w:rsidR="50DBD24E">
        <w:rPr>
          <w:rFonts w:ascii="Aptos" w:hAnsi="Aptos" w:eastAsia="Aptos" w:cs="Aptos" w:asciiTheme="minorAscii" w:hAnsiTheme="minorAscii" w:eastAsiaTheme="minorAscii" w:cstheme="minorAscii"/>
          <w:noProof w:val="0"/>
          <w:sz w:val="22"/>
          <w:szCs w:val="22"/>
          <w:lang w:val="en-GB"/>
        </w:rPr>
        <w:t xml:space="preserve">, S. (2018b). </w:t>
      </w:r>
      <w:r w:rsidRPr="12B43357" w:rsidR="50DBD24E">
        <w:rPr>
          <w:rFonts w:ascii="Aptos" w:hAnsi="Aptos" w:eastAsia="Aptos" w:cs="Aptos" w:asciiTheme="minorAscii" w:hAnsiTheme="minorAscii" w:eastAsiaTheme="minorAscii" w:cstheme="minorAscii"/>
          <w:i w:val="1"/>
          <w:iCs w:val="1"/>
          <w:noProof w:val="0"/>
          <w:sz w:val="22"/>
          <w:szCs w:val="22"/>
          <w:lang w:val="en-GB"/>
        </w:rPr>
        <w:t>Handbook of Victims and Victimology</w:t>
      </w:r>
      <w:r w:rsidRPr="12B43357" w:rsidR="50DBD24E">
        <w:rPr>
          <w:rFonts w:ascii="Aptos" w:hAnsi="Aptos" w:eastAsia="Aptos" w:cs="Aptos" w:asciiTheme="minorAscii" w:hAnsiTheme="minorAscii" w:eastAsiaTheme="minorAscii" w:cstheme="minorAscii"/>
          <w:noProof w:val="0"/>
          <w:sz w:val="22"/>
          <w:szCs w:val="22"/>
          <w:lang w:val="en-GB"/>
        </w:rPr>
        <w:t>. Routledge.</w:t>
      </w:r>
    </w:p>
    <w:p xmlns:wp14="http://schemas.microsoft.com/office/word/2010/wordml" w:rsidP="12B43357" wp14:paraId="2F65425E" wp14:textId="6A17592F">
      <w:pPr>
        <w:spacing w:before="0" w:beforeAutospacing="off" w:after="200" w:afterAutospacing="off"/>
        <w:rPr>
          <w:rFonts w:ascii="Cambria" w:hAnsi="Cambria" w:eastAsia="Cambria" w:cs="Cambria"/>
          <w:b w:val="0"/>
          <w:bCs w:val="0"/>
          <w:i w:val="0"/>
          <w:iCs w:val="0"/>
          <w:strike w:val="0"/>
          <w:dstrike w:val="0"/>
          <w:noProof w:val="0"/>
          <w:color w:val="000000" w:themeColor="text1" w:themeTint="FF" w:themeShade="FF"/>
          <w:sz w:val="22"/>
          <w:szCs w:val="22"/>
          <w:u w:val="none"/>
          <w:lang w:val="en-GB"/>
        </w:rPr>
      </w:pPr>
    </w:p>
    <w:p xmlns:wp14="http://schemas.microsoft.com/office/word/2010/wordml" wp14:paraId="435075AA" wp14:textId="679D2F79"/>
    <w:p xmlns:wp14="http://schemas.microsoft.com/office/word/2010/wordml" wp14:paraId="5E5787A5" wp14:textId="74E0890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4B2210"/>
    <w:rsid w:val="0058FE39"/>
    <w:rsid w:val="01AF9B1E"/>
    <w:rsid w:val="02D03F54"/>
    <w:rsid w:val="0403510A"/>
    <w:rsid w:val="04FAFC4B"/>
    <w:rsid w:val="068CC92B"/>
    <w:rsid w:val="074B2210"/>
    <w:rsid w:val="08A2D926"/>
    <w:rsid w:val="098E611A"/>
    <w:rsid w:val="09C80868"/>
    <w:rsid w:val="0AB4317E"/>
    <w:rsid w:val="0BE9435E"/>
    <w:rsid w:val="0CD087EC"/>
    <w:rsid w:val="0E7EFDC7"/>
    <w:rsid w:val="0FA7E4AF"/>
    <w:rsid w:val="10BA1E0F"/>
    <w:rsid w:val="12515F49"/>
    <w:rsid w:val="12B43357"/>
    <w:rsid w:val="1AF7371E"/>
    <w:rsid w:val="1E04D1BC"/>
    <w:rsid w:val="2253CBB7"/>
    <w:rsid w:val="238DC62D"/>
    <w:rsid w:val="2B16639F"/>
    <w:rsid w:val="2B68CC69"/>
    <w:rsid w:val="2D25A9E1"/>
    <w:rsid w:val="2F73785F"/>
    <w:rsid w:val="2FA6C30F"/>
    <w:rsid w:val="3512048C"/>
    <w:rsid w:val="356BAEF3"/>
    <w:rsid w:val="38D4505C"/>
    <w:rsid w:val="3963B7AE"/>
    <w:rsid w:val="3A230055"/>
    <w:rsid w:val="3A64FB59"/>
    <w:rsid w:val="3AE0365E"/>
    <w:rsid w:val="3BB40057"/>
    <w:rsid w:val="3C72539F"/>
    <w:rsid w:val="40CC49C2"/>
    <w:rsid w:val="441C26FE"/>
    <w:rsid w:val="443982AB"/>
    <w:rsid w:val="44D350C8"/>
    <w:rsid w:val="45783E6B"/>
    <w:rsid w:val="497DC530"/>
    <w:rsid w:val="4B7657E8"/>
    <w:rsid w:val="4D3CA0F3"/>
    <w:rsid w:val="4ECD63F5"/>
    <w:rsid w:val="50DBD24E"/>
    <w:rsid w:val="52450012"/>
    <w:rsid w:val="530069A3"/>
    <w:rsid w:val="545289CA"/>
    <w:rsid w:val="5D1E1FD9"/>
    <w:rsid w:val="5E7BDDE7"/>
    <w:rsid w:val="65ED7C8C"/>
    <w:rsid w:val="666AAF1B"/>
    <w:rsid w:val="6A5BFE9E"/>
    <w:rsid w:val="705AF3F4"/>
    <w:rsid w:val="70D468A6"/>
    <w:rsid w:val="75F587A0"/>
    <w:rsid w:val="794E94EA"/>
    <w:rsid w:val="7EA78307"/>
    <w:rsid w:val="7EA87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B2210"/>
  <w15:chartTrackingRefBased/>
  <w15:docId w15:val="{BE021045-3EC1-4E0E-887B-569BA88D31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2B4335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victimscommissioner.org.uk" TargetMode="External" Id="R1d2f48b4254a47a6" /><Relationship Type="http://schemas.openxmlformats.org/officeDocument/2006/relationships/hyperlink" Target="https://www.cps.gov.uk/publication/code-crown-prosecutors" TargetMode="External" Id="R2eb091b5a87a4e0c" /><Relationship Type="http://schemas.openxmlformats.org/officeDocument/2006/relationships/hyperlink" Target="https://www.echr.coe.int" TargetMode="External" Id="R5fd5063be41e4ac4" /><Relationship Type="http://schemas.openxmlformats.org/officeDocument/2006/relationships/hyperlink" Target="https://www.gov.uk/government/publications/victims-and-prisoners-bill/victims-measures-fact-sheet" TargetMode="External" Id="Rd80154e5a22440e2" /><Relationship Type="http://schemas.openxmlformats.org/officeDocument/2006/relationships/hyperlink" Target="https://www.gov.uk/government/publications/the-code-of-practice-for-victims-of-crime" TargetMode="External" Id="R72a4a8f9b7af4a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Morgs Jones (2421509)</dc:creator>
  <keywords/>
  <dc:description/>
  <lastModifiedBy>Morgs Jones (2421509)</lastModifiedBy>
  <revision>2</revision>
  <dcterms:created xsi:type="dcterms:W3CDTF">2025-05-09T17:40:53.6879552Z</dcterms:created>
  <dcterms:modified xsi:type="dcterms:W3CDTF">2025-05-09T18:38:45.2036710Z</dcterms:modified>
</coreProperties>
</file>