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357E2" w:rsidRPr="00294C41" w:rsidRDefault="002357E2" w:rsidP="002357E2">
      <w:pPr>
        <w:pStyle w:val="Heading2"/>
        <w:spacing w:before="24" w:beforeAutospacing="0" w:after="0" w:afterAutospacing="0" w:line="360" w:lineRule="atLeast"/>
        <w:rPr>
          <w:rFonts w:asciiTheme="minorHAnsi" w:hAnsiTheme="minorHAnsi"/>
          <w:bCs w:val="0"/>
          <w:color w:val="362F2D"/>
          <w:sz w:val="24"/>
          <w:szCs w:val="24"/>
        </w:rPr>
      </w:pPr>
      <w:r w:rsidRPr="00294C41">
        <w:rPr>
          <w:rFonts w:asciiTheme="minorHAnsi" w:hAnsiTheme="minorHAnsi"/>
          <w:bCs w:val="0"/>
          <w:color w:val="362F2D"/>
          <w:sz w:val="24"/>
          <w:szCs w:val="24"/>
        </w:rPr>
        <w:t>What is a 'Cost-Benefit Analysis'</w:t>
      </w:r>
    </w:p>
    <w:p w:rsidR="002357E2" w:rsidRPr="00294C41" w:rsidRDefault="002357E2" w:rsidP="002357E2">
      <w:pPr>
        <w:pStyle w:val="NormalWeb"/>
        <w:spacing w:before="0" w:beforeAutospacing="0" w:line="360" w:lineRule="atLeast"/>
        <w:jc w:val="both"/>
        <w:rPr>
          <w:rFonts w:asciiTheme="minorHAnsi" w:hAnsiTheme="minorHAnsi"/>
          <w:color w:val="000000"/>
        </w:rPr>
      </w:pPr>
      <w:r w:rsidRPr="00294C41">
        <w:rPr>
          <w:rFonts w:asciiTheme="minorHAnsi" w:hAnsiTheme="minorHAnsi"/>
          <w:color w:val="000000"/>
        </w:rPr>
        <w:t>A cost-benefit analysis is a process by which business decisions are analyzed. The benefits of a given situation or business-related action are summed, and then the costs associated with taking that action are subtracted. Some consultants or</w:t>
      </w:r>
      <w:r w:rsidRPr="00294C41">
        <w:rPr>
          <w:rStyle w:val="apple-converted-space"/>
          <w:rFonts w:asciiTheme="minorHAnsi" w:hAnsiTheme="minorHAnsi"/>
          <w:color w:val="000000"/>
        </w:rPr>
        <w:t> </w:t>
      </w:r>
      <w:hyperlink r:id="rId5" w:history="1">
        <w:r w:rsidRPr="00294C41">
          <w:rPr>
            <w:rStyle w:val="Hyperlink"/>
            <w:rFonts w:asciiTheme="minorHAnsi" w:hAnsiTheme="minorHAnsi"/>
            <w:color w:val="005B9D"/>
          </w:rPr>
          <w:t>analysts</w:t>
        </w:r>
      </w:hyperlink>
      <w:r w:rsidRPr="00294C41">
        <w:rPr>
          <w:rStyle w:val="apple-converted-space"/>
          <w:rFonts w:asciiTheme="minorHAnsi" w:hAnsiTheme="minorHAnsi"/>
          <w:color w:val="000000"/>
        </w:rPr>
        <w:t> </w:t>
      </w:r>
      <w:r w:rsidRPr="00294C41">
        <w:rPr>
          <w:rFonts w:asciiTheme="minorHAnsi" w:hAnsiTheme="minorHAnsi"/>
          <w:color w:val="000000"/>
        </w:rPr>
        <w:t>also build the model to put a dollar value on intangible items, such as the benefits and costs associated with living in a certain town, and most analysts will also factor</w:t>
      </w:r>
      <w:r w:rsidRPr="00294C41">
        <w:rPr>
          <w:rStyle w:val="apple-converted-space"/>
          <w:rFonts w:asciiTheme="minorHAnsi" w:hAnsiTheme="minorHAnsi"/>
          <w:color w:val="000000"/>
        </w:rPr>
        <w:t> </w:t>
      </w:r>
      <w:hyperlink r:id="rId6" w:history="1">
        <w:r w:rsidRPr="00294C41">
          <w:rPr>
            <w:rStyle w:val="Hyperlink"/>
            <w:rFonts w:asciiTheme="minorHAnsi" w:hAnsiTheme="minorHAnsi"/>
            <w:color w:val="005B9D"/>
          </w:rPr>
          <w:t>opportunity cost</w:t>
        </w:r>
      </w:hyperlink>
      <w:r w:rsidRPr="00294C41">
        <w:rPr>
          <w:rStyle w:val="apple-converted-space"/>
          <w:rFonts w:asciiTheme="minorHAnsi" w:hAnsiTheme="minorHAnsi"/>
          <w:color w:val="000000"/>
        </w:rPr>
        <w:t> </w:t>
      </w:r>
      <w:r w:rsidRPr="00294C41">
        <w:rPr>
          <w:rFonts w:asciiTheme="minorHAnsi" w:hAnsiTheme="minorHAnsi"/>
          <w:color w:val="000000"/>
        </w:rPr>
        <w:t>into such equations.</w:t>
      </w:r>
    </w:p>
    <w:p w:rsidR="002357E2" w:rsidRPr="00294C41" w:rsidRDefault="002357E2" w:rsidP="002357E2">
      <w:pPr>
        <w:pStyle w:val="Heading2"/>
        <w:spacing w:before="24" w:beforeAutospacing="0" w:after="0" w:afterAutospacing="0" w:line="360" w:lineRule="atLeast"/>
        <w:rPr>
          <w:rFonts w:asciiTheme="minorHAnsi" w:hAnsiTheme="minorHAnsi"/>
          <w:bCs w:val="0"/>
          <w:color w:val="362F2D"/>
          <w:sz w:val="24"/>
          <w:szCs w:val="24"/>
        </w:rPr>
      </w:pPr>
      <w:r w:rsidRPr="00294C41">
        <w:rPr>
          <w:rFonts w:asciiTheme="minorHAnsi" w:hAnsiTheme="minorHAnsi"/>
          <w:bCs w:val="0"/>
          <w:color w:val="362F2D"/>
          <w:sz w:val="24"/>
          <w:szCs w:val="24"/>
        </w:rPr>
        <w:t>BREAKING DOWN 'Cost-Benefit Analysis'</w:t>
      </w:r>
    </w:p>
    <w:p w:rsidR="002357E2" w:rsidRPr="00294C41" w:rsidRDefault="002357E2" w:rsidP="000476D9">
      <w:pPr>
        <w:spacing w:line="360" w:lineRule="atLeast"/>
        <w:jc w:val="both"/>
        <w:rPr>
          <w:rFonts w:asciiTheme="minorHAnsi" w:hAnsiTheme="minorHAnsi"/>
          <w:color w:val="000000"/>
        </w:rPr>
      </w:pPr>
      <w:r w:rsidRPr="00294C41">
        <w:rPr>
          <w:rFonts w:asciiTheme="minorHAnsi" w:hAnsiTheme="minorHAnsi"/>
          <w:color w:val="000000"/>
        </w:rPr>
        <w:t>Prior to erecting a new plant or taking on a new project, prudent managers conduct a cost-benefit analysis as a means of evaluating all the potential costs and</w:t>
      </w:r>
      <w:r w:rsidRPr="00294C41">
        <w:rPr>
          <w:rStyle w:val="apple-converted-space"/>
          <w:rFonts w:asciiTheme="minorHAnsi" w:hAnsiTheme="minorHAnsi"/>
          <w:color w:val="000000"/>
        </w:rPr>
        <w:t> </w:t>
      </w:r>
      <w:hyperlink r:id="rId7" w:history="1">
        <w:r w:rsidRPr="00294C41">
          <w:rPr>
            <w:rStyle w:val="Hyperlink"/>
            <w:rFonts w:asciiTheme="minorHAnsi" w:hAnsiTheme="minorHAnsi"/>
            <w:color w:val="005B9D"/>
          </w:rPr>
          <w:t>revenues</w:t>
        </w:r>
      </w:hyperlink>
      <w:r w:rsidRPr="00294C41">
        <w:rPr>
          <w:rStyle w:val="apple-converted-space"/>
          <w:rFonts w:asciiTheme="minorHAnsi" w:hAnsiTheme="minorHAnsi"/>
          <w:color w:val="000000"/>
        </w:rPr>
        <w:t> </w:t>
      </w:r>
      <w:r w:rsidRPr="00294C41">
        <w:rPr>
          <w:rFonts w:asciiTheme="minorHAnsi" w:hAnsiTheme="minorHAnsi"/>
          <w:color w:val="000000"/>
        </w:rPr>
        <w:t>that may be generated if the project is completed. The outcome of the analysis will determine whether the project is financially feasible or if another project should be pursued.</w:t>
      </w:r>
    </w:p>
    <w:p w:rsidR="000476D9" w:rsidRPr="00294C41" w:rsidRDefault="000476D9" w:rsidP="000476D9">
      <w:pPr>
        <w:pStyle w:val="Heading2"/>
        <w:spacing w:before="24" w:beforeAutospacing="0" w:after="0" w:afterAutospacing="0" w:line="360" w:lineRule="atLeast"/>
        <w:jc w:val="both"/>
        <w:rPr>
          <w:rFonts w:asciiTheme="minorHAnsi" w:hAnsiTheme="minorHAnsi"/>
          <w:b w:val="0"/>
          <w:bCs w:val="0"/>
          <w:color w:val="362F2D"/>
          <w:sz w:val="24"/>
          <w:szCs w:val="24"/>
        </w:rPr>
      </w:pPr>
    </w:p>
    <w:p w:rsidR="002357E2" w:rsidRPr="00294C41" w:rsidRDefault="002357E2" w:rsidP="002357E2">
      <w:pPr>
        <w:pStyle w:val="Heading2"/>
        <w:spacing w:before="24" w:beforeAutospacing="0" w:after="0" w:afterAutospacing="0" w:line="360" w:lineRule="atLeast"/>
        <w:rPr>
          <w:rFonts w:asciiTheme="minorHAnsi" w:hAnsiTheme="minorHAnsi"/>
          <w:bCs w:val="0"/>
          <w:color w:val="362F2D"/>
          <w:sz w:val="24"/>
          <w:szCs w:val="24"/>
        </w:rPr>
      </w:pPr>
      <w:r w:rsidRPr="00294C41">
        <w:rPr>
          <w:rFonts w:asciiTheme="minorHAnsi" w:hAnsiTheme="minorHAnsi"/>
          <w:bCs w:val="0"/>
          <w:color w:val="362F2D"/>
          <w:sz w:val="24"/>
          <w:szCs w:val="24"/>
        </w:rPr>
        <w:t>The Cost-Benefit Analysis Process</w:t>
      </w:r>
    </w:p>
    <w:p w:rsidR="002357E2" w:rsidRPr="00294C41" w:rsidRDefault="002357E2" w:rsidP="000476D9">
      <w:pPr>
        <w:pStyle w:val="NormalWeb"/>
        <w:spacing w:before="0" w:beforeAutospacing="0" w:line="360" w:lineRule="atLeast"/>
        <w:jc w:val="both"/>
        <w:rPr>
          <w:rFonts w:asciiTheme="minorHAnsi" w:hAnsiTheme="minorHAnsi"/>
          <w:color w:val="000000"/>
        </w:rPr>
      </w:pPr>
      <w:r w:rsidRPr="00294C41">
        <w:rPr>
          <w:rFonts w:asciiTheme="minorHAnsi" w:hAnsiTheme="minorHAnsi"/>
          <w:color w:val="000000"/>
        </w:rPr>
        <w:t>The first step in the process is to compile a comprehensive list of all the costs and benefits associated with the project or decision. Costs should include direct and indirect costs, intangible costs, opportunity costs and the cost of potential risks. Benefits should include all direct and indirect revenues and intangible benefits, such as increased production from improved employee safety and morale, or increased sales from customer goodwill. A common unit of monetary measurement should then be applied to all items on the list. Care should be taken to not underestimate costs or overestimate benefits. A conservative approach with a conscious effort to avoid any subjective tendencies when calculating estimates is best suited when assigning value to both costs and benefits for the purpose of a cost-benefit analysis.</w:t>
      </w:r>
    </w:p>
    <w:p w:rsidR="002357E2" w:rsidRPr="00294C41" w:rsidRDefault="002357E2" w:rsidP="000476D9">
      <w:pPr>
        <w:pStyle w:val="NormalWeb"/>
        <w:spacing w:before="0" w:beforeAutospacing="0" w:line="360" w:lineRule="atLeast"/>
        <w:jc w:val="both"/>
        <w:rPr>
          <w:rFonts w:asciiTheme="minorHAnsi" w:hAnsiTheme="minorHAnsi"/>
          <w:color w:val="000000"/>
        </w:rPr>
      </w:pPr>
      <w:r w:rsidRPr="00294C41">
        <w:rPr>
          <w:rFonts w:asciiTheme="minorHAnsi" w:hAnsiTheme="minorHAnsi"/>
          <w:color w:val="000000"/>
        </w:rPr>
        <w:t>The final step is to quantitatively compare the results of the aggregate costs and benefits to determine if the benefits outweigh the costs. If so, then the rational decision is to go forward with project. In not, a review of the project is warranted to see if adjustments can be made to either increase benefits and/or decrease costs to make the project viable. If not, the project may be abandoned.</w:t>
      </w:r>
    </w:p>
    <w:p w:rsidR="002357E2" w:rsidRPr="00294C41" w:rsidRDefault="002357E2" w:rsidP="002357E2">
      <w:pPr>
        <w:pStyle w:val="Heading2"/>
        <w:spacing w:before="24" w:beforeAutospacing="0" w:after="0" w:afterAutospacing="0" w:line="360" w:lineRule="atLeast"/>
        <w:rPr>
          <w:rFonts w:asciiTheme="minorHAnsi" w:hAnsiTheme="minorHAnsi"/>
          <w:bCs w:val="0"/>
          <w:color w:val="362F2D"/>
          <w:sz w:val="24"/>
          <w:szCs w:val="24"/>
        </w:rPr>
      </w:pPr>
      <w:r w:rsidRPr="00294C41">
        <w:rPr>
          <w:rFonts w:asciiTheme="minorHAnsi" w:hAnsiTheme="minorHAnsi"/>
          <w:bCs w:val="0"/>
          <w:color w:val="362F2D"/>
          <w:sz w:val="24"/>
          <w:szCs w:val="24"/>
        </w:rPr>
        <w:t>Limitation of Cost-Benefit Analysis</w:t>
      </w:r>
      <w:bookmarkStart w:id="0" w:name="_GoBack"/>
      <w:bookmarkEnd w:id="0"/>
    </w:p>
    <w:p w:rsidR="002357E2" w:rsidRPr="00294C41" w:rsidRDefault="002357E2" w:rsidP="008C42EF">
      <w:pPr>
        <w:pStyle w:val="NormalWeb"/>
        <w:spacing w:before="0" w:beforeAutospacing="0" w:line="360" w:lineRule="atLeast"/>
        <w:jc w:val="both"/>
        <w:rPr>
          <w:rFonts w:asciiTheme="minorHAnsi" w:hAnsiTheme="minorHAnsi"/>
          <w:color w:val="000000"/>
        </w:rPr>
      </w:pPr>
      <w:r w:rsidRPr="00294C41">
        <w:rPr>
          <w:rFonts w:asciiTheme="minorHAnsi" w:hAnsiTheme="minorHAnsi"/>
          <w:color w:val="000000"/>
        </w:rPr>
        <w:t>For projects that involve small to mid-level capital expenditures and are short to intermediate in terms of time to completion, an in-depth cost-benefit analysis may be sufficient enough to make a well-informed rational decision. For very large projects with a long-term time horizon, cost-benefit analysis typically fails to effectively take into account important financial concerns such as inflation, interest rates, varying cash flows and the present value of money. Alternative capital budgeting analysis methods including net present value (NPV) or internal rate of return (IRR) are more appropriate for these situations.</w:t>
      </w:r>
    </w:p>
    <w:sectPr w:rsidR="002357E2" w:rsidRPr="00294C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129253D"/>
    <w:multiLevelType w:val="multilevel"/>
    <w:tmpl w:val="B9DCCD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1A11CD7"/>
    <w:multiLevelType w:val="multilevel"/>
    <w:tmpl w:val="4970D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17F74DA"/>
    <w:multiLevelType w:val="multilevel"/>
    <w:tmpl w:val="3CC6D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57E2"/>
    <w:rsid w:val="00032E90"/>
    <w:rsid w:val="00035ECF"/>
    <w:rsid w:val="000367E8"/>
    <w:rsid w:val="00037D91"/>
    <w:rsid w:val="00043515"/>
    <w:rsid w:val="00043F41"/>
    <w:rsid w:val="000476D9"/>
    <w:rsid w:val="000533C7"/>
    <w:rsid w:val="00057530"/>
    <w:rsid w:val="00074F1D"/>
    <w:rsid w:val="00080B44"/>
    <w:rsid w:val="00080D8A"/>
    <w:rsid w:val="0008252E"/>
    <w:rsid w:val="00083D76"/>
    <w:rsid w:val="000860D1"/>
    <w:rsid w:val="000C06FC"/>
    <w:rsid w:val="000C278F"/>
    <w:rsid w:val="000C2FAE"/>
    <w:rsid w:val="000C3A40"/>
    <w:rsid w:val="000D0D55"/>
    <w:rsid w:val="000D78D7"/>
    <w:rsid w:val="000E39D3"/>
    <w:rsid w:val="000F3817"/>
    <w:rsid w:val="00101027"/>
    <w:rsid w:val="0010516A"/>
    <w:rsid w:val="00107E77"/>
    <w:rsid w:val="001220CE"/>
    <w:rsid w:val="00122F60"/>
    <w:rsid w:val="00125592"/>
    <w:rsid w:val="00134D77"/>
    <w:rsid w:val="0013518B"/>
    <w:rsid w:val="00155E96"/>
    <w:rsid w:val="001654B7"/>
    <w:rsid w:val="00177EDE"/>
    <w:rsid w:val="001801B5"/>
    <w:rsid w:val="00184110"/>
    <w:rsid w:val="001857BE"/>
    <w:rsid w:val="00185850"/>
    <w:rsid w:val="00191278"/>
    <w:rsid w:val="00197BDB"/>
    <w:rsid w:val="001B1FC2"/>
    <w:rsid w:val="001B6D7A"/>
    <w:rsid w:val="001B731A"/>
    <w:rsid w:val="001C0161"/>
    <w:rsid w:val="001C38FB"/>
    <w:rsid w:val="001C5787"/>
    <w:rsid w:val="001E4B0C"/>
    <w:rsid w:val="001E6BC7"/>
    <w:rsid w:val="001F0D10"/>
    <w:rsid w:val="001F2F03"/>
    <w:rsid w:val="001F3EDC"/>
    <w:rsid w:val="001F7B17"/>
    <w:rsid w:val="00201F45"/>
    <w:rsid w:val="0022222D"/>
    <w:rsid w:val="00231C38"/>
    <w:rsid w:val="002320B9"/>
    <w:rsid w:val="002357E2"/>
    <w:rsid w:val="002362BD"/>
    <w:rsid w:val="00236F57"/>
    <w:rsid w:val="00237EA3"/>
    <w:rsid w:val="00245FFD"/>
    <w:rsid w:val="00253882"/>
    <w:rsid w:val="002562C4"/>
    <w:rsid w:val="00257D13"/>
    <w:rsid w:val="002623B9"/>
    <w:rsid w:val="00262BA2"/>
    <w:rsid w:val="00282914"/>
    <w:rsid w:val="00285FAC"/>
    <w:rsid w:val="00294C41"/>
    <w:rsid w:val="00294E05"/>
    <w:rsid w:val="002B1D6E"/>
    <w:rsid w:val="002B43A2"/>
    <w:rsid w:val="002B5B72"/>
    <w:rsid w:val="002B748A"/>
    <w:rsid w:val="002D31B8"/>
    <w:rsid w:val="002D4902"/>
    <w:rsid w:val="002F1A40"/>
    <w:rsid w:val="00302BD0"/>
    <w:rsid w:val="00302F4A"/>
    <w:rsid w:val="00303D74"/>
    <w:rsid w:val="00320C1E"/>
    <w:rsid w:val="003267BE"/>
    <w:rsid w:val="003276B9"/>
    <w:rsid w:val="003309E9"/>
    <w:rsid w:val="003342BA"/>
    <w:rsid w:val="0034774C"/>
    <w:rsid w:val="003508F4"/>
    <w:rsid w:val="00352C27"/>
    <w:rsid w:val="00357F74"/>
    <w:rsid w:val="0038535A"/>
    <w:rsid w:val="0038561C"/>
    <w:rsid w:val="003A22E8"/>
    <w:rsid w:val="003A25EA"/>
    <w:rsid w:val="003C6023"/>
    <w:rsid w:val="003D416C"/>
    <w:rsid w:val="003E1600"/>
    <w:rsid w:val="003F153C"/>
    <w:rsid w:val="00410FAD"/>
    <w:rsid w:val="004119C5"/>
    <w:rsid w:val="004271D4"/>
    <w:rsid w:val="004304AC"/>
    <w:rsid w:val="00432EA4"/>
    <w:rsid w:val="0044663C"/>
    <w:rsid w:val="0045478C"/>
    <w:rsid w:val="00456405"/>
    <w:rsid w:val="004609A3"/>
    <w:rsid w:val="00473254"/>
    <w:rsid w:val="00477C32"/>
    <w:rsid w:val="004818CA"/>
    <w:rsid w:val="00483C63"/>
    <w:rsid w:val="004868AC"/>
    <w:rsid w:val="0048744A"/>
    <w:rsid w:val="004903D9"/>
    <w:rsid w:val="004B22E7"/>
    <w:rsid w:val="004B274A"/>
    <w:rsid w:val="004C6A94"/>
    <w:rsid w:val="004D668C"/>
    <w:rsid w:val="004D6BAA"/>
    <w:rsid w:val="004D7D82"/>
    <w:rsid w:val="004E51E5"/>
    <w:rsid w:val="004F02FF"/>
    <w:rsid w:val="004F5540"/>
    <w:rsid w:val="00501C68"/>
    <w:rsid w:val="0050247C"/>
    <w:rsid w:val="00510A0E"/>
    <w:rsid w:val="005128AE"/>
    <w:rsid w:val="00512D7B"/>
    <w:rsid w:val="00517E17"/>
    <w:rsid w:val="005221A9"/>
    <w:rsid w:val="00523002"/>
    <w:rsid w:val="00536886"/>
    <w:rsid w:val="0054036A"/>
    <w:rsid w:val="00541796"/>
    <w:rsid w:val="00544C70"/>
    <w:rsid w:val="00545ADF"/>
    <w:rsid w:val="005468A1"/>
    <w:rsid w:val="00564FFD"/>
    <w:rsid w:val="0058722A"/>
    <w:rsid w:val="00591308"/>
    <w:rsid w:val="00596AEC"/>
    <w:rsid w:val="00597433"/>
    <w:rsid w:val="005A6737"/>
    <w:rsid w:val="005D0CE6"/>
    <w:rsid w:val="005F1A7B"/>
    <w:rsid w:val="00606F43"/>
    <w:rsid w:val="00610DAC"/>
    <w:rsid w:val="00617F33"/>
    <w:rsid w:val="00626E92"/>
    <w:rsid w:val="006302C3"/>
    <w:rsid w:val="0063156C"/>
    <w:rsid w:val="006362B2"/>
    <w:rsid w:val="00636F55"/>
    <w:rsid w:val="006430DE"/>
    <w:rsid w:val="00653198"/>
    <w:rsid w:val="006629B8"/>
    <w:rsid w:val="00670A63"/>
    <w:rsid w:val="00675B38"/>
    <w:rsid w:val="00692DC6"/>
    <w:rsid w:val="006B5DEF"/>
    <w:rsid w:val="006C0975"/>
    <w:rsid w:val="006C6390"/>
    <w:rsid w:val="006D2C4D"/>
    <w:rsid w:val="006E4FBA"/>
    <w:rsid w:val="006E61AF"/>
    <w:rsid w:val="006F0EF5"/>
    <w:rsid w:val="00702868"/>
    <w:rsid w:val="00711E3A"/>
    <w:rsid w:val="00723898"/>
    <w:rsid w:val="00731F6C"/>
    <w:rsid w:val="007360CB"/>
    <w:rsid w:val="007406FC"/>
    <w:rsid w:val="00743082"/>
    <w:rsid w:val="00743E9C"/>
    <w:rsid w:val="007559E9"/>
    <w:rsid w:val="00764E3B"/>
    <w:rsid w:val="00770AEE"/>
    <w:rsid w:val="007710AE"/>
    <w:rsid w:val="007738AB"/>
    <w:rsid w:val="007748C5"/>
    <w:rsid w:val="00783598"/>
    <w:rsid w:val="00790EFA"/>
    <w:rsid w:val="007B41A0"/>
    <w:rsid w:val="007B429A"/>
    <w:rsid w:val="007C502D"/>
    <w:rsid w:val="007C5628"/>
    <w:rsid w:val="007E08E8"/>
    <w:rsid w:val="007E68F9"/>
    <w:rsid w:val="007F4902"/>
    <w:rsid w:val="007F6F34"/>
    <w:rsid w:val="007F7529"/>
    <w:rsid w:val="008002B7"/>
    <w:rsid w:val="00807C18"/>
    <w:rsid w:val="0081184D"/>
    <w:rsid w:val="00813331"/>
    <w:rsid w:val="0081397A"/>
    <w:rsid w:val="0083137A"/>
    <w:rsid w:val="00834222"/>
    <w:rsid w:val="00835A6A"/>
    <w:rsid w:val="00840E35"/>
    <w:rsid w:val="00847348"/>
    <w:rsid w:val="008534E4"/>
    <w:rsid w:val="0085390E"/>
    <w:rsid w:val="00864457"/>
    <w:rsid w:val="0086495E"/>
    <w:rsid w:val="008A173B"/>
    <w:rsid w:val="008B1215"/>
    <w:rsid w:val="008B5895"/>
    <w:rsid w:val="008C3A49"/>
    <w:rsid w:val="008C42EF"/>
    <w:rsid w:val="008D635D"/>
    <w:rsid w:val="008E1A1E"/>
    <w:rsid w:val="0090010A"/>
    <w:rsid w:val="0090032A"/>
    <w:rsid w:val="00901219"/>
    <w:rsid w:val="009035EC"/>
    <w:rsid w:val="00911BF6"/>
    <w:rsid w:val="00913829"/>
    <w:rsid w:val="00921FE3"/>
    <w:rsid w:val="009231A1"/>
    <w:rsid w:val="0093761C"/>
    <w:rsid w:val="00942966"/>
    <w:rsid w:val="009554C7"/>
    <w:rsid w:val="00960770"/>
    <w:rsid w:val="00962152"/>
    <w:rsid w:val="00965847"/>
    <w:rsid w:val="00975B2B"/>
    <w:rsid w:val="00984F0A"/>
    <w:rsid w:val="009869E9"/>
    <w:rsid w:val="00987758"/>
    <w:rsid w:val="00997D6B"/>
    <w:rsid w:val="009A1D8A"/>
    <w:rsid w:val="009A663A"/>
    <w:rsid w:val="009B474C"/>
    <w:rsid w:val="009C6D32"/>
    <w:rsid w:val="009C6E9C"/>
    <w:rsid w:val="009D0746"/>
    <w:rsid w:val="009F0453"/>
    <w:rsid w:val="009F1C13"/>
    <w:rsid w:val="009F62FA"/>
    <w:rsid w:val="00A038CA"/>
    <w:rsid w:val="00A10EB2"/>
    <w:rsid w:val="00A110B0"/>
    <w:rsid w:val="00A17CB7"/>
    <w:rsid w:val="00A17E80"/>
    <w:rsid w:val="00A30C9D"/>
    <w:rsid w:val="00A3111A"/>
    <w:rsid w:val="00A31542"/>
    <w:rsid w:val="00A33C03"/>
    <w:rsid w:val="00A41D75"/>
    <w:rsid w:val="00A46CB0"/>
    <w:rsid w:val="00A53439"/>
    <w:rsid w:val="00A54F8C"/>
    <w:rsid w:val="00A56B34"/>
    <w:rsid w:val="00A60058"/>
    <w:rsid w:val="00A61C5E"/>
    <w:rsid w:val="00A70C9E"/>
    <w:rsid w:val="00A7589F"/>
    <w:rsid w:val="00A76F26"/>
    <w:rsid w:val="00A804AA"/>
    <w:rsid w:val="00AA7A7D"/>
    <w:rsid w:val="00AB6EE4"/>
    <w:rsid w:val="00AB7661"/>
    <w:rsid w:val="00AC154C"/>
    <w:rsid w:val="00AE63BF"/>
    <w:rsid w:val="00AE78AA"/>
    <w:rsid w:val="00AF665B"/>
    <w:rsid w:val="00B03BBF"/>
    <w:rsid w:val="00B05AF9"/>
    <w:rsid w:val="00B169A2"/>
    <w:rsid w:val="00B24CE9"/>
    <w:rsid w:val="00B33253"/>
    <w:rsid w:val="00B3468D"/>
    <w:rsid w:val="00B47068"/>
    <w:rsid w:val="00B574F9"/>
    <w:rsid w:val="00B618D9"/>
    <w:rsid w:val="00B63D98"/>
    <w:rsid w:val="00B67313"/>
    <w:rsid w:val="00B728DC"/>
    <w:rsid w:val="00B8433A"/>
    <w:rsid w:val="00B86E81"/>
    <w:rsid w:val="00B91827"/>
    <w:rsid w:val="00BA096B"/>
    <w:rsid w:val="00BA4D6B"/>
    <w:rsid w:val="00BB3034"/>
    <w:rsid w:val="00BD782C"/>
    <w:rsid w:val="00BE54A4"/>
    <w:rsid w:val="00BF06B8"/>
    <w:rsid w:val="00C20F7D"/>
    <w:rsid w:val="00C311D4"/>
    <w:rsid w:val="00C35BAE"/>
    <w:rsid w:val="00C42E5B"/>
    <w:rsid w:val="00C45288"/>
    <w:rsid w:val="00C50C19"/>
    <w:rsid w:val="00C528E9"/>
    <w:rsid w:val="00C54C0B"/>
    <w:rsid w:val="00C56899"/>
    <w:rsid w:val="00C65812"/>
    <w:rsid w:val="00C66FD7"/>
    <w:rsid w:val="00C741F8"/>
    <w:rsid w:val="00C919F6"/>
    <w:rsid w:val="00C93318"/>
    <w:rsid w:val="00CA384B"/>
    <w:rsid w:val="00CC3D9F"/>
    <w:rsid w:val="00CC45C6"/>
    <w:rsid w:val="00CC5F43"/>
    <w:rsid w:val="00CD2FFB"/>
    <w:rsid w:val="00CD3E34"/>
    <w:rsid w:val="00CD521F"/>
    <w:rsid w:val="00CE04C6"/>
    <w:rsid w:val="00CF0078"/>
    <w:rsid w:val="00CF1E5E"/>
    <w:rsid w:val="00CF1F03"/>
    <w:rsid w:val="00CF2146"/>
    <w:rsid w:val="00D01ACC"/>
    <w:rsid w:val="00D027D1"/>
    <w:rsid w:val="00D05DF8"/>
    <w:rsid w:val="00D135E6"/>
    <w:rsid w:val="00D43B38"/>
    <w:rsid w:val="00D61296"/>
    <w:rsid w:val="00D635E6"/>
    <w:rsid w:val="00D6698E"/>
    <w:rsid w:val="00D66EFC"/>
    <w:rsid w:val="00D77219"/>
    <w:rsid w:val="00D92CAE"/>
    <w:rsid w:val="00D97892"/>
    <w:rsid w:val="00DA4DB2"/>
    <w:rsid w:val="00DA4EAA"/>
    <w:rsid w:val="00DC33E3"/>
    <w:rsid w:val="00DC5E33"/>
    <w:rsid w:val="00DD52E6"/>
    <w:rsid w:val="00DE124E"/>
    <w:rsid w:val="00DE62E0"/>
    <w:rsid w:val="00E07F2D"/>
    <w:rsid w:val="00E27432"/>
    <w:rsid w:val="00E67507"/>
    <w:rsid w:val="00E7070C"/>
    <w:rsid w:val="00E718FF"/>
    <w:rsid w:val="00E85E42"/>
    <w:rsid w:val="00E95B44"/>
    <w:rsid w:val="00E96CEC"/>
    <w:rsid w:val="00EA1DCF"/>
    <w:rsid w:val="00ED1BF3"/>
    <w:rsid w:val="00ED222C"/>
    <w:rsid w:val="00EE71AD"/>
    <w:rsid w:val="00F0044A"/>
    <w:rsid w:val="00F104A1"/>
    <w:rsid w:val="00F13CB7"/>
    <w:rsid w:val="00F20E2E"/>
    <w:rsid w:val="00F21C9C"/>
    <w:rsid w:val="00F25CBE"/>
    <w:rsid w:val="00F26210"/>
    <w:rsid w:val="00F306FB"/>
    <w:rsid w:val="00F352CA"/>
    <w:rsid w:val="00F359F7"/>
    <w:rsid w:val="00F37ED9"/>
    <w:rsid w:val="00F43974"/>
    <w:rsid w:val="00F45A29"/>
    <w:rsid w:val="00F518B6"/>
    <w:rsid w:val="00F51963"/>
    <w:rsid w:val="00F76984"/>
    <w:rsid w:val="00F826E9"/>
    <w:rsid w:val="00FA75AB"/>
    <w:rsid w:val="00FA7E6B"/>
    <w:rsid w:val="00FB0BE0"/>
    <w:rsid w:val="00FB2742"/>
    <w:rsid w:val="00FC264D"/>
    <w:rsid w:val="00FD0CD2"/>
    <w:rsid w:val="00FD6157"/>
    <w:rsid w:val="00FD7A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3718951-2B77-4D77-82AB-34B813B174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357E2"/>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2357E2"/>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2357E2"/>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2357E2"/>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57E2"/>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2357E2"/>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2357E2"/>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2357E2"/>
    <w:rPr>
      <w:color w:val="0000FF"/>
      <w:u w:val="single"/>
    </w:rPr>
  </w:style>
  <w:style w:type="character" w:customStyle="1" w:styleId="apple-converted-space">
    <w:name w:val="apple-converted-space"/>
    <w:basedOn w:val="DefaultParagraphFont"/>
    <w:rsid w:val="002357E2"/>
  </w:style>
  <w:style w:type="character" w:customStyle="1" w:styleId="jw-text">
    <w:name w:val="jw-text"/>
    <w:basedOn w:val="DefaultParagraphFont"/>
    <w:rsid w:val="002357E2"/>
  </w:style>
  <w:style w:type="paragraph" w:styleId="NormalWeb">
    <w:name w:val="Normal (Web)"/>
    <w:basedOn w:val="Normal"/>
    <w:uiPriority w:val="99"/>
    <w:semiHidden/>
    <w:unhideWhenUsed/>
    <w:rsid w:val="002357E2"/>
    <w:pPr>
      <w:spacing w:before="100" w:beforeAutospacing="1" w:after="100" w:afterAutospacing="1"/>
    </w:pPr>
  </w:style>
  <w:style w:type="character" w:customStyle="1" w:styleId="next-up">
    <w:name w:val="next-up"/>
    <w:basedOn w:val="DefaultParagraphFont"/>
    <w:rsid w:val="002357E2"/>
  </w:style>
  <w:style w:type="character" w:customStyle="1" w:styleId="bold">
    <w:name w:val="bold"/>
    <w:basedOn w:val="DefaultParagraphFont"/>
    <w:rsid w:val="002357E2"/>
  </w:style>
  <w:style w:type="character" w:customStyle="1" w:styleId="title-next">
    <w:name w:val="title-next"/>
    <w:basedOn w:val="DefaultParagraphFont"/>
    <w:rsid w:val="002357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76945003">
      <w:bodyDiv w:val="1"/>
      <w:marLeft w:val="0"/>
      <w:marRight w:val="0"/>
      <w:marTop w:val="0"/>
      <w:marBottom w:val="0"/>
      <w:divBdr>
        <w:top w:val="none" w:sz="0" w:space="0" w:color="auto"/>
        <w:left w:val="none" w:sz="0" w:space="0" w:color="auto"/>
        <w:bottom w:val="none" w:sz="0" w:space="0" w:color="auto"/>
        <w:right w:val="none" w:sz="0" w:space="0" w:color="auto"/>
      </w:divBdr>
      <w:divsChild>
        <w:div w:id="2051225133">
          <w:marLeft w:val="0"/>
          <w:marRight w:val="0"/>
          <w:marTop w:val="0"/>
          <w:marBottom w:val="300"/>
          <w:divBdr>
            <w:top w:val="none" w:sz="0" w:space="0" w:color="auto"/>
            <w:left w:val="none" w:sz="0" w:space="0" w:color="auto"/>
            <w:bottom w:val="none" w:sz="0" w:space="0" w:color="auto"/>
            <w:right w:val="none" w:sz="0" w:space="0" w:color="auto"/>
          </w:divBdr>
          <w:divsChild>
            <w:div w:id="461580979">
              <w:marLeft w:val="0"/>
              <w:marRight w:val="0"/>
              <w:marTop w:val="150"/>
              <w:marBottom w:val="0"/>
              <w:divBdr>
                <w:top w:val="none" w:sz="0" w:space="0" w:color="auto"/>
                <w:left w:val="none" w:sz="0" w:space="0" w:color="auto"/>
                <w:bottom w:val="none" w:sz="0" w:space="0" w:color="auto"/>
                <w:right w:val="none" w:sz="0" w:space="0" w:color="auto"/>
              </w:divBdr>
              <w:divsChild>
                <w:div w:id="769546107">
                  <w:marLeft w:val="0"/>
                  <w:marRight w:val="0"/>
                  <w:marTop w:val="0"/>
                  <w:marBottom w:val="0"/>
                  <w:divBdr>
                    <w:top w:val="none" w:sz="0" w:space="0" w:color="auto"/>
                    <w:left w:val="none" w:sz="0" w:space="0" w:color="auto"/>
                    <w:bottom w:val="none" w:sz="0" w:space="0" w:color="auto"/>
                    <w:right w:val="none" w:sz="0" w:space="0" w:color="auto"/>
                  </w:divBdr>
                  <w:divsChild>
                    <w:div w:id="2035377691">
                      <w:marLeft w:val="0"/>
                      <w:marRight w:val="0"/>
                      <w:marTop w:val="0"/>
                      <w:marBottom w:val="150"/>
                      <w:divBdr>
                        <w:top w:val="none" w:sz="0" w:space="0" w:color="auto"/>
                        <w:left w:val="none" w:sz="0" w:space="0" w:color="auto"/>
                        <w:bottom w:val="none" w:sz="0" w:space="0" w:color="auto"/>
                        <w:right w:val="none" w:sz="0" w:space="0" w:color="auto"/>
                      </w:divBdr>
                      <w:divsChild>
                        <w:div w:id="425620434">
                          <w:marLeft w:val="0"/>
                          <w:marRight w:val="0"/>
                          <w:marTop w:val="0"/>
                          <w:marBottom w:val="0"/>
                          <w:divBdr>
                            <w:top w:val="none" w:sz="0" w:space="0" w:color="auto"/>
                            <w:left w:val="none" w:sz="0" w:space="0" w:color="auto"/>
                            <w:bottom w:val="none" w:sz="0" w:space="0" w:color="auto"/>
                            <w:right w:val="none" w:sz="0" w:space="0" w:color="auto"/>
                          </w:divBdr>
                          <w:divsChild>
                            <w:div w:id="779685861">
                              <w:marLeft w:val="0"/>
                              <w:marRight w:val="0"/>
                              <w:marTop w:val="0"/>
                              <w:marBottom w:val="0"/>
                              <w:divBdr>
                                <w:top w:val="none" w:sz="0" w:space="0" w:color="auto"/>
                                <w:left w:val="none" w:sz="0" w:space="0" w:color="auto"/>
                                <w:bottom w:val="none" w:sz="0" w:space="0" w:color="auto"/>
                                <w:right w:val="none" w:sz="0" w:space="0" w:color="auto"/>
                              </w:divBdr>
                            </w:div>
                            <w:div w:id="219176900">
                              <w:marLeft w:val="0"/>
                              <w:marRight w:val="0"/>
                              <w:marTop w:val="0"/>
                              <w:marBottom w:val="0"/>
                              <w:divBdr>
                                <w:top w:val="none" w:sz="0" w:space="0" w:color="auto"/>
                                <w:left w:val="none" w:sz="0" w:space="0" w:color="auto"/>
                                <w:bottom w:val="none" w:sz="0" w:space="0" w:color="auto"/>
                                <w:right w:val="none" w:sz="0" w:space="0" w:color="auto"/>
                              </w:divBdr>
                            </w:div>
                            <w:div w:id="1561474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5087104">
              <w:marLeft w:val="0"/>
              <w:marRight w:val="0"/>
              <w:marTop w:val="0"/>
              <w:marBottom w:val="0"/>
              <w:divBdr>
                <w:top w:val="none" w:sz="0" w:space="0" w:color="auto"/>
                <w:left w:val="none" w:sz="0" w:space="0" w:color="auto"/>
                <w:bottom w:val="none" w:sz="0" w:space="0" w:color="auto"/>
                <w:right w:val="none" w:sz="0" w:space="0" w:color="auto"/>
              </w:divBdr>
              <w:divsChild>
                <w:div w:id="1145512021">
                  <w:marLeft w:val="0"/>
                  <w:marRight w:val="6000"/>
                  <w:marTop w:val="0"/>
                  <w:marBottom w:val="0"/>
                  <w:divBdr>
                    <w:top w:val="none" w:sz="0" w:space="0" w:color="auto"/>
                    <w:left w:val="none" w:sz="0" w:space="0" w:color="auto"/>
                    <w:bottom w:val="none" w:sz="0" w:space="0" w:color="auto"/>
                    <w:right w:val="none" w:sz="0" w:space="0" w:color="auto"/>
                  </w:divBdr>
                  <w:divsChild>
                    <w:div w:id="860782025">
                      <w:marLeft w:val="0"/>
                      <w:marRight w:val="0"/>
                      <w:marTop w:val="0"/>
                      <w:marBottom w:val="0"/>
                      <w:divBdr>
                        <w:top w:val="none" w:sz="0" w:space="0" w:color="auto"/>
                        <w:left w:val="none" w:sz="0" w:space="0" w:color="auto"/>
                        <w:bottom w:val="none" w:sz="0" w:space="0" w:color="auto"/>
                        <w:right w:val="none" w:sz="0" w:space="0" w:color="auto"/>
                      </w:divBdr>
                      <w:divsChild>
                        <w:div w:id="1771004316">
                          <w:marLeft w:val="0"/>
                          <w:marRight w:val="0"/>
                          <w:marTop w:val="0"/>
                          <w:marBottom w:val="0"/>
                          <w:divBdr>
                            <w:top w:val="none" w:sz="0" w:space="0" w:color="auto"/>
                            <w:left w:val="none" w:sz="0" w:space="0" w:color="auto"/>
                            <w:bottom w:val="none" w:sz="0" w:space="0" w:color="auto"/>
                            <w:right w:val="none" w:sz="0" w:space="0" w:color="auto"/>
                          </w:divBdr>
                          <w:divsChild>
                            <w:div w:id="1849177308">
                              <w:marLeft w:val="0"/>
                              <w:marRight w:val="0"/>
                              <w:marTop w:val="0"/>
                              <w:marBottom w:val="300"/>
                              <w:divBdr>
                                <w:top w:val="none" w:sz="0" w:space="0" w:color="auto"/>
                                <w:left w:val="none" w:sz="0" w:space="0" w:color="auto"/>
                                <w:bottom w:val="none" w:sz="0" w:space="0" w:color="auto"/>
                                <w:right w:val="none" w:sz="0" w:space="0" w:color="auto"/>
                              </w:divBdr>
                              <w:divsChild>
                                <w:div w:id="1247498188">
                                  <w:marLeft w:val="0"/>
                                  <w:marRight w:val="0"/>
                                  <w:marTop w:val="0"/>
                                  <w:marBottom w:val="975"/>
                                  <w:divBdr>
                                    <w:top w:val="none" w:sz="0" w:space="0" w:color="auto"/>
                                    <w:left w:val="none" w:sz="0" w:space="0" w:color="auto"/>
                                    <w:bottom w:val="none" w:sz="0" w:space="0" w:color="auto"/>
                                    <w:right w:val="none" w:sz="0" w:space="0" w:color="auto"/>
                                  </w:divBdr>
                                  <w:divsChild>
                                    <w:div w:id="2048405189">
                                      <w:marLeft w:val="0"/>
                                      <w:marRight w:val="0"/>
                                      <w:marTop w:val="0"/>
                                      <w:marBottom w:val="0"/>
                                      <w:divBdr>
                                        <w:top w:val="none" w:sz="0" w:space="0" w:color="auto"/>
                                        <w:left w:val="none" w:sz="0" w:space="0" w:color="auto"/>
                                        <w:bottom w:val="none" w:sz="0" w:space="0" w:color="auto"/>
                                        <w:right w:val="none" w:sz="0" w:space="0" w:color="auto"/>
                                      </w:divBdr>
                                      <w:divsChild>
                                        <w:div w:id="409743023">
                                          <w:marLeft w:val="375"/>
                                          <w:marRight w:val="-6285"/>
                                          <w:marTop w:val="0"/>
                                          <w:marBottom w:val="0"/>
                                          <w:divBdr>
                                            <w:top w:val="none" w:sz="0" w:space="0" w:color="auto"/>
                                            <w:left w:val="none" w:sz="0" w:space="0" w:color="auto"/>
                                            <w:bottom w:val="none" w:sz="0" w:space="0" w:color="auto"/>
                                            <w:right w:val="none" w:sz="0" w:space="0" w:color="auto"/>
                                          </w:divBdr>
                                          <w:divsChild>
                                            <w:div w:id="1703435194">
                                              <w:marLeft w:val="0"/>
                                              <w:marRight w:val="0"/>
                                              <w:marTop w:val="0"/>
                                              <w:marBottom w:val="0"/>
                                              <w:divBdr>
                                                <w:top w:val="none" w:sz="0" w:space="0" w:color="auto"/>
                                                <w:left w:val="none" w:sz="0" w:space="0" w:color="auto"/>
                                                <w:bottom w:val="none" w:sz="0" w:space="0" w:color="auto"/>
                                                <w:right w:val="none" w:sz="0" w:space="0" w:color="auto"/>
                                              </w:divBdr>
                                              <w:divsChild>
                                                <w:div w:id="1884176177">
                                                  <w:marLeft w:val="0"/>
                                                  <w:marRight w:val="0"/>
                                                  <w:marTop w:val="0"/>
                                                  <w:marBottom w:val="975"/>
                                                  <w:divBdr>
                                                    <w:top w:val="none" w:sz="0" w:space="0" w:color="auto"/>
                                                    <w:left w:val="none" w:sz="0" w:space="0" w:color="auto"/>
                                                    <w:bottom w:val="none" w:sz="0" w:space="0" w:color="auto"/>
                                                    <w:right w:val="none" w:sz="0" w:space="0" w:color="auto"/>
                                                  </w:divBdr>
                                                  <w:divsChild>
                                                    <w:div w:id="2099402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11242183">
              <w:marLeft w:val="-5250"/>
              <w:marRight w:val="0"/>
              <w:marTop w:val="5250"/>
              <w:marBottom w:val="0"/>
              <w:divBdr>
                <w:top w:val="none" w:sz="0" w:space="0" w:color="auto"/>
                <w:left w:val="none" w:sz="0" w:space="0" w:color="auto"/>
                <w:bottom w:val="none" w:sz="0" w:space="0" w:color="auto"/>
                <w:right w:val="none" w:sz="0" w:space="0" w:color="auto"/>
              </w:divBdr>
              <w:divsChild>
                <w:div w:id="971133492">
                  <w:marLeft w:val="0"/>
                  <w:marRight w:val="0"/>
                  <w:marTop w:val="0"/>
                  <w:marBottom w:val="0"/>
                  <w:divBdr>
                    <w:top w:val="none" w:sz="0" w:space="0" w:color="auto"/>
                    <w:left w:val="none" w:sz="0" w:space="0" w:color="auto"/>
                    <w:bottom w:val="none" w:sz="0" w:space="0" w:color="auto"/>
                    <w:right w:val="none" w:sz="0" w:space="0" w:color="auto"/>
                  </w:divBdr>
                  <w:divsChild>
                    <w:div w:id="772676394">
                      <w:marLeft w:val="0"/>
                      <w:marRight w:val="0"/>
                      <w:marTop w:val="0"/>
                      <w:marBottom w:val="375"/>
                      <w:divBdr>
                        <w:top w:val="none" w:sz="0" w:space="0" w:color="auto"/>
                        <w:left w:val="none" w:sz="0" w:space="0" w:color="auto"/>
                        <w:bottom w:val="none" w:sz="0" w:space="0" w:color="auto"/>
                        <w:right w:val="none" w:sz="0" w:space="0" w:color="auto"/>
                      </w:divBdr>
                      <w:divsChild>
                        <w:div w:id="341318139">
                          <w:marLeft w:val="0"/>
                          <w:marRight w:val="0"/>
                          <w:marTop w:val="0"/>
                          <w:marBottom w:val="0"/>
                          <w:divBdr>
                            <w:top w:val="none" w:sz="0" w:space="0" w:color="auto"/>
                            <w:left w:val="none" w:sz="0" w:space="0" w:color="auto"/>
                            <w:bottom w:val="single" w:sz="6" w:space="0" w:color="E4E5E6"/>
                            <w:right w:val="none" w:sz="0" w:space="0" w:color="auto"/>
                          </w:divBdr>
                        </w:div>
                      </w:divsChild>
                    </w:div>
                  </w:divsChild>
                </w:div>
                <w:div w:id="1183589052">
                  <w:marLeft w:val="0"/>
                  <w:marRight w:val="0"/>
                  <w:marTop w:val="0"/>
                  <w:marBottom w:val="0"/>
                  <w:divBdr>
                    <w:top w:val="none" w:sz="0" w:space="0" w:color="auto"/>
                    <w:left w:val="none" w:sz="0" w:space="0" w:color="auto"/>
                    <w:bottom w:val="none" w:sz="0" w:space="0" w:color="auto"/>
                    <w:right w:val="none" w:sz="0" w:space="0" w:color="auto"/>
                  </w:divBdr>
                  <w:divsChild>
                    <w:div w:id="978876977">
                      <w:marLeft w:val="0"/>
                      <w:marRight w:val="0"/>
                      <w:marTop w:val="0"/>
                      <w:marBottom w:val="0"/>
                      <w:divBdr>
                        <w:top w:val="none" w:sz="0" w:space="0" w:color="auto"/>
                        <w:left w:val="none" w:sz="0" w:space="0" w:color="auto"/>
                        <w:bottom w:val="none" w:sz="0" w:space="0" w:color="auto"/>
                        <w:right w:val="none" w:sz="0" w:space="0" w:color="auto"/>
                      </w:divBdr>
                      <w:divsChild>
                        <w:div w:id="788472405">
                          <w:marLeft w:val="0"/>
                          <w:marRight w:val="0"/>
                          <w:marTop w:val="0"/>
                          <w:marBottom w:val="0"/>
                          <w:divBdr>
                            <w:top w:val="none" w:sz="0" w:space="0" w:color="auto"/>
                            <w:left w:val="none" w:sz="0" w:space="0" w:color="auto"/>
                            <w:bottom w:val="single" w:sz="6" w:space="0" w:color="E4E5E6"/>
                            <w:right w:val="none" w:sz="0" w:space="0" w:color="auto"/>
                          </w:divBdr>
                        </w:div>
                        <w:div w:id="625815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674021">
          <w:marLeft w:val="0"/>
          <w:marRight w:val="0"/>
          <w:marTop w:val="0"/>
          <w:marBottom w:val="300"/>
          <w:divBdr>
            <w:top w:val="none" w:sz="0" w:space="0" w:color="auto"/>
            <w:left w:val="none" w:sz="0" w:space="0" w:color="auto"/>
            <w:bottom w:val="none" w:sz="0" w:space="0" w:color="auto"/>
            <w:right w:val="none" w:sz="0" w:space="0" w:color="auto"/>
          </w:divBdr>
          <w:divsChild>
            <w:div w:id="1249193063">
              <w:marLeft w:val="0"/>
              <w:marRight w:val="0"/>
              <w:marTop w:val="0"/>
              <w:marBottom w:val="0"/>
              <w:divBdr>
                <w:top w:val="none" w:sz="0" w:space="0" w:color="auto"/>
                <w:left w:val="none" w:sz="0" w:space="0" w:color="auto"/>
                <w:bottom w:val="none" w:sz="0" w:space="0" w:color="auto"/>
                <w:right w:val="none" w:sz="0" w:space="0" w:color="auto"/>
              </w:divBdr>
              <w:divsChild>
                <w:div w:id="1098717478">
                  <w:marLeft w:val="0"/>
                  <w:marRight w:val="6000"/>
                  <w:marTop w:val="0"/>
                  <w:marBottom w:val="0"/>
                  <w:divBdr>
                    <w:top w:val="none" w:sz="0" w:space="0" w:color="auto"/>
                    <w:left w:val="none" w:sz="0" w:space="0" w:color="auto"/>
                    <w:bottom w:val="none" w:sz="0" w:space="0" w:color="auto"/>
                    <w:right w:val="none" w:sz="0" w:space="0" w:color="auto"/>
                  </w:divBdr>
                  <w:divsChild>
                    <w:div w:id="69621189">
                      <w:marLeft w:val="0"/>
                      <w:marRight w:val="0"/>
                      <w:marTop w:val="150"/>
                      <w:marBottom w:val="0"/>
                      <w:divBdr>
                        <w:top w:val="none" w:sz="0" w:space="0" w:color="auto"/>
                        <w:left w:val="none" w:sz="0" w:space="0" w:color="auto"/>
                        <w:bottom w:val="none" w:sz="0" w:space="0" w:color="auto"/>
                        <w:right w:val="none" w:sz="0" w:space="0" w:color="auto"/>
                      </w:divBdr>
                      <w:divsChild>
                        <w:div w:id="1333416676">
                          <w:marLeft w:val="0"/>
                          <w:marRight w:val="0"/>
                          <w:marTop w:val="0"/>
                          <w:marBottom w:val="0"/>
                          <w:divBdr>
                            <w:top w:val="none" w:sz="0" w:space="0" w:color="auto"/>
                            <w:left w:val="none" w:sz="0" w:space="0" w:color="auto"/>
                            <w:bottom w:val="none" w:sz="0" w:space="0" w:color="auto"/>
                            <w:right w:val="none" w:sz="0" w:space="0" w:color="auto"/>
                          </w:divBdr>
                          <w:divsChild>
                            <w:div w:id="1024677269">
                              <w:marLeft w:val="0"/>
                              <w:marRight w:val="0"/>
                              <w:marTop w:val="0"/>
                              <w:marBottom w:val="150"/>
                              <w:divBdr>
                                <w:top w:val="none" w:sz="0" w:space="0" w:color="auto"/>
                                <w:left w:val="none" w:sz="0" w:space="0" w:color="auto"/>
                                <w:bottom w:val="none" w:sz="0" w:space="0" w:color="auto"/>
                                <w:right w:val="none" w:sz="0" w:space="0" w:color="auto"/>
                              </w:divBdr>
                              <w:divsChild>
                                <w:div w:id="321198320">
                                  <w:marLeft w:val="0"/>
                                  <w:marRight w:val="0"/>
                                  <w:marTop w:val="0"/>
                                  <w:marBottom w:val="0"/>
                                  <w:divBdr>
                                    <w:top w:val="none" w:sz="0" w:space="0" w:color="auto"/>
                                    <w:left w:val="none" w:sz="0" w:space="0" w:color="auto"/>
                                    <w:bottom w:val="none" w:sz="0" w:space="0" w:color="auto"/>
                                    <w:right w:val="none" w:sz="0" w:space="0" w:color="auto"/>
                                  </w:divBdr>
                                  <w:divsChild>
                                    <w:div w:id="1530339573">
                                      <w:marLeft w:val="0"/>
                                      <w:marRight w:val="0"/>
                                      <w:marTop w:val="0"/>
                                      <w:marBottom w:val="0"/>
                                      <w:divBdr>
                                        <w:top w:val="none" w:sz="0" w:space="0" w:color="auto"/>
                                        <w:left w:val="none" w:sz="0" w:space="0" w:color="auto"/>
                                        <w:bottom w:val="none" w:sz="0" w:space="0" w:color="auto"/>
                                        <w:right w:val="none" w:sz="0" w:space="0" w:color="auto"/>
                                      </w:divBdr>
                                    </w:div>
                                    <w:div w:id="1314142111">
                                      <w:marLeft w:val="0"/>
                                      <w:marRight w:val="0"/>
                                      <w:marTop w:val="0"/>
                                      <w:marBottom w:val="0"/>
                                      <w:divBdr>
                                        <w:top w:val="none" w:sz="0" w:space="0" w:color="auto"/>
                                        <w:left w:val="none" w:sz="0" w:space="0" w:color="auto"/>
                                        <w:bottom w:val="none" w:sz="0" w:space="0" w:color="auto"/>
                                        <w:right w:val="none" w:sz="0" w:space="0" w:color="auto"/>
                                      </w:divBdr>
                                    </w:div>
                                    <w:div w:id="495462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2722787">
                      <w:marLeft w:val="0"/>
                      <w:marRight w:val="0"/>
                      <w:marTop w:val="0"/>
                      <w:marBottom w:val="0"/>
                      <w:divBdr>
                        <w:top w:val="none" w:sz="0" w:space="0" w:color="auto"/>
                        <w:left w:val="none" w:sz="0" w:space="0" w:color="auto"/>
                        <w:bottom w:val="none" w:sz="0" w:space="0" w:color="auto"/>
                        <w:right w:val="none" w:sz="0" w:space="0" w:color="auto"/>
                      </w:divBdr>
                      <w:divsChild>
                        <w:div w:id="878014429">
                          <w:marLeft w:val="0"/>
                          <w:marRight w:val="0"/>
                          <w:marTop w:val="0"/>
                          <w:marBottom w:val="0"/>
                          <w:divBdr>
                            <w:top w:val="none" w:sz="0" w:space="0" w:color="auto"/>
                            <w:left w:val="none" w:sz="0" w:space="0" w:color="auto"/>
                            <w:bottom w:val="none" w:sz="0" w:space="0" w:color="auto"/>
                            <w:right w:val="none" w:sz="0" w:space="0" w:color="auto"/>
                          </w:divBdr>
                          <w:divsChild>
                            <w:div w:id="1117486500">
                              <w:marLeft w:val="0"/>
                              <w:marRight w:val="0"/>
                              <w:marTop w:val="0"/>
                              <w:marBottom w:val="300"/>
                              <w:divBdr>
                                <w:top w:val="none" w:sz="0" w:space="0" w:color="auto"/>
                                <w:left w:val="none" w:sz="0" w:space="0" w:color="auto"/>
                                <w:bottom w:val="none" w:sz="0" w:space="0" w:color="auto"/>
                                <w:right w:val="none" w:sz="0" w:space="0" w:color="auto"/>
                              </w:divBdr>
                              <w:divsChild>
                                <w:div w:id="738866044">
                                  <w:marLeft w:val="0"/>
                                  <w:marRight w:val="0"/>
                                  <w:marTop w:val="0"/>
                                  <w:marBottom w:val="975"/>
                                  <w:divBdr>
                                    <w:top w:val="none" w:sz="0" w:space="0" w:color="auto"/>
                                    <w:left w:val="none" w:sz="0" w:space="0" w:color="auto"/>
                                    <w:bottom w:val="none" w:sz="0" w:space="0" w:color="auto"/>
                                    <w:right w:val="none" w:sz="0" w:space="0" w:color="auto"/>
                                  </w:divBdr>
                                  <w:divsChild>
                                    <w:div w:id="1988507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7131465">
          <w:marLeft w:val="0"/>
          <w:marRight w:val="0"/>
          <w:marTop w:val="0"/>
          <w:marBottom w:val="300"/>
          <w:divBdr>
            <w:top w:val="none" w:sz="0" w:space="0" w:color="auto"/>
            <w:left w:val="none" w:sz="0" w:space="0" w:color="auto"/>
            <w:bottom w:val="none" w:sz="0" w:space="0" w:color="auto"/>
            <w:right w:val="none" w:sz="0" w:space="0" w:color="auto"/>
          </w:divBdr>
          <w:divsChild>
            <w:div w:id="812332190">
              <w:marLeft w:val="0"/>
              <w:marRight w:val="0"/>
              <w:marTop w:val="0"/>
              <w:marBottom w:val="0"/>
              <w:divBdr>
                <w:top w:val="none" w:sz="0" w:space="0" w:color="auto"/>
                <w:left w:val="none" w:sz="0" w:space="0" w:color="auto"/>
                <w:bottom w:val="none" w:sz="0" w:space="0" w:color="auto"/>
                <w:right w:val="none" w:sz="0" w:space="0" w:color="auto"/>
              </w:divBdr>
              <w:divsChild>
                <w:div w:id="1081759548">
                  <w:marLeft w:val="0"/>
                  <w:marRight w:val="6000"/>
                  <w:marTop w:val="0"/>
                  <w:marBottom w:val="0"/>
                  <w:divBdr>
                    <w:top w:val="none" w:sz="0" w:space="0" w:color="auto"/>
                    <w:left w:val="none" w:sz="0" w:space="0" w:color="auto"/>
                    <w:bottom w:val="none" w:sz="0" w:space="0" w:color="auto"/>
                    <w:right w:val="none" w:sz="0" w:space="0" w:color="auto"/>
                  </w:divBdr>
                  <w:divsChild>
                    <w:div w:id="1737850499">
                      <w:marLeft w:val="0"/>
                      <w:marRight w:val="0"/>
                      <w:marTop w:val="150"/>
                      <w:marBottom w:val="0"/>
                      <w:divBdr>
                        <w:top w:val="none" w:sz="0" w:space="0" w:color="auto"/>
                        <w:left w:val="none" w:sz="0" w:space="0" w:color="auto"/>
                        <w:bottom w:val="none" w:sz="0" w:space="0" w:color="auto"/>
                        <w:right w:val="none" w:sz="0" w:space="0" w:color="auto"/>
                      </w:divBdr>
                      <w:divsChild>
                        <w:div w:id="1313559637">
                          <w:marLeft w:val="0"/>
                          <w:marRight w:val="0"/>
                          <w:marTop w:val="0"/>
                          <w:marBottom w:val="0"/>
                          <w:divBdr>
                            <w:top w:val="none" w:sz="0" w:space="0" w:color="auto"/>
                            <w:left w:val="none" w:sz="0" w:space="0" w:color="auto"/>
                            <w:bottom w:val="none" w:sz="0" w:space="0" w:color="auto"/>
                            <w:right w:val="none" w:sz="0" w:space="0" w:color="auto"/>
                          </w:divBdr>
                          <w:divsChild>
                            <w:div w:id="541211327">
                              <w:marLeft w:val="0"/>
                              <w:marRight w:val="0"/>
                              <w:marTop w:val="0"/>
                              <w:marBottom w:val="150"/>
                              <w:divBdr>
                                <w:top w:val="none" w:sz="0" w:space="0" w:color="auto"/>
                                <w:left w:val="none" w:sz="0" w:space="0" w:color="auto"/>
                                <w:bottom w:val="none" w:sz="0" w:space="0" w:color="auto"/>
                                <w:right w:val="none" w:sz="0" w:space="0" w:color="auto"/>
                              </w:divBdr>
                              <w:divsChild>
                                <w:div w:id="1225336075">
                                  <w:marLeft w:val="0"/>
                                  <w:marRight w:val="0"/>
                                  <w:marTop w:val="0"/>
                                  <w:marBottom w:val="0"/>
                                  <w:divBdr>
                                    <w:top w:val="none" w:sz="0" w:space="0" w:color="auto"/>
                                    <w:left w:val="none" w:sz="0" w:space="0" w:color="auto"/>
                                    <w:bottom w:val="none" w:sz="0" w:space="0" w:color="auto"/>
                                    <w:right w:val="none" w:sz="0" w:space="0" w:color="auto"/>
                                  </w:divBdr>
                                  <w:divsChild>
                                    <w:div w:id="1624847351">
                                      <w:marLeft w:val="0"/>
                                      <w:marRight w:val="0"/>
                                      <w:marTop w:val="0"/>
                                      <w:marBottom w:val="0"/>
                                      <w:divBdr>
                                        <w:top w:val="none" w:sz="0" w:space="0" w:color="auto"/>
                                        <w:left w:val="none" w:sz="0" w:space="0" w:color="auto"/>
                                        <w:bottom w:val="none" w:sz="0" w:space="0" w:color="auto"/>
                                        <w:right w:val="none" w:sz="0" w:space="0" w:color="auto"/>
                                      </w:divBdr>
                                    </w:div>
                                    <w:div w:id="223179789">
                                      <w:marLeft w:val="0"/>
                                      <w:marRight w:val="0"/>
                                      <w:marTop w:val="0"/>
                                      <w:marBottom w:val="0"/>
                                      <w:divBdr>
                                        <w:top w:val="none" w:sz="0" w:space="0" w:color="auto"/>
                                        <w:left w:val="none" w:sz="0" w:space="0" w:color="auto"/>
                                        <w:bottom w:val="none" w:sz="0" w:space="0" w:color="auto"/>
                                        <w:right w:val="none" w:sz="0" w:space="0" w:color="auto"/>
                                      </w:divBdr>
                                    </w:div>
                                    <w:div w:id="1854612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5363466">
                      <w:marLeft w:val="0"/>
                      <w:marRight w:val="0"/>
                      <w:marTop w:val="0"/>
                      <w:marBottom w:val="0"/>
                      <w:divBdr>
                        <w:top w:val="none" w:sz="0" w:space="0" w:color="auto"/>
                        <w:left w:val="none" w:sz="0" w:space="0" w:color="auto"/>
                        <w:bottom w:val="none" w:sz="0" w:space="0" w:color="auto"/>
                        <w:right w:val="none" w:sz="0" w:space="0" w:color="auto"/>
                      </w:divBdr>
                      <w:divsChild>
                        <w:div w:id="1546791258">
                          <w:marLeft w:val="0"/>
                          <w:marRight w:val="0"/>
                          <w:marTop w:val="0"/>
                          <w:marBottom w:val="0"/>
                          <w:divBdr>
                            <w:top w:val="none" w:sz="0" w:space="0" w:color="auto"/>
                            <w:left w:val="none" w:sz="0" w:space="0" w:color="auto"/>
                            <w:bottom w:val="none" w:sz="0" w:space="0" w:color="auto"/>
                            <w:right w:val="none" w:sz="0" w:space="0" w:color="auto"/>
                          </w:divBdr>
                          <w:divsChild>
                            <w:div w:id="1899440126">
                              <w:marLeft w:val="0"/>
                              <w:marRight w:val="0"/>
                              <w:marTop w:val="0"/>
                              <w:marBottom w:val="300"/>
                              <w:divBdr>
                                <w:top w:val="none" w:sz="0" w:space="0" w:color="auto"/>
                                <w:left w:val="none" w:sz="0" w:space="0" w:color="auto"/>
                                <w:bottom w:val="none" w:sz="0" w:space="0" w:color="auto"/>
                                <w:right w:val="none" w:sz="0" w:space="0" w:color="auto"/>
                              </w:divBdr>
                              <w:divsChild>
                                <w:div w:id="77025739">
                                  <w:marLeft w:val="0"/>
                                  <w:marRight w:val="0"/>
                                  <w:marTop w:val="0"/>
                                  <w:marBottom w:val="975"/>
                                  <w:divBdr>
                                    <w:top w:val="none" w:sz="0" w:space="0" w:color="auto"/>
                                    <w:left w:val="none" w:sz="0" w:space="0" w:color="auto"/>
                                    <w:bottom w:val="none" w:sz="0" w:space="0" w:color="auto"/>
                                    <w:right w:val="none" w:sz="0" w:space="0" w:color="auto"/>
                                  </w:divBdr>
                                  <w:divsChild>
                                    <w:div w:id="259408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investopedia.com/terms/r/revenue.as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investopedia.com/terms/o/opportunitycost.asp" TargetMode="External"/><Relationship Id="rId5" Type="http://schemas.openxmlformats.org/officeDocument/2006/relationships/hyperlink" Target="http://www.investopedia.com/terms/a/analyst.asp"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448</Words>
  <Characters>2560</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4</cp:revision>
  <dcterms:created xsi:type="dcterms:W3CDTF">2016-11-28T15:47:00Z</dcterms:created>
  <dcterms:modified xsi:type="dcterms:W3CDTF">2016-11-28T15:51:00Z</dcterms:modified>
</cp:coreProperties>
</file>