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D5B3F" w:rsidP="002D5B3F" w:rsidRDefault="009F5CB2" w14:paraId="781571EE" w14:textId="77777777">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94B8EB9" wp14:editId="22AF2527">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52E9D" w:rsidP="008A62BC" w:rsidRDefault="00152E9D" w14:paraId="10854E18" w14:textId="77777777">
                            <w:pPr>
                              <w:pStyle w:val="Heading6"/>
                              <w:pBdr>
                                <w:top w:val="none" w:color="auto" w:sz="0" w:space="0"/>
                                <w:left w:val="none" w:color="auto" w:sz="0" w:space="0"/>
                                <w:bottom w:val="none" w:color="auto" w:sz="0" w:space="0"/>
                                <w:right w:val="none" w:color="auto" w:sz="0" w:space="0"/>
                              </w:pBdr>
                              <w:shd w:val="clear" w:color="auto" w:fill="E0E0E0"/>
                            </w:pPr>
                          </w:p>
                          <w:p w:rsidR="00152E9D" w:rsidP="008A62BC" w:rsidRDefault="00152E9D" w14:paraId="6511A9FC" w14:textId="77777777">
                            <w:pPr>
                              <w:pStyle w:val="Heading6"/>
                              <w:pBdr>
                                <w:top w:val="none" w:color="auto" w:sz="0" w:space="0"/>
                                <w:left w:val="none" w:color="auto" w:sz="0" w:space="0"/>
                                <w:bottom w:val="none" w:color="auto" w:sz="0" w:space="0"/>
                                <w:right w:val="none" w:color="auto" w:sz="0" w:space="0"/>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06CC8F2">
              <v:shapetype id="_x0000_t202" coordsize="21600,21600" o:spt="202" path="m,l,21600r21600,l21600,xe" w14:anchorId="394B8EB9">
                <v:stroke joinstyle="miter"/>
                <v:path gradientshapeok="t" o:connecttype="rect"/>
              </v:shapetype>
              <v:shape id="Text Box 11"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silver" strokecolor="silver"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v:textbox>
                  <w:txbxContent>
                    <w:p w:rsidR="00152E9D" w:rsidP="008A62BC" w:rsidRDefault="00152E9D" w14:paraId="672A6659" w14:textId="77777777">
                      <w:pPr>
                        <w:pStyle w:val="Heading6"/>
                        <w:pBdr>
                          <w:top w:val="none" w:color="auto" w:sz="0" w:space="0"/>
                          <w:left w:val="none" w:color="auto" w:sz="0" w:space="0"/>
                          <w:bottom w:val="none" w:color="auto" w:sz="0" w:space="0"/>
                          <w:right w:val="none" w:color="auto" w:sz="0" w:space="0"/>
                        </w:pBdr>
                        <w:shd w:val="clear" w:color="auto" w:fill="E0E0E0"/>
                      </w:pPr>
                    </w:p>
                    <w:p w:rsidR="00152E9D" w:rsidP="008A62BC" w:rsidRDefault="00152E9D" w14:paraId="7F39FB0E" w14:textId="77777777">
                      <w:pPr>
                        <w:pStyle w:val="Heading6"/>
                        <w:pBdr>
                          <w:top w:val="none" w:color="auto" w:sz="0" w:space="0"/>
                          <w:left w:val="none" w:color="auto" w:sz="0" w:space="0"/>
                          <w:bottom w:val="none" w:color="auto" w:sz="0" w:space="0"/>
                          <w:right w:val="none" w:color="auto" w:sz="0" w:space="0"/>
                        </w:pBdr>
                        <w:shd w:val="clear" w:color="auto" w:fill="E0E0E0"/>
                      </w:pPr>
                      <w:r>
                        <w:t xml:space="preserve">RESULT </w:t>
                      </w:r>
                      <w:r>
                        <w:rPr>
                          <w:noProof/>
                          <w:lang w:eastAsia="en-GB"/>
                        </w:rPr>
                        <w:drawing>
                          <wp:inline distT="0" distB="0" distL="0" distR="0" wp14:anchorId="5BB55071" wp14:editId="7C9635D6">
                            <wp:extent cx="636905" cy="440055"/>
                            <wp:effectExtent l="0" t="0" r="0" b="0"/>
                            <wp:docPr id="2950364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P="002D5B3F" w:rsidRDefault="002D5B3F" w14:paraId="69C0A59A"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44"/>
      </w:tblGrid>
      <w:tr w:rsidRPr="00C1361B" w:rsidR="003A3CE5" w:rsidTr="00A55876" w14:paraId="1140F4D7" w14:textId="77777777">
        <w:tc>
          <w:tcPr>
            <w:tcW w:w="10670" w:type="dxa"/>
            <w:shd w:val="clear" w:color="auto" w:fill="C0C0C0"/>
          </w:tcPr>
          <w:p w:rsidRPr="00BA6B2C" w:rsidR="00BA6B2C" w:rsidP="00681FA9" w:rsidRDefault="0088296F" w14:paraId="1E9E05C0" w14:textId="77777777">
            <w:pPr>
              <w:jc w:val="center"/>
              <w:rPr>
                <w:rFonts w:ascii="Arial" w:hAnsi="Arial" w:cs="Arial"/>
                <w:b/>
                <w:noProof/>
                <w:sz w:val="36"/>
                <w:szCs w:val="36"/>
              </w:rPr>
            </w:pPr>
            <w:r>
              <w:rPr>
                <w:rFonts w:ascii="Arial" w:hAnsi="Arial" w:cs="Arial"/>
                <w:b/>
                <w:noProof/>
                <w:sz w:val="36"/>
                <w:szCs w:val="36"/>
              </w:rPr>
              <w:t>ASSIGNMENT DETAILS</w:t>
            </w:r>
            <w:r w:rsidRPr="00BA6B2C" w:rsidR="00BA6B2C">
              <w:rPr>
                <w:rFonts w:ascii="Arial" w:hAnsi="Arial" w:cs="Arial"/>
                <w:b/>
                <w:noProof/>
                <w:sz w:val="36"/>
                <w:szCs w:val="36"/>
              </w:rPr>
              <w:t xml:space="preserve"> AND FEEDBACK</w:t>
            </w:r>
          </w:p>
          <w:p w:rsidRPr="009F5CB2" w:rsidR="00681FA9" w:rsidP="00681FA9" w:rsidRDefault="00681FA9" w14:paraId="2F4F5371" w14:textId="77777777">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rsidRPr="00BA6B2C" w:rsidR="003A3CE5" w:rsidP="002D5B3F" w:rsidRDefault="00BA6B2C" w14:paraId="03FD86F8" w14:textId="77777777">
      <w:pPr>
        <w:jc w:val="center"/>
        <w:rPr>
          <w:b/>
          <w:i/>
          <w:sz w:val="16"/>
          <w:szCs w:val="16"/>
        </w:rPr>
      </w:pPr>
      <w:r>
        <w:rPr>
          <w:b/>
          <w:i/>
          <w:sz w:val="16"/>
          <w:szCs w:val="16"/>
        </w:rPr>
        <w:t>Sections marked with * should be completed by module lead</w:t>
      </w:r>
    </w:p>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781"/>
        <w:gridCol w:w="2613"/>
        <w:gridCol w:w="2111"/>
      </w:tblGrid>
      <w:tr w:rsidRPr="00C1361B" w:rsidR="003B3F9D" w:rsidTr="001A24F3" w14:paraId="2AE13FB5" w14:textId="77777777">
        <w:tc>
          <w:tcPr>
            <w:tcW w:w="2093" w:type="dxa"/>
            <w:shd w:val="pct15" w:color="auto" w:fill="auto"/>
          </w:tcPr>
          <w:p w:rsidRPr="00C1361B" w:rsidR="003B3F9D" w:rsidP="001E57C1" w:rsidRDefault="003B3F9D" w14:paraId="302F87AD" w14:textId="77777777">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Pr="00C1361B" w:rsidR="003B3F9D" w:rsidP="001E57C1" w:rsidRDefault="0017512A" w14:paraId="2A74B870" w14:textId="3576E37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sidR="003B3F9D">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sidR="003B3F9D">
              <w:rPr>
                <w:b/>
                <w:noProof/>
                <w:sz w:val="22"/>
                <w:szCs w:val="22"/>
              </w:rPr>
              <w:t> </w:t>
            </w:r>
            <w:r w:rsidRPr="00C1361B" w:rsidR="003B3F9D">
              <w:rPr>
                <w:b/>
                <w:noProof/>
                <w:sz w:val="22"/>
                <w:szCs w:val="22"/>
              </w:rPr>
              <w:t> </w:t>
            </w:r>
            <w:r w:rsidRPr="00C1361B" w:rsidR="003B3F9D">
              <w:rPr>
                <w:b/>
                <w:noProof/>
                <w:sz w:val="22"/>
                <w:szCs w:val="22"/>
              </w:rPr>
              <w:t> </w:t>
            </w:r>
            <w:r w:rsidRPr="00C1361B" w:rsidR="003B3F9D">
              <w:rPr>
                <w:b/>
                <w:noProof/>
                <w:sz w:val="22"/>
                <w:szCs w:val="22"/>
              </w:rPr>
              <w:t> </w:t>
            </w:r>
            <w:r w:rsidRPr="00C1361B" w:rsidR="003B3F9D">
              <w:rPr>
                <w:b/>
                <w:noProof/>
                <w:sz w:val="22"/>
                <w:szCs w:val="22"/>
              </w:rPr>
              <w:t> </w:t>
            </w:r>
            <w:r w:rsidRPr="00C1361B">
              <w:rPr>
                <w:rFonts w:ascii="Calibri" w:hAnsi="Calibri" w:cs="Arial"/>
                <w:b/>
                <w:sz w:val="22"/>
                <w:szCs w:val="22"/>
              </w:rPr>
              <w:fldChar w:fldCharType="end"/>
            </w:r>
            <w:r w:rsidR="00AD08B4">
              <w:rPr>
                <w:rFonts w:ascii="Calibri" w:hAnsi="Calibri" w:cs="Arial"/>
                <w:b/>
                <w:sz w:val="22"/>
                <w:szCs w:val="22"/>
              </w:rPr>
              <w:t>Ryan Pendry</w:t>
            </w:r>
          </w:p>
        </w:tc>
        <w:tc>
          <w:tcPr>
            <w:tcW w:w="2613" w:type="dxa"/>
            <w:shd w:val="clear" w:color="auto" w:fill="D9D9D9"/>
          </w:tcPr>
          <w:p w:rsidRPr="00C1361B" w:rsidR="003B3F9D" w:rsidP="001E57C1" w:rsidRDefault="003B3F9D" w14:paraId="5AD46A31" w14:textId="77777777">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Pr="00C1361B" w:rsidR="003B3F9D" w:rsidP="001E57C1" w:rsidRDefault="00AD08B4" w14:paraId="21FABAE9" w14:textId="63843066">
            <w:pPr>
              <w:spacing w:before="120" w:after="120"/>
              <w:jc w:val="both"/>
              <w:rPr>
                <w:rFonts w:ascii="Calibri" w:hAnsi="Calibri" w:cs="Arial"/>
                <w:b/>
                <w:sz w:val="22"/>
                <w:szCs w:val="22"/>
              </w:rPr>
            </w:pPr>
            <w:r>
              <w:rPr>
                <w:rFonts w:ascii="Calibri" w:hAnsi="Calibri" w:cs="Arial"/>
                <w:b/>
                <w:sz w:val="22"/>
                <w:szCs w:val="22"/>
              </w:rPr>
              <w:t>1201627</w:t>
            </w:r>
          </w:p>
        </w:tc>
      </w:tr>
      <w:tr w:rsidRPr="00C1361B" w:rsidR="00DB116D" w:rsidTr="001A24F3" w14:paraId="65B98E61" w14:textId="77777777">
        <w:tc>
          <w:tcPr>
            <w:tcW w:w="2093" w:type="dxa"/>
            <w:shd w:val="pct15" w:color="auto" w:fill="auto"/>
          </w:tcPr>
          <w:p w:rsidRPr="00C1361B" w:rsidR="00DB116D" w:rsidP="00E51AAC" w:rsidRDefault="00DB116D" w14:paraId="1E55CC09" w14:textId="77777777">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Pr="008566E5" w:rsidR="00DB116D" w:rsidP="00B53B62" w:rsidRDefault="007423C5" w14:paraId="5C814178" w14:textId="6C12B008">
            <w:pPr>
              <w:spacing w:before="120" w:after="120"/>
              <w:jc w:val="both"/>
              <w:rPr>
                <w:rFonts w:ascii="Calibri" w:hAnsi="Calibri" w:cs="Arial"/>
                <w:b/>
                <w:sz w:val="22"/>
                <w:szCs w:val="22"/>
              </w:rPr>
            </w:pPr>
            <w:r>
              <w:rPr>
                <w:rFonts w:ascii="Calibri" w:hAnsi="Calibri" w:cs="Arial"/>
                <w:b/>
                <w:sz w:val="22"/>
                <w:szCs w:val="22"/>
              </w:rPr>
              <w:t xml:space="preserve">Secondary </w:t>
            </w:r>
            <w:r w:rsidR="00B53B62">
              <w:rPr>
                <w:rFonts w:ascii="Calibri" w:hAnsi="Calibri" w:cs="Arial"/>
                <w:b/>
                <w:sz w:val="22"/>
                <w:szCs w:val="22"/>
              </w:rPr>
              <w:t>Post</w:t>
            </w:r>
            <w:r>
              <w:rPr>
                <w:rFonts w:ascii="Calibri" w:hAnsi="Calibri" w:cs="Arial"/>
                <w:b/>
                <w:sz w:val="22"/>
                <w:szCs w:val="22"/>
              </w:rPr>
              <w:t xml:space="preserve"> Graduate Certificate in Education</w:t>
            </w:r>
          </w:p>
        </w:tc>
      </w:tr>
      <w:tr w:rsidRPr="00C1361B" w:rsidR="00FB5CF8" w:rsidTr="001A24F3" w14:paraId="2D85E5DF" w14:textId="77777777">
        <w:tc>
          <w:tcPr>
            <w:tcW w:w="2093" w:type="dxa"/>
            <w:shd w:val="pct15" w:color="auto" w:fill="auto"/>
          </w:tcPr>
          <w:p w:rsidRPr="00C1361B" w:rsidR="00FB5CF8" w:rsidP="00E51AAC" w:rsidRDefault="00FB5CF8" w14:paraId="1A980DC3" w14:textId="77777777">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Pr="00C1361B" w:rsidR="00FB5CF8" w:rsidP="00EA6801" w:rsidRDefault="007866E5" w14:paraId="5654A23E" w14:textId="157ED01D">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rsidRPr="00C1361B" w:rsidR="00FB5CF8" w:rsidP="00E51AAC" w:rsidRDefault="00BA6B2C" w14:paraId="07E10B67" w14:textId="77777777">
            <w:pPr>
              <w:spacing w:before="120" w:after="120"/>
              <w:jc w:val="both"/>
              <w:rPr>
                <w:rFonts w:ascii="Calibri" w:hAnsi="Calibri" w:cs="Arial"/>
                <w:b/>
                <w:sz w:val="22"/>
                <w:szCs w:val="22"/>
              </w:rPr>
            </w:pPr>
            <w:r>
              <w:rPr>
                <w:rFonts w:ascii="Calibri" w:hAnsi="Calibri" w:cs="Arial"/>
                <w:b/>
                <w:sz w:val="22"/>
                <w:szCs w:val="22"/>
              </w:rPr>
              <w:t>Module Level (</w:t>
            </w:r>
            <w:r w:rsidRPr="00C1361B" w:rsidR="00FB5CF8">
              <w:rPr>
                <w:rFonts w:ascii="Calibri" w:hAnsi="Calibri" w:cs="Arial"/>
                <w:b/>
                <w:sz w:val="22"/>
                <w:szCs w:val="22"/>
              </w:rPr>
              <w:t>6</w:t>
            </w:r>
            <w:r>
              <w:rPr>
                <w:rFonts w:ascii="Calibri" w:hAnsi="Calibri" w:cs="Arial"/>
                <w:b/>
                <w:sz w:val="22"/>
                <w:szCs w:val="22"/>
              </w:rPr>
              <w:t xml:space="preserve"> or 7</w:t>
            </w:r>
            <w:r w:rsidRPr="00C1361B" w:rsidR="00FB5CF8">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rsidRPr="00C1361B" w:rsidR="00FB5CF8" w:rsidP="007866E5" w:rsidRDefault="007423C5" w14:paraId="5F7F30F4" w14:textId="01FA5467">
            <w:pPr>
              <w:spacing w:before="120" w:after="120"/>
              <w:jc w:val="both"/>
              <w:rPr>
                <w:rFonts w:ascii="Calibri" w:hAnsi="Calibri" w:cs="Arial"/>
                <w:b/>
                <w:sz w:val="22"/>
                <w:szCs w:val="22"/>
              </w:rPr>
            </w:pPr>
            <w:r>
              <w:rPr>
                <w:rFonts w:ascii="Calibri" w:hAnsi="Calibri" w:cs="Arial"/>
                <w:b/>
                <w:sz w:val="22"/>
                <w:szCs w:val="22"/>
              </w:rPr>
              <w:t xml:space="preserve">Level </w:t>
            </w:r>
            <w:r w:rsidR="00B53B62">
              <w:rPr>
                <w:rFonts w:ascii="Calibri" w:hAnsi="Calibri" w:cs="Arial"/>
                <w:b/>
                <w:sz w:val="22"/>
                <w:szCs w:val="22"/>
              </w:rPr>
              <w:t>7</w:t>
            </w:r>
          </w:p>
        </w:tc>
      </w:tr>
      <w:tr w:rsidRPr="00C1361B" w:rsidR="00B84B5B" w:rsidTr="001A24F3" w14:paraId="79A265BB" w14:textId="77777777">
        <w:tc>
          <w:tcPr>
            <w:tcW w:w="2093" w:type="dxa"/>
            <w:shd w:val="pct15" w:color="auto" w:fill="auto"/>
          </w:tcPr>
          <w:p w:rsidRPr="00C1361B" w:rsidR="00B84B5B" w:rsidP="00E51AAC" w:rsidRDefault="00B84B5B" w14:paraId="04D05EB4" w14:textId="77777777">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Pr="00C1361B" w:rsidR="00B84B5B" w:rsidP="00152E9D" w:rsidRDefault="00E3293C" w14:paraId="48CDC5D4" w14:textId="7F227972">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rsidRPr="00C1361B" w:rsidR="00B84B5B" w:rsidP="001E57C1" w:rsidRDefault="00B84B5B" w14:paraId="192B36D3" w14:textId="77777777">
            <w:pPr>
              <w:pStyle w:val="Heading2"/>
              <w:rPr>
                <w:rFonts w:ascii="Calibri" w:hAnsi="Calibri" w:cs="Arial"/>
                <w:sz w:val="22"/>
                <w:szCs w:val="22"/>
              </w:rPr>
            </w:pPr>
            <w:r w:rsidRPr="00C1361B">
              <w:rPr>
                <w:rFonts w:ascii="Calibri" w:hAnsi="Calibri" w:cs="Arial"/>
                <w:sz w:val="22"/>
                <w:szCs w:val="22"/>
              </w:rPr>
              <w:t xml:space="preserve">Contribution to Overall </w:t>
            </w:r>
          </w:p>
          <w:p w:rsidRPr="00C1361B" w:rsidR="00B84B5B" w:rsidP="001E57C1" w:rsidRDefault="00B84B5B" w14:paraId="29E30A34" w14:textId="77777777">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rsidRPr="00C1361B" w:rsidR="00B84B5B" w:rsidP="00E51AAC" w:rsidRDefault="007423C5" w14:paraId="060B46A9" w14:textId="29A14BCA">
            <w:pPr>
              <w:spacing w:before="120" w:after="120"/>
              <w:jc w:val="both"/>
              <w:rPr>
                <w:rFonts w:ascii="Calibri" w:hAnsi="Calibri" w:cs="Arial"/>
                <w:b/>
                <w:sz w:val="22"/>
                <w:szCs w:val="22"/>
              </w:rPr>
            </w:pPr>
            <w:r>
              <w:rPr>
                <w:rFonts w:ascii="Calibri" w:hAnsi="Calibri" w:cs="Arial"/>
                <w:b/>
                <w:sz w:val="22"/>
                <w:szCs w:val="22"/>
              </w:rPr>
              <w:t>100</w:t>
            </w:r>
          </w:p>
        </w:tc>
      </w:tr>
      <w:tr w:rsidRPr="00C1361B" w:rsidR="00BA6B2C" w:rsidTr="00BA6B2C" w14:paraId="4F3D72FF" w14:textId="77777777">
        <w:tc>
          <w:tcPr>
            <w:tcW w:w="2093" w:type="dxa"/>
            <w:shd w:val="pct15" w:color="auto" w:fill="auto"/>
          </w:tcPr>
          <w:p w:rsidRPr="00C1361B" w:rsidR="00BA6B2C" w:rsidP="00E51AAC" w:rsidRDefault="00BA6B2C" w14:paraId="6625BACE" w14:textId="77777777">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Pr="00C1361B" w:rsidR="00BA6B2C" w:rsidP="00E51AAC" w:rsidRDefault="00E3293C" w14:paraId="507C650D" w14:textId="510BBF2B">
            <w:pPr>
              <w:spacing w:before="120" w:after="120"/>
              <w:jc w:val="both"/>
              <w:rPr>
                <w:rFonts w:ascii="Calibri" w:hAnsi="Calibri" w:cs="Arial"/>
                <w:b/>
                <w:sz w:val="22"/>
                <w:szCs w:val="22"/>
              </w:rPr>
            </w:pPr>
            <w:r>
              <w:rPr>
                <w:rFonts w:ascii="Calibri" w:hAnsi="Calibri" w:cs="Arial"/>
                <w:b/>
                <w:sz w:val="22"/>
                <w:szCs w:val="22"/>
              </w:rPr>
              <w:t>Jan Barnes</w:t>
            </w:r>
          </w:p>
        </w:tc>
      </w:tr>
      <w:tr w:rsidRPr="00C1361B" w:rsidR="00DB116D" w:rsidTr="001A24F3" w14:paraId="690C1982" w14:textId="77777777">
        <w:tc>
          <w:tcPr>
            <w:tcW w:w="2093" w:type="dxa"/>
            <w:shd w:val="pct15" w:color="auto" w:fill="auto"/>
          </w:tcPr>
          <w:p w:rsidRPr="00C1361B" w:rsidR="00DB116D" w:rsidP="00E51AAC" w:rsidRDefault="00DB116D" w14:paraId="03718139" w14:textId="77777777">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Pr="00F67644" w:rsidR="00DB116D" w:rsidP="00BC0EEA" w:rsidRDefault="00BC0EEA" w14:paraId="3477205B" w14:textId="4EE1ABF9">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rsidRPr="00C1361B" w:rsidR="00DB116D" w:rsidP="00E51AAC" w:rsidRDefault="00DB116D" w14:paraId="592102D2" w14:textId="77777777">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Pr="00C1361B" w:rsidR="00DB116D" w:rsidP="00E51AAC" w:rsidRDefault="007423C5" w14:paraId="6276223B" w14:textId="0BA4BD3F">
            <w:pPr>
              <w:spacing w:before="120" w:after="120"/>
              <w:jc w:val="both"/>
              <w:rPr>
                <w:rFonts w:ascii="Calibri" w:hAnsi="Calibri" w:cs="Arial"/>
                <w:b/>
                <w:sz w:val="22"/>
                <w:szCs w:val="22"/>
              </w:rPr>
            </w:pPr>
            <w:r>
              <w:rPr>
                <w:rFonts w:ascii="Calibri" w:hAnsi="Calibri" w:cs="Arial"/>
                <w:b/>
                <w:sz w:val="22"/>
                <w:szCs w:val="22"/>
              </w:rPr>
              <w:t>1</w:t>
            </w:r>
          </w:p>
        </w:tc>
      </w:tr>
      <w:tr w:rsidRPr="00C1361B" w:rsidR="00B84B5B" w:rsidTr="001A24F3" w14:paraId="21437509" w14:textId="77777777">
        <w:tc>
          <w:tcPr>
            <w:tcW w:w="2093" w:type="dxa"/>
            <w:shd w:val="pct15" w:color="auto" w:fill="auto"/>
          </w:tcPr>
          <w:p w:rsidRPr="00C1361B" w:rsidR="00B84B5B" w:rsidP="00E51AAC" w:rsidRDefault="00BA6B2C" w14:paraId="103B7588" w14:textId="77777777">
            <w:pPr>
              <w:spacing w:before="120" w:after="120"/>
              <w:jc w:val="both"/>
              <w:rPr>
                <w:rFonts w:ascii="Calibri" w:hAnsi="Calibri" w:cs="Arial"/>
                <w:b/>
                <w:sz w:val="22"/>
                <w:szCs w:val="22"/>
              </w:rPr>
            </w:pPr>
            <w:r>
              <w:rPr>
                <w:rFonts w:ascii="Calibri" w:hAnsi="Calibri" w:cs="Arial"/>
                <w:b/>
                <w:sz w:val="22"/>
                <w:szCs w:val="22"/>
              </w:rPr>
              <w:t>Start date</w:t>
            </w:r>
            <w:r w:rsidRPr="00C1361B" w:rsidR="00B84B5B">
              <w:rPr>
                <w:rFonts w:ascii="Calibri" w:hAnsi="Calibri" w:cs="Arial"/>
                <w:b/>
                <w:sz w:val="22"/>
                <w:szCs w:val="22"/>
              </w:rPr>
              <w:t>:</w:t>
            </w:r>
            <w:r>
              <w:rPr>
                <w:rFonts w:ascii="Calibri" w:hAnsi="Calibri" w:cs="Arial"/>
                <w:b/>
                <w:sz w:val="22"/>
                <w:szCs w:val="22"/>
              </w:rPr>
              <w:t>*</w:t>
            </w:r>
          </w:p>
        </w:tc>
        <w:tc>
          <w:tcPr>
            <w:tcW w:w="3781" w:type="dxa"/>
            <w:shd w:val="clear" w:color="auto" w:fill="auto"/>
          </w:tcPr>
          <w:p w:rsidRPr="00C1361B" w:rsidR="00B84B5B" w:rsidP="005F0579" w:rsidRDefault="00B84B5B" w14:paraId="5418AC0F" w14:textId="77777777">
            <w:pPr>
              <w:spacing w:before="120" w:after="120"/>
              <w:jc w:val="both"/>
              <w:rPr>
                <w:rFonts w:ascii="Calibri" w:hAnsi="Calibri" w:cs="Arial"/>
                <w:b/>
                <w:sz w:val="22"/>
                <w:szCs w:val="22"/>
              </w:rPr>
            </w:pPr>
          </w:p>
        </w:tc>
        <w:tc>
          <w:tcPr>
            <w:tcW w:w="2613" w:type="dxa"/>
            <w:shd w:val="pct15" w:color="auto" w:fill="auto"/>
          </w:tcPr>
          <w:p w:rsidRPr="00C1361B" w:rsidR="00B84B5B" w:rsidP="001E57C1" w:rsidRDefault="00FB5CF8" w14:paraId="518DAA7E" w14:textId="77777777">
            <w:pPr>
              <w:spacing w:before="120" w:after="120"/>
              <w:jc w:val="both"/>
              <w:rPr>
                <w:rFonts w:ascii="Calibri" w:hAnsi="Calibri" w:cs="Arial"/>
                <w:b/>
                <w:sz w:val="22"/>
                <w:szCs w:val="22"/>
              </w:rPr>
            </w:pPr>
            <w:r w:rsidRPr="00C1361B">
              <w:rPr>
                <w:rFonts w:ascii="Calibri" w:hAnsi="Calibri" w:cs="Arial"/>
                <w:b/>
                <w:sz w:val="22"/>
                <w:szCs w:val="22"/>
              </w:rPr>
              <w:t>Submission deadline</w:t>
            </w:r>
            <w:r w:rsidRPr="00C1361B" w:rsidR="00B84B5B">
              <w:rPr>
                <w:rFonts w:ascii="Calibri" w:hAnsi="Calibri" w:cs="Arial"/>
                <w:b/>
                <w:sz w:val="22"/>
                <w:szCs w:val="22"/>
              </w:rPr>
              <w:t>:</w:t>
            </w:r>
            <w:r w:rsidR="00BA6B2C">
              <w:rPr>
                <w:rFonts w:ascii="Calibri" w:hAnsi="Calibri" w:cs="Arial"/>
                <w:b/>
                <w:sz w:val="22"/>
                <w:szCs w:val="22"/>
              </w:rPr>
              <w:t>*</w:t>
            </w:r>
          </w:p>
        </w:tc>
        <w:tc>
          <w:tcPr>
            <w:tcW w:w="2111" w:type="dxa"/>
          </w:tcPr>
          <w:p w:rsidRPr="00C1361B" w:rsidR="00B84B5B" w:rsidP="005F0579" w:rsidRDefault="00BC0EEA" w14:paraId="42D284F5" w14:textId="04BBE341">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4</w:t>
            </w:r>
            <w:r w:rsidRPr="007866E5">
              <w:rPr>
                <w:rFonts w:ascii="Calibri" w:hAnsi="Calibri" w:cs="Arial"/>
                <w:b/>
                <w:sz w:val="22"/>
                <w:szCs w:val="22"/>
                <w:vertAlign w:val="superscript"/>
              </w:rPr>
              <w:t>th</w:t>
            </w:r>
            <w:r w:rsidR="00E3293C">
              <w:rPr>
                <w:rFonts w:ascii="Calibri" w:hAnsi="Calibri" w:cs="Arial"/>
                <w:b/>
                <w:sz w:val="22"/>
                <w:szCs w:val="22"/>
              </w:rPr>
              <w:t xml:space="preserve"> May 2018</w:t>
            </w:r>
            <w:r>
              <w:rPr>
                <w:rFonts w:ascii="Calibri" w:hAnsi="Calibri" w:cs="Arial"/>
                <w:b/>
                <w:sz w:val="22"/>
                <w:szCs w:val="22"/>
              </w:rPr>
              <w:t xml:space="preserve"> –full submission</w:t>
            </w:r>
          </w:p>
        </w:tc>
      </w:tr>
      <w:tr w:rsidRPr="00C1361B" w:rsidR="00152E9D" w:rsidTr="00152E9D" w14:paraId="2269790A" w14:textId="77777777">
        <w:tc>
          <w:tcPr>
            <w:tcW w:w="2093" w:type="dxa"/>
            <w:shd w:val="pct15" w:color="auto" w:fill="auto"/>
          </w:tcPr>
          <w:p w:rsidRPr="00C1361B" w:rsidR="00152E9D" w:rsidP="00E51AAC" w:rsidRDefault="00152E9D" w14:paraId="33ED9F6E" w14:textId="58D4DABE">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Pr="00C1361B" w:rsidR="007866E5" w:rsidP="005F0579" w:rsidRDefault="00BC0EEA" w14:paraId="3E0A0B8A" w14:textId="77D589BB">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1</w:t>
            </w:r>
            <w:r w:rsidRPr="00BC0EEA">
              <w:rPr>
                <w:rFonts w:ascii="Calibri" w:hAnsi="Calibri" w:cs="Arial"/>
                <w:b/>
                <w:sz w:val="22"/>
                <w:szCs w:val="22"/>
                <w:vertAlign w:val="superscript"/>
              </w:rPr>
              <w:t>th</w:t>
            </w:r>
            <w:r>
              <w:rPr>
                <w:rFonts w:ascii="Calibri" w:hAnsi="Calibri" w:cs="Arial"/>
                <w:b/>
                <w:sz w:val="22"/>
                <w:szCs w:val="22"/>
              </w:rPr>
              <w:t xml:space="preserve"> June 201</w:t>
            </w:r>
            <w:r w:rsidR="00E3293C">
              <w:rPr>
                <w:rFonts w:ascii="Calibri" w:hAnsi="Calibri" w:cs="Arial"/>
                <w:b/>
                <w:sz w:val="22"/>
                <w:szCs w:val="22"/>
              </w:rPr>
              <w:t>8</w:t>
            </w:r>
          </w:p>
        </w:tc>
      </w:tr>
    </w:tbl>
    <w:p w:rsidRPr="00C315AF" w:rsidR="00C315AF" w:rsidP="00C315AF" w:rsidRDefault="00C315AF" w14:paraId="4355282F" w14:textId="694E0065">
      <w:pPr>
        <w:rPr>
          <w:vanish/>
        </w:rPr>
      </w:pPr>
    </w:p>
    <w:tbl>
      <w:tblPr>
        <w:tblpPr w:leftFromText="180" w:rightFromText="180" w:vertAnchor="text" w:horzAnchor="margin" w:tblpY="248"/>
        <w:tblW w:w="1059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809"/>
        <w:gridCol w:w="6521"/>
        <w:gridCol w:w="1134"/>
        <w:gridCol w:w="1134"/>
      </w:tblGrid>
      <w:tr w:rsidRPr="00C1361B" w:rsidR="00FB5CF8" w14:paraId="108D345A" w14:textId="77777777">
        <w:trPr>
          <w:trHeight w:val="421"/>
        </w:trPr>
        <w:tc>
          <w:tcPr>
            <w:tcW w:w="1809" w:type="dxa"/>
            <w:tcBorders>
              <w:top w:val="single" w:color="auto" w:sz="6" w:space="0"/>
            </w:tcBorders>
            <w:shd w:val="clear" w:color="auto" w:fill="D9D9D9"/>
          </w:tcPr>
          <w:p w:rsidRPr="00C1361B" w:rsidR="00FB5CF8" w:rsidP="00FB5CF8" w:rsidRDefault="00FB5CF8" w14:paraId="34F36BB7" w14:textId="77777777">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color="auto" w:sz="6" w:space="0"/>
            </w:tcBorders>
          </w:tcPr>
          <w:p w:rsidRPr="008F78C2" w:rsidR="00FB5CF8" w:rsidP="006716C7" w:rsidRDefault="00FB5CF8" w14:paraId="797820BF" w14:textId="7777777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Pr="008F78C2" w:rsidR="008A62BC">
              <w:rPr>
                <w:rFonts w:ascii="Calibri" w:hAnsi="Calibri" w:cs="Arial"/>
                <w:sz w:val="18"/>
                <w:szCs w:val="18"/>
              </w:rPr>
              <w:t xml:space="preserve">e.g. for books: surname of </w:t>
            </w:r>
            <w:r w:rsidRPr="008F78C2">
              <w:rPr>
                <w:rFonts w:ascii="Calibri" w:hAnsi="Calibri" w:cs="Arial"/>
                <w:sz w:val="18"/>
                <w:szCs w:val="18"/>
              </w:rPr>
              <w:t>author and</w:t>
            </w:r>
            <w:r w:rsidRPr="008F78C2" w:rsidR="008A62BC">
              <w:rPr>
                <w:rFonts w:ascii="Calibri" w:hAnsi="Calibri" w:cs="Arial"/>
                <w:sz w:val="18"/>
                <w:szCs w:val="18"/>
              </w:rPr>
              <w:t xml:space="preserve"> initials</w:t>
            </w:r>
            <w:r w:rsidRPr="008F78C2">
              <w:rPr>
                <w:rFonts w:ascii="Calibri" w:hAnsi="Calibri" w:cs="Arial"/>
                <w:sz w:val="18"/>
                <w:szCs w:val="18"/>
              </w:rPr>
              <w:t xml:space="preserve">, </w:t>
            </w:r>
            <w:r w:rsidRPr="008F78C2" w:rsidR="008A62BC">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Pr="008F78C2" w:rsidR="008A62BC">
              <w:rPr>
                <w:rFonts w:ascii="Calibri" w:hAnsi="Calibri" w:cs="Arial"/>
                <w:sz w:val="18"/>
                <w:szCs w:val="18"/>
              </w:rPr>
              <w:t>publisher: place of publication</w:t>
            </w:r>
            <w:r w:rsidRPr="008F78C2">
              <w:rPr>
                <w:rFonts w:ascii="Calibri" w:hAnsi="Calibri" w:cs="Arial"/>
                <w:sz w:val="18"/>
                <w:szCs w:val="18"/>
              </w:rPr>
              <w:t>).</w:t>
            </w:r>
          </w:p>
        </w:tc>
      </w:tr>
      <w:tr w:rsidRPr="00C1361B" w:rsidR="00FB5CF8" w:rsidTr="00BA1176" w14:paraId="14FF598C" w14:textId="77777777">
        <w:trPr>
          <w:trHeight w:val="666"/>
        </w:trPr>
        <w:tc>
          <w:tcPr>
            <w:tcW w:w="1809" w:type="dxa"/>
            <w:tcBorders>
              <w:top w:val="single" w:color="auto" w:sz="6" w:space="0"/>
            </w:tcBorders>
            <w:shd w:val="clear" w:color="auto" w:fill="D9D9D9"/>
          </w:tcPr>
          <w:p w:rsidRPr="00C1361B" w:rsidR="00FB5CF8" w:rsidP="00FB5CF8" w:rsidRDefault="0022746E" w14:paraId="141E2901" w14:textId="77777777">
            <w:pPr>
              <w:rPr>
                <w:rFonts w:ascii="Calibri" w:hAnsi="Calibri" w:cs="Arial"/>
                <w:b/>
                <w:sz w:val="22"/>
                <w:szCs w:val="22"/>
              </w:rPr>
            </w:pPr>
            <w:r>
              <w:rPr>
                <w:rFonts w:ascii="Calibri" w:hAnsi="Calibri" w:cs="Arial"/>
                <w:b/>
                <w:sz w:val="22"/>
                <w:szCs w:val="22"/>
              </w:rPr>
              <w:t>Submission:</w:t>
            </w:r>
          </w:p>
        </w:tc>
        <w:tc>
          <w:tcPr>
            <w:tcW w:w="6521" w:type="dxa"/>
            <w:tcBorders>
              <w:top w:val="single" w:color="auto" w:sz="6" w:space="0"/>
            </w:tcBorders>
          </w:tcPr>
          <w:p w:rsidRPr="00152E9D" w:rsidR="0022746E" w:rsidP="0022746E" w:rsidRDefault="0022746E" w14:paraId="6417C9B4" w14:textId="77777777">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Pr="0022746E" w:rsidR="0022746E" w:rsidP="0022746E" w:rsidRDefault="0022746E" w14:paraId="7FA1DD06" w14:textId="77777777">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color="auto" w:sz="6" w:space="0"/>
            </w:tcBorders>
            <w:shd w:val="clear" w:color="auto" w:fill="D9D9D9"/>
          </w:tcPr>
          <w:p w:rsidRPr="00C1361B" w:rsidR="00FB5CF8" w:rsidP="00FB5CF8" w:rsidRDefault="00FB5CF8" w14:paraId="7FA918D3" w14:textId="77777777">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color="auto" w:sz="6" w:space="0"/>
            </w:tcBorders>
          </w:tcPr>
          <w:p w:rsidRPr="00C1361B" w:rsidR="00FB5CF8" w:rsidP="00FB5CF8" w:rsidRDefault="00FB5CF8" w14:paraId="152A5B5A" w14:textId="77777777">
            <w:pPr>
              <w:rPr>
                <w:rFonts w:ascii="Calibri" w:hAnsi="Calibri" w:cs="Arial"/>
                <w:b/>
              </w:rPr>
            </w:pPr>
          </w:p>
        </w:tc>
      </w:tr>
    </w:tbl>
    <w:p w:rsidRPr="00C315AF" w:rsidR="00C315AF" w:rsidP="00C315AF" w:rsidRDefault="00C315AF" w14:paraId="231B1F23" w14:textId="77777777">
      <w:pPr>
        <w:rPr>
          <w:vanish/>
        </w:rPr>
      </w:pPr>
    </w:p>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464"/>
        <w:gridCol w:w="567"/>
        <w:gridCol w:w="567"/>
      </w:tblGrid>
      <w:tr w:rsidRPr="00BF30FF" w:rsidR="00BA1176" w:rsidTr="00152E9D" w14:paraId="6891BFCE" w14:textId="77777777">
        <w:trPr>
          <w:trHeight w:val="386"/>
        </w:trPr>
        <w:tc>
          <w:tcPr>
            <w:tcW w:w="9464" w:type="dxa"/>
            <w:vMerge w:val="restart"/>
            <w:shd w:val="pct15" w:color="auto" w:fill="auto"/>
          </w:tcPr>
          <w:p w:rsidRPr="00BA1176" w:rsidR="00BA1176" w:rsidP="0022746E" w:rsidRDefault="00BA6B2C" w14:paraId="62863BEF" w14:textId="77777777">
            <w:pPr>
              <w:spacing w:before="120" w:after="120"/>
              <w:jc w:val="both"/>
              <w:rPr>
                <w:rFonts w:ascii="Calibri" w:hAnsi="Calibri" w:cs="Calibri"/>
                <w:b/>
                <w:sz w:val="18"/>
                <w:szCs w:val="18"/>
              </w:rPr>
            </w:pPr>
            <w:r>
              <w:rPr>
                <w:rFonts w:ascii="Calibri" w:hAnsi="Calibri" w:cs="Arial"/>
                <w:sz w:val="18"/>
                <w:szCs w:val="18"/>
              </w:rPr>
              <w:t>Module lead</w:t>
            </w:r>
            <w:r w:rsidRPr="00BA1176" w:rsidR="00152E9D">
              <w:rPr>
                <w:rFonts w:ascii="Calibri" w:hAnsi="Calibri" w:cs="Arial"/>
                <w:sz w:val="18"/>
                <w:szCs w:val="18"/>
              </w:rPr>
              <w:t xml:space="preserve"> to</w:t>
            </w:r>
            <w:r w:rsidR="003B6C95">
              <w:rPr>
                <w:rFonts w:ascii="Calibri" w:hAnsi="Calibri" w:cs="Arial"/>
                <w:sz w:val="18"/>
                <w:szCs w:val="18"/>
              </w:rPr>
              <w:t xml:space="preserve"> </w:t>
            </w:r>
            <w:r w:rsidRPr="00BA1176" w:rsidR="00152E9D">
              <w:rPr>
                <w:rFonts w:ascii="Calibri" w:hAnsi="Calibri" w:cs="Arial"/>
                <w:sz w:val="18"/>
                <w:szCs w:val="18"/>
              </w:rPr>
              <w:t>t</w:t>
            </w:r>
            <w:r w:rsidR="00152E9D">
              <w:rPr>
                <w:rFonts w:ascii="Calibri" w:hAnsi="Calibri" w:cs="Arial"/>
                <w:sz w:val="18"/>
                <w:szCs w:val="18"/>
              </w:rPr>
              <w:t>ick to indicate if a hard copy</w:t>
            </w:r>
            <w:r w:rsidRPr="00BA1176" w:rsidR="00152E9D">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rsidRPr="00BF30FF" w:rsidR="00BA1176" w:rsidP="00B81AD3" w:rsidRDefault="00BA1176" w14:paraId="52B61ED5" w14:textId="77777777">
            <w:pPr>
              <w:spacing w:before="120" w:after="120"/>
              <w:jc w:val="both"/>
              <w:rPr>
                <w:rFonts w:ascii="Calibri" w:hAnsi="Calibri" w:cs="Calibri"/>
                <w:b/>
              </w:rPr>
            </w:pPr>
            <w:r w:rsidRPr="00BF30FF">
              <w:rPr>
                <w:rFonts w:ascii="Calibri" w:hAnsi="Calibri" w:cs="Calibri"/>
                <w:b/>
              </w:rPr>
              <w:t>YES</w:t>
            </w:r>
          </w:p>
        </w:tc>
        <w:tc>
          <w:tcPr>
            <w:tcW w:w="567" w:type="dxa"/>
          </w:tcPr>
          <w:p w:rsidRPr="00BF30FF" w:rsidR="00BA1176" w:rsidP="00B81AD3" w:rsidRDefault="00BA1176" w14:paraId="2FC9B782" w14:textId="77777777">
            <w:pPr>
              <w:spacing w:before="120" w:after="120"/>
              <w:jc w:val="both"/>
              <w:rPr>
                <w:rFonts w:ascii="Calibri" w:hAnsi="Calibri" w:cs="Calibri"/>
                <w:b/>
              </w:rPr>
            </w:pPr>
          </w:p>
        </w:tc>
      </w:tr>
      <w:tr w:rsidRPr="00BF30FF" w:rsidR="00BA1176" w:rsidTr="00152E9D" w14:paraId="2E5F7482" w14:textId="77777777">
        <w:trPr>
          <w:trHeight w:val="408"/>
        </w:trPr>
        <w:tc>
          <w:tcPr>
            <w:tcW w:w="9464" w:type="dxa"/>
            <w:vMerge/>
            <w:shd w:val="pct15" w:color="auto" w:fill="auto"/>
          </w:tcPr>
          <w:p w:rsidRPr="00BF30FF" w:rsidR="00BA1176" w:rsidP="00B81AD3" w:rsidRDefault="00BA1176" w14:paraId="3A7829E9" w14:textId="77777777">
            <w:pPr>
              <w:spacing w:before="120" w:after="120"/>
              <w:jc w:val="both"/>
              <w:rPr>
                <w:rFonts w:ascii="Calibri" w:hAnsi="Calibri" w:cs="Calibri"/>
                <w:b/>
              </w:rPr>
            </w:pPr>
          </w:p>
        </w:tc>
        <w:tc>
          <w:tcPr>
            <w:tcW w:w="567" w:type="dxa"/>
            <w:shd w:val="pct15" w:color="auto" w:fill="auto"/>
          </w:tcPr>
          <w:p w:rsidRPr="00BF30FF" w:rsidR="00BA1176" w:rsidP="00B81AD3" w:rsidRDefault="00BA1176" w14:paraId="2EECB4F3" w14:textId="77777777">
            <w:pPr>
              <w:spacing w:before="120" w:after="120"/>
              <w:jc w:val="both"/>
              <w:rPr>
                <w:rFonts w:ascii="Calibri" w:hAnsi="Calibri" w:cs="Calibri"/>
                <w:b/>
              </w:rPr>
            </w:pPr>
            <w:r w:rsidRPr="00BF30FF">
              <w:rPr>
                <w:rFonts w:ascii="Calibri" w:hAnsi="Calibri" w:cs="Calibri"/>
                <w:b/>
              </w:rPr>
              <w:t>NO</w:t>
            </w:r>
          </w:p>
        </w:tc>
        <w:tc>
          <w:tcPr>
            <w:tcW w:w="567" w:type="dxa"/>
          </w:tcPr>
          <w:p w:rsidRPr="00BF30FF" w:rsidR="00BA1176" w:rsidP="00B81AD3" w:rsidRDefault="007423C5" w14:paraId="49E697EE" w14:textId="44D97981">
            <w:pPr>
              <w:spacing w:before="120" w:after="120"/>
              <w:jc w:val="both"/>
              <w:rPr>
                <w:rFonts w:ascii="Calibri" w:hAnsi="Calibri" w:cs="Calibri"/>
                <w:b/>
              </w:rPr>
            </w:pPr>
            <w:r>
              <w:rPr>
                <w:rFonts w:ascii="Calibri" w:hAnsi="Calibri" w:cs="Calibri"/>
                <w:b/>
              </w:rPr>
              <w:t>√</w:t>
            </w:r>
          </w:p>
        </w:tc>
      </w:tr>
    </w:tbl>
    <w:p w:rsidR="0028204E" w:rsidP="00DB116D" w:rsidRDefault="0028204E" w14:paraId="1F055A0C" w14:textId="77777777">
      <w:pPr>
        <w:rPr>
          <w:sz w:val="32"/>
        </w:rPr>
      </w:pPr>
    </w:p>
    <w:p w:rsidR="00152E9D" w:rsidP="00DB116D" w:rsidRDefault="00152E9D" w14:paraId="2B5C4864" w14:textId="77777777">
      <w:pPr>
        <w:rPr>
          <w:rFonts w:ascii="Calibri" w:hAnsi="Calibri" w:cs="Calibri"/>
          <w:b/>
        </w:rPr>
      </w:pPr>
    </w:p>
    <w:p w:rsidR="00AD08B4" w:rsidP="00AD08B4" w:rsidRDefault="00AD08B4" w14:paraId="325DD5ED" w14:textId="77777777">
      <w:pPr>
        <w:spacing w:line="480" w:lineRule="auto"/>
        <w:jc w:val="center"/>
        <w:rPr>
          <w:rFonts w:ascii="Arial" w:hAnsi="Arial" w:cs="Arial"/>
          <w:b/>
          <w:sz w:val="22"/>
          <w:szCs w:val="22"/>
        </w:rPr>
      </w:pPr>
    </w:p>
    <w:p w:rsidR="00AD08B4" w:rsidP="00AD08B4" w:rsidRDefault="00AD08B4" w14:paraId="64C8E284" w14:textId="77777777">
      <w:pPr>
        <w:spacing w:line="480" w:lineRule="auto"/>
        <w:jc w:val="center"/>
        <w:rPr>
          <w:rFonts w:ascii="Arial" w:hAnsi="Arial" w:cs="Arial"/>
          <w:b/>
          <w:sz w:val="22"/>
          <w:szCs w:val="22"/>
        </w:rPr>
      </w:pPr>
    </w:p>
    <w:p w:rsidR="00AD08B4" w:rsidP="00AD08B4" w:rsidRDefault="00AD08B4" w14:paraId="5E50D777" w14:textId="77777777">
      <w:pPr>
        <w:spacing w:line="480" w:lineRule="auto"/>
        <w:jc w:val="center"/>
        <w:rPr>
          <w:rFonts w:ascii="Arial" w:hAnsi="Arial" w:cs="Arial"/>
          <w:b/>
          <w:sz w:val="22"/>
          <w:szCs w:val="22"/>
        </w:rPr>
      </w:pPr>
    </w:p>
    <w:p w:rsidR="00AD08B4" w:rsidP="00AD08B4" w:rsidRDefault="00AD08B4" w14:paraId="2BC13F6A" w14:textId="77777777">
      <w:pPr>
        <w:spacing w:line="480" w:lineRule="auto"/>
        <w:jc w:val="center"/>
        <w:rPr>
          <w:rFonts w:ascii="Arial" w:hAnsi="Arial" w:cs="Arial"/>
          <w:b/>
          <w:sz w:val="22"/>
          <w:szCs w:val="22"/>
        </w:rPr>
      </w:pPr>
    </w:p>
    <w:p w:rsidRPr="00FF4E3C" w:rsidR="00AD08B4" w:rsidP="00AD08B4" w:rsidRDefault="00AD08B4" w14:paraId="7108639F" w14:textId="5E66E08C">
      <w:pPr>
        <w:spacing w:line="480" w:lineRule="auto"/>
        <w:jc w:val="center"/>
        <w:rPr>
          <w:rFonts w:ascii="Arial" w:hAnsi="Arial" w:cs="Arial"/>
          <w:b/>
          <w:sz w:val="22"/>
          <w:szCs w:val="22"/>
        </w:rPr>
      </w:pPr>
      <w:r w:rsidRPr="00FF4E3C">
        <w:rPr>
          <w:rFonts w:ascii="Arial" w:hAnsi="Arial" w:cs="Arial"/>
          <w:b/>
          <w:sz w:val="22"/>
          <w:szCs w:val="22"/>
        </w:rPr>
        <w:lastRenderedPageBreak/>
        <w:t>To what extent does targeted questioning impact the outcomes of male pupils?</w:t>
      </w:r>
    </w:p>
    <w:p w:rsidRPr="00FF4E3C" w:rsidR="00AD08B4" w:rsidP="00AD08B4" w:rsidRDefault="00AD08B4" w14:paraId="69E2BE9A" w14:textId="77777777">
      <w:pPr>
        <w:spacing w:line="480" w:lineRule="auto"/>
        <w:rPr>
          <w:rFonts w:ascii="Arial" w:hAnsi="Arial" w:cs="Arial"/>
          <w:b/>
          <w:sz w:val="22"/>
          <w:szCs w:val="22"/>
          <w:u w:val="single"/>
        </w:rPr>
      </w:pPr>
      <w:r w:rsidRPr="00FF4E3C">
        <w:rPr>
          <w:rFonts w:ascii="Arial" w:hAnsi="Arial" w:cs="Arial"/>
          <w:b/>
          <w:sz w:val="22"/>
          <w:szCs w:val="22"/>
          <w:u w:val="single"/>
        </w:rPr>
        <w:t>Introduction</w:t>
      </w:r>
    </w:p>
    <w:p w:rsidRPr="00FF4E3C" w:rsidR="00AD08B4" w:rsidP="00AD08B4" w:rsidRDefault="00AD08B4" w14:paraId="3AB703D2" w14:textId="77777777">
      <w:pPr>
        <w:spacing w:line="480" w:lineRule="auto"/>
        <w:rPr>
          <w:rFonts w:ascii="Arial" w:hAnsi="Arial" w:cs="Arial"/>
          <w:sz w:val="22"/>
          <w:szCs w:val="22"/>
        </w:rPr>
      </w:pPr>
      <w:r w:rsidRPr="00FF4E3C">
        <w:rPr>
          <w:rFonts w:ascii="Arial" w:hAnsi="Arial" w:cs="Arial"/>
          <w:sz w:val="22"/>
          <w:szCs w:val="22"/>
        </w:rPr>
        <w:t xml:space="preserve">This paper will examine the effect of targeted questioning on 12-13-year-old (Year 8) male pupils in a school, hereby known as School X, in South Wales. The class that have participated in this study are a second set class (out of a possible five sets) of 33 pupils, however only 26 pupils participated in the study. Targeted questioning was chosen as the area of focus for this study as the literature that surrounds the topic highlights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benefits to employing such an approach. Primarily, targeted questioning was chosen </w:t>
      </w:r>
      <w:proofErr w:type="gramStart"/>
      <w:r w:rsidRPr="00FF4E3C">
        <w:rPr>
          <w:rFonts w:ascii="Arial" w:hAnsi="Arial" w:cs="Arial"/>
          <w:sz w:val="22"/>
          <w:szCs w:val="22"/>
        </w:rPr>
        <w:t>so as to</w:t>
      </w:r>
      <w:proofErr w:type="gramEnd"/>
      <w:r w:rsidRPr="00FF4E3C">
        <w:rPr>
          <w:rFonts w:ascii="Arial" w:hAnsi="Arial" w:cs="Arial"/>
          <w:sz w:val="22"/>
          <w:szCs w:val="22"/>
        </w:rPr>
        <w:t xml:space="preserve"> try and increase the levels of pupil engagement in the classroom by trying to gradually reduce, and eventually eliminate, the number of passive learners in lessons. This study has attempted to measure the effect targeted questioning has on pupil engagement by tracking pupil outcomes. </w:t>
      </w:r>
    </w:p>
    <w:p w:rsidRPr="00FF4E3C" w:rsidR="00AD08B4" w:rsidP="00AD08B4" w:rsidRDefault="00AD08B4" w14:paraId="1A1A5C05" w14:textId="77777777">
      <w:pPr>
        <w:spacing w:line="480" w:lineRule="auto"/>
        <w:rPr>
          <w:rFonts w:ascii="Arial" w:hAnsi="Arial" w:cs="Arial"/>
          <w:b/>
          <w:sz w:val="22"/>
          <w:szCs w:val="22"/>
          <w:u w:val="single"/>
        </w:rPr>
      </w:pPr>
      <w:r w:rsidRPr="00FF4E3C">
        <w:rPr>
          <w:rFonts w:ascii="Arial" w:hAnsi="Arial" w:cs="Arial"/>
          <w:b/>
          <w:sz w:val="22"/>
          <w:szCs w:val="22"/>
          <w:u w:val="single"/>
        </w:rPr>
        <w:t>Literature Review</w:t>
      </w:r>
    </w:p>
    <w:p w:rsidRPr="00FF4E3C" w:rsidR="00AD08B4" w:rsidP="458E60EB" w:rsidRDefault="00AD08B4" w14:paraId="0048DF4C" w14:textId="1DA779F5">
      <w:pPr>
        <w:spacing w:line="480" w:lineRule="auto"/>
        <w:rPr>
          <w:rFonts w:ascii="Arial" w:hAnsi="Arial" w:cs="Arial"/>
          <w:sz w:val="22"/>
          <w:szCs w:val="22"/>
        </w:rPr>
      </w:pPr>
      <w:r w:rsidRPr="00FF4E3C">
        <w:rPr>
          <w:rFonts w:ascii="Arial" w:hAnsi="Arial" w:cs="Arial"/>
          <w:sz w:val="22"/>
          <w:szCs w:val="22"/>
        </w:rPr>
        <w:t xml:space="preserve">Questioning in the classroom is part of a teacher’s toolbox of Assessment for Learning strategies (hereby referred to as AFL). AFL has been defined as “any assessment for which the first priority in its design and practice is to serve the purpose of promoting pupils’ learning” </w:t>
      </w:r>
      <w:r w:rsidRPr="00FF4E3C">
        <w:rPr>
          <w:rFonts w:ascii="Arial" w:hAnsi="Arial" w:cs="Arial"/>
          <w:noProof/>
          <w:sz w:val="22"/>
          <w:szCs w:val="22"/>
        </w:rPr>
        <w:t xml:space="preserve">(Black, et al., 2002; Wiliam, 2009). Therefore, AFL is any method of assessment which aims to improve pupil learning rather than measue outcomes for ranking. </w:t>
      </w:r>
      <w:r w:rsidRPr="00FF4E3C">
        <w:rPr>
          <w:rFonts w:ascii="Arial" w:hAnsi="Arial" w:cs="Arial"/>
          <w:sz w:val="22"/>
          <w:szCs w:val="22"/>
        </w:rPr>
        <w:t xml:space="preserve">Dialogue, in the form of questioning, between teachers and pupils has always been part of the classroom environment but has not always been done effectively. The traditional method of questioning, where a teacher would ask simple, low level questions in order to progress the lesson, has proven to have no real benefit on the pupils’ learning; rather teachers should use questioning as a means of challenging their pupils and ensuring that all pupils are engaged with lesson </w:t>
      </w:r>
      <w:sdt>
        <w:sdtPr>
          <w:rPr>
            <w:rFonts w:ascii="Arial" w:hAnsi="Arial" w:cs="Arial"/>
            <w:sz w:val="22"/>
            <w:szCs w:val="22"/>
          </w:rPr>
          <w:id w:val="331881305"/>
          <w:citation/>
        </w:sdtPr>
        <w:sdtContent>
          <w:r w:rsidRPr="00FF4E3C">
            <w:rPr>
              <w:rFonts w:ascii="Arial" w:hAnsi="Arial" w:cs="Arial"/>
              <w:sz w:val="22"/>
              <w:szCs w:val="22"/>
            </w:rPr>
            <w:fldChar w:fldCharType="begin"/>
          </w:r>
          <w:r w:rsidRPr="00FF4E3C">
            <w:rPr>
              <w:rFonts w:ascii="Arial" w:hAnsi="Arial" w:cs="Arial"/>
              <w:sz w:val="22"/>
              <w:szCs w:val="22"/>
            </w:rPr>
            <w:instrText xml:space="preserve">CITATION Bla98 \p 11-12 \l 2057 </w:instrText>
          </w:r>
          <w:r w:rsidRPr="00FF4E3C">
            <w:rPr>
              <w:rFonts w:ascii="Arial" w:hAnsi="Arial" w:cs="Arial"/>
              <w:sz w:val="22"/>
              <w:szCs w:val="22"/>
            </w:rPr>
            <w:fldChar w:fldCharType="separate"/>
          </w:r>
          <w:r w:rsidRPr="00FF4E3C">
            <w:rPr>
              <w:rFonts w:ascii="Arial" w:hAnsi="Arial" w:cs="Arial"/>
              <w:noProof/>
              <w:sz w:val="22"/>
              <w:szCs w:val="22"/>
            </w:rPr>
            <w:t>(Black &amp; Wiliam, 1998, pp. 11-12)</w:t>
          </w:r>
          <w:r w:rsidRPr="00FF4E3C">
            <w:rPr>
              <w:rFonts w:ascii="Arial" w:hAnsi="Arial" w:cs="Arial"/>
              <w:sz w:val="22"/>
              <w:szCs w:val="22"/>
            </w:rPr>
            <w:fldChar w:fldCharType="end"/>
          </w:r>
        </w:sdtContent>
      </w:sdt>
      <w:r w:rsidRPr="00FF4E3C">
        <w:rPr>
          <w:rFonts w:ascii="Arial" w:hAnsi="Arial" w:cs="Arial"/>
          <w:sz w:val="22"/>
          <w:szCs w:val="22"/>
        </w:rPr>
        <w:t xml:space="preserve">. It would often be the case that only a small handful of the pupils in the class would offer up any answers to these sorts of questions and would therefore possibly be the only ones engaged with the lesson. This is a sentiment that is echoed by the idea of a classroom being split into two camps of pupils; one camp who willingly participate in discussions and engage with the lesson, and a second camp who choose not to engage with the lesson and are therefore being left behind their peers in terms of their progress </w:t>
      </w:r>
      <w:sdt>
        <w:sdtPr>
          <w:rPr>
            <w:rFonts w:ascii="Arial" w:hAnsi="Arial" w:cs="Arial"/>
            <w:sz w:val="22"/>
            <w:szCs w:val="22"/>
          </w:rPr>
          <w:id w:val="64221083"/>
          <w:citation/>
        </w:sdtPr>
        <w:sdtContent>
          <w:r w:rsidRPr="00FF4E3C">
            <w:rPr>
              <w:rFonts w:ascii="Arial" w:hAnsi="Arial" w:cs="Arial"/>
              <w:sz w:val="22"/>
              <w:szCs w:val="22"/>
            </w:rPr>
            <w:fldChar w:fldCharType="begin"/>
          </w:r>
          <w:r w:rsidRPr="00FF4E3C">
            <w:rPr>
              <w:rFonts w:ascii="Arial" w:hAnsi="Arial" w:cs="Arial"/>
              <w:sz w:val="22"/>
              <w:szCs w:val="22"/>
            </w:rPr>
            <w:instrText xml:space="preserve">CITATION All15 \p 202 \l 2057 </w:instrText>
          </w:r>
          <w:r w:rsidRPr="00FF4E3C">
            <w:rPr>
              <w:rFonts w:ascii="Arial" w:hAnsi="Arial" w:cs="Arial"/>
              <w:sz w:val="22"/>
              <w:szCs w:val="22"/>
            </w:rPr>
            <w:fldChar w:fldCharType="separate"/>
          </w:r>
          <w:r w:rsidRPr="00FF4E3C">
            <w:rPr>
              <w:rFonts w:ascii="Arial" w:hAnsi="Arial" w:cs="Arial"/>
              <w:noProof/>
              <w:sz w:val="22"/>
              <w:szCs w:val="22"/>
            </w:rPr>
            <w:t>(Allison, et al., 2015, p. 202)</w:t>
          </w:r>
          <w:r w:rsidRPr="00FF4E3C">
            <w:rPr>
              <w:rFonts w:ascii="Arial" w:hAnsi="Arial" w:cs="Arial"/>
              <w:sz w:val="22"/>
              <w:szCs w:val="22"/>
            </w:rPr>
            <w:fldChar w:fldCharType="end"/>
          </w:r>
        </w:sdtContent>
      </w:sdt>
      <w:r w:rsidRPr="00FF4E3C">
        <w:rPr>
          <w:rFonts w:ascii="Arial" w:hAnsi="Arial" w:cs="Arial"/>
          <w:sz w:val="22"/>
          <w:szCs w:val="22"/>
        </w:rPr>
        <w:t xml:space="preserve">.  This theme is further evident in</w:t>
      </w:r>
      <w:r w:rsidRPr="00FF4E3C">
        <w:rPr>
          <w:rFonts w:ascii="Arial" w:hAnsi="Arial" w:cs="Arial"/>
          <w:sz w:val="22"/>
          <w:szCs w:val="22"/>
        </w:rPr>
        <w:t xml:space="preserve"> </w:t>
      </w:r>
      <w:proofErr w:type="spellStart"/>
      <w:r w:rsidRPr="00FF4E3C">
        <w:rPr>
          <w:rFonts w:ascii="Arial" w:hAnsi="Arial" w:cs="Arial"/>
          <w:sz w:val="22"/>
          <w:szCs w:val="22"/>
        </w:rPr>
        <w:t xml:space="preserve">Wiliam</w:t>
      </w:r>
      <w:proofErr w:type="spellEnd"/>
      <w:r w:rsidRPr="00FF4E3C">
        <w:rPr>
          <w:rFonts w:ascii="Arial" w:hAnsi="Arial" w:cs="Arial"/>
          <w:sz w:val="22"/>
          <w:szCs w:val="22"/>
        </w:rPr>
        <w:t xml:space="preserve"> (2011) </w:t>
      </w:r>
      <w:r w:rsidRPr="00FF4E3C">
        <w:rPr>
          <w:rFonts w:ascii="Arial" w:hAnsi="Arial" w:cs="Arial"/>
          <w:sz w:val="22"/>
          <w:szCs w:val="22"/>
        </w:rPr>
        <w:t xml:space="preserve">where he </w:t>
      </w:r>
      <w:r w:rsidRPr="00FF4E3C">
        <w:rPr>
          <w:rFonts w:ascii="Arial" w:hAnsi="Arial" w:cs="Arial"/>
          <w:sz w:val="22"/>
          <w:szCs w:val="22"/>
        </w:rPr>
        <w:t xml:space="preserve">states that only those that choose to participate in the lesson are expanding their knowledge base, whilst the rest are “forgoing the opportunities to increase their ability.” Here, </w:t>
      </w:r>
      <w:proofErr w:type="spellStart"/>
      <w:r w:rsidRPr="00FF4E3C">
        <w:rPr>
          <w:rFonts w:ascii="Arial" w:hAnsi="Arial" w:cs="Arial"/>
          <w:sz w:val="22"/>
          <w:szCs w:val="22"/>
        </w:rPr>
        <w:t xml:space="preserve">Wiliam</w:t>
      </w:r>
      <w:proofErr w:type="spellEnd"/>
      <w:r w:rsidRPr="00FF4E3C">
        <w:rPr>
          <w:rFonts w:ascii="Arial" w:hAnsi="Arial" w:cs="Arial"/>
          <w:sz w:val="22"/>
          <w:szCs w:val="22"/>
        </w:rPr>
        <w:t xml:space="preserve"> is highlighting a failure on the part of the teacher. It is the responsibility of the teacher to ensure all pupils are progressing in their lessons, and by allow pupils to be passive learners, the teacher is failing their pupils. In their seminal work on effective </w:t>
      </w:r>
      <w:r w:rsidRPr="00FF4E3C">
        <w:rPr>
          <w:rFonts w:ascii="Arial" w:hAnsi="Arial" w:cs="Arial"/>
          <w:sz w:val="22"/>
          <w:szCs w:val="22"/>
        </w:rPr>
        <w:lastRenderedPageBreak/>
        <w:t xml:space="preserve">assessment in the classroom, Black &amp; Wiliam (1998) highlighted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techniques that could be employed by classroom practitioners to improve the standard of their questioning, helping to ensure that as many pupils as possible were engaging with the lesson, and therefore benefitting from the teaching and not being failed by their teacher. This work has been substantially built upon in the past twenty years, with effective questioning becoming a focus for many in the field. </w:t>
      </w:r>
    </w:p>
    <w:p w:rsidRPr="00FF4E3C" w:rsidR="00AD08B4" w:rsidP="00AD08B4" w:rsidRDefault="00AD08B4" w14:paraId="06AB11EC"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Questioning in the classroom has been thoroughly examined, and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common flaws have been highlighted, and consequently solutions have been offered. A common fault within questioning lay around the delay between question and answer. It was commonly the case that teachers would pose a question and leave very little time for the pupils to respond, with only those that were answered in this brief window being accepted as questions that “work”</w:t>
      </w:r>
      <w:sdt>
        <w:sdtPr>
          <w:rPr>
            <w:rFonts w:ascii="Arial" w:hAnsi="Arial" w:cs="Arial"/>
            <w:sz w:val="22"/>
            <w:szCs w:val="22"/>
          </w:rPr>
          <w:id w:val="190033346"/>
          <w:citation/>
        </w:sdtPr>
        <w:sdtContent>
          <w:r w:rsidRPr="00FF4E3C">
            <w:rPr>
              <w:rFonts w:ascii="Arial" w:hAnsi="Arial" w:cs="Arial"/>
              <w:sz w:val="22"/>
              <w:szCs w:val="22"/>
            </w:rPr>
            <w:fldChar w:fldCharType="begin"/>
          </w:r>
          <w:r w:rsidRPr="00FF4E3C">
            <w:rPr>
              <w:rFonts w:ascii="Arial" w:hAnsi="Arial" w:cs="Arial"/>
              <w:sz w:val="22"/>
              <w:szCs w:val="22"/>
            </w:rPr>
            <w:instrText xml:space="preserve">CITATION Bla04 \p 5 \l 2057 </w:instrText>
          </w:r>
          <w:r w:rsidRPr="00FF4E3C">
            <w:rPr>
              <w:rFonts w:ascii="Arial" w:hAnsi="Arial" w:cs="Arial"/>
              <w:sz w:val="22"/>
              <w:szCs w:val="22"/>
            </w:rPr>
            <w:fldChar w:fldCharType="separate"/>
          </w:r>
          <w:r w:rsidRPr="00FF4E3C">
            <w:rPr>
              <w:rFonts w:ascii="Arial" w:hAnsi="Arial" w:cs="Arial"/>
              <w:noProof/>
              <w:sz w:val="22"/>
              <w:szCs w:val="22"/>
            </w:rPr>
            <w:t xml:space="preserve"> (Black, et al., 2002, p. 5)</w:t>
          </w:r>
          <w:r w:rsidRPr="00FF4E3C">
            <w:rPr>
              <w:rFonts w:ascii="Arial" w:hAnsi="Arial" w:cs="Arial"/>
              <w:sz w:val="22"/>
              <w:szCs w:val="22"/>
            </w:rPr>
            <w:fldChar w:fldCharType="end"/>
          </w:r>
        </w:sdtContent>
      </w:sdt>
      <w:r w:rsidRPr="00FF4E3C">
        <w:rPr>
          <w:rFonts w:ascii="Arial" w:hAnsi="Arial" w:cs="Arial"/>
          <w:sz w:val="22"/>
          <w:szCs w:val="22"/>
        </w:rPr>
        <w:t xml:space="preserve">. This often meant that questions were only being used as a means of recalling simple facts, rather than challenging the pupils to provide more in-depth answers, with explanations that would help improve the thinking and communication skills of the pupils (Ibid, pp. 5-6). A simple solution to this can be found by allowing more time between asking the question and expecting an answer from the pupils, but this proved to be a difficult concept to grasp and adapt to for many teachers who were comfortable with their techniques. A period of silence where the pupils are simply thinking about the answer to a question could be interpreted as a bad thing, but this time allows pupils to formulate higher quality answers, whilst also implicitly alerting the pupils to the fact that an in-depth answer is required to the question (ibid). A way in which to achieve this period of silent reflection and ensure that all pupils are engaged and prepared to answer is to adapt the technique known as “pose, pause, pounce, bounce”. Here, you ask a question and allow time for pupils to formulate an answer before addressing the question to an individual. You then “bounce” a further question to another pupil who expands on the answer of the previous </w:t>
      </w:r>
      <w:sdt>
        <w:sdtPr>
          <w:rPr>
            <w:rFonts w:ascii="Arial" w:hAnsi="Arial" w:cs="Arial"/>
            <w:sz w:val="22"/>
            <w:szCs w:val="22"/>
          </w:rPr>
          <w:id w:val="-735163631"/>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Wil111 \l 2057 </w:instrText>
          </w:r>
          <w:r w:rsidRPr="00FF4E3C">
            <w:rPr>
              <w:rFonts w:ascii="Arial" w:hAnsi="Arial" w:cs="Arial"/>
              <w:sz w:val="22"/>
              <w:szCs w:val="22"/>
            </w:rPr>
            <w:fldChar w:fldCharType="separate"/>
          </w:r>
          <w:r w:rsidRPr="00FF4E3C">
            <w:rPr>
              <w:rFonts w:ascii="Arial" w:hAnsi="Arial" w:cs="Arial"/>
              <w:noProof/>
              <w:sz w:val="22"/>
              <w:szCs w:val="22"/>
            </w:rPr>
            <w:t>(Wiliam, 2011)</w:t>
          </w:r>
          <w:r w:rsidRPr="00FF4E3C">
            <w:rPr>
              <w:rFonts w:ascii="Arial" w:hAnsi="Arial" w:cs="Arial"/>
              <w:sz w:val="22"/>
              <w:szCs w:val="22"/>
            </w:rPr>
            <w:fldChar w:fldCharType="end"/>
          </w:r>
        </w:sdtContent>
      </w:sdt>
      <w:r w:rsidRPr="00FF4E3C">
        <w:rPr>
          <w:rFonts w:ascii="Arial" w:hAnsi="Arial" w:cs="Arial"/>
          <w:sz w:val="22"/>
          <w:szCs w:val="22"/>
        </w:rPr>
        <w:t xml:space="preserve">. By employing this questioning technique, pupils are unaware of whom the teacher intends to ask a question of and are therefore forced to think of an answer in case they are selected. By bouncing the question to another pupil or directing a follow up question to the same pupil, you are forcing pupils to make links between any new learning and previous knowledge, and reinforcing the fact that superficial, basic answers are not sufficient in your classroom </w:t>
      </w:r>
      <w:sdt>
        <w:sdtPr>
          <w:rPr>
            <w:rFonts w:ascii="Arial" w:hAnsi="Arial" w:cs="Arial"/>
            <w:sz w:val="22"/>
            <w:szCs w:val="22"/>
          </w:rPr>
          <w:id w:val="-427120559"/>
          <w:citation/>
        </w:sdtPr>
        <w:sdtContent>
          <w:r w:rsidRPr="00FF4E3C">
            <w:rPr>
              <w:rFonts w:ascii="Arial" w:hAnsi="Arial" w:cs="Arial"/>
              <w:sz w:val="22"/>
              <w:szCs w:val="22"/>
            </w:rPr>
            <w:fldChar w:fldCharType="begin"/>
          </w:r>
          <w:r w:rsidRPr="00FF4E3C">
            <w:rPr>
              <w:rFonts w:ascii="Arial" w:hAnsi="Arial" w:cs="Arial"/>
              <w:sz w:val="22"/>
              <w:szCs w:val="22"/>
            </w:rPr>
            <w:instrText xml:space="preserve">CITATION All15 \p 206 \l 2057 </w:instrText>
          </w:r>
          <w:r w:rsidRPr="00FF4E3C">
            <w:rPr>
              <w:rFonts w:ascii="Arial" w:hAnsi="Arial" w:cs="Arial"/>
              <w:sz w:val="22"/>
              <w:szCs w:val="22"/>
            </w:rPr>
            <w:fldChar w:fldCharType="separate"/>
          </w:r>
          <w:r w:rsidRPr="00FF4E3C">
            <w:rPr>
              <w:rFonts w:ascii="Arial" w:hAnsi="Arial" w:cs="Arial"/>
              <w:noProof/>
              <w:sz w:val="22"/>
              <w:szCs w:val="22"/>
            </w:rPr>
            <w:t>(Allison, et al., 2015, p. 206)</w:t>
          </w:r>
          <w:r w:rsidRPr="00FF4E3C">
            <w:rPr>
              <w:rFonts w:ascii="Arial" w:hAnsi="Arial" w:cs="Arial"/>
              <w:sz w:val="22"/>
              <w:szCs w:val="22"/>
            </w:rPr>
            <w:fldChar w:fldCharType="end"/>
          </w:r>
        </w:sdtContent>
      </w:sdt>
      <w:r w:rsidRPr="00FF4E3C">
        <w:rPr>
          <w:rFonts w:ascii="Arial" w:hAnsi="Arial" w:cs="Arial"/>
          <w:sz w:val="22"/>
          <w:szCs w:val="22"/>
        </w:rPr>
        <w:t xml:space="preserve">. Tackling the apparent “Culture of Disengagement” through involuntary participation is one of the three key criteria of “Highly Effective Questioning”, asking pupils questions with the sole intention of ensuring their engagement in the lesson </w:t>
      </w:r>
      <w:sdt>
        <w:sdtPr>
          <w:rPr>
            <w:rFonts w:ascii="Arial" w:hAnsi="Arial" w:cs="Arial"/>
            <w:sz w:val="22"/>
            <w:szCs w:val="22"/>
          </w:rPr>
          <w:id w:val="767586952"/>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Han09 \l 2057 </w:instrText>
          </w:r>
          <w:r w:rsidRPr="00FF4E3C">
            <w:rPr>
              <w:rFonts w:ascii="Arial" w:hAnsi="Arial" w:cs="Arial"/>
              <w:sz w:val="22"/>
              <w:szCs w:val="22"/>
            </w:rPr>
            <w:fldChar w:fldCharType="separate"/>
          </w:r>
          <w:r w:rsidRPr="00FF4E3C">
            <w:rPr>
              <w:rFonts w:ascii="Arial" w:hAnsi="Arial" w:cs="Arial"/>
              <w:noProof/>
              <w:sz w:val="22"/>
              <w:szCs w:val="22"/>
            </w:rPr>
            <w:t>(Hannel, 2009)</w:t>
          </w:r>
          <w:r w:rsidRPr="00FF4E3C">
            <w:rPr>
              <w:rFonts w:ascii="Arial" w:hAnsi="Arial" w:cs="Arial"/>
              <w:sz w:val="22"/>
              <w:szCs w:val="22"/>
            </w:rPr>
            <w:fldChar w:fldCharType="end"/>
          </w:r>
        </w:sdtContent>
      </w:sdt>
      <w:r w:rsidRPr="00FF4E3C">
        <w:rPr>
          <w:rFonts w:ascii="Arial" w:hAnsi="Arial" w:cs="Arial"/>
          <w:sz w:val="22"/>
          <w:szCs w:val="22"/>
        </w:rPr>
        <w:t xml:space="preserve">. The “pose, pause, pounce, bounce” technique has become a standard part of my questioning, allowing pupils to think of their answers before I probe </w:t>
      </w:r>
      <w:r w:rsidRPr="00FF4E3C">
        <w:rPr>
          <w:rFonts w:ascii="Arial" w:hAnsi="Arial" w:cs="Arial"/>
          <w:sz w:val="22"/>
          <w:szCs w:val="22"/>
        </w:rPr>
        <w:lastRenderedPageBreak/>
        <w:t>individuals for responses. This has seemingly allowed the pupils to give more in-depth answers, but for further progression I have adopted additional methods that allow pupils to deepen their thinking even further.</w:t>
      </w:r>
    </w:p>
    <w:p w:rsidRPr="00FF4E3C" w:rsidR="00AD08B4" w:rsidP="00AD08B4" w:rsidRDefault="00AD08B4" w14:paraId="6BDB3DC2" w14:textId="77777777">
      <w:pPr>
        <w:spacing w:line="480" w:lineRule="auto"/>
        <w:ind w:firstLine="720"/>
        <w:rPr>
          <w:rFonts w:ascii="Arial" w:hAnsi="Arial" w:cs="Arial"/>
          <w:noProof/>
          <w:sz w:val="22"/>
          <w:szCs w:val="22"/>
        </w:rPr>
      </w:pPr>
      <w:r w:rsidRPr="00FF4E3C">
        <w:rPr>
          <w:rFonts w:ascii="Arial" w:hAnsi="Arial" w:cs="Arial"/>
          <w:sz w:val="22"/>
          <w:szCs w:val="22"/>
        </w:rPr>
        <w:t xml:space="preserve">One of the most commonly adopted methods of improving engagement through questioning is to adopt a “no hands up” policy </w:t>
      </w:r>
      <w:sdt>
        <w:sdtPr>
          <w:rPr>
            <w:rFonts w:ascii="Arial" w:hAnsi="Arial" w:cs="Arial"/>
            <w:sz w:val="22"/>
            <w:szCs w:val="22"/>
          </w:rPr>
          <w:id w:val="406586651"/>
          <w:citation/>
        </w:sdtPr>
        <w:sdtContent>
          <w:r w:rsidRPr="00FF4E3C">
            <w:rPr>
              <w:rFonts w:ascii="Arial" w:hAnsi="Arial" w:cs="Arial"/>
              <w:sz w:val="22"/>
              <w:szCs w:val="22"/>
            </w:rPr>
            <w:fldChar w:fldCharType="begin"/>
          </w:r>
          <w:r w:rsidRPr="00FF4E3C">
            <w:rPr>
              <w:rFonts w:ascii="Arial" w:hAnsi="Arial" w:cs="Arial"/>
              <w:sz w:val="22"/>
              <w:szCs w:val="22"/>
            </w:rPr>
            <w:instrText xml:space="preserve">CITATION Wil18 \p 93 \l 2057 </w:instrText>
          </w:r>
          <w:r w:rsidRPr="00FF4E3C">
            <w:rPr>
              <w:rFonts w:ascii="Arial" w:hAnsi="Arial" w:cs="Arial"/>
              <w:sz w:val="22"/>
              <w:szCs w:val="22"/>
            </w:rPr>
            <w:fldChar w:fldCharType="separate"/>
          </w:r>
          <w:r w:rsidRPr="00FF4E3C">
            <w:rPr>
              <w:rFonts w:ascii="Arial" w:hAnsi="Arial" w:cs="Arial"/>
              <w:noProof/>
              <w:sz w:val="22"/>
              <w:szCs w:val="22"/>
            </w:rPr>
            <w:t>(Wiliam, 2018, p. 93)</w:t>
          </w:r>
          <w:r w:rsidRPr="00FF4E3C">
            <w:rPr>
              <w:rFonts w:ascii="Arial" w:hAnsi="Arial" w:cs="Arial"/>
              <w:sz w:val="22"/>
              <w:szCs w:val="22"/>
            </w:rPr>
            <w:fldChar w:fldCharType="end"/>
          </w:r>
        </w:sdtContent>
      </w:sdt>
      <w:r w:rsidRPr="00FF4E3C">
        <w:rPr>
          <w:rFonts w:ascii="Arial" w:hAnsi="Arial" w:cs="Arial"/>
          <w:sz w:val="22"/>
          <w:szCs w:val="22"/>
        </w:rPr>
        <w:t xml:space="preserve">. As the name suggests, this technique requires the teacher to choose who to question rather than relying on student volunteers. The only time that pupils should raise their hand, according to this policy, is to ask the teacher a question. Wiliam (2011) also suggests that you combine this technique with the use of a random pupil picker. In doing so, you can try to ensure that </w:t>
      </w:r>
      <w:proofErr w:type="gramStart"/>
      <w:r w:rsidRPr="00FF4E3C">
        <w:rPr>
          <w:rFonts w:ascii="Arial" w:hAnsi="Arial" w:cs="Arial"/>
          <w:sz w:val="22"/>
          <w:szCs w:val="22"/>
        </w:rPr>
        <w:t>a vast majority</w:t>
      </w:r>
      <w:proofErr w:type="gramEnd"/>
      <w:r w:rsidRPr="00FF4E3C">
        <w:rPr>
          <w:rFonts w:ascii="Arial" w:hAnsi="Arial" w:cs="Arial"/>
          <w:sz w:val="22"/>
          <w:szCs w:val="22"/>
        </w:rPr>
        <w:t xml:space="preserve"> of pupils are involved in every lesson. Wiliam argues for the use of a randomization method, such as lollipop sticks with pupil names or a web app, over the teacher randomly picking pupils due to a sub-conscious bias within the teacher (ibid). Wiliam believes that teachers may unknowingly direct the more difficult questions towards the higher ability pupils in the class, where the lower ability would benefit from the challenge presented by these questions more than the higher ability </w:t>
      </w:r>
      <w:sdt>
        <w:sdtPr>
          <w:rPr>
            <w:rFonts w:ascii="Arial" w:hAnsi="Arial" w:cs="Arial"/>
            <w:sz w:val="22"/>
            <w:szCs w:val="22"/>
          </w:rPr>
          <w:id w:val="-420418273"/>
          <w:citation/>
        </w:sdtPr>
        <w:sdtContent>
          <w:r w:rsidRPr="00FF4E3C">
            <w:rPr>
              <w:rFonts w:ascii="Arial" w:hAnsi="Arial" w:cs="Arial"/>
              <w:sz w:val="22"/>
              <w:szCs w:val="22"/>
            </w:rPr>
            <w:fldChar w:fldCharType="begin"/>
          </w:r>
          <w:r w:rsidRPr="00FF4E3C">
            <w:rPr>
              <w:rFonts w:ascii="Arial" w:hAnsi="Arial" w:cs="Arial"/>
              <w:sz w:val="22"/>
              <w:szCs w:val="22"/>
            </w:rPr>
            <w:instrText xml:space="preserve">CITATION Wil111 \p 81-84 \l 2057 </w:instrText>
          </w:r>
          <w:r w:rsidRPr="00FF4E3C">
            <w:rPr>
              <w:rFonts w:ascii="Arial" w:hAnsi="Arial" w:cs="Arial"/>
              <w:sz w:val="22"/>
              <w:szCs w:val="22"/>
            </w:rPr>
            <w:fldChar w:fldCharType="separate"/>
          </w:r>
          <w:r w:rsidRPr="00FF4E3C">
            <w:rPr>
              <w:rFonts w:ascii="Arial" w:hAnsi="Arial" w:cs="Arial"/>
              <w:noProof/>
              <w:sz w:val="22"/>
              <w:szCs w:val="22"/>
            </w:rPr>
            <w:t>(Wiliam, 2011, pp. 81-84)</w:t>
          </w:r>
          <w:r w:rsidRPr="00FF4E3C">
            <w:rPr>
              <w:rFonts w:ascii="Arial" w:hAnsi="Arial" w:cs="Arial"/>
              <w:sz w:val="22"/>
              <w:szCs w:val="22"/>
            </w:rPr>
            <w:fldChar w:fldCharType="end"/>
          </w:r>
        </w:sdtContent>
      </w:sdt>
      <w:r w:rsidRPr="00FF4E3C">
        <w:rPr>
          <w:rFonts w:ascii="Arial" w:hAnsi="Arial" w:cs="Arial"/>
          <w:sz w:val="22"/>
          <w:szCs w:val="22"/>
        </w:rPr>
        <w:t xml:space="preserve">. In the opinion of </w:t>
      </w:r>
      <w:proofErr w:type="spellStart"/>
      <w:r w:rsidRPr="00FF4E3C">
        <w:rPr>
          <w:rFonts w:ascii="Arial" w:hAnsi="Arial" w:cs="Arial"/>
          <w:sz w:val="22"/>
          <w:szCs w:val="22"/>
        </w:rPr>
        <w:t>Lemov</w:t>
      </w:r>
      <w:proofErr w:type="spellEnd"/>
      <w:r w:rsidRPr="00FF4E3C">
        <w:rPr>
          <w:rFonts w:ascii="Arial" w:hAnsi="Arial" w:cs="Arial"/>
          <w:sz w:val="22"/>
          <w:szCs w:val="22"/>
        </w:rPr>
        <w:t xml:space="preserve"> (2017), however, the adoption of a randomization technique is a key component of a “no hands up” approach. Without it, he argues, you are “cold calling” rather than using “no hands up”. They key distinction, in the opinion of </w:t>
      </w:r>
      <w:proofErr w:type="spellStart"/>
      <w:r w:rsidRPr="00FF4E3C">
        <w:rPr>
          <w:rFonts w:ascii="Arial" w:hAnsi="Arial" w:cs="Arial"/>
          <w:sz w:val="22"/>
          <w:szCs w:val="22"/>
        </w:rPr>
        <w:t>Lemov</w:t>
      </w:r>
      <w:proofErr w:type="spellEnd"/>
      <w:r w:rsidRPr="00FF4E3C">
        <w:rPr>
          <w:rFonts w:ascii="Arial" w:hAnsi="Arial" w:cs="Arial"/>
          <w:sz w:val="22"/>
          <w:szCs w:val="22"/>
        </w:rPr>
        <w:t xml:space="preserve">, is that by “cold calling”, you can strategically choose pupils to answer your questions. In doing so, you are implicitly telling the pupil that you value their response/opinion as you have chosen to ask them, and they have not been chosen randomly by a generator. This in turn encourages the pupil, making them feel as though their opinion is valued in your classroom and will encourage them to raise their hand to volunteer answers in the future </w:t>
      </w:r>
      <w:sdt>
        <w:sdtPr>
          <w:rPr>
            <w:rFonts w:ascii="Arial" w:hAnsi="Arial" w:cs="Arial"/>
            <w:sz w:val="22"/>
            <w:szCs w:val="22"/>
          </w:rPr>
          <w:id w:val="1435089071"/>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Lem17 \l 2057 </w:instrText>
          </w:r>
          <w:r w:rsidRPr="00FF4E3C">
            <w:rPr>
              <w:rFonts w:ascii="Arial" w:hAnsi="Arial" w:cs="Arial"/>
              <w:sz w:val="22"/>
              <w:szCs w:val="22"/>
            </w:rPr>
            <w:fldChar w:fldCharType="separate"/>
          </w:r>
          <w:r w:rsidRPr="00FF4E3C">
            <w:rPr>
              <w:rFonts w:ascii="Arial" w:hAnsi="Arial" w:cs="Arial"/>
              <w:noProof/>
              <w:sz w:val="22"/>
              <w:szCs w:val="22"/>
            </w:rPr>
            <w:t>(Lemov, 2017)</w:t>
          </w:r>
          <w:r w:rsidRPr="00FF4E3C">
            <w:rPr>
              <w:rFonts w:ascii="Arial" w:hAnsi="Arial" w:cs="Arial"/>
              <w:sz w:val="22"/>
              <w:szCs w:val="22"/>
            </w:rPr>
            <w:fldChar w:fldCharType="end"/>
          </w:r>
        </w:sdtContent>
      </w:sdt>
      <w:r w:rsidRPr="00FF4E3C">
        <w:rPr>
          <w:rFonts w:ascii="Arial" w:hAnsi="Arial" w:cs="Arial"/>
          <w:sz w:val="22"/>
          <w:szCs w:val="22"/>
        </w:rPr>
        <w:t xml:space="preserve">. Another vital aspect of “cold calling” is that it doesn’t need to be a permanent approach to questioning, rather it can be used to create an environment where pupils feel comfortable enough to want to share their answers, therefore negating the need for such an approach </w:t>
      </w:r>
      <w:r w:rsidRPr="00FF4E3C">
        <w:rPr>
          <w:rFonts w:ascii="Arial" w:hAnsi="Arial" w:cs="Arial"/>
          <w:noProof/>
          <w:sz w:val="22"/>
          <w:szCs w:val="22"/>
        </w:rPr>
        <w:t xml:space="preserve">(Lemov, 2016; Lemov, 2017). Using “cold calling” can also address some of the problems associated with “no hands up”. When a technique such as these is first introduced to a class, it is often received negatively as it disrupts the established questioning style of the classroom, the style that both the pupils and teacher are comfortable with. The pupils who always engage with the lesson and willingly offer up their answers can feel betrayed by the random name generator if they do not get called upon, whilst the pupils who opt not to participate feel threatened by the looming danger of being asked a question </w:t>
      </w:r>
      <w:sdt>
        <w:sdtPr>
          <w:rPr>
            <w:rFonts w:ascii="Arial" w:hAnsi="Arial" w:cs="Arial"/>
            <w:noProof/>
            <w:sz w:val="22"/>
            <w:szCs w:val="22"/>
          </w:rPr>
          <w:id w:val="-1485465940"/>
          <w:citation/>
        </w:sdtPr>
        <w:sdtContent>
          <w:r w:rsidRPr="00FF4E3C">
            <w:rPr>
              <w:rFonts w:ascii="Arial" w:hAnsi="Arial" w:cs="Arial"/>
              <w:noProof/>
              <w:sz w:val="22"/>
              <w:szCs w:val="22"/>
            </w:rPr>
            <w:fldChar w:fldCharType="begin"/>
          </w:r>
          <w:r w:rsidRPr="00FF4E3C">
            <w:rPr>
              <w:rFonts w:ascii="Arial" w:hAnsi="Arial" w:cs="Arial"/>
              <w:noProof/>
              <w:sz w:val="22"/>
              <w:szCs w:val="22"/>
            </w:rPr>
            <w:instrText xml:space="preserve"> CITATION Wil18 \l 2057 </w:instrText>
          </w:r>
          <w:r w:rsidRPr="00FF4E3C">
            <w:rPr>
              <w:rFonts w:ascii="Arial" w:hAnsi="Arial" w:cs="Arial"/>
              <w:noProof/>
              <w:sz w:val="22"/>
              <w:szCs w:val="22"/>
            </w:rPr>
            <w:fldChar w:fldCharType="separate"/>
          </w:r>
          <w:r w:rsidRPr="00FF4E3C">
            <w:rPr>
              <w:rFonts w:ascii="Arial" w:hAnsi="Arial" w:cs="Arial"/>
              <w:noProof/>
              <w:sz w:val="22"/>
              <w:szCs w:val="22"/>
            </w:rPr>
            <w:t>(Wiliam, 2018)</w:t>
          </w:r>
          <w:r w:rsidRPr="00FF4E3C">
            <w:rPr>
              <w:rFonts w:ascii="Arial" w:hAnsi="Arial" w:cs="Arial"/>
              <w:noProof/>
              <w:sz w:val="22"/>
              <w:szCs w:val="22"/>
            </w:rPr>
            <w:fldChar w:fldCharType="end"/>
          </w:r>
        </w:sdtContent>
      </w:sdt>
      <w:r w:rsidRPr="00FF4E3C">
        <w:rPr>
          <w:rFonts w:ascii="Arial" w:hAnsi="Arial" w:cs="Arial"/>
          <w:noProof/>
          <w:sz w:val="22"/>
          <w:szCs w:val="22"/>
        </w:rPr>
        <w:t xml:space="preserve">. By using the “cold calling” technique, however, the teacher is able to use their pre-existing knowledge of their pupils to decide the </w:t>
      </w:r>
      <w:r w:rsidRPr="00FF4E3C">
        <w:rPr>
          <w:rFonts w:ascii="Arial" w:hAnsi="Arial" w:cs="Arial"/>
          <w:noProof/>
          <w:sz w:val="22"/>
          <w:szCs w:val="22"/>
        </w:rPr>
        <w:lastRenderedPageBreak/>
        <w:t xml:space="preserve">correct time to ask each individual a question </w:t>
      </w:r>
      <w:sdt>
        <w:sdtPr>
          <w:rPr>
            <w:rFonts w:ascii="Arial" w:hAnsi="Arial" w:cs="Arial"/>
            <w:noProof/>
            <w:sz w:val="22"/>
            <w:szCs w:val="22"/>
          </w:rPr>
          <w:id w:val="-1553844879"/>
          <w:citation/>
        </w:sdtPr>
        <w:sdtContent>
          <w:r w:rsidRPr="00FF4E3C">
            <w:rPr>
              <w:rFonts w:ascii="Arial" w:hAnsi="Arial" w:cs="Arial"/>
              <w:noProof/>
              <w:sz w:val="22"/>
              <w:szCs w:val="22"/>
            </w:rPr>
            <w:fldChar w:fldCharType="begin"/>
          </w:r>
          <w:r w:rsidRPr="00FF4E3C">
            <w:rPr>
              <w:rFonts w:ascii="Arial" w:hAnsi="Arial" w:cs="Arial"/>
              <w:noProof/>
              <w:sz w:val="22"/>
              <w:szCs w:val="22"/>
            </w:rPr>
            <w:instrText xml:space="preserve"> CITATION Lem17 \l 2057 </w:instrText>
          </w:r>
          <w:r w:rsidRPr="00FF4E3C">
            <w:rPr>
              <w:rFonts w:ascii="Arial" w:hAnsi="Arial" w:cs="Arial"/>
              <w:noProof/>
              <w:sz w:val="22"/>
              <w:szCs w:val="22"/>
            </w:rPr>
            <w:fldChar w:fldCharType="separate"/>
          </w:r>
          <w:r w:rsidRPr="00FF4E3C">
            <w:rPr>
              <w:rFonts w:ascii="Arial" w:hAnsi="Arial" w:cs="Arial"/>
              <w:noProof/>
              <w:sz w:val="22"/>
              <w:szCs w:val="22"/>
            </w:rPr>
            <w:t>(Lemov, 2017)</w:t>
          </w:r>
          <w:r w:rsidRPr="00FF4E3C">
            <w:rPr>
              <w:rFonts w:ascii="Arial" w:hAnsi="Arial" w:cs="Arial"/>
              <w:noProof/>
              <w:sz w:val="22"/>
              <w:szCs w:val="22"/>
            </w:rPr>
            <w:fldChar w:fldCharType="end"/>
          </w:r>
        </w:sdtContent>
      </w:sdt>
      <w:r w:rsidRPr="00FF4E3C">
        <w:rPr>
          <w:rFonts w:ascii="Arial" w:hAnsi="Arial" w:cs="Arial"/>
          <w:noProof/>
          <w:sz w:val="22"/>
          <w:szCs w:val="22"/>
        </w:rPr>
        <w:t xml:space="preserve">. This can help to make the pupils feel more comfortable in the classroom environment, and take away the associated danger. It is also advisable to build up the complexity of your questions when “cold calling”, rather than asking complex questions from the introduction of the technique. By doing so, you can create a positive and safe environment with the first few questions, removing the fear of embarrassment for getting a question wrong </w:t>
      </w:r>
      <w:sdt>
        <w:sdtPr>
          <w:rPr>
            <w:rFonts w:ascii="Arial" w:hAnsi="Arial" w:cs="Arial"/>
            <w:noProof/>
            <w:sz w:val="22"/>
            <w:szCs w:val="22"/>
          </w:rPr>
          <w:id w:val="-175424378"/>
          <w:citation/>
        </w:sdtPr>
        <w:sdtContent>
          <w:r w:rsidRPr="00FF4E3C">
            <w:rPr>
              <w:rFonts w:ascii="Arial" w:hAnsi="Arial" w:cs="Arial"/>
              <w:noProof/>
              <w:sz w:val="22"/>
              <w:szCs w:val="22"/>
            </w:rPr>
            <w:fldChar w:fldCharType="begin"/>
          </w:r>
          <w:r w:rsidRPr="00FF4E3C">
            <w:rPr>
              <w:rFonts w:ascii="Arial" w:hAnsi="Arial" w:cs="Arial"/>
              <w:noProof/>
              <w:sz w:val="22"/>
              <w:szCs w:val="22"/>
            </w:rPr>
            <w:instrText xml:space="preserve"> CITATION Lem15 \l 2057 </w:instrText>
          </w:r>
          <w:r w:rsidRPr="00FF4E3C">
            <w:rPr>
              <w:rFonts w:ascii="Arial" w:hAnsi="Arial" w:cs="Arial"/>
              <w:noProof/>
              <w:sz w:val="22"/>
              <w:szCs w:val="22"/>
            </w:rPr>
            <w:fldChar w:fldCharType="separate"/>
          </w:r>
          <w:r w:rsidRPr="00FF4E3C">
            <w:rPr>
              <w:rFonts w:ascii="Arial" w:hAnsi="Arial" w:cs="Arial"/>
              <w:noProof/>
              <w:sz w:val="22"/>
              <w:szCs w:val="22"/>
            </w:rPr>
            <w:t>(Lemov, 2015)</w:t>
          </w:r>
          <w:r w:rsidRPr="00FF4E3C">
            <w:rPr>
              <w:rFonts w:ascii="Arial" w:hAnsi="Arial" w:cs="Arial"/>
              <w:noProof/>
              <w:sz w:val="22"/>
              <w:szCs w:val="22"/>
            </w:rPr>
            <w:fldChar w:fldCharType="end"/>
          </w:r>
        </w:sdtContent>
      </w:sdt>
      <w:r w:rsidRPr="00FF4E3C">
        <w:rPr>
          <w:rFonts w:ascii="Arial" w:hAnsi="Arial" w:cs="Arial"/>
          <w:noProof/>
          <w:sz w:val="22"/>
          <w:szCs w:val="22"/>
        </w:rPr>
        <w:t>.</w:t>
      </w:r>
    </w:p>
    <w:p w:rsidRPr="00FF4E3C" w:rsidR="00AD08B4" w:rsidP="00AD08B4" w:rsidRDefault="00AD08B4" w14:paraId="54DD3E70"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The “cold calling” technique also allows for questions to be tailored during the lesson. Questioning, being a key AFL strategy, is designed to allow the teacher to adapt their teaching according to the needs of their pupils. Therefore, if questioning by the teacher reveals that the pupils have not grasped a concept, or that the pupils have misconceptions about a concept, the teacher can adapt their approach to the topic, either through further questioning or by re-teaching that which has not been understood. Similarly, by assessing the answers of the pupils, teachers </w:t>
      </w:r>
      <w:proofErr w:type="gramStart"/>
      <w:r w:rsidRPr="00FF4E3C">
        <w:rPr>
          <w:rFonts w:ascii="Arial" w:hAnsi="Arial" w:cs="Arial"/>
          <w:sz w:val="22"/>
          <w:szCs w:val="22"/>
        </w:rPr>
        <w:t>are able to</w:t>
      </w:r>
      <w:proofErr w:type="gramEnd"/>
      <w:r w:rsidRPr="00FF4E3C">
        <w:rPr>
          <w:rFonts w:ascii="Arial" w:hAnsi="Arial" w:cs="Arial"/>
          <w:sz w:val="22"/>
          <w:szCs w:val="22"/>
        </w:rPr>
        <w:t xml:space="preserve"> differentiate their questioning so that pupils of all abilities in the class are challenged with a sufficient level of questioning, within their “struggle zone” or zone of proximal development (ZPD)</w:t>
      </w:r>
      <w:r w:rsidRPr="00FF4E3C">
        <w:rPr>
          <w:rFonts w:ascii="Arial" w:hAnsi="Arial" w:cs="Arial"/>
          <w:noProof/>
          <w:sz w:val="22"/>
          <w:szCs w:val="22"/>
        </w:rPr>
        <w:t xml:space="preserve"> (Allison, et al., 2015; Caram &amp; Davis, 2005; Vygotsky, 1978)</w:t>
      </w:r>
      <w:r w:rsidRPr="00FF4E3C">
        <w:rPr>
          <w:rFonts w:ascii="Arial" w:hAnsi="Arial" w:cs="Arial"/>
          <w:sz w:val="22"/>
          <w:szCs w:val="22"/>
        </w:rPr>
        <w:t xml:space="preserve">. For example, the teacher could bounce the answer to a question around the room, asking each </w:t>
      </w:r>
      <w:proofErr w:type="gramStart"/>
      <w:r w:rsidRPr="00FF4E3C">
        <w:rPr>
          <w:rFonts w:ascii="Arial" w:hAnsi="Arial" w:cs="Arial"/>
          <w:sz w:val="22"/>
          <w:szCs w:val="22"/>
        </w:rPr>
        <w:t>pupils</w:t>
      </w:r>
      <w:proofErr w:type="gramEnd"/>
      <w:r w:rsidRPr="00FF4E3C">
        <w:rPr>
          <w:rFonts w:ascii="Arial" w:hAnsi="Arial" w:cs="Arial"/>
          <w:sz w:val="22"/>
          <w:szCs w:val="22"/>
        </w:rPr>
        <w:t xml:space="preserve"> to elaborate upon or challenge the view of the person who preceded them, possibly starting with the lower ability pupils and moving towards the higher ability pupils as the answer develops in complexity and requires deeper levels of thinking. “Cold Calling” in this sense could therefore be categorised as targeted questioning, where the teacher deliberately asks questions of certain pupils for any given reason, be that to ensure their engagement or to challenge the pupil to deepen their thinking and improve the quality of their answers.</w:t>
      </w:r>
    </w:p>
    <w:p w:rsidRPr="00FF4E3C" w:rsidR="00AD08B4" w:rsidP="00AD08B4" w:rsidRDefault="00AD08B4" w14:paraId="46B1253B" w14:textId="77777777">
      <w:pPr>
        <w:spacing w:line="480" w:lineRule="auto"/>
        <w:ind w:firstLine="720"/>
        <w:rPr>
          <w:rFonts w:ascii="Arial" w:hAnsi="Arial" w:cs="Arial"/>
          <w:sz w:val="22"/>
          <w:szCs w:val="22"/>
        </w:rPr>
      </w:pPr>
      <w:r w:rsidRPr="00FF4E3C">
        <w:rPr>
          <w:rFonts w:ascii="Arial" w:hAnsi="Arial" w:cs="Arial"/>
          <w:sz w:val="22"/>
          <w:szCs w:val="22"/>
        </w:rPr>
        <w:t xml:space="preserve">A way in which you can further develop pupils’ thinking is to allow them to discuss answers with their peers before feeding their answer to the teacher </w:t>
      </w:r>
      <w:sdt>
        <w:sdtPr>
          <w:rPr>
            <w:rFonts w:ascii="Arial" w:hAnsi="Arial" w:cs="Arial"/>
            <w:sz w:val="22"/>
            <w:szCs w:val="22"/>
          </w:rPr>
          <w:id w:val="-1177888941"/>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Bla04 \l 2057 </w:instrText>
          </w:r>
          <w:r w:rsidRPr="00FF4E3C">
            <w:rPr>
              <w:rFonts w:ascii="Arial" w:hAnsi="Arial" w:cs="Arial"/>
              <w:sz w:val="22"/>
              <w:szCs w:val="22"/>
            </w:rPr>
            <w:fldChar w:fldCharType="separate"/>
          </w:r>
          <w:r w:rsidRPr="00FF4E3C">
            <w:rPr>
              <w:rFonts w:ascii="Arial" w:hAnsi="Arial" w:cs="Arial"/>
              <w:noProof/>
              <w:sz w:val="22"/>
              <w:szCs w:val="22"/>
            </w:rPr>
            <w:t>(Black, et al., 2002)</w:t>
          </w:r>
          <w:r w:rsidRPr="00FF4E3C">
            <w:rPr>
              <w:rFonts w:ascii="Arial" w:hAnsi="Arial" w:cs="Arial"/>
              <w:sz w:val="22"/>
              <w:szCs w:val="22"/>
            </w:rPr>
            <w:fldChar w:fldCharType="end"/>
          </w:r>
        </w:sdtContent>
      </w:sdt>
      <w:r w:rsidRPr="00FF4E3C">
        <w:rPr>
          <w:rFonts w:ascii="Arial" w:hAnsi="Arial" w:cs="Arial"/>
          <w:sz w:val="22"/>
          <w:szCs w:val="22"/>
        </w:rPr>
        <w:t xml:space="preserve">. This technique comes in a variety of forms and has a few names (“Turn and Talk”, “Think, pair, share”), but the fundamental idea behind the different variations is the same; to have pupils discuss their ideas and understanding of the topic with their peers. The advantages of using this technique are clear. For example, it allows pupils to use their peers as a support network, encouraging pupils to become more independent from their teacher. It also increases the number of pupils engaging with the lesson by forcing them to participate in a discussion </w:t>
      </w:r>
      <w:sdt>
        <w:sdtPr>
          <w:rPr>
            <w:rFonts w:ascii="Arial" w:hAnsi="Arial" w:cs="Arial"/>
            <w:sz w:val="22"/>
            <w:szCs w:val="22"/>
          </w:rPr>
          <w:id w:val="-510998631"/>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Lem14 \l 2057 </w:instrText>
          </w:r>
          <w:r w:rsidRPr="00FF4E3C">
            <w:rPr>
              <w:rFonts w:ascii="Arial" w:hAnsi="Arial" w:cs="Arial"/>
              <w:sz w:val="22"/>
              <w:szCs w:val="22"/>
            </w:rPr>
            <w:fldChar w:fldCharType="separate"/>
          </w:r>
          <w:r w:rsidRPr="00FF4E3C">
            <w:rPr>
              <w:rFonts w:ascii="Arial" w:hAnsi="Arial" w:cs="Arial"/>
              <w:noProof/>
              <w:sz w:val="22"/>
              <w:szCs w:val="22"/>
            </w:rPr>
            <w:t>(Lemov, 2014)</w:t>
          </w:r>
          <w:r w:rsidRPr="00FF4E3C">
            <w:rPr>
              <w:rFonts w:ascii="Arial" w:hAnsi="Arial" w:cs="Arial"/>
              <w:sz w:val="22"/>
              <w:szCs w:val="22"/>
            </w:rPr>
            <w:fldChar w:fldCharType="end"/>
          </w:r>
        </w:sdtContent>
      </w:sdt>
      <w:r w:rsidRPr="00FF4E3C">
        <w:rPr>
          <w:rFonts w:ascii="Arial" w:hAnsi="Arial" w:cs="Arial"/>
          <w:sz w:val="22"/>
          <w:szCs w:val="22"/>
        </w:rPr>
        <w:t>.  However, pupil discussion can be unproductive if not performed correctly. For example, if pupils were to discuss a topic that they did not fully understand, misconceptions and erroneous answers may be reinforced by their peers and therefore implanted into their memory</w:t>
      </w:r>
      <w:sdt>
        <w:sdtPr>
          <w:rPr>
            <w:rFonts w:ascii="Arial" w:hAnsi="Arial" w:cs="Arial"/>
            <w:sz w:val="22"/>
            <w:szCs w:val="22"/>
          </w:rPr>
          <w:id w:val="-1914303640"/>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Lem14 \l 2057 </w:instrText>
          </w:r>
          <w:r w:rsidRPr="00FF4E3C">
            <w:rPr>
              <w:rFonts w:ascii="Arial" w:hAnsi="Arial" w:cs="Arial"/>
              <w:sz w:val="22"/>
              <w:szCs w:val="22"/>
            </w:rPr>
            <w:fldChar w:fldCharType="separate"/>
          </w:r>
          <w:r w:rsidRPr="00FF4E3C">
            <w:rPr>
              <w:rFonts w:ascii="Arial" w:hAnsi="Arial" w:cs="Arial"/>
              <w:noProof/>
              <w:sz w:val="22"/>
              <w:szCs w:val="22"/>
            </w:rPr>
            <w:t xml:space="preserve"> (Lemov, 2014)</w:t>
          </w:r>
          <w:r w:rsidRPr="00FF4E3C">
            <w:rPr>
              <w:rFonts w:ascii="Arial" w:hAnsi="Arial" w:cs="Arial"/>
              <w:sz w:val="22"/>
              <w:szCs w:val="22"/>
            </w:rPr>
            <w:fldChar w:fldCharType="end"/>
          </w:r>
        </w:sdtContent>
      </w:sdt>
      <w:r w:rsidRPr="00FF4E3C">
        <w:rPr>
          <w:rFonts w:ascii="Arial" w:hAnsi="Arial" w:cs="Arial"/>
          <w:sz w:val="22"/>
          <w:szCs w:val="22"/>
        </w:rPr>
        <w:t xml:space="preserve">. It is the “share” stage of the process which becomes the most important under such circumstances, allowing the teacher </w:t>
      </w:r>
      <w:r w:rsidRPr="00FF4E3C">
        <w:rPr>
          <w:rFonts w:ascii="Arial" w:hAnsi="Arial" w:cs="Arial"/>
          <w:sz w:val="22"/>
          <w:szCs w:val="22"/>
        </w:rPr>
        <w:lastRenderedPageBreak/>
        <w:t xml:space="preserve">the opportunity to fill any gaps in pupil knowledge and correct any misconceptions. </w:t>
      </w:r>
      <w:proofErr w:type="spellStart"/>
      <w:r w:rsidRPr="00FF4E3C">
        <w:rPr>
          <w:rFonts w:ascii="Arial" w:hAnsi="Arial" w:cs="Arial"/>
          <w:sz w:val="22"/>
          <w:szCs w:val="22"/>
        </w:rPr>
        <w:t>Lemov</w:t>
      </w:r>
      <w:proofErr w:type="spellEnd"/>
      <w:r w:rsidRPr="00FF4E3C">
        <w:rPr>
          <w:rFonts w:ascii="Arial" w:hAnsi="Arial" w:cs="Arial"/>
          <w:sz w:val="22"/>
          <w:szCs w:val="22"/>
        </w:rPr>
        <w:t xml:space="preserve"> continues to suggest that using such a technique should be a prelude to a wider discussion or activity that challenges the pupils to deepen their thinking/understanding. All pupils will have been able to access the initial discussion because the thinking was of a lower level and therefore on a lower rung of the “learning ladder”, so by building upon it with a wider discussion all pupils will be receiving the opportunity to improve their learning </w:t>
      </w:r>
      <w:sdt>
        <w:sdtPr>
          <w:rPr>
            <w:rFonts w:ascii="Arial" w:hAnsi="Arial" w:cs="Arial"/>
            <w:sz w:val="22"/>
            <w:szCs w:val="22"/>
          </w:rPr>
          <w:id w:val="-1653051939"/>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All15 \l 2057 </w:instrText>
          </w:r>
          <w:r w:rsidRPr="00FF4E3C">
            <w:rPr>
              <w:rFonts w:ascii="Arial" w:hAnsi="Arial" w:cs="Arial"/>
              <w:sz w:val="22"/>
              <w:szCs w:val="22"/>
            </w:rPr>
            <w:fldChar w:fldCharType="separate"/>
          </w:r>
          <w:r w:rsidRPr="00FF4E3C">
            <w:rPr>
              <w:rFonts w:ascii="Arial" w:hAnsi="Arial" w:cs="Arial"/>
              <w:noProof/>
              <w:sz w:val="22"/>
              <w:szCs w:val="22"/>
            </w:rPr>
            <w:t>(Allison, et al., 2015)</w:t>
          </w:r>
          <w:r w:rsidRPr="00FF4E3C">
            <w:rPr>
              <w:rFonts w:ascii="Arial" w:hAnsi="Arial" w:cs="Arial"/>
              <w:sz w:val="22"/>
              <w:szCs w:val="22"/>
            </w:rPr>
            <w:fldChar w:fldCharType="end"/>
          </w:r>
        </w:sdtContent>
      </w:sdt>
      <w:r w:rsidRPr="00FF4E3C">
        <w:rPr>
          <w:rFonts w:ascii="Arial" w:hAnsi="Arial" w:cs="Arial"/>
          <w:sz w:val="22"/>
          <w:szCs w:val="22"/>
        </w:rPr>
        <w:t xml:space="preserve">. Of course, promoting discussion between pupils can lead to issues surrounding the pupils becoming “off-task”, but that is a classroom management issue rather than one concerning the method itself. </w:t>
      </w:r>
    </w:p>
    <w:p w:rsidRPr="00FF4E3C" w:rsidR="00AD08B4" w:rsidP="458E60EB" w:rsidRDefault="00AD08B4" w14:paraId="14EE1A68" w14:noSpellErr="1" w14:textId="7C14F610">
      <w:pPr>
        <w:spacing w:line="480" w:lineRule="auto"/>
        <w:rPr>
          <w:rFonts w:ascii="Arial" w:hAnsi="Arial" w:cs="Arial"/>
          <w:noProof/>
          <w:sz w:val="22"/>
          <w:szCs w:val="22"/>
        </w:rPr>
      </w:pPr>
      <w:r w:rsidRPr="00FF4E3C">
        <w:rPr>
          <w:rFonts w:ascii="Arial" w:hAnsi="Arial" w:cs="Arial"/>
          <w:sz w:val="22"/>
          <w:szCs w:val="22"/>
        </w:rPr>
        <w:tab/>
      </w:r>
      <w:r w:rsidRPr="00FF4E3C">
        <w:rPr>
          <w:rFonts w:ascii="Arial" w:hAnsi="Arial" w:cs="Arial"/>
          <w:sz w:val="22"/>
          <w:szCs w:val="22"/>
        </w:rPr>
        <w:t xml:space="preserve"> One of the main arguments against these AFL techniques is that questioning pupils during the lesson on what they have learnt does not prove that the pupils will retain any of this information. By answering questions in the lesson pupils are simply mimicking what they have been told from their short-term memory, and this does not mean that they will remember this information in future lessons </w:t>
      </w:r>
      <w:sdt>
        <w:sdtPr>
          <w:rPr>
            <w:rFonts w:ascii="Arial" w:hAnsi="Arial" w:cs="Arial"/>
            <w:sz w:val="22"/>
            <w:szCs w:val="22"/>
          </w:rPr>
          <w:id w:val="-235479796"/>
          <w:citation/>
        </w:sdtPr>
        <w:sdtContent>
          <w:r w:rsidRPr="00FF4E3C">
            <w:rPr>
              <w:rFonts w:ascii="Arial" w:hAnsi="Arial" w:cs="Arial"/>
              <w:sz w:val="22"/>
              <w:szCs w:val="22"/>
            </w:rPr>
            <w:fldChar w:fldCharType="begin"/>
          </w:r>
          <w:r w:rsidRPr="00FF4E3C">
            <w:rPr>
              <w:rFonts w:ascii="Arial" w:hAnsi="Arial" w:cs="Arial"/>
              <w:sz w:val="22"/>
              <w:szCs w:val="22"/>
            </w:rPr>
            <w:instrText xml:space="preserve">CITATION Did15 \p 281-282 \l 2057 </w:instrText>
          </w:r>
          <w:r w:rsidRPr="00FF4E3C">
            <w:rPr>
              <w:rFonts w:ascii="Arial" w:hAnsi="Arial" w:cs="Arial"/>
              <w:sz w:val="22"/>
              <w:szCs w:val="22"/>
            </w:rPr>
            <w:fldChar w:fldCharType="separate"/>
          </w:r>
          <w:r w:rsidRPr="00FF4E3C">
            <w:rPr>
              <w:rFonts w:ascii="Arial" w:hAnsi="Arial" w:cs="Arial"/>
              <w:noProof/>
              <w:sz w:val="22"/>
              <w:szCs w:val="22"/>
            </w:rPr>
            <w:t>(Didau, 2015, pp. 281-282)</w:t>
          </w:r>
          <w:r w:rsidRPr="00FF4E3C">
            <w:rPr>
              <w:rFonts w:ascii="Arial" w:hAnsi="Arial" w:cs="Arial"/>
              <w:sz w:val="22"/>
              <w:szCs w:val="22"/>
            </w:rPr>
            <w:fldChar w:fldCharType="end"/>
          </w:r>
        </w:sdtContent>
      </w:sdt>
      <w:r w:rsidRPr="00FF4E3C">
        <w:rPr>
          <w:rFonts w:ascii="Arial" w:hAnsi="Arial" w:cs="Arial"/>
          <w:sz w:val="22"/>
          <w:szCs w:val="22"/>
        </w:rPr>
        <w:t xml:space="preserve">. This is a view shared in part by</w:t>
      </w:r>
      <w:r w:rsidRPr="00FF4E3C">
        <w:rPr>
          <w:rFonts w:ascii="Arial" w:hAnsi="Arial" w:cs="Arial"/>
          <w:sz w:val="22"/>
          <w:szCs w:val="22"/>
        </w:rPr>
        <w:t xml:space="preserve"> Nuthall who has argued that it is unlikely a pupil will transfer information from their working memory to their long-term memory until they have encountered it on at least three separate occasions </w:t>
      </w:r>
      <w:r w:rsidRPr="00FF4E3C">
        <w:rPr>
          <w:rFonts w:ascii="Arial" w:hAnsi="Arial" w:cs="Arial"/>
          <w:noProof/>
          <w:sz w:val="22"/>
          <w:szCs w:val="22"/>
        </w:rPr>
        <w:t>(Nuthall, 2007 cited in Didau, 2015, p.282). Taking this a step further, questioning and other AFL techniques do not provide teachers or pupils with any evidence that learning has taken place. Didau (2015) argues that using information gained from AFL techniques to inform future planning is inherently flawed as the infomration gathered does not show what has been learned, and therefore reatined in memory, but rather illustrates to the teacher which pupils in the class are able to repeat what they have just been told. Didau continues to suggest that rarther than relying on infomration gathered from AFL techniques such as questioning to attempt to measure pupil progress, we should focus on embedding techniques that implant information into the long term memory of pupils.</w:t>
      </w:r>
    </w:p>
    <w:p w:rsidRPr="00FF4E3C" w:rsidR="00AD08B4" w:rsidP="00AD08B4" w:rsidRDefault="00AD08B4" w14:paraId="0D77D6AF" w14:textId="77777777">
      <w:pPr>
        <w:spacing w:line="480" w:lineRule="auto"/>
        <w:rPr>
          <w:rFonts w:ascii="Arial" w:hAnsi="Arial" w:cs="Arial"/>
          <w:sz w:val="22"/>
          <w:szCs w:val="22"/>
        </w:rPr>
      </w:pPr>
      <w:r w:rsidRPr="00FF4E3C">
        <w:rPr>
          <w:rFonts w:ascii="Arial" w:hAnsi="Arial" w:cs="Arial"/>
          <w:b/>
          <w:sz w:val="22"/>
          <w:szCs w:val="22"/>
          <w:u w:val="single"/>
        </w:rPr>
        <w:t>School Policy/Practice</w:t>
      </w:r>
    </w:p>
    <w:p w:rsidRPr="00FF4E3C" w:rsidR="00AD08B4" w:rsidP="00AD08B4" w:rsidRDefault="00AD08B4" w14:paraId="4973B551" w14:textId="77777777">
      <w:pPr>
        <w:spacing w:line="480" w:lineRule="auto"/>
        <w:ind w:firstLine="720"/>
        <w:rPr>
          <w:rFonts w:ascii="Arial" w:hAnsi="Arial" w:cs="Arial"/>
          <w:sz w:val="22"/>
          <w:szCs w:val="22"/>
        </w:rPr>
      </w:pPr>
      <w:r w:rsidRPr="00FF4E3C">
        <w:rPr>
          <w:rFonts w:ascii="Arial" w:hAnsi="Arial" w:cs="Arial"/>
          <w:sz w:val="22"/>
          <w:szCs w:val="22"/>
        </w:rPr>
        <w:t xml:space="preserve">In the History department of School X, targeted questioning, or “cold calling” as described by </w:t>
      </w:r>
      <w:proofErr w:type="spellStart"/>
      <w:r w:rsidRPr="00FF4E3C">
        <w:rPr>
          <w:rFonts w:ascii="Arial" w:hAnsi="Arial" w:cs="Arial"/>
          <w:sz w:val="22"/>
          <w:szCs w:val="22"/>
        </w:rPr>
        <w:t>Lemov</w:t>
      </w:r>
      <w:proofErr w:type="spellEnd"/>
      <w:r w:rsidRPr="00FF4E3C">
        <w:rPr>
          <w:rFonts w:ascii="Arial" w:hAnsi="Arial" w:cs="Arial"/>
          <w:sz w:val="22"/>
          <w:szCs w:val="22"/>
        </w:rPr>
        <w:t xml:space="preserve">, is often used as an intervention, particularly at key stage 4. Departmental meetings will often highlight target pupils who have been identified as possible passive learners in the class. These pupils will then be targeted by the class teacher during lessons as someone who needs to be questioned to ensure they are engaging with the lesson. This is done in the hope that their engagement will improve their outcomes at GCSE without stretching the pupils too much out of their comfort zone. However, the use of targeted questioning can be taken much further than this. Alongside being an effective way of ensuring </w:t>
      </w:r>
      <w:r w:rsidRPr="00FF4E3C">
        <w:rPr>
          <w:rFonts w:ascii="Arial" w:hAnsi="Arial" w:cs="Arial"/>
          <w:sz w:val="22"/>
          <w:szCs w:val="22"/>
        </w:rPr>
        <w:lastRenderedPageBreak/>
        <w:t xml:space="preserve">pupil engagement, targeted questioning can also be used to stretch and challenge pupils, as well as to make pupils think deeper and more critically about their answers. This is an apparent limitation in the department’s use of targeted questioning in lessons, as this further application does not seem to be considered when choosing pupils to target. Therefore, the pupils who have been identified as possible passive learners are certainly being engaged through questioning, however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other pupils may not be sufficiently challenged through the use of questioning. Targeted questioning is not limited to key stage 4 in School </w:t>
      </w:r>
      <w:proofErr w:type="gramStart"/>
      <w:r w:rsidRPr="00FF4E3C">
        <w:rPr>
          <w:rFonts w:ascii="Arial" w:hAnsi="Arial" w:cs="Arial"/>
          <w:sz w:val="22"/>
          <w:szCs w:val="22"/>
        </w:rPr>
        <w:t>X, but</w:t>
      </w:r>
      <w:proofErr w:type="gramEnd"/>
      <w:r w:rsidRPr="00FF4E3C">
        <w:rPr>
          <w:rFonts w:ascii="Arial" w:hAnsi="Arial" w:cs="Arial"/>
          <w:sz w:val="22"/>
          <w:szCs w:val="22"/>
        </w:rPr>
        <w:t xml:space="preserve"> is used less frequently at key stage 3. As with key stage 4, pupils are often identified as possible passive learners and are therefore targeted during lessons, however targeted questioning is also used at key stage 3 for another reason. Targeted questioning in key stage 3 classes is largely used as a means of classroom management. Pupils who appear to be disengaged with the lesson, or pupils </w:t>
      </w:r>
      <w:proofErr w:type="gramStart"/>
      <w:r w:rsidRPr="00FF4E3C">
        <w:rPr>
          <w:rFonts w:ascii="Arial" w:hAnsi="Arial" w:cs="Arial"/>
          <w:sz w:val="22"/>
          <w:szCs w:val="22"/>
        </w:rPr>
        <w:t>who’s</w:t>
      </w:r>
      <w:proofErr w:type="gramEnd"/>
      <w:r w:rsidRPr="00FF4E3C">
        <w:rPr>
          <w:rFonts w:ascii="Arial" w:hAnsi="Arial" w:cs="Arial"/>
          <w:sz w:val="22"/>
          <w:szCs w:val="22"/>
        </w:rPr>
        <w:t xml:space="preserve"> behaviour can be challenging at times are often targeted with questions to keep them focused in the lesson and encourage them to pay attention at all times in case they are questioned, seemingly at random. </w:t>
      </w:r>
    </w:p>
    <w:p w:rsidRPr="00FF4E3C" w:rsidR="00AD08B4" w:rsidP="00AD08B4" w:rsidRDefault="00AD08B4" w14:paraId="76FFB1AC" w14:textId="77777777">
      <w:pPr>
        <w:spacing w:line="480" w:lineRule="auto"/>
        <w:ind w:firstLine="720"/>
        <w:rPr>
          <w:rFonts w:ascii="Arial" w:hAnsi="Arial" w:cs="Arial"/>
          <w:sz w:val="22"/>
          <w:szCs w:val="22"/>
        </w:rPr>
      </w:pPr>
      <w:r w:rsidRPr="00FF4E3C">
        <w:rPr>
          <w:rFonts w:ascii="Arial" w:hAnsi="Arial" w:cs="Arial"/>
          <w:sz w:val="22"/>
          <w:szCs w:val="22"/>
        </w:rPr>
        <w:t>Think, pair, share is another commonly used technique in the History department of School X, and the application of this technique relates much more closely to the literature. This tactic is often used to allow pupils to discuss their understanding/ideas about a topic before presenting their collective answers back to the class teacher through a group spokesperson. Conversely to targeted questioning, however, “think, pair, share” is a more common tactic with key stage 3 classes than key stage 4. Upon discussion, it has been revealed that key stage 4 classes are more reluctant to share their ideas with their peers and is therefore not deployed in their lessons as often. This is apparently a common trend, as highlighted through discussion with colleagues from other schools across the South Wales area. These discussions have revealed that key stage 4 classes are reluctant to complete any peer-based activity for fear of failure and embarrassment.</w:t>
      </w:r>
    </w:p>
    <w:p w:rsidRPr="00FF4E3C" w:rsidR="00AD08B4" w:rsidP="00AD08B4" w:rsidRDefault="00AD08B4" w14:paraId="4A501E1A" w14:textId="77777777">
      <w:pPr>
        <w:spacing w:line="480" w:lineRule="auto"/>
        <w:rPr>
          <w:rFonts w:ascii="Arial" w:hAnsi="Arial" w:cs="Arial"/>
          <w:b/>
          <w:sz w:val="22"/>
          <w:szCs w:val="22"/>
          <w:u w:val="single"/>
        </w:rPr>
      </w:pPr>
      <w:r w:rsidRPr="00FF4E3C">
        <w:rPr>
          <w:rFonts w:ascii="Arial" w:hAnsi="Arial" w:cs="Arial"/>
          <w:b/>
          <w:sz w:val="22"/>
          <w:szCs w:val="22"/>
          <w:u w:val="single"/>
        </w:rPr>
        <w:t>Methodology</w:t>
      </w:r>
    </w:p>
    <w:p w:rsidRPr="00FF4E3C" w:rsidR="00AD08B4" w:rsidP="00AD08B4" w:rsidRDefault="00AD08B4" w14:paraId="7E9FA6C8"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As the intent of this project is to measure the impact of student engagement on outcomes, the data required must be quantitative in nature. Quantitative data is generally numerical data and as tracking data in schools tends to be of this nature, it is sensible to rely on this form of data. However, this decision </w:t>
      </w:r>
      <w:proofErr w:type="gramStart"/>
      <w:r w:rsidRPr="00FF4E3C">
        <w:rPr>
          <w:rFonts w:ascii="Arial" w:hAnsi="Arial" w:cs="Arial"/>
          <w:sz w:val="22"/>
          <w:szCs w:val="22"/>
        </w:rPr>
        <w:t>in itself is</w:t>
      </w:r>
      <w:proofErr w:type="gramEnd"/>
      <w:r w:rsidRPr="00FF4E3C">
        <w:rPr>
          <w:rFonts w:ascii="Arial" w:hAnsi="Arial" w:cs="Arial"/>
          <w:sz w:val="22"/>
          <w:szCs w:val="22"/>
        </w:rPr>
        <w:t xml:space="preserve"> one that has caused much debate. Traditional trends seem to suggest that qualitative data is the preferred method of gathering evidence for class teachers performing action research, whereas quantitative data is more generally used by policy makers and Government </w:t>
      </w:r>
      <w:sdt>
        <w:sdtPr>
          <w:rPr>
            <w:rFonts w:ascii="Arial" w:hAnsi="Arial" w:cs="Arial"/>
            <w:sz w:val="22"/>
            <w:szCs w:val="22"/>
          </w:rPr>
          <w:id w:val="-210577802"/>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Bau12 \l 2057 </w:instrText>
          </w:r>
          <w:r w:rsidRPr="00FF4E3C">
            <w:rPr>
              <w:rFonts w:ascii="Arial" w:hAnsi="Arial" w:cs="Arial"/>
              <w:sz w:val="22"/>
              <w:szCs w:val="22"/>
            </w:rPr>
            <w:fldChar w:fldCharType="separate"/>
          </w:r>
          <w:r w:rsidRPr="00FF4E3C">
            <w:rPr>
              <w:rFonts w:ascii="Arial" w:hAnsi="Arial" w:cs="Arial"/>
              <w:noProof/>
              <w:sz w:val="22"/>
              <w:szCs w:val="22"/>
            </w:rPr>
            <w:t>(Baumfield, et al., 2012)</w:t>
          </w:r>
          <w:r w:rsidRPr="00FF4E3C">
            <w:rPr>
              <w:rFonts w:ascii="Arial" w:hAnsi="Arial" w:cs="Arial"/>
              <w:sz w:val="22"/>
              <w:szCs w:val="22"/>
            </w:rPr>
            <w:fldChar w:fldCharType="end"/>
          </w:r>
        </w:sdtContent>
      </w:sdt>
      <w:r w:rsidRPr="00FF4E3C">
        <w:rPr>
          <w:rFonts w:ascii="Arial" w:hAnsi="Arial" w:cs="Arial"/>
          <w:sz w:val="22"/>
          <w:szCs w:val="22"/>
        </w:rPr>
        <w:t xml:space="preserve">. This </w:t>
      </w:r>
      <w:r w:rsidRPr="00FF4E3C">
        <w:rPr>
          <w:rFonts w:ascii="Arial" w:hAnsi="Arial" w:cs="Arial"/>
          <w:sz w:val="22"/>
          <w:szCs w:val="22"/>
        </w:rPr>
        <w:lastRenderedPageBreak/>
        <w:t xml:space="preserve">split is partly due to the nature of the evidence being gathered; policy makers tend to be more concerned with attainment statistics, whereas teachers tend to collect data regarding opinions and attitudes (ibid), therefore the type of data required differs between the two groups. Yet, there are more reasons why one may sway towards one form of data to another. Some researchers choose what data they want to use, and therefore their methods of collection, for political reasons. One example of this comes in the form of feminists, who opt for qualitative data to prevent themselves from being influenced by a “male way of knowing” </w:t>
      </w:r>
      <w:sdt>
        <w:sdtPr>
          <w:rPr>
            <w:rFonts w:ascii="Arial" w:hAnsi="Arial" w:cs="Arial"/>
            <w:sz w:val="22"/>
            <w:szCs w:val="22"/>
          </w:rPr>
          <w:id w:val="-1277714178"/>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Bro14 \l 2057 </w:instrText>
          </w:r>
          <w:r w:rsidRPr="00FF4E3C">
            <w:rPr>
              <w:rFonts w:ascii="Arial" w:hAnsi="Arial" w:cs="Arial"/>
              <w:sz w:val="22"/>
              <w:szCs w:val="22"/>
            </w:rPr>
            <w:fldChar w:fldCharType="separate"/>
          </w:r>
          <w:r w:rsidRPr="00FF4E3C">
            <w:rPr>
              <w:rFonts w:ascii="Arial" w:hAnsi="Arial" w:cs="Arial"/>
              <w:noProof/>
              <w:sz w:val="22"/>
              <w:szCs w:val="22"/>
            </w:rPr>
            <w:t>(Brooks, et al., 2014)</w:t>
          </w:r>
          <w:r w:rsidRPr="00FF4E3C">
            <w:rPr>
              <w:rFonts w:ascii="Arial" w:hAnsi="Arial" w:cs="Arial"/>
              <w:sz w:val="22"/>
              <w:szCs w:val="22"/>
            </w:rPr>
            <w:fldChar w:fldCharType="end"/>
          </w:r>
        </w:sdtContent>
      </w:sdt>
      <w:r w:rsidRPr="00FF4E3C">
        <w:rPr>
          <w:rFonts w:ascii="Arial" w:hAnsi="Arial" w:cs="Arial"/>
          <w:sz w:val="22"/>
          <w:szCs w:val="22"/>
        </w:rPr>
        <w:t xml:space="preserve">. Another major reason for a researcher’s decision on what sort of data to collect is the process of having to receive ethics approval. In Canada, for example, many researchers have been somewhat dissuaded from using qualitative data as the design of their research projects is more often questioned by ethics committees than that of quantitative researchers, with ethics approval increasingly </w:t>
      </w:r>
      <w:proofErr w:type="gramStart"/>
      <w:r w:rsidRPr="00FF4E3C">
        <w:rPr>
          <w:rFonts w:ascii="Arial" w:hAnsi="Arial" w:cs="Arial"/>
          <w:sz w:val="22"/>
          <w:szCs w:val="22"/>
        </w:rPr>
        <w:t>being seen as</w:t>
      </w:r>
      <w:proofErr w:type="gramEnd"/>
      <w:r w:rsidRPr="00FF4E3C">
        <w:rPr>
          <w:rFonts w:ascii="Arial" w:hAnsi="Arial" w:cs="Arial"/>
          <w:sz w:val="22"/>
          <w:szCs w:val="22"/>
        </w:rPr>
        <w:t xml:space="preserve"> a major hurdle for their research (ibid). </w:t>
      </w:r>
    </w:p>
    <w:p w:rsidRPr="00FF4E3C" w:rsidR="00AD08B4" w:rsidP="00AD08B4" w:rsidRDefault="00AD08B4" w14:paraId="4DCE309B" w14:textId="77777777">
      <w:pPr>
        <w:spacing w:line="480" w:lineRule="auto"/>
        <w:ind w:firstLine="720"/>
        <w:rPr>
          <w:rFonts w:ascii="Arial" w:hAnsi="Arial" w:cs="Arial"/>
          <w:sz w:val="22"/>
          <w:szCs w:val="22"/>
        </w:rPr>
      </w:pPr>
      <w:r w:rsidRPr="00FF4E3C">
        <w:rPr>
          <w:rFonts w:ascii="Arial" w:hAnsi="Arial" w:cs="Arial"/>
          <w:sz w:val="22"/>
          <w:szCs w:val="22"/>
        </w:rPr>
        <w:t xml:space="preserve">A way in which the dilemma posed by having to choose between qualitative and quantitative data can be addressed by looking at the research question itself. Quantitative data will tend to allow the researcher to analyse their results to discover what has happened </w:t>
      </w:r>
      <w:proofErr w:type="gramStart"/>
      <w:r w:rsidRPr="00FF4E3C">
        <w:rPr>
          <w:rFonts w:ascii="Arial" w:hAnsi="Arial" w:cs="Arial"/>
          <w:sz w:val="22"/>
          <w:szCs w:val="22"/>
        </w:rPr>
        <w:t>as a result of</w:t>
      </w:r>
      <w:proofErr w:type="gramEnd"/>
      <w:r w:rsidRPr="00FF4E3C">
        <w:rPr>
          <w:rFonts w:ascii="Arial" w:hAnsi="Arial" w:cs="Arial"/>
          <w:sz w:val="22"/>
          <w:szCs w:val="22"/>
        </w:rPr>
        <w:t xml:space="preserve"> their intervention, whereas qualitative data will tend to give an insight as to why the intervention worked (or did not work, as the case may be) </w:t>
      </w:r>
      <w:sdt>
        <w:sdtPr>
          <w:rPr>
            <w:rFonts w:ascii="Arial" w:hAnsi="Arial" w:cs="Arial"/>
            <w:sz w:val="22"/>
            <w:szCs w:val="22"/>
          </w:rPr>
          <w:id w:val="271905014"/>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Bro14 \l 2057 </w:instrText>
          </w:r>
          <w:r w:rsidRPr="00FF4E3C">
            <w:rPr>
              <w:rFonts w:ascii="Arial" w:hAnsi="Arial" w:cs="Arial"/>
              <w:sz w:val="22"/>
              <w:szCs w:val="22"/>
            </w:rPr>
            <w:fldChar w:fldCharType="separate"/>
          </w:r>
          <w:r w:rsidRPr="00FF4E3C">
            <w:rPr>
              <w:rFonts w:ascii="Arial" w:hAnsi="Arial" w:cs="Arial"/>
              <w:noProof/>
              <w:sz w:val="22"/>
              <w:szCs w:val="22"/>
            </w:rPr>
            <w:t>(Brooks, et al., 2014)</w:t>
          </w:r>
          <w:r w:rsidRPr="00FF4E3C">
            <w:rPr>
              <w:rFonts w:ascii="Arial" w:hAnsi="Arial" w:cs="Arial"/>
              <w:sz w:val="22"/>
              <w:szCs w:val="22"/>
            </w:rPr>
            <w:fldChar w:fldCharType="end"/>
          </w:r>
        </w:sdtContent>
      </w:sdt>
      <w:r w:rsidRPr="00FF4E3C">
        <w:rPr>
          <w:rFonts w:ascii="Arial" w:hAnsi="Arial" w:cs="Arial"/>
          <w:sz w:val="22"/>
          <w:szCs w:val="22"/>
        </w:rPr>
        <w:t xml:space="preserve">. This is </w:t>
      </w:r>
      <w:proofErr w:type="gramStart"/>
      <w:r w:rsidRPr="00FF4E3C">
        <w:rPr>
          <w:rFonts w:ascii="Arial" w:hAnsi="Arial" w:cs="Arial"/>
          <w:sz w:val="22"/>
          <w:szCs w:val="22"/>
        </w:rPr>
        <w:t>due to the fact that</w:t>
      </w:r>
      <w:proofErr w:type="gramEnd"/>
      <w:r w:rsidRPr="00FF4E3C">
        <w:rPr>
          <w:rFonts w:ascii="Arial" w:hAnsi="Arial" w:cs="Arial"/>
          <w:sz w:val="22"/>
          <w:szCs w:val="22"/>
        </w:rPr>
        <w:t xml:space="preserve"> quantitative data tends to provide statistical evidence whilst qualitative data tends to provide text-based answers. However, it does not have to be the case that you subscribe to either type of data alone. </w:t>
      </w:r>
      <w:proofErr w:type="spellStart"/>
      <w:r w:rsidRPr="00FF4E3C">
        <w:rPr>
          <w:rFonts w:ascii="Arial" w:hAnsi="Arial" w:cs="Arial"/>
          <w:sz w:val="22"/>
          <w:szCs w:val="22"/>
        </w:rPr>
        <w:t>Baumfield</w:t>
      </w:r>
      <w:proofErr w:type="spellEnd"/>
      <w:r w:rsidRPr="00FF4E3C">
        <w:rPr>
          <w:rFonts w:ascii="Arial" w:hAnsi="Arial" w:cs="Arial"/>
          <w:sz w:val="22"/>
          <w:szCs w:val="22"/>
        </w:rPr>
        <w:t xml:space="preserve"> et al. (2012) argue that you should choose the data you want to </w:t>
      </w:r>
      <w:proofErr w:type="gramStart"/>
      <w:r w:rsidRPr="00FF4E3C">
        <w:rPr>
          <w:rFonts w:ascii="Arial" w:hAnsi="Arial" w:cs="Arial"/>
          <w:sz w:val="22"/>
          <w:szCs w:val="22"/>
        </w:rPr>
        <w:t>collect</w:t>
      </w:r>
      <w:proofErr w:type="gramEnd"/>
      <w:r w:rsidRPr="00FF4E3C">
        <w:rPr>
          <w:rFonts w:ascii="Arial" w:hAnsi="Arial" w:cs="Arial"/>
          <w:sz w:val="22"/>
          <w:szCs w:val="22"/>
        </w:rPr>
        <w:t xml:space="preserve"> and use based on your purpose (your research question) and on your intended audience. There may be circumstances where you are attempting to discover the impact of an intervention as well as the reason for the results. In such a case, a combination of both quantitative and qualitative data may be more appropriate than only using one </w:t>
      </w:r>
      <w:sdt>
        <w:sdtPr>
          <w:rPr>
            <w:rFonts w:ascii="Arial" w:hAnsi="Arial" w:cs="Arial"/>
            <w:sz w:val="22"/>
            <w:szCs w:val="22"/>
          </w:rPr>
          <w:id w:val="1879962386"/>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Bau12 \l 2057 </w:instrText>
          </w:r>
          <w:r w:rsidRPr="00FF4E3C">
            <w:rPr>
              <w:rFonts w:ascii="Arial" w:hAnsi="Arial" w:cs="Arial"/>
              <w:sz w:val="22"/>
              <w:szCs w:val="22"/>
            </w:rPr>
            <w:fldChar w:fldCharType="separate"/>
          </w:r>
          <w:r w:rsidRPr="00FF4E3C">
            <w:rPr>
              <w:rFonts w:ascii="Arial" w:hAnsi="Arial" w:cs="Arial"/>
              <w:noProof/>
              <w:sz w:val="22"/>
              <w:szCs w:val="22"/>
            </w:rPr>
            <w:t>(Baumfield, et al., 2012)</w:t>
          </w:r>
          <w:r w:rsidRPr="00FF4E3C">
            <w:rPr>
              <w:rFonts w:ascii="Arial" w:hAnsi="Arial" w:cs="Arial"/>
              <w:sz w:val="22"/>
              <w:szCs w:val="22"/>
            </w:rPr>
            <w:fldChar w:fldCharType="end"/>
          </w:r>
        </w:sdtContent>
      </w:sdt>
      <w:r w:rsidRPr="00FF4E3C">
        <w:rPr>
          <w:rFonts w:ascii="Arial" w:hAnsi="Arial" w:cs="Arial"/>
          <w:sz w:val="22"/>
          <w:szCs w:val="22"/>
        </w:rPr>
        <w:t>.</w:t>
      </w:r>
    </w:p>
    <w:p w:rsidRPr="00FF4E3C" w:rsidR="00AD08B4" w:rsidP="00AD08B4" w:rsidRDefault="00AD08B4" w14:paraId="7A2B7E26" w14:textId="77777777">
      <w:pPr>
        <w:spacing w:line="480" w:lineRule="auto"/>
        <w:ind w:firstLine="720"/>
        <w:rPr>
          <w:rFonts w:ascii="Arial" w:hAnsi="Arial" w:cs="Arial"/>
          <w:sz w:val="22"/>
          <w:szCs w:val="22"/>
        </w:rPr>
      </w:pPr>
      <w:r w:rsidRPr="00FF4E3C">
        <w:rPr>
          <w:rFonts w:ascii="Arial" w:hAnsi="Arial" w:cs="Arial"/>
          <w:sz w:val="22"/>
          <w:szCs w:val="22"/>
        </w:rPr>
        <w:t xml:space="preserve">As previously stated, however, the research question of this project is asking what impact engagement has on outcomes, so quantitative data seems to be the appropriate choice. There are, however, a wide array of ways in which this type of data can be collected. One example of which is in the form of a questionnaire. Firstly, the data collected from questionnaires can be qualitative or quantitative depending on the questions that are asked. Questions that require simple “yes or no” answers or are multiple choice can be statistically analysed and therefore are quantitative data, but questions that require written answers are of a qualitative nature. Questionnaires can also be used to dictate the questions that you may wish to ask during the research, maybe in interviews or observations </w:t>
      </w:r>
      <w:sdt>
        <w:sdtPr>
          <w:rPr>
            <w:rFonts w:ascii="Arial" w:hAnsi="Arial" w:cs="Arial"/>
            <w:sz w:val="22"/>
            <w:szCs w:val="22"/>
          </w:rPr>
          <w:id w:val="-412168736"/>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Kos10 \l 2057 </w:instrText>
          </w:r>
          <w:r w:rsidRPr="00FF4E3C">
            <w:rPr>
              <w:rFonts w:ascii="Arial" w:hAnsi="Arial" w:cs="Arial"/>
              <w:sz w:val="22"/>
              <w:szCs w:val="22"/>
            </w:rPr>
            <w:fldChar w:fldCharType="separate"/>
          </w:r>
          <w:r w:rsidRPr="00FF4E3C">
            <w:rPr>
              <w:rFonts w:ascii="Arial" w:hAnsi="Arial" w:cs="Arial"/>
              <w:noProof/>
              <w:sz w:val="22"/>
              <w:szCs w:val="22"/>
            </w:rPr>
            <w:t>(Koshy, 2010)</w:t>
          </w:r>
          <w:r w:rsidRPr="00FF4E3C">
            <w:rPr>
              <w:rFonts w:ascii="Arial" w:hAnsi="Arial" w:cs="Arial"/>
              <w:sz w:val="22"/>
              <w:szCs w:val="22"/>
            </w:rPr>
            <w:fldChar w:fldCharType="end"/>
          </w:r>
        </w:sdtContent>
      </w:sdt>
      <w:r w:rsidRPr="00FF4E3C">
        <w:rPr>
          <w:rFonts w:ascii="Arial" w:hAnsi="Arial" w:cs="Arial"/>
          <w:sz w:val="22"/>
          <w:szCs w:val="22"/>
        </w:rPr>
        <w:t xml:space="preserve">. A downside </w:t>
      </w:r>
      <w:r w:rsidRPr="00FF4E3C">
        <w:rPr>
          <w:rFonts w:ascii="Arial" w:hAnsi="Arial" w:cs="Arial"/>
          <w:sz w:val="22"/>
          <w:szCs w:val="22"/>
        </w:rPr>
        <w:lastRenderedPageBreak/>
        <w:t xml:space="preserve">to using this method is that it adds to the workload of the teacher, having to create and analyse the results of the questionnaire </w:t>
      </w:r>
      <w:sdt>
        <w:sdtPr>
          <w:rPr>
            <w:rFonts w:ascii="Arial" w:hAnsi="Arial" w:cs="Arial"/>
            <w:sz w:val="22"/>
            <w:szCs w:val="22"/>
          </w:rPr>
          <w:id w:val="-848091739"/>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Bau12 \l 2057 </w:instrText>
          </w:r>
          <w:r w:rsidRPr="00FF4E3C">
            <w:rPr>
              <w:rFonts w:ascii="Arial" w:hAnsi="Arial" w:cs="Arial"/>
              <w:sz w:val="22"/>
              <w:szCs w:val="22"/>
            </w:rPr>
            <w:fldChar w:fldCharType="separate"/>
          </w:r>
          <w:r w:rsidRPr="00FF4E3C">
            <w:rPr>
              <w:rFonts w:ascii="Arial" w:hAnsi="Arial" w:cs="Arial"/>
              <w:noProof/>
              <w:sz w:val="22"/>
              <w:szCs w:val="22"/>
            </w:rPr>
            <w:t>(Baumfield, et al., 2012)</w:t>
          </w:r>
          <w:r w:rsidRPr="00FF4E3C">
            <w:rPr>
              <w:rFonts w:ascii="Arial" w:hAnsi="Arial" w:cs="Arial"/>
              <w:sz w:val="22"/>
              <w:szCs w:val="22"/>
            </w:rPr>
            <w:fldChar w:fldCharType="end"/>
          </w:r>
        </w:sdtContent>
      </w:sdt>
      <w:r w:rsidRPr="00FF4E3C">
        <w:rPr>
          <w:rFonts w:ascii="Arial" w:hAnsi="Arial" w:cs="Arial"/>
          <w:sz w:val="22"/>
          <w:szCs w:val="22"/>
        </w:rPr>
        <w:t xml:space="preserve">. It can, therefore, be considered more favourable to use a data set that would normally be collected by teachers as part of their pupil tracking. One such way is to utilise test data. Formative test data can allow the researcher to measure achievement and growth during a programme </w:t>
      </w:r>
      <w:sdt>
        <w:sdtPr>
          <w:rPr>
            <w:rFonts w:ascii="Arial" w:hAnsi="Arial" w:cs="Arial"/>
            <w:sz w:val="22"/>
            <w:szCs w:val="22"/>
          </w:rPr>
          <w:id w:val="-1204087151"/>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Coh11 \l 2057 </w:instrText>
          </w:r>
          <w:r w:rsidRPr="00FF4E3C">
            <w:rPr>
              <w:rFonts w:ascii="Arial" w:hAnsi="Arial" w:cs="Arial"/>
              <w:sz w:val="22"/>
              <w:szCs w:val="22"/>
            </w:rPr>
            <w:fldChar w:fldCharType="separate"/>
          </w:r>
          <w:r w:rsidRPr="00FF4E3C">
            <w:rPr>
              <w:rFonts w:ascii="Arial" w:hAnsi="Arial" w:cs="Arial"/>
              <w:noProof/>
              <w:sz w:val="22"/>
              <w:szCs w:val="22"/>
            </w:rPr>
            <w:t>(Cohen, et al., 2011)</w:t>
          </w:r>
          <w:r w:rsidRPr="00FF4E3C">
            <w:rPr>
              <w:rFonts w:ascii="Arial" w:hAnsi="Arial" w:cs="Arial"/>
              <w:sz w:val="22"/>
              <w:szCs w:val="22"/>
            </w:rPr>
            <w:fldChar w:fldCharType="end"/>
          </w:r>
        </w:sdtContent>
      </w:sdt>
      <w:r w:rsidRPr="00FF4E3C">
        <w:rPr>
          <w:rFonts w:ascii="Arial" w:hAnsi="Arial" w:cs="Arial"/>
          <w:sz w:val="22"/>
          <w:szCs w:val="22"/>
        </w:rPr>
        <w:t xml:space="preserve">. However, summative test data will allow the researcher to measure achievement or outcomes once the programme, or intervention has been completed (ibid). In relation to this project, the collection and analysis of summative test data will allow for conclusions to be drawn regarding the success of the intervention that has been implemented, once it has </w:t>
      </w:r>
      <w:proofErr w:type="spellStart"/>
      <w:r w:rsidRPr="00FF4E3C">
        <w:rPr>
          <w:rFonts w:ascii="Arial" w:hAnsi="Arial" w:cs="Arial"/>
          <w:sz w:val="22"/>
          <w:szCs w:val="22"/>
        </w:rPr>
        <w:t>bee</w:t>
      </w:r>
      <w:proofErr w:type="spellEnd"/>
      <w:r w:rsidRPr="00FF4E3C">
        <w:rPr>
          <w:rFonts w:ascii="Arial" w:hAnsi="Arial" w:cs="Arial"/>
          <w:sz w:val="22"/>
          <w:szCs w:val="22"/>
        </w:rPr>
        <w:t xml:space="preserve"> completed. It will also provide the teacher with data that can be used to monitor the progress of the pupils outside of the intervention and would therefore have a minimal impact on the workload of the teacher. However, this method of data collection will not allow for any conclusions to be drawn regarding the reasons for the outcome of the intervention. </w:t>
      </w:r>
    </w:p>
    <w:p w:rsidRPr="00FF4E3C" w:rsidR="00AD08B4" w:rsidP="00AD08B4" w:rsidRDefault="00AD08B4" w14:paraId="719381D2" w14:textId="77777777">
      <w:pPr>
        <w:spacing w:line="480" w:lineRule="auto"/>
        <w:rPr>
          <w:rFonts w:ascii="Arial" w:hAnsi="Arial" w:cs="Arial"/>
          <w:b/>
          <w:sz w:val="22"/>
          <w:szCs w:val="22"/>
          <w:u w:val="single"/>
        </w:rPr>
      </w:pPr>
      <w:r w:rsidRPr="00FF4E3C">
        <w:rPr>
          <w:rFonts w:ascii="Arial" w:hAnsi="Arial" w:cs="Arial"/>
          <w:b/>
          <w:sz w:val="22"/>
          <w:szCs w:val="22"/>
          <w:u w:val="single"/>
        </w:rPr>
        <w:t>Evaluation</w:t>
      </w:r>
    </w:p>
    <w:p w:rsidRPr="00FF4E3C" w:rsidR="00AD08B4" w:rsidP="00AD08B4" w:rsidRDefault="00AD08B4" w14:paraId="42E8459B" w14:textId="77777777">
      <w:pPr>
        <w:spacing w:line="480" w:lineRule="auto"/>
        <w:rPr>
          <w:rFonts w:ascii="Arial" w:hAnsi="Arial" w:cs="Arial"/>
          <w:sz w:val="22"/>
          <w:szCs w:val="22"/>
        </w:rPr>
      </w:pPr>
      <w:r w:rsidRPr="00FF4E3C">
        <w:rPr>
          <w:rFonts w:ascii="Arial" w:hAnsi="Arial" w:cs="Arial"/>
          <w:sz w:val="22"/>
          <w:szCs w:val="22"/>
        </w:rPr>
        <w:t xml:space="preserve">This project has been completed over the course of three lessons with a second set Year 8 class of 33 male pupils, 26 of whom were able to participate in the study, in School X in the South Wales area. When this study was completed, the pupils were completing a unit of work looking at life in Nazi Germany. By the time that this intervention was implemented, the pupils had completed </w:t>
      </w:r>
      <w:proofErr w:type="gramStart"/>
      <w:r w:rsidRPr="00FF4E3C">
        <w:rPr>
          <w:rFonts w:ascii="Arial" w:hAnsi="Arial" w:cs="Arial"/>
          <w:sz w:val="22"/>
          <w:szCs w:val="22"/>
        </w:rPr>
        <w:t>in excess of</w:t>
      </w:r>
      <w:proofErr w:type="gramEnd"/>
      <w:r w:rsidRPr="00FF4E3C">
        <w:rPr>
          <w:rFonts w:ascii="Arial" w:hAnsi="Arial" w:cs="Arial"/>
          <w:sz w:val="22"/>
          <w:szCs w:val="22"/>
        </w:rPr>
        <w:t xml:space="preserve"> ten lessons on this unit, with the class receiving three lesson of History every two weeks, as the school operates a fortnightly timetable. It was also completed in April, in the early part of the summer term, meaning that the pupils had time to adjust to their student teacher, the researcher in this study, who had taken over teaching their lesson in the February of the same year. This is an important piece of information relating to this study because it had allowed time for a relationship to be established between the student teacher and the pupils and may therefore have impacted the engagement levels of the pupils. It can be suggested that the pupils would have been less likely to engage with the lessons of the researcher had they not been familiar with them. </w:t>
      </w:r>
    </w:p>
    <w:p w:rsidRPr="00FF4E3C" w:rsidR="00AD08B4" w:rsidP="00AD08B4" w:rsidRDefault="00AD08B4" w14:paraId="63C32FEF"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One of the reasons that this class was chosen as the participants of this study is that their behaviour in the classroom can be challenging, despite their familiarity and comfortability with the researcher. However, this behaviour is not a constant problem, rather it seems to be the case that engagement and therefore enthusiasm about the lesson, or the lack thereof, is linked to their behaviour. It was therefore decided that trying to improve the engagement levels of the pupils could be beneficial in </w:t>
      </w:r>
      <w:r w:rsidRPr="00FF4E3C">
        <w:rPr>
          <w:rFonts w:ascii="Arial" w:hAnsi="Arial" w:cs="Arial"/>
          <w:sz w:val="22"/>
          <w:szCs w:val="22"/>
        </w:rPr>
        <w:lastRenderedPageBreak/>
        <w:t xml:space="preserve">terms of classroom management. It was also decided that measuring the outcomes of the pupils after an engagement-related intervention had been implemented would be a good indicator of the effect that the intervention had had on pupil engagement. It was decided that the intervention would include the researcher targeting questions at random pupils in the class initially, before choosing specific pupils to question </w:t>
      </w:r>
      <w:proofErr w:type="gramStart"/>
      <w:r w:rsidRPr="00FF4E3C">
        <w:rPr>
          <w:rFonts w:ascii="Arial" w:hAnsi="Arial" w:cs="Arial"/>
          <w:sz w:val="22"/>
          <w:szCs w:val="22"/>
        </w:rPr>
        <w:t>if and when</w:t>
      </w:r>
      <w:proofErr w:type="gramEnd"/>
      <w:r w:rsidRPr="00FF4E3C">
        <w:rPr>
          <w:rFonts w:ascii="Arial" w:hAnsi="Arial" w:cs="Arial"/>
          <w:sz w:val="22"/>
          <w:szCs w:val="22"/>
        </w:rPr>
        <w:t xml:space="preserve"> engagement levels began to drop. </w:t>
      </w:r>
    </w:p>
    <w:p w:rsidRPr="00FF4E3C" w:rsidR="00AD08B4" w:rsidP="00AD08B4" w:rsidRDefault="00AD08B4" w14:paraId="5212E1DA"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The first lesson in the </w:t>
      </w:r>
      <w:proofErr w:type="gramStart"/>
      <w:r w:rsidRPr="00FF4E3C">
        <w:rPr>
          <w:rFonts w:ascii="Arial" w:hAnsi="Arial" w:cs="Arial"/>
          <w:sz w:val="22"/>
          <w:szCs w:val="22"/>
        </w:rPr>
        <w:t>three lesson</w:t>
      </w:r>
      <w:proofErr w:type="gramEnd"/>
      <w:r w:rsidRPr="00FF4E3C">
        <w:rPr>
          <w:rFonts w:ascii="Arial" w:hAnsi="Arial" w:cs="Arial"/>
          <w:sz w:val="22"/>
          <w:szCs w:val="22"/>
        </w:rPr>
        <w:t xml:space="preserve"> sequence that this intervention occurred over took place on the final period of a Thursday, directly after lunch. The lesson was focusing on civilian opposition to the Nazis, looking at youth groups and religious groups, and began with the pupils analysing a source in GCSE style. This is something that the pupils are used to doing as it is normal practice within the department. Nonetheless, pupils were reminded of how to complete this activity with a brief question and answer session. The teacher asked questions pertaining to the activity (e.g. how do we analyse a source? What do we look for when we are analysing the content of a source? What do we look for when we are analysing the origin of a source? What about the purpose?) and chose pupils to question based on which pupils had their hands up to volunteer an answer. Only a minimal number of students initially raised their hands, so the rest of the pupils were encouraged by the teacher to participate. Importantly, however, if a pupil did not raise their hand, they were not asked to contribute an answer. The pupils then completed the task independently before feeding their answers to the teacher. Again, pupils were encouraged to volunteer their answers but only those with raised hands were asked to contribute. Pupils who willingly participated were probed for deeper answers (“why do you think that?” for example) and the task was completed. The next activity required the pupils to read through 3 pages of a text book and synthesise the information they read into a table. Again, this was to be completed independently and was initially planned to take around 20 minutes to complete. Somewhat disappointingly, the pupils </w:t>
      </w:r>
      <w:proofErr w:type="gramStart"/>
      <w:r w:rsidRPr="00FF4E3C">
        <w:rPr>
          <w:rFonts w:ascii="Arial" w:hAnsi="Arial" w:cs="Arial"/>
          <w:sz w:val="22"/>
          <w:szCs w:val="22"/>
        </w:rPr>
        <w:t>actually took</w:t>
      </w:r>
      <w:proofErr w:type="gramEnd"/>
      <w:r w:rsidRPr="00FF4E3C">
        <w:rPr>
          <w:rFonts w:ascii="Arial" w:hAnsi="Arial" w:cs="Arial"/>
          <w:sz w:val="22"/>
          <w:szCs w:val="22"/>
        </w:rPr>
        <w:t xml:space="preserve"> much longer to complete this task, with many not managing to complete it before the lesson had to progress. To rectify this, pupils who had not completed the task were instructed to return the following lunch time to complete it. The final task of the lesson was for the pupils to answer the question “Describe the civilian groups who opposed the Nazis.” The pupils were given </w:t>
      </w:r>
      <w:proofErr w:type="gramStart"/>
      <w:r w:rsidRPr="00FF4E3C">
        <w:rPr>
          <w:rFonts w:ascii="Arial" w:hAnsi="Arial" w:cs="Arial"/>
          <w:sz w:val="22"/>
          <w:szCs w:val="22"/>
        </w:rPr>
        <w:t>a success criteria</w:t>
      </w:r>
      <w:proofErr w:type="gramEnd"/>
      <w:r w:rsidRPr="00FF4E3C">
        <w:rPr>
          <w:rFonts w:ascii="Arial" w:hAnsi="Arial" w:cs="Arial"/>
          <w:sz w:val="22"/>
          <w:szCs w:val="22"/>
        </w:rPr>
        <w:t xml:space="preserve"> for this answer, to ensure that they were not disengaged with the lesson due to not understanding the task, and were given the remaining ten minutes of the lesson to complete it. As was the case with the previous task, anyone who did not complete the task in the allotted time had to return the following lunch time to complete it. </w:t>
      </w:r>
    </w:p>
    <w:p w:rsidRPr="00FF4E3C" w:rsidR="00AD08B4" w:rsidP="00AD08B4" w:rsidRDefault="00AD08B4" w14:paraId="396F55F7" w14:textId="77777777">
      <w:pPr>
        <w:spacing w:line="480" w:lineRule="auto"/>
        <w:rPr>
          <w:rFonts w:ascii="Arial" w:hAnsi="Arial" w:cs="Arial"/>
          <w:sz w:val="22"/>
          <w:szCs w:val="22"/>
        </w:rPr>
      </w:pPr>
      <w:r w:rsidRPr="00FF4E3C">
        <w:rPr>
          <w:rFonts w:ascii="Arial" w:hAnsi="Arial" w:cs="Arial"/>
          <w:sz w:val="22"/>
          <w:szCs w:val="22"/>
        </w:rPr>
        <w:lastRenderedPageBreak/>
        <w:tab/>
      </w:r>
      <w:r w:rsidRPr="00FF4E3C">
        <w:rPr>
          <w:rFonts w:ascii="Arial" w:hAnsi="Arial" w:cs="Arial"/>
          <w:sz w:val="22"/>
          <w:szCs w:val="22"/>
        </w:rPr>
        <w:t xml:space="preserve">The next lesson in the sequence took place on the following Thursday, this time during period 4, directly before lunch. This lesson began with a quick, informal test in the form of a Google Form. This test was completed to provide baseline data, from which the impact upon outcomes of the intervention could be measured. The pupils had to answer a set of multiple choice questions to determine how much they had learned/retained from the previous lesson, and the test was scored out of a total of ten marks. The lesson continued with the pupils watching a short video to introduce them to the topic of the lesson; the end of the Second World War. A question and answer session followed where pupils were randomly chosen through the application of the “cold calling” technique. Pupils who are usually passive in the lesson were deliberately asked questions about the video, as were some pupils who normally volunteer so as not to anger them with the use of the new technique </w:t>
      </w:r>
      <w:sdt>
        <w:sdtPr>
          <w:rPr>
            <w:rFonts w:ascii="Arial" w:hAnsi="Arial" w:cs="Arial"/>
            <w:sz w:val="22"/>
            <w:szCs w:val="22"/>
          </w:rPr>
          <w:id w:val="2031210287"/>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Wil18 \l 2057 </w:instrText>
          </w:r>
          <w:r w:rsidRPr="00FF4E3C">
            <w:rPr>
              <w:rFonts w:ascii="Arial" w:hAnsi="Arial" w:cs="Arial"/>
              <w:sz w:val="22"/>
              <w:szCs w:val="22"/>
            </w:rPr>
            <w:fldChar w:fldCharType="separate"/>
          </w:r>
          <w:r w:rsidRPr="00FF4E3C">
            <w:rPr>
              <w:rFonts w:ascii="Arial" w:hAnsi="Arial" w:cs="Arial"/>
              <w:noProof/>
              <w:sz w:val="22"/>
              <w:szCs w:val="22"/>
            </w:rPr>
            <w:t>(Wiliam, 2018)</w:t>
          </w:r>
          <w:r w:rsidRPr="00FF4E3C">
            <w:rPr>
              <w:rFonts w:ascii="Arial" w:hAnsi="Arial" w:cs="Arial"/>
              <w:sz w:val="22"/>
              <w:szCs w:val="22"/>
            </w:rPr>
            <w:fldChar w:fldCharType="end"/>
          </w:r>
        </w:sdtContent>
      </w:sdt>
      <w:r w:rsidRPr="00FF4E3C">
        <w:rPr>
          <w:rFonts w:ascii="Arial" w:hAnsi="Arial" w:cs="Arial"/>
          <w:sz w:val="22"/>
          <w:szCs w:val="22"/>
        </w:rPr>
        <w:t xml:space="preserve">. Pupils were then split into groups of 5-6 and instructed to read a small paragraph of information relating to a factor in the end of the war. The purpose of the group was to encourage engagement </w:t>
      </w:r>
      <w:proofErr w:type="gramStart"/>
      <w:r w:rsidRPr="00FF4E3C">
        <w:rPr>
          <w:rFonts w:ascii="Arial" w:hAnsi="Arial" w:cs="Arial"/>
          <w:sz w:val="22"/>
          <w:szCs w:val="22"/>
        </w:rPr>
        <w:t>through the use of</w:t>
      </w:r>
      <w:proofErr w:type="gramEnd"/>
      <w:r w:rsidRPr="00FF4E3C">
        <w:rPr>
          <w:rFonts w:ascii="Arial" w:hAnsi="Arial" w:cs="Arial"/>
          <w:sz w:val="22"/>
          <w:szCs w:val="22"/>
        </w:rPr>
        <w:t xml:space="preserve"> peer discussion, in a similar fashion to that suggested by Black et al. (2002) and </w:t>
      </w:r>
      <w:proofErr w:type="spellStart"/>
      <w:r w:rsidRPr="00FF4E3C">
        <w:rPr>
          <w:rFonts w:ascii="Arial" w:hAnsi="Arial" w:cs="Arial"/>
          <w:sz w:val="22"/>
          <w:szCs w:val="22"/>
        </w:rPr>
        <w:t>Lemov</w:t>
      </w:r>
      <w:proofErr w:type="spellEnd"/>
      <w:r w:rsidRPr="00FF4E3C">
        <w:rPr>
          <w:rFonts w:ascii="Arial" w:hAnsi="Arial" w:cs="Arial"/>
          <w:sz w:val="22"/>
          <w:szCs w:val="22"/>
        </w:rPr>
        <w:t xml:space="preserve"> (2014). This small peer group discussion had to lead to a small presentation of their understanding and ideas about the topic to the rest of the class and the teacher, from which the rest of the class would learn about the topic. This was the main activity of the lesson and lasted until the very end of the lesson, so there was no opportunity for any plenary that would act as a form of formative assessment for the lesson, as the written question had done in the previous lesson. </w:t>
      </w:r>
    </w:p>
    <w:p w:rsidRPr="00FF4E3C" w:rsidR="00AD08B4" w:rsidP="00AD08B4" w:rsidRDefault="00AD08B4" w14:paraId="7F41C28A"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Only the very beginning of the third lesson in the sequence relates to the intervention. This third lesson took place on the day after the second lesson, during the final period of the day, directly after lunch. As was the case with the previous lesson, the pupils completed an informal test in the form of a Google Form where they had to answer ten multiple choice questions to be given a score out of ten. Following this, the lesson continued with a different topic that does not concern this investigation. This second test had provided me with data that could provide evidence as to whether the intervention had succeeded in its purpose. </w:t>
      </w:r>
    </w:p>
    <w:p w:rsidRPr="00FF4E3C" w:rsidR="00AD08B4" w:rsidP="00AD08B4" w:rsidRDefault="00AD08B4" w14:paraId="18D111DC"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The data collected in this study seems to show a varying level of success for the intervention that was implemented. Out of a possible 26 pupils, 16 pupils seem to show an improvement during the sequence of lessons in the study. 4 of the pupils who participated in the study seemed to show a drop in their levels of attainment over the sequence of lessons, whilst the remaining 6 pupils scored the same mark on </w:t>
      </w:r>
      <w:proofErr w:type="gramStart"/>
      <w:r w:rsidRPr="00FF4E3C">
        <w:rPr>
          <w:rFonts w:ascii="Arial" w:hAnsi="Arial" w:cs="Arial"/>
          <w:sz w:val="22"/>
          <w:szCs w:val="22"/>
        </w:rPr>
        <w:t>both of the tests</w:t>
      </w:r>
      <w:proofErr w:type="gramEnd"/>
      <w:r w:rsidRPr="00FF4E3C">
        <w:rPr>
          <w:rFonts w:ascii="Arial" w:hAnsi="Arial" w:cs="Arial"/>
          <w:sz w:val="22"/>
          <w:szCs w:val="22"/>
        </w:rPr>
        <w:t xml:space="preserve"> and therefore seemed to show no improvement or decline in attainment level. Of the 16 pupils who improved their scores over the span of the two tests, 7 of them achieved a score in the second </w:t>
      </w:r>
      <w:r w:rsidRPr="00FF4E3C">
        <w:rPr>
          <w:rFonts w:ascii="Arial" w:hAnsi="Arial" w:cs="Arial"/>
          <w:sz w:val="22"/>
          <w:szCs w:val="22"/>
        </w:rPr>
        <w:lastRenderedPageBreak/>
        <w:t>test that was three or more marks higher than in the first test, with the 9 pupils making smaller gains. Conversely, of the 4 pupils who scored lower in the second test than the first, only 1 pupil dropped by the same margin of three or more marks. 4 out of the 6 pupils who scored the same in both tests scored a maximum ten out of ten on both tests, with the other 2 pupils scoring seven out of ten on both tests. 19 of the 26 pupils scored at least five out of ten on the first test, whilst 24 out of 26 pupils scored a minimum of five marks on the second test. Pupil B and Pupil F are the only two pupils who did not achieve a minimum of five marks on the second test, achieving three and four respectively after both scoring five on the first test.</w:t>
      </w:r>
    </w:p>
    <w:p w:rsidRPr="00FF4E3C" w:rsidR="00AD08B4" w:rsidP="00AD08B4" w:rsidRDefault="00AD08B4" w14:paraId="27A6E3CA"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The pupil who showed the biggest improvement in terms of outcome is Pupil O who improved his mark from one out of ten in the first test to nine out of ten in the second test. There is a simple explanation to this data set, however; Pupil O was absent from the first lesson of the sequence and was therefore not taught the information needed to answer the first test. </w:t>
      </w:r>
      <w:proofErr w:type="gramStart"/>
      <w:r w:rsidRPr="00FF4E3C">
        <w:rPr>
          <w:rFonts w:ascii="Arial" w:hAnsi="Arial" w:cs="Arial"/>
          <w:sz w:val="22"/>
          <w:szCs w:val="22"/>
        </w:rPr>
        <w:t>As a result of</w:t>
      </w:r>
      <w:proofErr w:type="gramEnd"/>
      <w:r w:rsidRPr="00FF4E3C">
        <w:rPr>
          <w:rFonts w:ascii="Arial" w:hAnsi="Arial" w:cs="Arial"/>
          <w:sz w:val="22"/>
          <w:szCs w:val="22"/>
        </w:rPr>
        <w:t xml:space="preserve"> this, we can omit his data from the analysis as we only have one true set of data for him. On the other hand, the pupil who showed the biggest drop in results was Pupil P who achieved a score of nine in the first test and a score of six in the second test. There are many possible reasons for this decline in outcomes for the pupil, just as there are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factors which may have contributed to the results of all the pupils involved in the study.</w:t>
      </w:r>
    </w:p>
    <w:p w:rsidRPr="00FF4E3C" w:rsidR="00AD08B4" w:rsidP="458E60EB" w:rsidRDefault="00AD08B4" w14:paraId="487D7F12" w14:textId="2C486702">
      <w:pPr>
        <w:spacing w:line="480" w:lineRule="auto"/>
        <w:ind w:firstLine="720"/>
        <w:rPr>
          <w:rFonts w:ascii="Arial" w:hAnsi="Arial" w:cs="Arial"/>
          <w:sz w:val="22"/>
          <w:szCs w:val="22"/>
        </w:rPr>
      </w:pPr>
      <w:r w:rsidRPr="00FF4E3C">
        <w:rPr>
          <w:rFonts w:ascii="Arial" w:hAnsi="Arial" w:cs="Arial"/>
          <w:sz w:val="22"/>
          <w:szCs w:val="22"/>
        </w:rPr>
        <w:t xml:space="preserve"> </w:t>
      </w:r>
      <w:proofErr w:type="gramStart"/>
      <w:r w:rsidRPr="00FF4E3C">
        <w:rPr>
          <w:rFonts w:ascii="Arial" w:hAnsi="Arial" w:cs="Arial"/>
          <w:sz w:val="22"/>
          <w:szCs w:val="22"/>
        </w:rPr>
        <w:t>The majority of</w:t>
      </w:r>
      <w:proofErr w:type="gramEnd"/>
      <w:r w:rsidRPr="00FF4E3C">
        <w:rPr>
          <w:rFonts w:ascii="Arial" w:hAnsi="Arial" w:cs="Arial"/>
          <w:sz w:val="22"/>
          <w:szCs w:val="22"/>
        </w:rPr>
        <w:t xml:space="preserve"> this data seems to suggest that the intervention was a success, with the majority of pupils maintaining or improving their score over the two tests. It is indeed possible that the negative results are anomalies, and conversely it is possible that some of the positive results are not true reflections of the student work. All tests can be subject to human error and there are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factors that may affect the way in which a test is approached by a pupil, and therefore affect the outcome of the test </w:t>
      </w:r>
      <w:sdt>
        <w:sdtPr>
          <w:rPr>
            <w:rFonts w:ascii="Arial" w:hAnsi="Arial" w:cs="Arial"/>
            <w:sz w:val="22"/>
            <w:szCs w:val="22"/>
          </w:rPr>
          <w:id w:val="945193898"/>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Coh11 \l 2057 </w:instrText>
          </w:r>
          <w:r w:rsidRPr="00FF4E3C">
            <w:rPr>
              <w:rFonts w:ascii="Arial" w:hAnsi="Arial" w:cs="Arial"/>
              <w:sz w:val="22"/>
              <w:szCs w:val="22"/>
            </w:rPr>
            <w:fldChar w:fldCharType="separate"/>
          </w:r>
          <w:r w:rsidRPr="00FF4E3C">
            <w:rPr>
              <w:rFonts w:ascii="Arial" w:hAnsi="Arial" w:cs="Arial" w:eastAsiaTheme="minorHAnsi"/>
              <w:noProof/>
              <w:sz w:val="22"/>
              <w:szCs w:val="22"/>
            </w:rPr>
            <w:t>(Cohen, et al., 2011)</w:t>
          </w:r>
          <w:r w:rsidRPr="00FF4E3C">
            <w:rPr>
              <w:rFonts w:ascii="Arial" w:hAnsi="Arial" w:cs="Arial"/>
              <w:sz w:val="22"/>
              <w:szCs w:val="22"/>
            </w:rPr>
            <w:fldChar w:fldCharType="end"/>
          </w:r>
        </w:sdtContent>
      </w:sdt>
      <w:r w:rsidRPr="00FF4E3C">
        <w:rPr>
          <w:rFonts w:ascii="Arial" w:hAnsi="Arial" w:cs="Arial"/>
          <w:sz w:val="22"/>
          <w:szCs w:val="22"/>
        </w:rPr>
        <w:t xml:space="preserve">. This is known as Classical Test Theory (CTT). Aside from the way in which the tests were approached by the pupils, there are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variables that may have affected the outcome of this experiment. Firstly, this method of testing is known as pre and post testing, where you attain a data set to use as a baseline score for the participants, and then get a further set of results which you can compare with the originals to measure progress after an intervention </w:t>
      </w:r>
      <w:sdt>
        <w:sdtPr>
          <w:rPr>
            <w:rFonts w:ascii="Arial" w:hAnsi="Arial" w:cs="Arial"/>
            <w:sz w:val="22"/>
            <w:szCs w:val="22"/>
          </w:rPr>
          <w:id w:val="-893185553"/>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Coh11 \l 2057 </w:instrText>
          </w:r>
          <w:r w:rsidRPr="00FF4E3C">
            <w:rPr>
              <w:rFonts w:ascii="Arial" w:hAnsi="Arial" w:cs="Arial"/>
              <w:sz w:val="22"/>
              <w:szCs w:val="22"/>
            </w:rPr>
            <w:fldChar w:fldCharType="separate"/>
          </w:r>
          <w:r w:rsidRPr="00FF4E3C">
            <w:rPr>
              <w:rFonts w:ascii="Arial" w:hAnsi="Arial" w:cs="Arial"/>
              <w:noProof/>
              <w:sz w:val="22"/>
              <w:szCs w:val="22"/>
            </w:rPr>
            <w:t>(Cohen, et al., 2011)</w:t>
          </w:r>
          <w:r w:rsidRPr="00FF4E3C">
            <w:rPr>
              <w:rFonts w:ascii="Arial" w:hAnsi="Arial" w:cs="Arial"/>
              <w:sz w:val="22"/>
              <w:szCs w:val="22"/>
            </w:rPr>
            <w:fldChar w:fldCharType="end"/>
          </w:r>
        </w:sdtContent>
      </w:sdt>
      <w:r w:rsidRPr="00FF4E3C">
        <w:rPr>
          <w:rFonts w:ascii="Arial" w:hAnsi="Arial" w:cs="Arial"/>
          <w:sz w:val="22"/>
          <w:szCs w:val="22"/>
        </w:rPr>
        <w:t xml:space="preserve">. Cohen et al.</w:t>
      </w:r>
      <w:r w:rsidRPr="00FF4E3C">
        <w:rPr>
          <w:rFonts w:ascii="Arial" w:hAnsi="Arial" w:cs="Arial"/>
          <w:sz w:val="22"/>
          <w:szCs w:val="22"/>
        </w:rPr>
        <w:t xml:space="preserve"> present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conditions that need to be met when conducting pre and post testing, the most difficult of which to adhere to is that both tests should be of equal difficulty. Difficulty is something that is perceived by </w:t>
      </w:r>
      <w:proofErr w:type="gramStart"/>
      <w:r w:rsidRPr="00FF4E3C">
        <w:rPr>
          <w:rFonts w:ascii="Arial" w:hAnsi="Arial" w:cs="Arial"/>
          <w:sz w:val="22"/>
          <w:szCs w:val="22"/>
        </w:rPr>
        <w:t>each individual</w:t>
      </w:r>
      <w:proofErr w:type="gramEnd"/>
      <w:r w:rsidRPr="00FF4E3C">
        <w:rPr>
          <w:rFonts w:ascii="Arial" w:hAnsi="Arial" w:cs="Arial"/>
          <w:sz w:val="22"/>
          <w:szCs w:val="22"/>
        </w:rPr>
        <w:t xml:space="preserve"> making it hard to judge whether two tests are of equal difficulty. The tests that were used </w:t>
      </w:r>
      <w:proofErr w:type="gramStart"/>
      <w:r w:rsidRPr="00FF4E3C">
        <w:rPr>
          <w:rFonts w:ascii="Arial" w:hAnsi="Arial" w:cs="Arial"/>
          <w:sz w:val="22"/>
          <w:szCs w:val="22"/>
        </w:rPr>
        <w:lastRenderedPageBreak/>
        <w:t>for the purpose of</w:t>
      </w:r>
      <w:proofErr w:type="gramEnd"/>
      <w:r w:rsidRPr="00FF4E3C">
        <w:rPr>
          <w:rFonts w:ascii="Arial" w:hAnsi="Arial" w:cs="Arial"/>
          <w:sz w:val="22"/>
          <w:szCs w:val="22"/>
        </w:rPr>
        <w:t xml:space="preserve"> this research were judged by the researcher to be of equal difficulty, but the pupils may have disagreed and found one of the tests more difficult than the other. </w:t>
      </w:r>
    </w:p>
    <w:p w:rsidRPr="00FF4E3C" w:rsidR="00AD08B4" w:rsidP="00AD08B4" w:rsidRDefault="00AD08B4" w14:paraId="1180A258" w14:textId="77777777">
      <w:pPr>
        <w:spacing w:line="480" w:lineRule="auto"/>
        <w:ind w:firstLine="720"/>
        <w:rPr>
          <w:rFonts w:ascii="Arial" w:hAnsi="Arial" w:cs="Arial"/>
          <w:sz w:val="22"/>
          <w:szCs w:val="22"/>
        </w:rPr>
      </w:pPr>
      <w:r w:rsidRPr="00FF4E3C">
        <w:rPr>
          <w:rFonts w:ascii="Arial" w:hAnsi="Arial" w:cs="Arial"/>
          <w:sz w:val="22"/>
          <w:szCs w:val="22"/>
        </w:rPr>
        <w:t xml:space="preserve">Another of the variables that may have affected the outcome of this research is the time gap between the lesson and the test. In the first instance, there was a gap of a week between the pupils being taught the information and being asked to complete the test, whereas there was only a gap of a day between the second lesson and the second test. This seems to present an obvious advantage to the outcomes of the second test as the information required would have been fresher in the minds of the pupils than when they completed the first test. On the other hand,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the pupils had to complete work from the first lesson in a lunch time, meaning they had to engage with the information for a second time. This may have been advantageous to them as repeated exposure to information can help with retention, although three times seems to be the minimum (Nuthall, 2007 in </w:t>
      </w:r>
      <w:proofErr w:type="spellStart"/>
      <w:r w:rsidRPr="00FF4E3C">
        <w:rPr>
          <w:rFonts w:ascii="Arial" w:hAnsi="Arial" w:cs="Arial"/>
          <w:sz w:val="22"/>
          <w:szCs w:val="22"/>
        </w:rPr>
        <w:t>Didau</w:t>
      </w:r>
      <w:proofErr w:type="spellEnd"/>
      <w:r w:rsidRPr="00FF4E3C">
        <w:rPr>
          <w:rFonts w:ascii="Arial" w:hAnsi="Arial" w:cs="Arial"/>
          <w:sz w:val="22"/>
          <w:szCs w:val="22"/>
        </w:rPr>
        <w:t xml:space="preserve">, 2015). Therefore, some pupils may have had higher scores in the first test </w:t>
      </w:r>
      <w:proofErr w:type="gramStart"/>
      <w:r w:rsidRPr="00FF4E3C">
        <w:rPr>
          <w:rFonts w:ascii="Arial" w:hAnsi="Arial" w:cs="Arial"/>
          <w:sz w:val="22"/>
          <w:szCs w:val="22"/>
        </w:rPr>
        <w:t>as a result of</w:t>
      </w:r>
      <w:proofErr w:type="gramEnd"/>
      <w:r w:rsidRPr="00FF4E3C">
        <w:rPr>
          <w:rFonts w:ascii="Arial" w:hAnsi="Arial" w:cs="Arial"/>
          <w:sz w:val="22"/>
          <w:szCs w:val="22"/>
        </w:rPr>
        <w:t xml:space="preserve"> this re-engagement with the information. </w:t>
      </w:r>
    </w:p>
    <w:p w:rsidRPr="00FF4E3C" w:rsidR="00AD08B4" w:rsidP="00AD08B4" w:rsidRDefault="00AD08B4" w14:paraId="0EE0C46B" w14:textId="77777777">
      <w:pPr>
        <w:spacing w:line="480" w:lineRule="auto"/>
        <w:ind w:firstLine="720"/>
        <w:rPr>
          <w:rFonts w:ascii="Arial" w:hAnsi="Arial" w:cs="Arial"/>
          <w:sz w:val="22"/>
          <w:szCs w:val="22"/>
        </w:rPr>
      </w:pPr>
      <w:r w:rsidRPr="00FF4E3C">
        <w:rPr>
          <w:rFonts w:ascii="Arial" w:hAnsi="Arial" w:cs="Arial"/>
          <w:sz w:val="22"/>
          <w:szCs w:val="22"/>
        </w:rPr>
        <w:t xml:space="preserve">A third reason to be wary of the reliability of this data is that the two lessons that the pupils were tested on were very different lessons. </w:t>
      </w:r>
      <w:proofErr w:type="gramStart"/>
      <w:r w:rsidRPr="00FF4E3C">
        <w:rPr>
          <w:rFonts w:ascii="Arial" w:hAnsi="Arial" w:cs="Arial"/>
          <w:sz w:val="22"/>
          <w:szCs w:val="22"/>
        </w:rPr>
        <w:t>In order for</w:t>
      </w:r>
      <w:proofErr w:type="gramEnd"/>
      <w:r w:rsidRPr="00FF4E3C">
        <w:rPr>
          <w:rFonts w:ascii="Arial" w:hAnsi="Arial" w:cs="Arial"/>
          <w:sz w:val="22"/>
          <w:szCs w:val="22"/>
        </w:rPr>
        <w:t xml:space="preserve"> the data to be more valid and reliable, the two lessons should have followed the same pattern, with the only difference being the questioning technique that was applied. Instead, the second lesson saw the introduction of “cold calling” </w:t>
      </w:r>
      <w:proofErr w:type="gramStart"/>
      <w:r w:rsidRPr="00FF4E3C">
        <w:rPr>
          <w:rFonts w:ascii="Arial" w:hAnsi="Arial" w:cs="Arial"/>
          <w:sz w:val="22"/>
          <w:szCs w:val="22"/>
        </w:rPr>
        <w:t>for the purpose of</w:t>
      </w:r>
      <w:proofErr w:type="gramEnd"/>
      <w:r w:rsidRPr="00FF4E3C">
        <w:rPr>
          <w:rFonts w:ascii="Arial" w:hAnsi="Arial" w:cs="Arial"/>
          <w:sz w:val="22"/>
          <w:szCs w:val="22"/>
        </w:rPr>
        <w:t xml:space="preserve"> targeting questions as per the scope of this research project, as well as the opportunity for the pupils to use each other as resources to deepen their understanding. You could hypothesise that the pupil group discussions impacted on the retention of information of the pupils, aiding them to implant it into their memory and therefore performing to a higher level on their second test. </w:t>
      </w:r>
    </w:p>
    <w:p w:rsidRPr="00FF4E3C" w:rsidR="00AD08B4" w:rsidP="00AD08B4" w:rsidRDefault="00AD08B4" w14:paraId="5FDBE40F" w14:textId="77777777">
      <w:pPr>
        <w:spacing w:line="480" w:lineRule="auto"/>
        <w:rPr>
          <w:rFonts w:ascii="Arial" w:hAnsi="Arial" w:cs="Arial"/>
          <w:b/>
          <w:sz w:val="22"/>
          <w:szCs w:val="22"/>
          <w:u w:val="single"/>
        </w:rPr>
      </w:pPr>
      <w:r w:rsidRPr="00FF4E3C">
        <w:rPr>
          <w:rFonts w:ascii="Arial" w:hAnsi="Arial" w:cs="Arial"/>
          <w:b/>
          <w:sz w:val="22"/>
          <w:szCs w:val="22"/>
          <w:u w:val="single"/>
        </w:rPr>
        <w:t>Conclusions</w:t>
      </w:r>
    </w:p>
    <w:p w:rsidRPr="00FF4E3C" w:rsidR="00AD08B4" w:rsidP="00AD08B4" w:rsidRDefault="00AD08B4" w14:paraId="11C8ED37"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The data that was collected by the pre and post-tests seem to suggest that by using targeted questioning (or “cold calling”) to improve levels of student engagement in the class, pupil outcomes will also increase </w:t>
      </w:r>
      <w:proofErr w:type="gramStart"/>
      <w:r w:rsidRPr="00FF4E3C">
        <w:rPr>
          <w:rFonts w:ascii="Arial" w:hAnsi="Arial" w:cs="Arial"/>
          <w:sz w:val="22"/>
          <w:szCs w:val="22"/>
        </w:rPr>
        <w:t>as a result of</w:t>
      </w:r>
      <w:proofErr w:type="gramEnd"/>
      <w:r w:rsidRPr="00FF4E3C">
        <w:rPr>
          <w:rFonts w:ascii="Arial" w:hAnsi="Arial" w:cs="Arial"/>
          <w:sz w:val="22"/>
          <w:szCs w:val="22"/>
        </w:rPr>
        <w:t xml:space="preserve"> the heightened level of engagement. As Wiliam (2011) states, pupils who are actively engaging in the lesson are increasing their knowledge, whilst those who choose not to engage are being left behind. This seems to correlate with the results of the testing. It could also be inferred, however, that pupil discussion helps to improve the retention of knowledge in pupils’ minds, as is possibly evident in the generally improved outcomes from the second of the tests. It also needs to be considered that the act of teaching their peers about their specific factor that contributed to the end of the Second World War may have played a role in aiding their retention of the information. Despite all of this, this research project </w:t>
      </w:r>
      <w:r w:rsidRPr="00FF4E3C">
        <w:rPr>
          <w:rFonts w:ascii="Arial" w:hAnsi="Arial" w:cs="Arial"/>
          <w:sz w:val="22"/>
          <w:szCs w:val="22"/>
        </w:rPr>
        <w:lastRenderedPageBreak/>
        <w:t xml:space="preserve">seems to have shown that pupil outcomes will improve </w:t>
      </w:r>
      <w:proofErr w:type="gramStart"/>
      <w:r w:rsidRPr="00FF4E3C">
        <w:rPr>
          <w:rFonts w:ascii="Arial" w:hAnsi="Arial" w:cs="Arial"/>
          <w:sz w:val="22"/>
          <w:szCs w:val="22"/>
        </w:rPr>
        <w:t>as a result of</w:t>
      </w:r>
      <w:proofErr w:type="gramEnd"/>
      <w:r w:rsidRPr="00FF4E3C">
        <w:rPr>
          <w:rFonts w:ascii="Arial" w:hAnsi="Arial" w:cs="Arial"/>
          <w:sz w:val="22"/>
          <w:szCs w:val="22"/>
        </w:rPr>
        <w:t xml:space="preserve"> higher levels of pupil engagement through the deployment of targeted questioning. </w:t>
      </w:r>
    </w:p>
    <w:p w:rsidRPr="00FF4E3C" w:rsidR="00AD08B4" w:rsidP="00AD08B4" w:rsidRDefault="00AD08B4" w14:paraId="644121AF"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There are, however, </w:t>
      </w:r>
      <w:proofErr w:type="gramStart"/>
      <w:r w:rsidRPr="00FF4E3C">
        <w:rPr>
          <w:rFonts w:ascii="Arial" w:hAnsi="Arial" w:cs="Arial"/>
          <w:sz w:val="22"/>
          <w:szCs w:val="22"/>
        </w:rPr>
        <w:t>a number of</w:t>
      </w:r>
      <w:proofErr w:type="gramEnd"/>
      <w:r w:rsidRPr="00FF4E3C">
        <w:rPr>
          <w:rFonts w:ascii="Arial" w:hAnsi="Arial" w:cs="Arial"/>
          <w:sz w:val="22"/>
          <w:szCs w:val="22"/>
        </w:rPr>
        <w:t xml:space="preserve"> factors which may have influenced the results and therefore throw the reliability and validity of the data collected into question. Firstly, you </w:t>
      </w:r>
      <w:proofErr w:type="gramStart"/>
      <w:r w:rsidRPr="00FF4E3C">
        <w:rPr>
          <w:rFonts w:ascii="Arial" w:hAnsi="Arial" w:cs="Arial"/>
          <w:sz w:val="22"/>
          <w:szCs w:val="22"/>
        </w:rPr>
        <w:t>have to</w:t>
      </w:r>
      <w:proofErr w:type="gramEnd"/>
      <w:r w:rsidRPr="00FF4E3C">
        <w:rPr>
          <w:rFonts w:ascii="Arial" w:hAnsi="Arial" w:cs="Arial"/>
          <w:sz w:val="22"/>
          <w:szCs w:val="22"/>
        </w:rPr>
        <w:t xml:space="preserve"> account for the attitudes of the pupils when approaching these two tests; they may have been much more positive and determined when completing one test over the other and this may be reflected in the data. Therefore, we only see the observable score of the pupils, rather than their true score which would reflect their true ability </w:t>
      </w:r>
      <w:sdt>
        <w:sdtPr>
          <w:rPr>
            <w:rFonts w:ascii="Arial" w:hAnsi="Arial" w:cs="Arial"/>
            <w:sz w:val="22"/>
            <w:szCs w:val="22"/>
          </w:rPr>
          <w:id w:val="-1023701390"/>
          <w:citation/>
        </w:sdtPr>
        <w:sdtContent>
          <w:r w:rsidRPr="00FF4E3C">
            <w:rPr>
              <w:rFonts w:ascii="Arial" w:hAnsi="Arial" w:cs="Arial"/>
              <w:sz w:val="22"/>
              <w:szCs w:val="22"/>
            </w:rPr>
            <w:fldChar w:fldCharType="begin"/>
          </w:r>
          <w:r w:rsidRPr="00FF4E3C">
            <w:rPr>
              <w:rFonts w:ascii="Arial" w:hAnsi="Arial" w:cs="Arial"/>
              <w:sz w:val="22"/>
              <w:szCs w:val="22"/>
            </w:rPr>
            <w:instrText xml:space="preserve"> CITATION Coh11 \l 2057 </w:instrText>
          </w:r>
          <w:r w:rsidRPr="00FF4E3C">
            <w:rPr>
              <w:rFonts w:ascii="Arial" w:hAnsi="Arial" w:cs="Arial"/>
              <w:sz w:val="22"/>
              <w:szCs w:val="22"/>
            </w:rPr>
            <w:fldChar w:fldCharType="separate"/>
          </w:r>
          <w:r w:rsidRPr="00FF4E3C">
            <w:rPr>
              <w:rFonts w:ascii="Arial" w:hAnsi="Arial" w:cs="Arial" w:eastAsiaTheme="minorHAnsi"/>
              <w:noProof/>
              <w:sz w:val="22"/>
              <w:szCs w:val="22"/>
            </w:rPr>
            <w:t>(Cohen, et al., 2011)</w:t>
          </w:r>
          <w:r w:rsidRPr="00FF4E3C">
            <w:rPr>
              <w:rFonts w:ascii="Arial" w:hAnsi="Arial" w:cs="Arial"/>
              <w:sz w:val="22"/>
              <w:szCs w:val="22"/>
            </w:rPr>
            <w:fldChar w:fldCharType="end"/>
          </w:r>
        </w:sdtContent>
      </w:sdt>
      <w:r w:rsidRPr="00FF4E3C">
        <w:rPr>
          <w:rFonts w:ascii="Arial" w:hAnsi="Arial" w:cs="Arial"/>
          <w:sz w:val="22"/>
          <w:szCs w:val="22"/>
        </w:rPr>
        <w:t xml:space="preserve">. Secondly, the difficulty of a test will be perceived differently by </w:t>
      </w:r>
      <w:proofErr w:type="gramStart"/>
      <w:r w:rsidRPr="00FF4E3C">
        <w:rPr>
          <w:rFonts w:ascii="Arial" w:hAnsi="Arial" w:cs="Arial"/>
          <w:sz w:val="22"/>
          <w:szCs w:val="22"/>
        </w:rPr>
        <w:t>each individual</w:t>
      </w:r>
      <w:proofErr w:type="gramEnd"/>
      <w:r w:rsidRPr="00FF4E3C">
        <w:rPr>
          <w:rFonts w:ascii="Arial" w:hAnsi="Arial" w:cs="Arial"/>
          <w:sz w:val="22"/>
          <w:szCs w:val="22"/>
        </w:rPr>
        <w:t xml:space="preserve">, so any attempt made to try and ensure that the tests were of equal difficulty would have been an almost impossible task, with pupils likely to find one test more difficult in the other, something which again may be reflected in the results. Thirdly, the difference in time between the lessons and the tests may have affected the data collected. Pupils may have forgotten more of the information they needed to answer the first test than the information they needed to answer the second test because there was a gap of a week between the first lesson and the first test, and a gap of a day between the second lesson and the second test. Finally, the content of the two lessons was very different. To increase the reliability of the data gathered, the only variable that should have changed is the questioning technique, with the rest of the lesson following the same structure. </w:t>
      </w:r>
    </w:p>
    <w:p w:rsidRPr="00FF4E3C" w:rsidR="00AD08B4" w:rsidP="00AD08B4" w:rsidRDefault="00AD08B4" w14:paraId="31B61416" w14:textId="77777777">
      <w:pPr>
        <w:spacing w:line="480" w:lineRule="auto"/>
        <w:rPr>
          <w:rFonts w:ascii="Arial" w:hAnsi="Arial" w:cs="Arial"/>
          <w:sz w:val="22"/>
          <w:szCs w:val="22"/>
        </w:rPr>
      </w:pPr>
      <w:r w:rsidRPr="00FF4E3C">
        <w:rPr>
          <w:rFonts w:ascii="Arial" w:hAnsi="Arial" w:cs="Arial"/>
          <w:sz w:val="22"/>
          <w:szCs w:val="22"/>
        </w:rPr>
        <w:tab/>
      </w:r>
      <w:proofErr w:type="gramStart"/>
      <w:r w:rsidRPr="00FF4E3C">
        <w:rPr>
          <w:rFonts w:ascii="Arial" w:hAnsi="Arial" w:cs="Arial"/>
          <w:sz w:val="22"/>
          <w:szCs w:val="22"/>
        </w:rPr>
        <w:t>As a result of</w:t>
      </w:r>
      <w:proofErr w:type="gramEnd"/>
      <w:r w:rsidRPr="00FF4E3C">
        <w:rPr>
          <w:rFonts w:ascii="Arial" w:hAnsi="Arial" w:cs="Arial"/>
          <w:sz w:val="22"/>
          <w:szCs w:val="22"/>
        </w:rPr>
        <w:t xml:space="preserve"> this study, “cold calling” and group discussions will become more prominent features of my future practice. There was an observable difference in the attitudes of the pupils in the lesson where these techniques were used, with pupils seemingly more enthusiastic to participate and more confident to discuss their ideas and understanding in front of the class. This environment is the natural consequence of the “cold calling” technique according to </w:t>
      </w:r>
      <w:proofErr w:type="spellStart"/>
      <w:r w:rsidRPr="00FF4E3C">
        <w:rPr>
          <w:rFonts w:ascii="Arial" w:hAnsi="Arial" w:cs="Arial"/>
          <w:sz w:val="22"/>
          <w:szCs w:val="22"/>
        </w:rPr>
        <w:t>Lemov</w:t>
      </w:r>
      <w:proofErr w:type="spellEnd"/>
      <w:r w:rsidRPr="00FF4E3C">
        <w:rPr>
          <w:rFonts w:ascii="Arial" w:hAnsi="Arial" w:cs="Arial"/>
          <w:sz w:val="22"/>
          <w:szCs w:val="22"/>
        </w:rPr>
        <w:t xml:space="preserve"> (2015), where pupils feel comfortable sharing their answers as the fear of failure has been removed. This was contributed to by praise and encouragement as suggested by </w:t>
      </w:r>
      <w:proofErr w:type="spellStart"/>
      <w:r w:rsidRPr="00FF4E3C">
        <w:rPr>
          <w:rFonts w:ascii="Arial" w:hAnsi="Arial" w:cs="Arial"/>
          <w:sz w:val="22"/>
          <w:szCs w:val="22"/>
        </w:rPr>
        <w:t>Lemov</w:t>
      </w:r>
      <w:proofErr w:type="spellEnd"/>
      <w:r w:rsidRPr="00FF4E3C">
        <w:rPr>
          <w:rFonts w:ascii="Arial" w:hAnsi="Arial" w:cs="Arial"/>
          <w:sz w:val="22"/>
          <w:szCs w:val="22"/>
        </w:rPr>
        <w:t xml:space="preserve"> (2015). From the perspective of a teacher, “cold calling” also provided the opportunity to ensure the pupils who do not normally engage with questions are following and, possibly, understanding the information in the same way as the pupils who always engage. Alongside this, it provides the teacher with opportunity to adapt if it becomes apparent that some pupils are struggling with a concept in a lesson. Adopting the group discussion technique more often will again help to build the classroom culture where people feel comfortable sharing their thoughts about a topic with the class. It was also observable in the </w:t>
      </w:r>
      <w:r w:rsidRPr="00FF4E3C">
        <w:rPr>
          <w:rFonts w:ascii="Arial" w:hAnsi="Arial" w:cs="Arial"/>
          <w:sz w:val="22"/>
          <w:szCs w:val="22"/>
        </w:rPr>
        <w:lastRenderedPageBreak/>
        <w:t xml:space="preserve">lesson that the pupils were keen to work together and, as suggested by the outcomes of the second test, worked together effectively to gather, understand and then present their information as a group. </w:t>
      </w:r>
    </w:p>
    <w:p w:rsidRPr="00FF4E3C" w:rsidR="00AD08B4" w:rsidP="00AD08B4" w:rsidRDefault="00AD08B4" w14:paraId="312D5DD8"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In terms of progressing with these techniques, although not practical to do in every lesson, I intend to combine these two methods as often as possible. The data seems to suggest that by combining them, pupils are benefitting and retaining the information, although for how long is undetermined due to the short amount of time between the second lesson and the second test. Otherwise, I intend to use these techniques individually whenever practical, not least because of the noted shift </w:t>
      </w:r>
      <w:proofErr w:type="spellStart"/>
      <w:r w:rsidRPr="00FF4E3C">
        <w:rPr>
          <w:rFonts w:ascii="Arial" w:hAnsi="Arial" w:cs="Arial"/>
          <w:sz w:val="22"/>
          <w:szCs w:val="22"/>
        </w:rPr>
        <w:t>it</w:t>
      </w:r>
      <w:proofErr w:type="spellEnd"/>
      <w:r w:rsidRPr="00FF4E3C">
        <w:rPr>
          <w:rFonts w:ascii="Arial" w:hAnsi="Arial" w:cs="Arial"/>
          <w:sz w:val="22"/>
          <w:szCs w:val="22"/>
        </w:rPr>
        <w:t xml:space="preserve"> attitude that coincided with their use in the lesson.</w:t>
      </w:r>
    </w:p>
    <w:p w:rsidRPr="00FF4E3C" w:rsidR="00AD08B4" w:rsidP="00AD08B4" w:rsidRDefault="00AD08B4" w14:paraId="3475F6BE" w14:textId="77777777">
      <w:pPr>
        <w:spacing w:line="480" w:lineRule="auto"/>
        <w:rPr>
          <w:rFonts w:ascii="Arial" w:hAnsi="Arial" w:cs="Arial"/>
          <w:b/>
          <w:sz w:val="22"/>
          <w:szCs w:val="22"/>
          <w:u w:val="single"/>
        </w:rPr>
      </w:pPr>
      <w:r w:rsidRPr="00FF4E3C">
        <w:rPr>
          <w:rFonts w:ascii="Arial" w:hAnsi="Arial" w:cs="Arial"/>
          <w:b/>
          <w:sz w:val="22"/>
          <w:szCs w:val="22"/>
          <w:u w:val="single"/>
        </w:rPr>
        <w:t>Limitations and Future Development</w:t>
      </w:r>
    </w:p>
    <w:p w:rsidRPr="00FF4E3C" w:rsidR="00AD08B4" w:rsidP="00AD08B4" w:rsidRDefault="00AD08B4" w14:paraId="2C87B79C" w14:textId="77777777">
      <w:pPr>
        <w:spacing w:line="480" w:lineRule="auto"/>
        <w:rPr>
          <w:rFonts w:ascii="Arial" w:hAnsi="Arial" w:cs="Arial"/>
          <w:sz w:val="22"/>
          <w:szCs w:val="22"/>
        </w:rPr>
      </w:pPr>
      <w:r w:rsidRPr="00FF4E3C">
        <w:rPr>
          <w:rFonts w:ascii="Arial" w:hAnsi="Arial" w:cs="Arial"/>
          <w:sz w:val="22"/>
          <w:szCs w:val="22"/>
        </w:rPr>
        <w:t xml:space="preserve">The usefulness of this study has been restricted by the narrow scope of the experiment. Firstly, this study was completed over a very short </w:t>
      </w:r>
      <w:proofErr w:type="gramStart"/>
      <w:r w:rsidRPr="00FF4E3C">
        <w:rPr>
          <w:rFonts w:ascii="Arial" w:hAnsi="Arial" w:cs="Arial"/>
          <w:sz w:val="22"/>
          <w:szCs w:val="22"/>
        </w:rPr>
        <w:t>period of time</w:t>
      </w:r>
      <w:proofErr w:type="gramEnd"/>
      <w:r w:rsidRPr="00FF4E3C">
        <w:rPr>
          <w:rFonts w:ascii="Arial" w:hAnsi="Arial" w:cs="Arial"/>
          <w:sz w:val="22"/>
          <w:szCs w:val="22"/>
        </w:rPr>
        <w:t xml:space="preserve"> due to time restrictions on when the research had to be completed by. For this study to have been of more use, it would have needed to be completed over a much larger </w:t>
      </w:r>
      <w:proofErr w:type="gramStart"/>
      <w:r w:rsidRPr="00FF4E3C">
        <w:rPr>
          <w:rFonts w:ascii="Arial" w:hAnsi="Arial" w:cs="Arial"/>
          <w:sz w:val="22"/>
          <w:szCs w:val="22"/>
        </w:rPr>
        <w:t>period of time</w:t>
      </w:r>
      <w:proofErr w:type="gramEnd"/>
      <w:r w:rsidRPr="00FF4E3C">
        <w:rPr>
          <w:rFonts w:ascii="Arial" w:hAnsi="Arial" w:cs="Arial"/>
          <w:sz w:val="22"/>
          <w:szCs w:val="22"/>
        </w:rPr>
        <w:t xml:space="preserve">, possibly over the course of an entire unit. In this scenario, an end of topic assessment before and after the intervention could have been used as the primary data in the study, with formative assessments taking place throughout the study to indicate the extent to which the intervention was having an effect. Conducting this research over a longer </w:t>
      </w:r>
      <w:proofErr w:type="gramStart"/>
      <w:r w:rsidRPr="00FF4E3C">
        <w:rPr>
          <w:rFonts w:ascii="Arial" w:hAnsi="Arial" w:cs="Arial"/>
          <w:sz w:val="22"/>
          <w:szCs w:val="22"/>
        </w:rPr>
        <w:t>period of time</w:t>
      </w:r>
      <w:proofErr w:type="gramEnd"/>
      <w:r w:rsidRPr="00FF4E3C">
        <w:rPr>
          <w:rFonts w:ascii="Arial" w:hAnsi="Arial" w:cs="Arial"/>
          <w:sz w:val="22"/>
          <w:szCs w:val="22"/>
        </w:rPr>
        <w:t xml:space="preserve"> would have also negated the issue surrounding the difference in techniques used in the lessons. Over an entire unit of work, a wide variety of teaching methods will be employed so both sets of results would be equally influenced by different factors. An increased </w:t>
      </w:r>
      <w:proofErr w:type="gramStart"/>
      <w:r w:rsidRPr="00FF4E3C">
        <w:rPr>
          <w:rFonts w:ascii="Arial" w:hAnsi="Arial" w:cs="Arial"/>
          <w:sz w:val="22"/>
          <w:szCs w:val="22"/>
        </w:rPr>
        <w:t>time period</w:t>
      </w:r>
      <w:proofErr w:type="gramEnd"/>
      <w:r w:rsidRPr="00FF4E3C">
        <w:rPr>
          <w:rFonts w:ascii="Arial" w:hAnsi="Arial" w:cs="Arial"/>
          <w:sz w:val="22"/>
          <w:szCs w:val="22"/>
        </w:rPr>
        <w:t xml:space="preserve"> would also allow the pupils to become accustomed to the new techniques and engage with them even further. This could possibly mean that the effects of the intervention would be more evident in the </w:t>
      </w:r>
      <w:proofErr w:type="gramStart"/>
      <w:r w:rsidRPr="00FF4E3C">
        <w:rPr>
          <w:rFonts w:ascii="Arial" w:hAnsi="Arial" w:cs="Arial"/>
          <w:sz w:val="22"/>
          <w:szCs w:val="22"/>
        </w:rPr>
        <w:t>data, and</w:t>
      </w:r>
      <w:proofErr w:type="gramEnd"/>
      <w:r w:rsidRPr="00FF4E3C">
        <w:rPr>
          <w:rFonts w:ascii="Arial" w:hAnsi="Arial" w:cs="Arial"/>
          <w:sz w:val="22"/>
          <w:szCs w:val="22"/>
        </w:rPr>
        <w:t xml:space="preserve"> may even provide a more convincing conclusion to the intervention. </w:t>
      </w:r>
    </w:p>
    <w:p w:rsidRPr="00FF4E3C" w:rsidR="00AD08B4" w:rsidP="00AD08B4" w:rsidRDefault="00AD08B4" w14:paraId="6D9B9451"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Another major limitation to this study is the number of pupils that participated. For any meaningful results to have been drawn from the investigation, the intervention needed to have been implemented with a much larger group of pupils, in many more schools across the country. The conclusion that we can draw from this experiment is that the intervention may have influenced a small group of male Year 8 pupils in School X in 2018. There is no evidence to suggest that this investigation would have produced the same, or even similar results, in different schools with different pupils, or even within the same school with a different set of pupils. The results do not even give evidence to suggest whether this intervention would have any influence on the outcomes of female students, as there were none included in the study. The findings of this study cannot be simply applied in any school because of the very narrow and specific set of </w:t>
      </w:r>
      <w:r w:rsidRPr="00FF4E3C">
        <w:rPr>
          <w:rFonts w:ascii="Arial" w:hAnsi="Arial" w:cs="Arial"/>
          <w:sz w:val="22"/>
          <w:szCs w:val="22"/>
        </w:rPr>
        <w:lastRenderedPageBreak/>
        <w:t>participants. By increasing the number of participants combined with the increasing number of social backgrounds that would naturally follow, you would receive a far larger data set, from which many more conclusions could be drawn, and with a higher level of reliability. Aside from this, the reliability and validity of this study is limited for the reasons already discussed; there were far too many variables in the intervention that prevented any accurate data from being obtained by the research. These variables, such as the time between the lessons and the tests, need to be consistent to increase the reliability and validity of the data collected.</w:t>
      </w:r>
    </w:p>
    <w:p w:rsidRPr="00FF4E3C" w:rsidR="00AD08B4" w:rsidP="00AD08B4" w:rsidRDefault="00AD08B4" w14:paraId="0495CD8F" w14:textId="77777777">
      <w:pPr>
        <w:spacing w:line="480" w:lineRule="auto"/>
        <w:rPr>
          <w:rFonts w:ascii="Arial" w:hAnsi="Arial" w:cs="Arial"/>
          <w:sz w:val="22"/>
          <w:szCs w:val="22"/>
        </w:rPr>
      </w:pPr>
      <w:r w:rsidRPr="00FF4E3C">
        <w:rPr>
          <w:rFonts w:ascii="Arial" w:hAnsi="Arial" w:cs="Arial"/>
          <w:sz w:val="22"/>
          <w:szCs w:val="22"/>
        </w:rPr>
        <w:tab/>
      </w:r>
      <w:r w:rsidRPr="00FF4E3C">
        <w:rPr>
          <w:rFonts w:ascii="Arial" w:hAnsi="Arial" w:cs="Arial"/>
          <w:sz w:val="22"/>
          <w:szCs w:val="22"/>
        </w:rPr>
        <w:t xml:space="preserve">To continue with my professional development and to continue strengthening my teaching style I feel that the natural next step in terms of research would be to conduct a similar study to this again. However, I would focus on only using the “cold calling” technique, keeping the structure of the lessons </w:t>
      </w:r>
      <w:proofErr w:type="gramStart"/>
      <w:r w:rsidRPr="00FF4E3C">
        <w:rPr>
          <w:rFonts w:ascii="Arial" w:hAnsi="Arial" w:cs="Arial"/>
          <w:sz w:val="22"/>
          <w:szCs w:val="22"/>
        </w:rPr>
        <w:t>in which</w:t>
      </w:r>
      <w:proofErr w:type="gramEnd"/>
      <w:r w:rsidRPr="00FF4E3C">
        <w:rPr>
          <w:rFonts w:ascii="Arial" w:hAnsi="Arial" w:cs="Arial"/>
          <w:sz w:val="22"/>
          <w:szCs w:val="22"/>
        </w:rPr>
        <w:t xml:space="preserve"> the intervention takes place exactly the same with the only change being the questioning style. This would allow me to determine whether the questioning alone has enough of an impact on student engagement to affect outcomes in the way this study suggests, or whether the use of pupil discussion played a vital role in the increase of achievement levels. Further to this, I feel my development would benefit from conducting research into pupil discussion, attempting to measure the impact that discussion alone could have on pupil outcomes. This would allow me to compare my data with any previous data, including that of this study, and give a more in-depth insight into the reasons behind the outcomes of this intervention. </w:t>
      </w:r>
    </w:p>
    <w:p w:rsidR="00AD08B4" w:rsidP="00AD08B4" w:rsidRDefault="00AD08B4" w14:paraId="01FB8A3F" w14:textId="2FAA9635">
      <w:pPr>
        <w:spacing w:line="480" w:lineRule="auto"/>
        <w:rPr>
          <w:rFonts w:ascii="Arial" w:hAnsi="Arial" w:cs="Arial"/>
          <w:sz w:val="22"/>
          <w:szCs w:val="22"/>
        </w:rPr>
      </w:pPr>
    </w:p>
    <w:p w:rsidR="00AD08B4" w:rsidP="00AD08B4" w:rsidRDefault="00AD08B4" w14:paraId="3E513AC8" w14:textId="77B69256">
      <w:pPr>
        <w:spacing w:line="480" w:lineRule="auto"/>
        <w:rPr>
          <w:rFonts w:ascii="Arial" w:hAnsi="Arial" w:cs="Arial"/>
          <w:sz w:val="22"/>
          <w:szCs w:val="22"/>
        </w:rPr>
      </w:pPr>
    </w:p>
    <w:p w:rsidR="00AD08B4" w:rsidP="00AD08B4" w:rsidRDefault="00AD08B4" w14:paraId="3218F3D1" w14:textId="024E60A3">
      <w:pPr>
        <w:spacing w:line="480" w:lineRule="auto"/>
        <w:rPr>
          <w:rFonts w:ascii="Arial" w:hAnsi="Arial" w:cs="Arial"/>
          <w:sz w:val="22"/>
          <w:szCs w:val="22"/>
        </w:rPr>
      </w:pPr>
    </w:p>
    <w:p w:rsidR="00AD08B4" w:rsidP="00AD08B4" w:rsidRDefault="00AD08B4" w14:paraId="13DDFA2D" w14:textId="45D3433A">
      <w:pPr>
        <w:spacing w:line="480" w:lineRule="auto"/>
        <w:rPr>
          <w:rFonts w:ascii="Arial" w:hAnsi="Arial" w:cs="Arial"/>
          <w:sz w:val="22"/>
          <w:szCs w:val="22"/>
        </w:rPr>
      </w:pPr>
    </w:p>
    <w:p w:rsidRPr="00FF4E3C" w:rsidR="00AD08B4" w:rsidP="00AD08B4" w:rsidRDefault="00AD08B4" w14:paraId="54C6DF5C" w14:textId="77777777">
      <w:pPr>
        <w:spacing w:line="480" w:lineRule="auto"/>
        <w:rPr>
          <w:rFonts w:ascii="Arial" w:hAnsi="Arial" w:cs="Arial"/>
          <w:sz w:val="22"/>
          <w:szCs w:val="22"/>
        </w:rPr>
      </w:pPr>
      <w:bookmarkStart w:name="_GoBack" w:id="0"/>
      <w:bookmarkEnd w:id="0"/>
    </w:p>
    <w:p w:rsidRPr="00FF4E3C" w:rsidR="00AD08B4" w:rsidP="00AD08B4" w:rsidRDefault="00AD08B4" w14:paraId="29F33535" w14:textId="77777777">
      <w:pPr>
        <w:spacing w:line="480" w:lineRule="auto"/>
        <w:rPr>
          <w:rFonts w:ascii="Arial" w:hAnsi="Arial" w:cs="Arial"/>
          <w:sz w:val="22"/>
          <w:szCs w:val="22"/>
        </w:rPr>
      </w:pPr>
    </w:p>
    <w:p w:rsidRPr="00FF4E3C" w:rsidR="00AD08B4" w:rsidP="00AD08B4" w:rsidRDefault="00AD08B4" w14:paraId="724CED12" w14:textId="77777777">
      <w:pPr>
        <w:spacing w:line="480" w:lineRule="auto"/>
        <w:rPr>
          <w:rFonts w:ascii="Arial" w:hAnsi="Arial" w:cs="Arial"/>
          <w:sz w:val="22"/>
          <w:szCs w:val="22"/>
        </w:rPr>
      </w:pPr>
    </w:p>
    <w:p w:rsidRPr="00FF4E3C" w:rsidR="00AD08B4" w:rsidP="00AD08B4" w:rsidRDefault="00AD08B4" w14:paraId="0C2FD2F0" w14:textId="77777777">
      <w:pPr>
        <w:spacing w:line="480" w:lineRule="auto"/>
        <w:rPr>
          <w:rFonts w:ascii="Arial" w:hAnsi="Arial" w:cs="Arial"/>
          <w:sz w:val="22"/>
          <w:szCs w:val="22"/>
        </w:rPr>
      </w:pPr>
    </w:p>
    <w:p w:rsidRPr="00FF4E3C" w:rsidR="00AD08B4" w:rsidP="00AD08B4" w:rsidRDefault="00AD08B4" w14:paraId="21BBFD5B" w14:textId="77777777">
      <w:pPr>
        <w:spacing w:line="480" w:lineRule="auto"/>
        <w:rPr>
          <w:rFonts w:ascii="Arial" w:hAnsi="Arial" w:cs="Arial"/>
          <w:sz w:val="22"/>
          <w:szCs w:val="22"/>
        </w:rPr>
      </w:pPr>
    </w:p>
    <w:p w:rsidRPr="00FF4E3C" w:rsidR="00AD08B4" w:rsidP="00AD08B4" w:rsidRDefault="00AD08B4" w14:paraId="43F3606E" w14:textId="77777777">
      <w:pPr>
        <w:spacing w:line="480" w:lineRule="auto"/>
        <w:rPr>
          <w:rFonts w:ascii="Arial" w:hAnsi="Arial" w:cs="Arial"/>
          <w:sz w:val="22"/>
          <w:szCs w:val="22"/>
        </w:rPr>
      </w:pPr>
    </w:p>
    <w:p w:rsidRPr="00FF4E3C" w:rsidR="00AD08B4" w:rsidP="00AD08B4" w:rsidRDefault="00AD08B4" w14:paraId="6AC723AA" w14:textId="77777777">
      <w:pPr>
        <w:spacing w:line="480" w:lineRule="auto"/>
        <w:rPr>
          <w:rFonts w:ascii="Arial" w:hAnsi="Arial" w:cs="Arial"/>
          <w:sz w:val="22"/>
          <w:szCs w:val="22"/>
        </w:rPr>
      </w:pPr>
    </w:p>
    <w:sdt>
      <w:sdtPr>
        <w:rPr>
          <w:rFonts w:ascii="Arial" w:hAnsi="Arial" w:cs="Arial"/>
          <w:sz w:val="22"/>
          <w:szCs w:val="22"/>
        </w:rPr>
        <w:id w:val="-1113598806"/>
        <w:docPartObj>
          <w:docPartGallery w:val="Bibliographies"/>
          <w:docPartUnique/>
        </w:docPartObj>
      </w:sdtPr>
      <w:sdtEndPr>
        <w:rPr>
          <w:b w:val="0"/>
        </w:rPr>
      </w:sdtEndPr>
      <w:sdtContent>
        <w:p w:rsidRPr="00FF4E3C" w:rsidR="00AD08B4" w:rsidP="00AD08B4" w:rsidRDefault="00AD08B4" w14:paraId="74B02A70" w14:textId="77777777">
          <w:pPr>
            <w:pStyle w:val="Heading1"/>
            <w:rPr>
              <w:rFonts w:ascii="Arial" w:hAnsi="Arial" w:cs="Arial"/>
              <w:sz w:val="22"/>
              <w:szCs w:val="22"/>
            </w:rPr>
          </w:pPr>
          <w:r w:rsidRPr="00FF4E3C">
            <w:rPr>
              <w:rFonts w:ascii="Arial" w:hAnsi="Arial" w:cs="Arial"/>
              <w:sz w:val="22"/>
              <w:szCs w:val="22"/>
            </w:rPr>
            <w:t>Bibliography</w:t>
          </w:r>
        </w:p>
        <w:sdt>
          <w:sdtPr>
            <w:rPr>
              <w:rFonts w:ascii="Arial" w:hAnsi="Arial" w:cs="Arial"/>
            </w:rPr>
            <w:id w:val="111145805"/>
            <w:bibliography/>
          </w:sdtPr>
          <w:sdtEndPr>
            <w:rPr>
              <w:rFonts w:eastAsia="Times New Roman"/>
              <w:lang w:eastAsia="en-GB"/>
            </w:rPr>
          </w:sdtEndPr>
          <w:sdtContent>
            <w:p w:rsidRPr="00FF4E3C" w:rsidR="00AD08B4" w:rsidP="00AD08B4" w:rsidRDefault="00AD08B4" w14:paraId="25590A4B" w14:textId="77777777">
              <w:pPr>
                <w:pStyle w:val="Bibliography"/>
                <w:rPr>
                  <w:rFonts w:ascii="Arial" w:hAnsi="Arial" w:cs="Arial"/>
                  <w:noProof/>
                  <w:lang w:val="en-US"/>
                </w:rPr>
              </w:pPr>
              <w:r w:rsidRPr="00FF4E3C">
                <w:rPr>
                  <w:rFonts w:ascii="Arial" w:hAnsi="Arial" w:cs="Arial"/>
                </w:rPr>
                <w:fldChar w:fldCharType="begin"/>
              </w:r>
              <w:r w:rsidRPr="00FF4E3C">
                <w:rPr>
                  <w:rFonts w:ascii="Arial" w:hAnsi="Arial" w:cs="Arial"/>
                </w:rPr>
                <w:instrText xml:space="preserve"> BIBLIOGRAPHY </w:instrText>
              </w:r>
              <w:r w:rsidRPr="00FF4E3C">
                <w:rPr>
                  <w:rFonts w:ascii="Arial" w:hAnsi="Arial" w:cs="Arial"/>
                </w:rPr>
                <w:fldChar w:fldCharType="separate"/>
              </w:r>
              <w:r w:rsidRPr="00FF4E3C">
                <w:rPr>
                  <w:rFonts w:ascii="Arial" w:hAnsi="Arial" w:cs="Arial"/>
                  <w:noProof/>
                  <w:lang w:val="en-US"/>
                </w:rPr>
                <w:t xml:space="preserve">Allison, S., Runeckles, C., Haynes, F. &amp; Tharby, A., 2015. </w:t>
              </w:r>
              <w:r w:rsidRPr="00FF4E3C">
                <w:rPr>
                  <w:rFonts w:ascii="Arial" w:hAnsi="Arial" w:cs="Arial"/>
                  <w:i/>
                  <w:iCs/>
                  <w:noProof/>
                  <w:lang w:val="en-US"/>
                </w:rPr>
                <w:t xml:space="preserve">Effective Questioning. </w:t>
              </w:r>
              <w:r w:rsidRPr="00FF4E3C">
                <w:rPr>
                  <w:rFonts w:ascii="Arial" w:hAnsi="Arial" w:cs="Arial"/>
                  <w:noProof/>
                  <w:lang w:val="en-US"/>
                </w:rPr>
                <w:t xml:space="preserve">[Online] </w:t>
              </w:r>
              <w:r w:rsidRPr="00FF4E3C">
                <w:rPr>
                  <w:rFonts w:ascii="Arial" w:hAnsi="Arial" w:cs="Arial"/>
                  <w:noProof/>
                  <w:lang w:val="en-US"/>
                </w:rPr>
                <w:br/>
              </w:r>
              <w:r w:rsidRPr="00FF4E3C">
                <w:rPr>
                  <w:rFonts w:ascii="Arial" w:hAnsi="Arial" w:cs="Arial"/>
                  <w:noProof/>
                  <w:lang w:val="en-US"/>
                </w:rPr>
                <w:t xml:space="preserve">Available at: </w:t>
              </w:r>
              <w:r w:rsidRPr="00FF4E3C">
                <w:rPr>
                  <w:rFonts w:ascii="Arial" w:hAnsi="Arial" w:cs="Arial"/>
                  <w:noProof/>
                  <w:u w:val="single"/>
                  <w:lang w:val="en-US"/>
                </w:rPr>
                <w:t>https://classteaching.wordpress.com/2015/12/03/effective-questioning/</w:t>
              </w:r>
              <w:r w:rsidRPr="00FF4E3C">
                <w:rPr>
                  <w:rFonts w:ascii="Arial" w:hAnsi="Arial" w:cs="Arial"/>
                  <w:noProof/>
                  <w:lang w:val="en-US"/>
                </w:rPr>
                <w:br/>
              </w:r>
              <w:r w:rsidRPr="00FF4E3C">
                <w:rPr>
                  <w:rFonts w:ascii="Arial" w:hAnsi="Arial" w:cs="Arial"/>
                  <w:noProof/>
                  <w:lang w:val="en-US"/>
                </w:rPr>
                <w:t>[Accessed 04 May 2018].</w:t>
              </w:r>
            </w:p>
            <w:p w:rsidRPr="00FF4E3C" w:rsidR="00AD08B4" w:rsidP="00AD08B4" w:rsidRDefault="00AD08B4" w14:paraId="63EC9F9C" w14:textId="77777777">
              <w:pPr>
                <w:pStyle w:val="Bibliography"/>
                <w:rPr>
                  <w:rFonts w:ascii="Arial" w:hAnsi="Arial" w:cs="Arial"/>
                  <w:noProof/>
                  <w:lang w:val="en-US"/>
                </w:rPr>
              </w:pPr>
              <w:r w:rsidRPr="00FF4E3C">
                <w:rPr>
                  <w:rFonts w:ascii="Arial" w:hAnsi="Arial" w:cs="Arial"/>
                  <w:noProof/>
                  <w:lang w:val="en-US"/>
                </w:rPr>
                <w:t xml:space="preserve">Allison, S., Tharby, A. &amp; Lemov, D., 2015. </w:t>
              </w:r>
              <w:r w:rsidRPr="00FF4E3C">
                <w:rPr>
                  <w:rFonts w:ascii="Arial" w:hAnsi="Arial" w:cs="Arial"/>
                  <w:i/>
                  <w:iCs/>
                  <w:noProof/>
                  <w:lang w:val="en-US"/>
                </w:rPr>
                <w:t xml:space="preserve">Making Every Lesson Count: Six principles to support great teaching and learning. </w:t>
              </w:r>
              <w:r w:rsidRPr="00FF4E3C">
                <w:rPr>
                  <w:rFonts w:ascii="Arial" w:hAnsi="Arial" w:cs="Arial"/>
                  <w:noProof/>
                  <w:lang w:val="en-US"/>
                </w:rPr>
                <w:t>s.l.:Crown House Publishing.</w:t>
              </w:r>
            </w:p>
            <w:p w:rsidRPr="00FF4E3C" w:rsidR="00AD08B4" w:rsidP="00AD08B4" w:rsidRDefault="00AD08B4" w14:paraId="07B3FEA3" w14:textId="77777777">
              <w:pPr>
                <w:pStyle w:val="Bibliography"/>
                <w:rPr>
                  <w:rFonts w:ascii="Arial" w:hAnsi="Arial" w:cs="Arial"/>
                  <w:noProof/>
                  <w:lang w:val="en-US"/>
                </w:rPr>
              </w:pPr>
              <w:r w:rsidRPr="00FF4E3C">
                <w:rPr>
                  <w:rFonts w:ascii="Arial" w:hAnsi="Arial" w:cs="Arial"/>
                  <w:noProof/>
                  <w:lang w:val="en-US"/>
                </w:rPr>
                <w:t xml:space="preserve">Baumfield, V., Hall, E. &amp; Wall, K., 2012. </w:t>
              </w:r>
              <w:r w:rsidRPr="00FF4E3C">
                <w:rPr>
                  <w:rFonts w:ascii="Arial" w:hAnsi="Arial" w:cs="Arial"/>
                  <w:i/>
                  <w:iCs/>
                  <w:noProof/>
                  <w:lang w:val="en-US"/>
                </w:rPr>
                <w:t xml:space="preserve">Action Research in Education: Learning Through Practitioner Enquiry. </w:t>
              </w:r>
              <w:r w:rsidRPr="00FF4E3C">
                <w:rPr>
                  <w:rFonts w:ascii="Arial" w:hAnsi="Arial" w:cs="Arial"/>
                  <w:noProof/>
                  <w:lang w:val="en-US"/>
                </w:rPr>
                <w:t>2nd ed. s.l.:SAGE Publications.</w:t>
              </w:r>
            </w:p>
            <w:p w:rsidRPr="00FF4E3C" w:rsidR="00AD08B4" w:rsidP="00AD08B4" w:rsidRDefault="00AD08B4" w14:paraId="1F3C7A53" w14:textId="77777777">
              <w:pPr>
                <w:pStyle w:val="Bibliography"/>
                <w:rPr>
                  <w:rFonts w:ascii="Arial" w:hAnsi="Arial" w:cs="Arial"/>
                  <w:noProof/>
                  <w:lang w:val="en-US"/>
                </w:rPr>
              </w:pPr>
              <w:r w:rsidRPr="00FF4E3C">
                <w:rPr>
                  <w:rFonts w:ascii="Arial" w:hAnsi="Arial" w:cs="Arial"/>
                  <w:noProof/>
                  <w:lang w:val="en-US"/>
                </w:rPr>
                <w:t xml:space="preserve">Black, P. et al., 2002. </w:t>
              </w:r>
              <w:r w:rsidRPr="00FF4E3C">
                <w:rPr>
                  <w:rFonts w:ascii="Arial" w:hAnsi="Arial" w:cs="Arial"/>
                  <w:i/>
                  <w:iCs/>
                  <w:noProof/>
                  <w:lang w:val="en-US"/>
                </w:rPr>
                <w:t xml:space="preserve">Working Inside the Black Box: Assessment for learning in the classroom. </w:t>
              </w:r>
              <w:r w:rsidRPr="00FF4E3C">
                <w:rPr>
                  <w:rFonts w:ascii="Arial" w:hAnsi="Arial" w:cs="Arial"/>
                  <w:noProof/>
                  <w:lang w:val="en-US"/>
                </w:rPr>
                <w:t>s.l.:s.n.</w:t>
              </w:r>
            </w:p>
            <w:p w:rsidRPr="00FF4E3C" w:rsidR="00AD08B4" w:rsidP="00AD08B4" w:rsidRDefault="00AD08B4" w14:paraId="6E2D8416" w14:textId="77777777">
              <w:pPr>
                <w:pStyle w:val="Bibliography"/>
                <w:rPr>
                  <w:rFonts w:ascii="Arial" w:hAnsi="Arial" w:cs="Arial"/>
                  <w:noProof/>
                  <w:lang w:val="en-US"/>
                </w:rPr>
              </w:pPr>
              <w:r w:rsidRPr="00FF4E3C">
                <w:rPr>
                  <w:rFonts w:ascii="Arial" w:hAnsi="Arial" w:cs="Arial"/>
                  <w:noProof/>
                  <w:lang w:val="en-US"/>
                </w:rPr>
                <w:t xml:space="preserve">Black, P. &amp; Wiliam, D., 1998. </w:t>
              </w:r>
              <w:r w:rsidRPr="00FF4E3C">
                <w:rPr>
                  <w:rFonts w:ascii="Arial" w:hAnsi="Arial" w:cs="Arial"/>
                  <w:i/>
                  <w:iCs/>
                  <w:noProof/>
                  <w:lang w:val="en-US"/>
                </w:rPr>
                <w:t xml:space="preserve">Inside the Black Box: raising standards through classroom assessment. </w:t>
              </w:r>
              <w:r w:rsidRPr="00FF4E3C">
                <w:rPr>
                  <w:rFonts w:ascii="Arial" w:hAnsi="Arial" w:cs="Arial"/>
                  <w:noProof/>
                  <w:lang w:val="en-US"/>
                </w:rPr>
                <w:t>London: School of Education, King's College.</w:t>
              </w:r>
            </w:p>
            <w:p w:rsidRPr="00FF4E3C" w:rsidR="00AD08B4" w:rsidP="00AD08B4" w:rsidRDefault="00AD08B4" w14:paraId="63313A33" w14:textId="77777777">
              <w:pPr>
                <w:pStyle w:val="Bibliography"/>
                <w:rPr>
                  <w:rFonts w:ascii="Arial" w:hAnsi="Arial" w:cs="Arial"/>
                  <w:noProof/>
                  <w:lang w:val="en-US"/>
                </w:rPr>
              </w:pPr>
              <w:r w:rsidRPr="00FF4E3C">
                <w:rPr>
                  <w:rFonts w:ascii="Arial" w:hAnsi="Arial" w:cs="Arial"/>
                  <w:noProof/>
                  <w:lang w:val="en-US"/>
                </w:rPr>
                <w:t xml:space="preserve">British Educational Research Association, n.d. </w:t>
              </w:r>
              <w:r w:rsidRPr="00FF4E3C">
                <w:rPr>
                  <w:rFonts w:ascii="Arial" w:hAnsi="Arial" w:cs="Arial"/>
                  <w:i/>
                  <w:iCs/>
                  <w:noProof/>
                  <w:lang w:val="en-US"/>
                </w:rPr>
                <w:t xml:space="preserve">Home: BERA. </w:t>
              </w:r>
              <w:r w:rsidRPr="00FF4E3C">
                <w:rPr>
                  <w:rFonts w:ascii="Arial" w:hAnsi="Arial" w:cs="Arial"/>
                  <w:noProof/>
                  <w:lang w:val="en-US"/>
                </w:rPr>
                <w:t xml:space="preserve">[Online] </w:t>
              </w:r>
              <w:r w:rsidRPr="00FF4E3C">
                <w:rPr>
                  <w:rFonts w:ascii="Arial" w:hAnsi="Arial" w:cs="Arial"/>
                  <w:noProof/>
                  <w:lang w:val="en-US"/>
                </w:rPr>
                <w:br/>
              </w:r>
              <w:r w:rsidRPr="00FF4E3C">
                <w:rPr>
                  <w:rFonts w:ascii="Arial" w:hAnsi="Arial" w:cs="Arial"/>
                  <w:noProof/>
                  <w:lang w:val="en-US"/>
                </w:rPr>
                <w:t xml:space="preserve">Available at: </w:t>
              </w:r>
              <w:r w:rsidRPr="00FF4E3C">
                <w:rPr>
                  <w:rFonts w:ascii="Arial" w:hAnsi="Arial" w:cs="Arial"/>
                  <w:noProof/>
                  <w:u w:val="single"/>
                  <w:lang w:val="en-US"/>
                </w:rPr>
                <w:t>https://www.bera.ac.uk/</w:t>
              </w:r>
              <w:r w:rsidRPr="00FF4E3C">
                <w:rPr>
                  <w:rFonts w:ascii="Arial" w:hAnsi="Arial" w:cs="Arial"/>
                  <w:noProof/>
                  <w:lang w:val="en-US"/>
                </w:rPr>
                <w:br/>
              </w:r>
              <w:r w:rsidRPr="00FF4E3C">
                <w:rPr>
                  <w:rFonts w:ascii="Arial" w:hAnsi="Arial" w:cs="Arial"/>
                  <w:noProof/>
                  <w:lang w:val="en-US"/>
                </w:rPr>
                <w:t>[Accessed 06 May 2018].</w:t>
              </w:r>
            </w:p>
            <w:p w:rsidRPr="00FF4E3C" w:rsidR="00AD08B4" w:rsidP="00AD08B4" w:rsidRDefault="00AD08B4" w14:paraId="72929A41" w14:textId="77777777">
              <w:pPr>
                <w:pStyle w:val="Bibliography"/>
                <w:rPr>
                  <w:rFonts w:ascii="Arial" w:hAnsi="Arial" w:cs="Arial"/>
                  <w:noProof/>
                  <w:lang w:val="en-US"/>
                </w:rPr>
              </w:pPr>
              <w:r w:rsidRPr="00FF4E3C">
                <w:rPr>
                  <w:rFonts w:ascii="Arial" w:hAnsi="Arial" w:cs="Arial"/>
                  <w:noProof/>
                  <w:lang w:val="en-US"/>
                </w:rPr>
                <w:t xml:space="preserve">Brooks, R., Te Riele, K. &amp; Maguire, M., 2014. </w:t>
              </w:r>
              <w:r w:rsidRPr="00FF4E3C">
                <w:rPr>
                  <w:rFonts w:ascii="Arial" w:hAnsi="Arial" w:cs="Arial"/>
                  <w:i/>
                  <w:iCs/>
                  <w:noProof/>
                  <w:lang w:val="en-US"/>
                </w:rPr>
                <w:t xml:space="preserve">Ethics and Eductaion Research. </w:t>
              </w:r>
              <w:r w:rsidRPr="00FF4E3C">
                <w:rPr>
                  <w:rFonts w:ascii="Arial" w:hAnsi="Arial" w:cs="Arial"/>
                  <w:noProof/>
                  <w:lang w:val="en-US"/>
                </w:rPr>
                <w:t>s.l.:Sage Publications.</w:t>
              </w:r>
            </w:p>
            <w:p w:rsidRPr="00FF4E3C" w:rsidR="00AD08B4" w:rsidP="00AD08B4" w:rsidRDefault="00AD08B4" w14:paraId="7D34A6BF" w14:textId="77777777">
              <w:pPr>
                <w:pStyle w:val="Bibliography"/>
                <w:rPr>
                  <w:rFonts w:ascii="Arial" w:hAnsi="Arial" w:cs="Arial"/>
                  <w:noProof/>
                  <w:lang w:val="en-US"/>
                </w:rPr>
              </w:pPr>
              <w:r w:rsidRPr="00FF4E3C">
                <w:rPr>
                  <w:rFonts w:ascii="Arial" w:hAnsi="Arial" w:cs="Arial"/>
                  <w:noProof/>
                  <w:lang w:val="en-US"/>
                </w:rPr>
                <w:t xml:space="preserve">Caram, C. A. &amp; Davis, P. B., 2005. Inviting Student Engagement with Questioning. </w:t>
              </w:r>
              <w:r w:rsidRPr="00FF4E3C">
                <w:rPr>
                  <w:rFonts w:ascii="Arial" w:hAnsi="Arial" w:cs="Arial"/>
                  <w:i/>
                  <w:iCs/>
                  <w:noProof/>
                  <w:lang w:val="en-US"/>
                </w:rPr>
                <w:t xml:space="preserve">Kappa Delta Pi Record, </w:t>
              </w:r>
              <w:r w:rsidRPr="00FF4E3C">
                <w:rPr>
                  <w:rFonts w:ascii="Arial" w:hAnsi="Arial" w:cs="Arial"/>
                  <w:noProof/>
                  <w:lang w:val="en-US"/>
                </w:rPr>
                <w:t>42(1), pp. 18-23.</w:t>
              </w:r>
            </w:p>
            <w:p w:rsidRPr="00FF4E3C" w:rsidR="00AD08B4" w:rsidP="00AD08B4" w:rsidRDefault="00AD08B4" w14:paraId="67EDE665" w14:textId="77777777">
              <w:pPr>
                <w:pStyle w:val="Bibliography"/>
                <w:rPr>
                  <w:rFonts w:ascii="Arial" w:hAnsi="Arial" w:cs="Arial"/>
                  <w:noProof/>
                  <w:lang w:val="en-US"/>
                </w:rPr>
              </w:pPr>
              <w:r w:rsidRPr="00FF4E3C">
                <w:rPr>
                  <w:rFonts w:ascii="Arial" w:hAnsi="Arial" w:cs="Arial"/>
                  <w:noProof/>
                  <w:lang w:val="en-US"/>
                </w:rPr>
                <w:t xml:space="preserve">Cohen, L., Manion, L. &amp; Morrison, K., 2011. </w:t>
              </w:r>
              <w:r w:rsidRPr="00FF4E3C">
                <w:rPr>
                  <w:rFonts w:ascii="Arial" w:hAnsi="Arial" w:cs="Arial"/>
                  <w:i/>
                  <w:iCs/>
                  <w:noProof/>
                  <w:lang w:val="en-US"/>
                </w:rPr>
                <w:t xml:space="preserve">Research Methods in Education. </w:t>
              </w:r>
              <w:r w:rsidRPr="00FF4E3C">
                <w:rPr>
                  <w:rFonts w:ascii="Arial" w:hAnsi="Arial" w:cs="Arial"/>
                  <w:noProof/>
                  <w:lang w:val="en-US"/>
                </w:rPr>
                <w:t>7th ed. s.l.:Routledge.</w:t>
              </w:r>
            </w:p>
            <w:p w:rsidRPr="00FF4E3C" w:rsidR="00AD08B4" w:rsidP="00AD08B4" w:rsidRDefault="00AD08B4" w14:paraId="2CAC9805" w14:textId="77777777">
              <w:pPr>
                <w:pStyle w:val="Bibliography"/>
                <w:rPr>
                  <w:rFonts w:ascii="Arial" w:hAnsi="Arial" w:cs="Arial"/>
                  <w:noProof/>
                  <w:lang w:val="en-US"/>
                </w:rPr>
              </w:pPr>
              <w:r w:rsidRPr="00FF4E3C">
                <w:rPr>
                  <w:rFonts w:ascii="Arial" w:hAnsi="Arial" w:cs="Arial"/>
                  <w:noProof/>
                  <w:lang w:val="en-US"/>
                </w:rPr>
                <w:t xml:space="preserve">Didau, D., 2015. </w:t>
              </w:r>
              <w:r w:rsidRPr="00FF4E3C">
                <w:rPr>
                  <w:rFonts w:ascii="Arial" w:hAnsi="Arial" w:cs="Arial"/>
                  <w:i/>
                  <w:iCs/>
                  <w:noProof/>
                  <w:lang w:val="en-US"/>
                </w:rPr>
                <w:t xml:space="preserve">What if Everything You Knew About Education was Wrong?. </w:t>
              </w:r>
              <w:r w:rsidRPr="00FF4E3C">
                <w:rPr>
                  <w:rFonts w:ascii="Arial" w:hAnsi="Arial" w:cs="Arial"/>
                  <w:noProof/>
                  <w:lang w:val="en-US"/>
                </w:rPr>
                <w:t>Camarthen: Crown House Publishing Limited.</w:t>
              </w:r>
            </w:p>
            <w:p w:rsidRPr="00FF4E3C" w:rsidR="00AD08B4" w:rsidP="00AD08B4" w:rsidRDefault="00AD08B4" w14:paraId="7450BDCC" w14:textId="77777777">
              <w:pPr>
                <w:pStyle w:val="Bibliography"/>
                <w:rPr>
                  <w:rFonts w:ascii="Arial" w:hAnsi="Arial" w:cs="Arial"/>
                  <w:noProof/>
                  <w:lang w:val="en-US"/>
                </w:rPr>
              </w:pPr>
              <w:r w:rsidRPr="00FF4E3C">
                <w:rPr>
                  <w:rFonts w:ascii="Arial" w:hAnsi="Arial" w:cs="Arial"/>
                  <w:noProof/>
                  <w:lang w:val="en-US"/>
                </w:rPr>
                <w:t xml:space="preserve">Dillon, J. &amp; Maguire, M., 2007. </w:t>
              </w:r>
              <w:r w:rsidRPr="00FF4E3C">
                <w:rPr>
                  <w:rFonts w:ascii="Arial" w:hAnsi="Arial" w:cs="Arial"/>
                  <w:i/>
                  <w:iCs/>
                  <w:noProof/>
                  <w:lang w:val="en-US"/>
                </w:rPr>
                <w:t xml:space="preserve">Becoming a Teacher: Issues in secondary teaching. </w:t>
              </w:r>
              <w:r w:rsidRPr="00FF4E3C">
                <w:rPr>
                  <w:rFonts w:ascii="Arial" w:hAnsi="Arial" w:cs="Arial"/>
                  <w:noProof/>
                  <w:lang w:val="en-US"/>
                </w:rPr>
                <w:t>3rd ed. s.l.:Open University Press.</w:t>
              </w:r>
            </w:p>
            <w:p w:rsidRPr="00FF4E3C" w:rsidR="00AD08B4" w:rsidP="00AD08B4" w:rsidRDefault="00AD08B4" w14:paraId="588E2DF9" w14:textId="77777777">
              <w:pPr>
                <w:pStyle w:val="Bibliography"/>
                <w:rPr>
                  <w:rFonts w:ascii="Arial" w:hAnsi="Arial" w:cs="Arial"/>
                  <w:noProof/>
                  <w:lang w:val="en-US"/>
                </w:rPr>
              </w:pPr>
              <w:r w:rsidRPr="00FF4E3C">
                <w:rPr>
                  <w:rFonts w:ascii="Arial" w:hAnsi="Arial" w:cs="Arial"/>
                  <w:noProof/>
                  <w:lang w:val="en-US"/>
                </w:rPr>
                <w:t xml:space="preserve">Hannel, I., 2009. Insufficient Questioning. </w:t>
              </w:r>
              <w:r w:rsidRPr="00FF4E3C">
                <w:rPr>
                  <w:rFonts w:ascii="Arial" w:hAnsi="Arial" w:cs="Arial"/>
                  <w:i/>
                  <w:iCs/>
                  <w:noProof/>
                  <w:lang w:val="en-US"/>
                </w:rPr>
                <w:t xml:space="preserve">Phi Delta Kappan, </w:t>
              </w:r>
              <w:r w:rsidRPr="00FF4E3C">
                <w:rPr>
                  <w:rFonts w:ascii="Arial" w:hAnsi="Arial" w:cs="Arial"/>
                  <w:noProof/>
                  <w:lang w:val="en-US"/>
                </w:rPr>
                <w:t>3(91), pp. 65-69.</w:t>
              </w:r>
            </w:p>
            <w:p w:rsidRPr="00FF4E3C" w:rsidR="00AD08B4" w:rsidP="00AD08B4" w:rsidRDefault="00AD08B4" w14:paraId="618694D4" w14:textId="77777777">
              <w:pPr>
                <w:pStyle w:val="Bibliography"/>
                <w:rPr>
                  <w:rFonts w:ascii="Arial" w:hAnsi="Arial" w:cs="Arial"/>
                  <w:noProof/>
                  <w:lang w:val="en-US"/>
                </w:rPr>
              </w:pPr>
              <w:r w:rsidRPr="00FF4E3C">
                <w:rPr>
                  <w:rFonts w:ascii="Arial" w:hAnsi="Arial" w:cs="Arial"/>
                  <w:noProof/>
                  <w:lang w:val="en-US"/>
                </w:rPr>
                <w:t xml:space="preserve">Hopkins, D., 2014. </w:t>
              </w:r>
              <w:r w:rsidRPr="00FF4E3C">
                <w:rPr>
                  <w:rFonts w:ascii="Arial" w:hAnsi="Arial" w:cs="Arial"/>
                  <w:i/>
                  <w:iCs/>
                  <w:noProof/>
                  <w:lang w:val="en-US"/>
                </w:rPr>
                <w:t xml:space="preserve">A Teacher's Guide to Classroom Research. </w:t>
              </w:r>
              <w:r w:rsidRPr="00FF4E3C">
                <w:rPr>
                  <w:rFonts w:ascii="Arial" w:hAnsi="Arial" w:cs="Arial"/>
                  <w:noProof/>
                  <w:lang w:val="en-US"/>
                </w:rPr>
                <w:t>5th ed. s.l.:Open University Press.</w:t>
              </w:r>
            </w:p>
            <w:p w:rsidRPr="00FF4E3C" w:rsidR="00AD08B4" w:rsidP="00AD08B4" w:rsidRDefault="00AD08B4" w14:paraId="03086E06" w14:textId="77777777">
              <w:pPr>
                <w:pStyle w:val="Bibliography"/>
                <w:rPr>
                  <w:rFonts w:ascii="Arial" w:hAnsi="Arial" w:cs="Arial"/>
                  <w:noProof/>
                  <w:lang w:val="en-US"/>
                </w:rPr>
              </w:pPr>
              <w:r w:rsidRPr="00FF4E3C">
                <w:rPr>
                  <w:rFonts w:ascii="Arial" w:hAnsi="Arial" w:cs="Arial"/>
                  <w:noProof/>
                  <w:lang w:val="en-US"/>
                </w:rPr>
                <w:t xml:space="preserve">Koshy, V., 2010. </w:t>
              </w:r>
              <w:r w:rsidRPr="00FF4E3C">
                <w:rPr>
                  <w:rFonts w:ascii="Arial" w:hAnsi="Arial" w:cs="Arial"/>
                  <w:i/>
                  <w:iCs/>
                  <w:noProof/>
                  <w:lang w:val="en-US"/>
                </w:rPr>
                <w:t xml:space="preserve">Action Research for Improving Educational Practice. </w:t>
              </w:r>
              <w:r w:rsidRPr="00FF4E3C">
                <w:rPr>
                  <w:rFonts w:ascii="Arial" w:hAnsi="Arial" w:cs="Arial"/>
                  <w:noProof/>
                  <w:lang w:val="en-US"/>
                </w:rPr>
                <w:t>2nd ed. s.l.:SAGE Publications.</w:t>
              </w:r>
            </w:p>
            <w:p w:rsidRPr="00FF4E3C" w:rsidR="00AD08B4" w:rsidP="00AD08B4" w:rsidRDefault="00AD08B4" w14:paraId="757189F5" w14:textId="77777777">
              <w:pPr>
                <w:pStyle w:val="Bibliography"/>
                <w:rPr>
                  <w:rFonts w:ascii="Arial" w:hAnsi="Arial" w:cs="Arial"/>
                  <w:noProof/>
                  <w:lang w:val="en-US"/>
                </w:rPr>
              </w:pPr>
              <w:r w:rsidRPr="00FF4E3C">
                <w:rPr>
                  <w:rFonts w:ascii="Arial" w:hAnsi="Arial" w:cs="Arial"/>
                  <w:noProof/>
                  <w:lang w:val="en-US"/>
                </w:rPr>
                <w:t xml:space="preserve">Lemov, D., 2014. </w:t>
              </w:r>
              <w:r w:rsidRPr="00FF4E3C">
                <w:rPr>
                  <w:rFonts w:ascii="Arial" w:hAnsi="Arial" w:cs="Arial"/>
                  <w:i/>
                  <w:iCs/>
                  <w:noProof/>
                  <w:lang w:val="en-US"/>
                </w:rPr>
                <w:t xml:space="preserve">I like Turn and Talk as much as the next guy, but.... </w:t>
              </w:r>
              <w:r w:rsidRPr="00FF4E3C">
                <w:rPr>
                  <w:rFonts w:ascii="Arial" w:hAnsi="Arial" w:cs="Arial"/>
                  <w:noProof/>
                  <w:lang w:val="en-US"/>
                </w:rPr>
                <w:t xml:space="preserve">[Online] </w:t>
              </w:r>
              <w:r w:rsidRPr="00FF4E3C">
                <w:rPr>
                  <w:rFonts w:ascii="Arial" w:hAnsi="Arial" w:cs="Arial"/>
                  <w:noProof/>
                  <w:lang w:val="en-US"/>
                </w:rPr>
                <w:br/>
              </w:r>
              <w:r w:rsidRPr="00FF4E3C">
                <w:rPr>
                  <w:rFonts w:ascii="Arial" w:hAnsi="Arial" w:cs="Arial"/>
                  <w:noProof/>
                  <w:lang w:val="en-US"/>
                </w:rPr>
                <w:t xml:space="preserve">Available at: </w:t>
              </w:r>
              <w:r w:rsidRPr="00FF4E3C">
                <w:rPr>
                  <w:rFonts w:ascii="Arial" w:hAnsi="Arial" w:cs="Arial"/>
                  <w:noProof/>
                  <w:u w:val="single"/>
                  <w:lang w:val="en-US"/>
                </w:rPr>
                <w:t>http://teachlikeachampion.com/blog/like-turn-talk-much-next-guy/</w:t>
              </w:r>
              <w:r w:rsidRPr="00FF4E3C">
                <w:rPr>
                  <w:rFonts w:ascii="Arial" w:hAnsi="Arial" w:cs="Arial"/>
                  <w:noProof/>
                  <w:lang w:val="en-US"/>
                </w:rPr>
                <w:br/>
              </w:r>
              <w:r w:rsidRPr="00FF4E3C">
                <w:rPr>
                  <w:rFonts w:ascii="Arial" w:hAnsi="Arial" w:cs="Arial"/>
                  <w:noProof/>
                  <w:lang w:val="en-US"/>
                </w:rPr>
                <w:t>[Accessed 4 May 2018].</w:t>
              </w:r>
            </w:p>
            <w:p w:rsidRPr="00FF4E3C" w:rsidR="00AD08B4" w:rsidP="00AD08B4" w:rsidRDefault="00AD08B4" w14:paraId="1FC67B89" w14:textId="77777777">
              <w:pPr>
                <w:pStyle w:val="Bibliography"/>
                <w:rPr>
                  <w:rFonts w:ascii="Arial" w:hAnsi="Arial" w:cs="Arial"/>
                  <w:noProof/>
                  <w:lang w:val="en-US"/>
                </w:rPr>
              </w:pPr>
              <w:r w:rsidRPr="00FF4E3C">
                <w:rPr>
                  <w:rFonts w:ascii="Arial" w:hAnsi="Arial" w:cs="Arial"/>
                  <w:noProof/>
                  <w:lang w:val="en-US"/>
                </w:rPr>
                <w:t xml:space="preserve">Lemov, D., 2015. </w:t>
              </w:r>
              <w:r w:rsidRPr="00FF4E3C">
                <w:rPr>
                  <w:rFonts w:ascii="Arial" w:hAnsi="Arial" w:cs="Arial"/>
                  <w:i/>
                  <w:iCs/>
                  <w:noProof/>
                  <w:lang w:val="en-US"/>
                </w:rPr>
                <w:t xml:space="preserve">A recipe for Making Cold Call Feel Positive. </w:t>
              </w:r>
              <w:r w:rsidRPr="00FF4E3C">
                <w:rPr>
                  <w:rFonts w:ascii="Arial" w:hAnsi="Arial" w:cs="Arial"/>
                  <w:noProof/>
                  <w:lang w:val="en-US"/>
                </w:rPr>
                <w:t xml:space="preserve">[Online] </w:t>
              </w:r>
              <w:r w:rsidRPr="00FF4E3C">
                <w:rPr>
                  <w:rFonts w:ascii="Arial" w:hAnsi="Arial" w:cs="Arial"/>
                  <w:noProof/>
                  <w:lang w:val="en-US"/>
                </w:rPr>
                <w:br/>
              </w:r>
              <w:r w:rsidRPr="00FF4E3C">
                <w:rPr>
                  <w:rFonts w:ascii="Arial" w:hAnsi="Arial" w:cs="Arial"/>
                  <w:noProof/>
                  <w:lang w:val="en-US"/>
                </w:rPr>
                <w:t xml:space="preserve">Available at: </w:t>
              </w:r>
              <w:r w:rsidRPr="00FF4E3C">
                <w:rPr>
                  <w:rFonts w:ascii="Arial" w:hAnsi="Arial" w:cs="Arial"/>
                  <w:noProof/>
                  <w:u w:val="single"/>
                  <w:lang w:val="en-US"/>
                </w:rPr>
                <w:t>http://teachlikeachampion.com/blog/recipe-making-cold-call-feel-positive/</w:t>
              </w:r>
              <w:r w:rsidRPr="00FF4E3C">
                <w:rPr>
                  <w:rFonts w:ascii="Arial" w:hAnsi="Arial" w:cs="Arial"/>
                  <w:noProof/>
                  <w:lang w:val="en-US"/>
                </w:rPr>
                <w:br/>
              </w:r>
              <w:r w:rsidRPr="00FF4E3C">
                <w:rPr>
                  <w:rFonts w:ascii="Arial" w:hAnsi="Arial" w:cs="Arial"/>
                  <w:noProof/>
                  <w:lang w:val="en-US"/>
                </w:rPr>
                <w:t>[Accessed 04 May 2018].</w:t>
              </w:r>
            </w:p>
            <w:p w:rsidRPr="00FF4E3C" w:rsidR="00AD08B4" w:rsidP="00AD08B4" w:rsidRDefault="00AD08B4" w14:paraId="1C7E072C" w14:textId="77777777">
              <w:pPr>
                <w:pStyle w:val="Bibliography"/>
                <w:rPr>
                  <w:rFonts w:ascii="Arial" w:hAnsi="Arial" w:cs="Arial"/>
                  <w:noProof/>
                  <w:lang w:val="en-US"/>
                </w:rPr>
              </w:pPr>
              <w:r w:rsidRPr="00FF4E3C">
                <w:rPr>
                  <w:rFonts w:ascii="Arial" w:hAnsi="Arial" w:cs="Arial"/>
                  <w:noProof/>
                  <w:lang w:val="en-US"/>
                </w:rPr>
                <w:t xml:space="preserve">Lemov, D., 2016. </w:t>
              </w:r>
              <w:r w:rsidRPr="00FF4E3C">
                <w:rPr>
                  <w:rFonts w:ascii="Arial" w:hAnsi="Arial" w:cs="Arial"/>
                  <w:i/>
                  <w:iCs/>
                  <w:noProof/>
                  <w:lang w:val="en-US"/>
                </w:rPr>
                <w:t xml:space="preserve">Cold Call is Inclusive. </w:t>
              </w:r>
              <w:r w:rsidRPr="00FF4E3C">
                <w:rPr>
                  <w:rFonts w:ascii="Arial" w:hAnsi="Arial" w:cs="Arial"/>
                  <w:noProof/>
                  <w:lang w:val="en-US"/>
                </w:rPr>
                <w:t xml:space="preserve">[Online] </w:t>
              </w:r>
              <w:r w:rsidRPr="00FF4E3C">
                <w:rPr>
                  <w:rFonts w:ascii="Arial" w:hAnsi="Arial" w:cs="Arial"/>
                  <w:noProof/>
                  <w:lang w:val="en-US"/>
                </w:rPr>
                <w:br/>
              </w:r>
              <w:r w:rsidRPr="00FF4E3C">
                <w:rPr>
                  <w:rFonts w:ascii="Arial" w:hAnsi="Arial" w:cs="Arial"/>
                  <w:noProof/>
                  <w:lang w:val="en-US"/>
                </w:rPr>
                <w:t xml:space="preserve">Available at: </w:t>
              </w:r>
              <w:r w:rsidRPr="00FF4E3C">
                <w:rPr>
                  <w:rFonts w:ascii="Arial" w:hAnsi="Arial" w:cs="Arial"/>
                  <w:noProof/>
                  <w:u w:val="single"/>
                  <w:lang w:val="en-US"/>
                </w:rPr>
                <w:t>http://teachlikeachampion.com/blog/cold-call-inclusive/</w:t>
              </w:r>
              <w:r w:rsidRPr="00FF4E3C">
                <w:rPr>
                  <w:rFonts w:ascii="Arial" w:hAnsi="Arial" w:cs="Arial"/>
                  <w:noProof/>
                  <w:lang w:val="en-US"/>
                </w:rPr>
                <w:br/>
              </w:r>
              <w:r w:rsidRPr="00FF4E3C">
                <w:rPr>
                  <w:rFonts w:ascii="Arial" w:hAnsi="Arial" w:cs="Arial"/>
                  <w:noProof/>
                  <w:lang w:val="en-US"/>
                </w:rPr>
                <w:t>[Accessed 04 May 2018].</w:t>
              </w:r>
            </w:p>
            <w:p w:rsidRPr="00FF4E3C" w:rsidR="00AD08B4" w:rsidP="00AD08B4" w:rsidRDefault="00AD08B4" w14:paraId="29E5D2A4" w14:textId="77777777">
              <w:pPr>
                <w:pStyle w:val="Bibliography"/>
                <w:rPr>
                  <w:rFonts w:ascii="Arial" w:hAnsi="Arial" w:cs="Arial"/>
                  <w:noProof/>
                  <w:lang w:val="en-US"/>
                </w:rPr>
              </w:pPr>
              <w:r w:rsidRPr="00FF4E3C">
                <w:rPr>
                  <w:rFonts w:ascii="Arial" w:hAnsi="Arial" w:cs="Arial"/>
                  <w:noProof/>
                  <w:lang w:val="en-US"/>
                </w:rPr>
                <w:t xml:space="preserve">Lemov, D., 2017. </w:t>
              </w:r>
              <w:r w:rsidRPr="00FF4E3C">
                <w:rPr>
                  <w:rFonts w:ascii="Arial" w:hAnsi="Arial" w:cs="Arial"/>
                  <w:i/>
                  <w:iCs/>
                  <w:noProof/>
                  <w:lang w:val="en-US"/>
                </w:rPr>
                <w:t xml:space="preserve">POPSICLE STICKS AND ’HANDS DOWN’ ARE NOT COLD CALL: KEY DIFFERENCES &amp; WHY THEY MATTER. </w:t>
              </w:r>
              <w:r w:rsidRPr="00FF4E3C">
                <w:rPr>
                  <w:rFonts w:ascii="Arial" w:hAnsi="Arial" w:cs="Arial"/>
                  <w:noProof/>
                  <w:lang w:val="en-US"/>
                </w:rPr>
                <w:t xml:space="preserve">[Online] </w:t>
              </w:r>
              <w:r w:rsidRPr="00FF4E3C">
                <w:rPr>
                  <w:rFonts w:ascii="Arial" w:hAnsi="Arial" w:cs="Arial"/>
                  <w:noProof/>
                  <w:lang w:val="en-US"/>
                </w:rPr>
                <w:br/>
              </w:r>
              <w:r w:rsidRPr="00FF4E3C">
                <w:rPr>
                  <w:rFonts w:ascii="Arial" w:hAnsi="Arial" w:cs="Arial"/>
                  <w:noProof/>
                  <w:lang w:val="en-US"/>
                </w:rPr>
                <w:t xml:space="preserve">Available at: </w:t>
              </w:r>
              <w:r w:rsidRPr="00FF4E3C">
                <w:rPr>
                  <w:rFonts w:ascii="Arial" w:hAnsi="Arial" w:cs="Arial"/>
                  <w:noProof/>
                  <w:u w:val="single"/>
                  <w:lang w:val="en-US"/>
                </w:rPr>
                <w:t>http://teachlikeachampion.com/blog/cold-call-not-popsicle-sticks-hands-key-differences-matter/</w:t>
              </w:r>
              <w:r w:rsidRPr="00FF4E3C">
                <w:rPr>
                  <w:rFonts w:ascii="Arial" w:hAnsi="Arial" w:cs="Arial"/>
                  <w:noProof/>
                  <w:lang w:val="en-US"/>
                </w:rPr>
                <w:br/>
              </w:r>
              <w:r w:rsidRPr="00FF4E3C">
                <w:rPr>
                  <w:rFonts w:ascii="Arial" w:hAnsi="Arial" w:cs="Arial"/>
                  <w:noProof/>
                  <w:lang w:val="en-US"/>
                </w:rPr>
                <w:t>[Accessed 04 May 2018].</w:t>
              </w:r>
            </w:p>
            <w:p w:rsidRPr="00FF4E3C" w:rsidR="00AD08B4" w:rsidP="00AD08B4" w:rsidRDefault="00AD08B4" w14:paraId="70CEA522" w14:textId="77777777">
              <w:pPr>
                <w:pStyle w:val="Bibliography"/>
                <w:rPr>
                  <w:rFonts w:ascii="Arial" w:hAnsi="Arial" w:cs="Arial"/>
                  <w:noProof/>
                  <w:lang w:val="en-US"/>
                </w:rPr>
              </w:pPr>
              <w:r w:rsidRPr="00FF4E3C">
                <w:rPr>
                  <w:rFonts w:ascii="Arial" w:hAnsi="Arial" w:cs="Arial"/>
                  <w:noProof/>
                  <w:lang w:val="en-US"/>
                </w:rPr>
                <w:t xml:space="preserve">Nuthall, G., 2007. </w:t>
              </w:r>
              <w:r w:rsidRPr="00FF4E3C">
                <w:rPr>
                  <w:rFonts w:ascii="Arial" w:hAnsi="Arial" w:cs="Arial"/>
                  <w:i/>
                  <w:iCs/>
                  <w:noProof/>
                  <w:lang w:val="en-US"/>
                </w:rPr>
                <w:t xml:space="preserve">The Hidden Lives of Learners. </w:t>
              </w:r>
              <w:r w:rsidRPr="00FF4E3C">
                <w:rPr>
                  <w:rFonts w:ascii="Arial" w:hAnsi="Arial" w:cs="Arial"/>
                  <w:noProof/>
                  <w:lang w:val="en-US"/>
                </w:rPr>
                <w:t>Wellington: New Zealand Council for Educational Research Press.</w:t>
              </w:r>
            </w:p>
            <w:p w:rsidRPr="00FF4E3C" w:rsidR="00AD08B4" w:rsidP="00AD08B4" w:rsidRDefault="00AD08B4" w14:paraId="42A1F519" w14:textId="77777777">
              <w:pPr>
                <w:pStyle w:val="Bibliography"/>
                <w:rPr>
                  <w:rFonts w:ascii="Arial" w:hAnsi="Arial" w:cs="Arial"/>
                  <w:noProof/>
                  <w:lang w:val="en-US"/>
                </w:rPr>
              </w:pPr>
              <w:r w:rsidRPr="00FF4E3C">
                <w:rPr>
                  <w:rFonts w:ascii="Arial" w:hAnsi="Arial" w:cs="Arial"/>
                  <w:noProof/>
                  <w:lang w:val="en-US"/>
                </w:rPr>
                <w:t xml:space="preserve">O'Byrne, W. I., 2016. </w:t>
              </w:r>
              <w:r w:rsidRPr="00FF4E3C">
                <w:rPr>
                  <w:rFonts w:ascii="Arial" w:hAnsi="Arial" w:cs="Arial"/>
                  <w:i/>
                  <w:iCs/>
                  <w:noProof/>
                  <w:lang w:val="en-US"/>
                </w:rPr>
                <w:t xml:space="preserve">Four steps to conducting action research in the classroom. </w:t>
              </w:r>
              <w:r w:rsidRPr="00FF4E3C">
                <w:rPr>
                  <w:rFonts w:ascii="Arial" w:hAnsi="Arial" w:cs="Arial"/>
                  <w:noProof/>
                  <w:lang w:val="en-US"/>
                </w:rPr>
                <w:t xml:space="preserve">[Online] </w:t>
              </w:r>
              <w:r w:rsidRPr="00FF4E3C">
                <w:rPr>
                  <w:rFonts w:ascii="Arial" w:hAnsi="Arial" w:cs="Arial"/>
                  <w:noProof/>
                  <w:lang w:val="en-US"/>
                </w:rPr>
                <w:br/>
              </w:r>
              <w:r w:rsidRPr="00FF4E3C">
                <w:rPr>
                  <w:rFonts w:ascii="Arial" w:hAnsi="Arial" w:cs="Arial"/>
                  <w:noProof/>
                  <w:lang w:val="en-US"/>
                </w:rPr>
                <w:t xml:space="preserve">Available at: </w:t>
              </w:r>
              <w:r w:rsidRPr="00FF4E3C">
                <w:rPr>
                  <w:rFonts w:ascii="Arial" w:hAnsi="Arial" w:cs="Arial"/>
                  <w:noProof/>
                  <w:u w:val="single"/>
                  <w:lang w:val="en-US"/>
                </w:rPr>
                <w:t>https://wiobyrne.com/action-research/</w:t>
              </w:r>
              <w:r w:rsidRPr="00FF4E3C">
                <w:rPr>
                  <w:rFonts w:ascii="Arial" w:hAnsi="Arial" w:cs="Arial"/>
                  <w:noProof/>
                  <w:lang w:val="en-US"/>
                </w:rPr>
                <w:br/>
              </w:r>
              <w:r w:rsidRPr="00FF4E3C">
                <w:rPr>
                  <w:rFonts w:ascii="Arial" w:hAnsi="Arial" w:cs="Arial"/>
                  <w:noProof/>
                  <w:lang w:val="en-US"/>
                </w:rPr>
                <w:t>[Accessed 06 May 2018].</w:t>
              </w:r>
            </w:p>
            <w:p w:rsidRPr="00FF4E3C" w:rsidR="00AD08B4" w:rsidP="00AD08B4" w:rsidRDefault="00AD08B4" w14:paraId="5A44A1B6" w14:textId="77777777">
              <w:pPr>
                <w:pStyle w:val="Bibliography"/>
                <w:rPr>
                  <w:rFonts w:ascii="Arial" w:hAnsi="Arial" w:cs="Arial"/>
                  <w:noProof/>
                  <w:lang w:val="en-US"/>
                </w:rPr>
              </w:pPr>
              <w:r w:rsidRPr="00FF4E3C">
                <w:rPr>
                  <w:rFonts w:ascii="Arial" w:hAnsi="Arial" w:cs="Arial"/>
                  <w:noProof/>
                  <w:lang w:val="en-US"/>
                </w:rPr>
                <w:lastRenderedPageBreak/>
                <w:t xml:space="preserve">Vygotsky, L. S., 1978. </w:t>
              </w:r>
              <w:r w:rsidRPr="00FF4E3C">
                <w:rPr>
                  <w:rFonts w:ascii="Arial" w:hAnsi="Arial" w:cs="Arial"/>
                  <w:i/>
                  <w:iCs/>
                  <w:noProof/>
                  <w:lang w:val="en-US"/>
                </w:rPr>
                <w:t xml:space="preserve">Mind in Society: The Development of Higher Psychological Processes. </w:t>
              </w:r>
              <w:r w:rsidRPr="00FF4E3C">
                <w:rPr>
                  <w:rFonts w:ascii="Arial" w:hAnsi="Arial" w:cs="Arial"/>
                  <w:noProof/>
                  <w:lang w:val="en-US"/>
                </w:rPr>
                <w:t>s.l.:Harvard University Press.</w:t>
              </w:r>
            </w:p>
            <w:p w:rsidRPr="00FF4E3C" w:rsidR="00AD08B4" w:rsidP="00AD08B4" w:rsidRDefault="00AD08B4" w14:paraId="15FCB6F6" w14:textId="77777777">
              <w:pPr>
                <w:pStyle w:val="Bibliography"/>
                <w:rPr>
                  <w:rFonts w:ascii="Arial" w:hAnsi="Arial" w:cs="Arial"/>
                  <w:noProof/>
                  <w:lang w:val="en-US"/>
                </w:rPr>
              </w:pPr>
              <w:r w:rsidRPr="00FF4E3C">
                <w:rPr>
                  <w:rFonts w:ascii="Arial" w:hAnsi="Arial" w:cs="Arial"/>
                  <w:noProof/>
                  <w:lang w:val="en-US"/>
                </w:rPr>
                <w:t xml:space="preserve">Wiliam, D., 2009. </w:t>
              </w:r>
              <w:r w:rsidRPr="00FF4E3C">
                <w:rPr>
                  <w:rFonts w:ascii="Arial" w:hAnsi="Arial" w:cs="Arial"/>
                  <w:i/>
                  <w:iCs/>
                  <w:noProof/>
                  <w:lang w:val="en-US"/>
                </w:rPr>
                <w:t xml:space="preserve">Assessment for Learning: Why, what and how? (Inaugural Professorial Lecture). </w:t>
              </w:r>
              <w:r w:rsidRPr="00FF4E3C">
                <w:rPr>
                  <w:rFonts w:ascii="Arial" w:hAnsi="Arial" w:cs="Arial"/>
                  <w:noProof/>
                  <w:lang w:val="en-US"/>
                </w:rPr>
                <w:t>s.l.:Institute of Education.</w:t>
              </w:r>
            </w:p>
            <w:p w:rsidRPr="00FF4E3C" w:rsidR="00AD08B4" w:rsidP="00AD08B4" w:rsidRDefault="00AD08B4" w14:paraId="1B03A7CD" w14:textId="77777777">
              <w:pPr>
                <w:pStyle w:val="Bibliography"/>
                <w:rPr>
                  <w:rFonts w:ascii="Arial" w:hAnsi="Arial" w:cs="Arial"/>
                  <w:noProof/>
                  <w:lang w:val="en-US"/>
                </w:rPr>
              </w:pPr>
              <w:r w:rsidRPr="00FF4E3C">
                <w:rPr>
                  <w:rFonts w:ascii="Arial" w:hAnsi="Arial" w:cs="Arial"/>
                  <w:noProof/>
                  <w:lang w:val="en-US"/>
                </w:rPr>
                <w:t xml:space="preserve">Wiliam, D., 2010. </w:t>
              </w:r>
              <w:r w:rsidRPr="00FF4E3C">
                <w:rPr>
                  <w:rFonts w:ascii="Arial" w:hAnsi="Arial" w:cs="Arial"/>
                  <w:i/>
                  <w:iCs/>
                  <w:noProof/>
                  <w:lang w:val="en-US"/>
                </w:rPr>
                <w:t xml:space="preserve">Stopping People Doing Good Things: Keynote speech at the SSAT conference. </w:t>
              </w:r>
              <w:r w:rsidRPr="00FF4E3C">
                <w:rPr>
                  <w:rFonts w:ascii="Arial" w:hAnsi="Arial" w:cs="Arial"/>
                  <w:noProof/>
                  <w:lang w:val="en-US"/>
                </w:rPr>
                <w:t>Birmingham, s.n.</w:t>
              </w:r>
            </w:p>
            <w:p w:rsidRPr="00FF4E3C" w:rsidR="00AD08B4" w:rsidP="00AD08B4" w:rsidRDefault="00AD08B4" w14:paraId="7649324B" w14:textId="77777777">
              <w:pPr>
                <w:pStyle w:val="Bibliography"/>
                <w:rPr>
                  <w:rFonts w:ascii="Arial" w:hAnsi="Arial" w:cs="Arial"/>
                  <w:noProof/>
                  <w:lang w:val="en-US"/>
                </w:rPr>
              </w:pPr>
              <w:r w:rsidRPr="00FF4E3C">
                <w:rPr>
                  <w:rFonts w:ascii="Arial" w:hAnsi="Arial" w:cs="Arial"/>
                  <w:noProof/>
                  <w:lang w:val="en-US"/>
                </w:rPr>
                <w:t xml:space="preserve">Wiliam, D., 2011. </w:t>
              </w:r>
              <w:r w:rsidRPr="00FF4E3C">
                <w:rPr>
                  <w:rFonts w:ascii="Arial" w:hAnsi="Arial" w:cs="Arial"/>
                  <w:i/>
                  <w:iCs/>
                  <w:noProof/>
                  <w:lang w:val="en-US"/>
                </w:rPr>
                <w:t xml:space="preserve">Embedded Formative Assessment. </w:t>
              </w:r>
              <w:r w:rsidRPr="00FF4E3C">
                <w:rPr>
                  <w:rFonts w:ascii="Arial" w:hAnsi="Arial" w:cs="Arial"/>
                  <w:noProof/>
                  <w:lang w:val="en-US"/>
                </w:rPr>
                <w:t>1st ed. s.l.:Solution Tree Press.</w:t>
              </w:r>
            </w:p>
            <w:p w:rsidRPr="00FF4E3C" w:rsidR="00AD08B4" w:rsidP="00AD08B4" w:rsidRDefault="00AD08B4" w14:paraId="711B6ABE" w14:textId="77777777">
              <w:pPr>
                <w:pStyle w:val="Bibliography"/>
                <w:rPr>
                  <w:rFonts w:ascii="Arial" w:hAnsi="Arial" w:cs="Arial"/>
                  <w:noProof/>
                  <w:lang w:val="en-US"/>
                </w:rPr>
              </w:pPr>
              <w:r w:rsidRPr="00FF4E3C">
                <w:rPr>
                  <w:rFonts w:ascii="Arial" w:hAnsi="Arial" w:cs="Arial"/>
                  <w:noProof/>
                  <w:lang w:val="en-US"/>
                </w:rPr>
                <w:t xml:space="preserve">Wiliam, D., 2014. </w:t>
              </w:r>
              <w:r w:rsidRPr="00FF4E3C">
                <w:rPr>
                  <w:rFonts w:ascii="Arial" w:hAnsi="Arial" w:cs="Arial"/>
                  <w:i/>
                  <w:iCs/>
                  <w:noProof/>
                  <w:lang w:val="en-US"/>
                </w:rPr>
                <w:t xml:space="preserve">Formative Assessment and Contingency in the Regulation of Learning Processes, </w:t>
              </w:r>
              <w:r w:rsidRPr="00FF4E3C">
                <w:rPr>
                  <w:rFonts w:ascii="Arial" w:hAnsi="Arial" w:cs="Arial"/>
                  <w:noProof/>
                  <w:lang w:val="en-US"/>
                </w:rPr>
                <w:t>s.l.: s.n.</w:t>
              </w:r>
            </w:p>
            <w:p w:rsidRPr="00FF4E3C" w:rsidR="00AD08B4" w:rsidP="00AD08B4" w:rsidRDefault="00AD08B4" w14:paraId="43DAF2D5" w14:textId="77777777">
              <w:pPr>
                <w:pStyle w:val="Bibliography"/>
                <w:rPr>
                  <w:rFonts w:ascii="Arial" w:hAnsi="Arial" w:cs="Arial"/>
                  <w:noProof/>
                  <w:lang w:val="en-US"/>
                </w:rPr>
              </w:pPr>
              <w:r w:rsidRPr="00FF4E3C">
                <w:rPr>
                  <w:rFonts w:ascii="Arial" w:hAnsi="Arial" w:cs="Arial"/>
                  <w:noProof/>
                  <w:lang w:val="en-US"/>
                </w:rPr>
                <w:t xml:space="preserve">Wiliam, D., 2018. </w:t>
              </w:r>
              <w:r w:rsidRPr="00FF4E3C">
                <w:rPr>
                  <w:rFonts w:ascii="Arial" w:hAnsi="Arial" w:cs="Arial"/>
                  <w:i/>
                  <w:iCs/>
                  <w:noProof/>
                  <w:lang w:val="en-US"/>
                </w:rPr>
                <w:t xml:space="preserve">Embedded Formative Assessment. </w:t>
              </w:r>
              <w:r w:rsidRPr="00FF4E3C">
                <w:rPr>
                  <w:rFonts w:ascii="Arial" w:hAnsi="Arial" w:cs="Arial"/>
                  <w:noProof/>
                  <w:lang w:val="en-US"/>
                </w:rPr>
                <w:t>2nd ed. s.l.:Solution Tree Press.</w:t>
              </w:r>
            </w:p>
            <w:p w:rsidRPr="00FF4E3C" w:rsidR="00AD08B4" w:rsidP="00AD08B4" w:rsidRDefault="00AD08B4" w14:paraId="41A2C04D" w14:textId="77777777">
              <w:pPr>
                <w:rPr>
                  <w:rFonts w:ascii="Arial" w:hAnsi="Arial" w:cs="Arial"/>
                  <w:sz w:val="22"/>
                  <w:szCs w:val="22"/>
                </w:rPr>
              </w:pPr>
              <w:r w:rsidRPr="00FF4E3C">
                <w:rPr>
                  <w:rFonts w:ascii="Arial" w:hAnsi="Arial" w:cs="Arial"/>
                  <w:b/>
                  <w:bCs/>
                  <w:noProof/>
                  <w:sz w:val="22"/>
                  <w:szCs w:val="22"/>
                </w:rPr>
                <w:fldChar w:fldCharType="end"/>
              </w:r>
            </w:p>
          </w:sdtContent>
        </w:sdt>
      </w:sdtContent>
    </w:sdt>
    <w:p w:rsidRPr="00FF4E3C" w:rsidR="00AD08B4" w:rsidP="00AD08B4" w:rsidRDefault="00AD08B4" w14:paraId="1BB82B88" w14:textId="77777777">
      <w:pPr>
        <w:spacing w:line="480" w:lineRule="auto"/>
        <w:rPr>
          <w:rFonts w:ascii="Arial" w:hAnsi="Arial" w:cs="Arial"/>
          <w:sz w:val="22"/>
          <w:szCs w:val="22"/>
        </w:rPr>
      </w:pPr>
    </w:p>
    <w:p w:rsidR="00BA6B2C" w:rsidP="00DB116D" w:rsidRDefault="00BA6B2C" w14:paraId="0E51E97E" w14:textId="77777777">
      <w:pPr>
        <w:rPr>
          <w:rFonts w:ascii="Calibri" w:hAnsi="Calibri" w:cs="Calibri"/>
          <w:b/>
        </w:rPr>
      </w:pPr>
    </w:p>
    <w:sectPr w:rsidR="00BA6B2C" w:rsidSect="008A2003">
      <w:footerReference w:type="default" r:id="rId11"/>
      <w:pgSz w:w="11894" w:h="16834" w:orient="portrait"/>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294" w:rsidRDefault="00241294" w14:paraId="1BDC33D5" w14:textId="77777777">
      <w:r>
        <w:separator/>
      </w:r>
    </w:p>
  </w:endnote>
  <w:endnote w:type="continuationSeparator" w:id="0">
    <w:p w:rsidR="00241294" w:rsidRDefault="00241294" w14:paraId="1A7B9C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6809045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294" w:rsidRDefault="00241294" w14:paraId="7C77C45F" w14:textId="77777777">
      <w:r>
        <w:separator/>
      </w:r>
    </w:p>
  </w:footnote>
  <w:footnote w:type="continuationSeparator" w:id="0">
    <w:p w:rsidR="00241294" w:rsidRDefault="00241294" w14:paraId="5D4DD54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D136DB0"/>
    <w:multiLevelType w:val="hybridMultilevel"/>
    <w:tmpl w:val="98BE32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E990A48"/>
    <w:multiLevelType w:val="hybridMultilevel"/>
    <w:tmpl w:val="383CA6AE"/>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num w:numId="1">
    <w:abstractNumId w:val="2"/>
  </w:num>
  <w:num w:numId="2">
    <w:abstractNumId w:val="13"/>
  </w:num>
  <w:num w:numId="3">
    <w:abstractNumId w:val="22"/>
  </w:num>
  <w:num w:numId="4">
    <w:abstractNumId w:val="17"/>
  </w:num>
  <w:num w:numId="5">
    <w:abstractNumId w:val="11"/>
  </w:num>
  <w:num w:numId="6">
    <w:abstractNumId w:val="21"/>
  </w:num>
  <w:num w:numId="7">
    <w:abstractNumId w:val="3"/>
  </w:num>
  <w:num w:numId="8">
    <w:abstractNumId w:val="19"/>
  </w:num>
  <w:num w:numId="9">
    <w:abstractNumId w:val="14"/>
  </w:num>
  <w:num w:numId="10">
    <w:abstractNumId w:val="5"/>
  </w:num>
  <w:num w:numId="11">
    <w:abstractNumId w:val="6"/>
  </w:num>
  <w:num w:numId="12">
    <w:abstractNumId w:val="12"/>
  </w:num>
  <w:num w:numId="13">
    <w:abstractNumId w:val="18"/>
  </w:num>
  <w:num w:numId="14">
    <w:abstractNumId w:val="4"/>
  </w:num>
  <w:num w:numId="15">
    <w:abstractNumId w:val="0"/>
  </w:num>
  <w:num w:numId="16">
    <w:abstractNumId w:val="8"/>
  </w:num>
  <w:num w:numId="17">
    <w:abstractNumId w:val="15"/>
  </w:num>
  <w:num w:numId="18">
    <w:abstractNumId w:val="1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3"/>
  </w:num>
  <w:num w:numId="22">
    <w:abstractNumId w:val="7"/>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138ED"/>
    <w:rsid w:val="00026B02"/>
    <w:rsid w:val="000822E5"/>
    <w:rsid w:val="000971FC"/>
    <w:rsid w:val="000A2A3A"/>
    <w:rsid w:val="000A492A"/>
    <w:rsid w:val="000D2F80"/>
    <w:rsid w:val="000E413A"/>
    <w:rsid w:val="000F5AA3"/>
    <w:rsid w:val="00100396"/>
    <w:rsid w:val="00100B5C"/>
    <w:rsid w:val="00105A08"/>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1294"/>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0A7"/>
    <w:rsid w:val="00426244"/>
    <w:rsid w:val="00470A38"/>
    <w:rsid w:val="004874DE"/>
    <w:rsid w:val="004B5334"/>
    <w:rsid w:val="004B5C19"/>
    <w:rsid w:val="004B6C14"/>
    <w:rsid w:val="004D63D9"/>
    <w:rsid w:val="0050249F"/>
    <w:rsid w:val="00524566"/>
    <w:rsid w:val="00530BEF"/>
    <w:rsid w:val="005617CF"/>
    <w:rsid w:val="00561F00"/>
    <w:rsid w:val="00562C4E"/>
    <w:rsid w:val="00562DEC"/>
    <w:rsid w:val="00576AB4"/>
    <w:rsid w:val="00577917"/>
    <w:rsid w:val="00590667"/>
    <w:rsid w:val="005969E2"/>
    <w:rsid w:val="005A1689"/>
    <w:rsid w:val="005B61CD"/>
    <w:rsid w:val="005D1D58"/>
    <w:rsid w:val="005D29F9"/>
    <w:rsid w:val="005D432C"/>
    <w:rsid w:val="005E285E"/>
    <w:rsid w:val="005E72F8"/>
    <w:rsid w:val="005F0579"/>
    <w:rsid w:val="005F6180"/>
    <w:rsid w:val="006062A3"/>
    <w:rsid w:val="00610E08"/>
    <w:rsid w:val="006140BF"/>
    <w:rsid w:val="006161BE"/>
    <w:rsid w:val="00620787"/>
    <w:rsid w:val="00632434"/>
    <w:rsid w:val="0063478F"/>
    <w:rsid w:val="00641090"/>
    <w:rsid w:val="00644256"/>
    <w:rsid w:val="00661D6F"/>
    <w:rsid w:val="006628E9"/>
    <w:rsid w:val="0066725E"/>
    <w:rsid w:val="006716C7"/>
    <w:rsid w:val="00681208"/>
    <w:rsid w:val="00681FA9"/>
    <w:rsid w:val="00691EA9"/>
    <w:rsid w:val="006934D4"/>
    <w:rsid w:val="006A6DC3"/>
    <w:rsid w:val="006D49ED"/>
    <w:rsid w:val="006D55CE"/>
    <w:rsid w:val="006D637A"/>
    <w:rsid w:val="006E65FF"/>
    <w:rsid w:val="006F45BF"/>
    <w:rsid w:val="006F60E0"/>
    <w:rsid w:val="00702F71"/>
    <w:rsid w:val="007366DF"/>
    <w:rsid w:val="007423C5"/>
    <w:rsid w:val="00757839"/>
    <w:rsid w:val="00770C81"/>
    <w:rsid w:val="007866E5"/>
    <w:rsid w:val="00791024"/>
    <w:rsid w:val="00793F0A"/>
    <w:rsid w:val="007A2657"/>
    <w:rsid w:val="007C2438"/>
    <w:rsid w:val="007C682C"/>
    <w:rsid w:val="007D2385"/>
    <w:rsid w:val="007F214F"/>
    <w:rsid w:val="00800069"/>
    <w:rsid w:val="008310A0"/>
    <w:rsid w:val="00835D29"/>
    <w:rsid w:val="00842E7F"/>
    <w:rsid w:val="00852933"/>
    <w:rsid w:val="008566E5"/>
    <w:rsid w:val="008566FE"/>
    <w:rsid w:val="00865B46"/>
    <w:rsid w:val="0088296F"/>
    <w:rsid w:val="00896134"/>
    <w:rsid w:val="008A2003"/>
    <w:rsid w:val="008A62BC"/>
    <w:rsid w:val="008B43E7"/>
    <w:rsid w:val="008C1855"/>
    <w:rsid w:val="008D763F"/>
    <w:rsid w:val="008F036F"/>
    <w:rsid w:val="008F78C2"/>
    <w:rsid w:val="00904568"/>
    <w:rsid w:val="00911394"/>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3BB8"/>
    <w:rsid w:val="00A16174"/>
    <w:rsid w:val="00A3505D"/>
    <w:rsid w:val="00A4036F"/>
    <w:rsid w:val="00A4641C"/>
    <w:rsid w:val="00A52FDE"/>
    <w:rsid w:val="00A55876"/>
    <w:rsid w:val="00A62BD8"/>
    <w:rsid w:val="00A67FB1"/>
    <w:rsid w:val="00AB6FE7"/>
    <w:rsid w:val="00AB7AD7"/>
    <w:rsid w:val="00AD08B4"/>
    <w:rsid w:val="00AD2430"/>
    <w:rsid w:val="00AE41A6"/>
    <w:rsid w:val="00AF0E34"/>
    <w:rsid w:val="00AF271D"/>
    <w:rsid w:val="00AF56C2"/>
    <w:rsid w:val="00B004E6"/>
    <w:rsid w:val="00B01A8F"/>
    <w:rsid w:val="00B036B4"/>
    <w:rsid w:val="00B0744D"/>
    <w:rsid w:val="00B53B62"/>
    <w:rsid w:val="00B64082"/>
    <w:rsid w:val="00B72325"/>
    <w:rsid w:val="00B81AD3"/>
    <w:rsid w:val="00B829D8"/>
    <w:rsid w:val="00B84B5B"/>
    <w:rsid w:val="00B86446"/>
    <w:rsid w:val="00BA1176"/>
    <w:rsid w:val="00BA6B2C"/>
    <w:rsid w:val="00BC0EEA"/>
    <w:rsid w:val="00BE0B01"/>
    <w:rsid w:val="00BE34DB"/>
    <w:rsid w:val="00BE79C7"/>
    <w:rsid w:val="00BF3CB5"/>
    <w:rsid w:val="00BF4918"/>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71AE"/>
    <w:rsid w:val="00DA36EE"/>
    <w:rsid w:val="00DB116D"/>
    <w:rsid w:val="00DD17CC"/>
    <w:rsid w:val="00DE217A"/>
    <w:rsid w:val="00DF321B"/>
    <w:rsid w:val="00E230E0"/>
    <w:rsid w:val="00E3293C"/>
    <w:rsid w:val="00E51AAC"/>
    <w:rsid w:val="00E66CC0"/>
    <w:rsid w:val="00E728A9"/>
    <w:rsid w:val="00E807D9"/>
    <w:rsid w:val="00EA0F4E"/>
    <w:rsid w:val="00EA295B"/>
    <w:rsid w:val="00EA6801"/>
    <w:rsid w:val="00EB4F96"/>
    <w:rsid w:val="00ED7072"/>
    <w:rsid w:val="00EE3132"/>
    <w:rsid w:val="00EE3D9D"/>
    <w:rsid w:val="00EE6F25"/>
    <w:rsid w:val="00EF62B0"/>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 w:val="458E60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2293B"/>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link w:val="Heading1Char"/>
    <w:uiPriority w:val="9"/>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styleId="CommentTextChar" w:customStyle="1">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styleId="CommentSubjectChar" w:customStyle="1">
    <w:name w:val="Comment Subject Char"/>
    <w:basedOn w:val="CommentTextChar"/>
    <w:link w:val="CommentSubject"/>
    <w:semiHidden/>
    <w:rsid w:val="00D971AE"/>
    <w:rPr>
      <w:b/>
      <w:bCs/>
      <w:lang w:eastAsia="en-GB"/>
    </w:rPr>
  </w:style>
  <w:style w:type="paragraph" w:styleId="Default" w:customStyle="1">
    <w:name w:val="Default"/>
    <w:rsid w:val="00B01A8F"/>
    <w:pPr>
      <w:autoSpaceDE w:val="0"/>
      <w:autoSpaceDN w:val="0"/>
      <w:adjustRightInd w:val="0"/>
    </w:pPr>
    <w:rPr>
      <w:rFonts w:ascii="Arial" w:hAnsi="Arial" w:eastAsia="Calibri" w:cs="Arial"/>
      <w:color w:val="000000"/>
      <w:sz w:val="24"/>
      <w:szCs w:val="24"/>
    </w:rPr>
  </w:style>
  <w:style w:type="character" w:styleId="Heading1Char" w:customStyle="1">
    <w:name w:val="Heading 1 Char"/>
    <w:basedOn w:val="DefaultParagraphFont"/>
    <w:link w:val="Heading1"/>
    <w:uiPriority w:val="9"/>
    <w:rsid w:val="00AD08B4"/>
    <w:rPr>
      <w:b/>
      <w:sz w:val="36"/>
      <w:shd w:val="pct15" w:color="auto" w:fill="auto"/>
      <w:lang w:eastAsia="en-GB"/>
    </w:rPr>
  </w:style>
  <w:style w:type="paragraph" w:styleId="Bibliography">
    <w:name w:val="Bibliography"/>
    <w:basedOn w:val="Normal"/>
    <w:next w:val="Normal"/>
    <w:uiPriority w:val="37"/>
    <w:unhideWhenUsed/>
    <w:rsid w:val="00AD08B4"/>
    <w:pPr>
      <w:spacing w:after="160" w:line="259" w:lineRule="auto"/>
    </w:pPr>
    <w:rPr>
      <w:rFonts w:asciiTheme="minorHAnsi" w:hAnsiTheme="minorHAnsi" w:eastAsia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cid:image001.png@01D0EA4A.2BD679A0"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word/glossary/document.xml" Id="Rb4a2c1aa940f4398"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bf22ff-665d-4f17-91c1-c935237a8931}"/>
      </w:docPartPr>
      <w:docPartBody>
        <w:p w14:paraId="17A10E3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Bla98</b:Tag>
    <b:SourceType>Book</b:SourceType>
    <b:Guid>{FE8635EA-53BE-4EDE-842D-7450D9C646D8}</b:Guid>
    <b:Author>
      <b:Author>
        <b:NameList>
          <b:Person>
            <b:Last>Black</b:Last>
            <b:First>Paul</b:First>
          </b:Person>
          <b:Person>
            <b:Last>Wiliam</b:Last>
            <b:First>Dylan</b:First>
          </b:Person>
        </b:NameList>
      </b:Author>
    </b:Author>
    <b:Title>Inside the Black Box: raising standards through classroom assessment</b:Title>
    <b:Year>1998</b:Year>
    <b:City>London</b:City>
    <b:Publisher>School of Education, King's College</b:Publisher>
    <b:RefOrder>1</b:RefOrder>
  </b:Source>
  <b:Source>
    <b:Tag>All15</b:Tag>
    <b:SourceType>Book</b:SourceType>
    <b:Guid>{6B2D3356-6489-420F-8EBC-6DD4641B8C64}</b:Guid>
    <b:Title>Making Every Lesson Count: Six principles to support great teaching and learning</b:Title>
    <b:Year>2015</b:Year>
    <b:Publisher>Crown House Publishing</b:Publisher>
    <b:Author>
      <b:Author>
        <b:NameList>
          <b:Person>
            <b:Last>Allison</b:Last>
            <b:First>Shaun</b:First>
          </b:Person>
          <b:Person>
            <b:Last>Tharby</b:Last>
            <b:First>Andy</b:First>
          </b:Person>
          <b:Person>
            <b:Last>Lemov</b:Last>
            <b:First>Doug</b:First>
          </b:Person>
        </b:NameList>
      </b:Author>
    </b:Author>
    <b:RefOrder>2</b:RefOrder>
  </b:Source>
  <b:Source>
    <b:Tag>Bla04</b:Tag>
    <b:SourceType>Book</b:SourceType>
    <b:Guid>{CA1866CA-2593-4770-826A-B8CA51CFFD1D}</b:Guid>
    <b:Author>
      <b:Author>
        <b:NameList>
          <b:Person>
            <b:Last>Black</b:Last>
            <b:First>Paul</b:First>
          </b:Person>
          <b:Person>
            <b:Last>Harrison</b:Last>
            <b:First>Christine</b:First>
          </b:Person>
          <b:Person>
            <b:Last>Lee</b:Last>
            <b:First>Clare</b:First>
          </b:Person>
          <b:Person>
            <b:Last>Marshall</b:Last>
            <b:First>Bethan</b:First>
          </b:Person>
          <b:Person>
            <b:Last>Wiliam</b:Last>
            <b:First>Dylan</b:First>
          </b:Person>
        </b:NameList>
      </b:Author>
    </b:Author>
    <b:Title>Working Inside the Black Box: Assessment for learning in the classroom</b:Title>
    <b:Year>2002</b:Year>
    <b:RefOrder>3</b:RefOrder>
  </b:Source>
  <b:Source>
    <b:Tag>Wil111</b:Tag>
    <b:SourceType>Book</b:SourceType>
    <b:Guid>{4DF77059-F8F1-44B2-BADB-74859C4FF699}</b:Guid>
    <b:Author>
      <b:Author>
        <b:NameList>
          <b:Person>
            <b:Last>Wiliam</b:Last>
            <b:First>Dylan</b:First>
          </b:Person>
        </b:NameList>
      </b:Author>
    </b:Author>
    <b:Title>Embedded Formative Assessment</b:Title>
    <b:Year>2011</b:Year>
    <b:Publisher>Solution Tree Press</b:Publisher>
    <b:Edition>1st</b:Edition>
    <b:RefOrder>4</b:RefOrder>
  </b:Source>
  <b:Source>
    <b:Tag>Han09</b:Tag>
    <b:SourceType>JournalArticle</b:SourceType>
    <b:Guid>{9B45F14C-C815-4ECB-985C-A57109F4D38F}</b:Guid>
    <b:Author>
      <b:Author>
        <b:NameList>
          <b:Person>
            <b:Last>Hannel</b:Last>
            <b:First>Ivan</b:First>
          </b:Person>
        </b:NameList>
      </b:Author>
    </b:Author>
    <b:Title>Insufficient Questioning</b:Title>
    <b:Year>2009</b:Year>
    <b:JournalName>Phi Delta Kappan</b:JournalName>
    <b:Pages>65-69</b:Pages>
    <b:Volume>3</b:Volume>
    <b:Issue>91</b:Issue>
    <b:RefOrder>5</b:RefOrder>
  </b:Source>
  <b:Source>
    <b:Tag>Wil18</b:Tag>
    <b:SourceType>Book</b:SourceType>
    <b:Guid>{0FB20F6C-15B1-485F-A0A7-5340EFEB4585}</b:Guid>
    <b:Author>
      <b:Author>
        <b:NameList>
          <b:Person>
            <b:Last>Wiliam</b:Last>
            <b:First>Dylan</b:First>
          </b:Person>
        </b:NameList>
      </b:Author>
    </b:Author>
    <b:Title>Embedded Formative Assessment</b:Title>
    <b:Year>2018</b:Year>
    <b:Publisher>Solution Tree Press</b:Publisher>
    <b:Edition>2nd</b:Edition>
    <b:RefOrder>6</b:RefOrder>
  </b:Source>
  <b:Source>
    <b:Tag>Lem17</b:Tag>
    <b:SourceType>InternetSite</b:SourceType>
    <b:Guid>{0BD2FDAE-0B60-443B-ADCC-22302FFD3DB7}</b:Guid>
    <b:Author>
      <b:Author>
        <b:NameList>
          <b:Person>
            <b:Last>Lemov</b:Last>
            <b:First>Doug</b:First>
          </b:Person>
        </b:NameList>
      </b:Author>
    </b:Author>
    <b:Title>POPSICLE STICKS AND ’HANDS DOWN’ ARE NOT COLD CALL: KEY DIFFERENCES &amp; WHY THEY MATTER</b:Title>
    <b:Year>2017</b:Year>
    <b:YearAccessed>2018</b:YearAccessed>
    <b:MonthAccessed>May</b:MonthAccessed>
    <b:DayAccessed>04</b:DayAccessed>
    <b:URL>http://teachlikeachampion.com/blog/cold-call-not-popsicle-sticks-hands-key-differences-matter/</b:URL>
    <b:RefOrder>7</b:RefOrder>
  </b:Source>
  <b:Source>
    <b:Tag>Lem15</b:Tag>
    <b:SourceType>InternetSite</b:SourceType>
    <b:Guid>{4D1297F0-F227-4D53-8B6C-9F1836464FC7}</b:Guid>
    <b:Author>
      <b:Author>
        <b:NameList>
          <b:Person>
            <b:Last>Lemov</b:Last>
            <b:First>Doug</b:First>
          </b:Person>
        </b:NameList>
      </b:Author>
    </b:Author>
    <b:Title>A recipe for Making Cold Call Feel Positive</b:Title>
    <b:Year>2015</b:Year>
    <b:YearAccessed>2018</b:YearAccessed>
    <b:MonthAccessed>May</b:MonthAccessed>
    <b:DayAccessed>04</b:DayAccessed>
    <b:URL>http://teachlikeachampion.com/blog/recipe-making-cold-call-feel-positive/</b:URL>
    <b:RefOrder>8</b:RefOrder>
  </b:Source>
  <b:Source>
    <b:Tag>Lem14</b:Tag>
    <b:SourceType>InternetSite</b:SourceType>
    <b:Guid>{DC200A51-BC23-4DD0-8DE4-134390CEDF9B}</b:Guid>
    <b:Title>I like Turn and Talk as much as the next guy, but...</b:Title>
    <b:Year>2014</b:Year>
    <b:Author>
      <b:Author>
        <b:NameList>
          <b:Person>
            <b:Last>Lemov</b:Last>
            <b:First>Doug</b:First>
          </b:Person>
        </b:NameList>
      </b:Author>
    </b:Author>
    <b:YearAccessed>2018</b:YearAccessed>
    <b:MonthAccessed>May</b:MonthAccessed>
    <b:DayAccessed>4</b:DayAccessed>
    <b:URL>http://teachlikeachampion.com/blog/like-turn-talk-much-next-guy/</b:URL>
    <b:RefOrder>9</b:RefOrder>
  </b:Source>
  <b:Source>
    <b:Tag>Did15</b:Tag>
    <b:SourceType>Book</b:SourceType>
    <b:Guid>{ABCA2AC3-6213-498A-A9A0-E11029D9A4D7}</b:Guid>
    <b:Title>What if Everything You Knew About Education was Wrong?</b:Title>
    <b:Year>2015</b:Year>
    <b:Author>
      <b:Author>
        <b:NameList>
          <b:Person>
            <b:Last>Didau</b:Last>
            <b:First>David</b:First>
          </b:Person>
        </b:NameList>
      </b:Author>
    </b:Author>
    <b:City>Camarthen</b:City>
    <b:Publisher>Crown House Publishing Limited</b:Publisher>
    <b:RefOrder>10</b:RefOrder>
  </b:Source>
  <b:Source>
    <b:Tag>Bau12</b:Tag>
    <b:SourceType>Book</b:SourceType>
    <b:Guid>{88EAD30F-98E8-41BB-943B-03A7F98D05F5}</b:Guid>
    <b:Author>
      <b:Author>
        <b:NameList>
          <b:Person>
            <b:Last>Baumfield</b:Last>
            <b:First>Vivienne</b:First>
          </b:Person>
          <b:Person>
            <b:Last>Hall</b:Last>
            <b:First>Elaine</b:First>
          </b:Person>
          <b:Person>
            <b:Last>Wall</b:Last>
            <b:First>Kate</b:First>
          </b:Person>
        </b:NameList>
      </b:Author>
    </b:Author>
    <b:Title>Action Research in Education: Learning Through Practitioner Enquiry</b:Title>
    <b:Year>2012</b:Year>
    <b:Publisher>SAGE Publications</b:Publisher>
    <b:Edition>2nd</b:Edition>
    <b:RefOrder>11</b:RefOrder>
  </b:Source>
  <b:Source>
    <b:Tag>Bro14</b:Tag>
    <b:SourceType>Book</b:SourceType>
    <b:Guid>{3D0CEEE3-319A-4B7D-A45C-128C78B50E21}</b:Guid>
    <b:Author>
      <b:Author>
        <b:NameList>
          <b:Person>
            <b:Last>Brooks</b:Last>
            <b:First>Rachel</b:First>
          </b:Person>
          <b:Person>
            <b:Last>Te Riele</b:Last>
            <b:First>Kitty</b:First>
          </b:Person>
          <b:Person>
            <b:Last>Maguire</b:Last>
            <b:First>Meg</b:First>
          </b:Person>
        </b:NameList>
      </b:Author>
    </b:Author>
    <b:Title>Ethics and Eductaion Research</b:Title>
    <b:Year>2014</b:Year>
    <b:Publisher>Sage Publications</b:Publisher>
    <b:RefOrder>12</b:RefOrder>
  </b:Source>
  <b:Source>
    <b:Tag>Kos10</b:Tag>
    <b:SourceType>Book</b:SourceType>
    <b:Guid>{0C915095-2C0F-4976-9A79-9ADD18D6C1D2}</b:Guid>
    <b:Author>
      <b:Author>
        <b:NameList>
          <b:Person>
            <b:Last>Koshy</b:Last>
            <b:First>Valsa</b:First>
          </b:Person>
        </b:NameList>
      </b:Author>
    </b:Author>
    <b:Title>Action Research for Improving Educational Practice</b:Title>
    <b:Year>2010</b:Year>
    <b:Publisher>SAGE Publications</b:Publisher>
    <b:Edition>2nd</b:Edition>
    <b:RefOrder>13</b:RefOrder>
  </b:Source>
  <b:Source>
    <b:Tag>Coh11</b:Tag>
    <b:SourceType>Book</b:SourceType>
    <b:Guid>{C01F10E6-EA93-4D07-B629-3809FB30659C}</b:Guid>
    <b:Title>Research Methods in Education</b:Title>
    <b:Year>2011</b:Year>
    <b:Author>
      <b:Author>
        <b:NameList>
          <b:Person>
            <b:Last>Cohen</b:Last>
            <b:First>Louis</b:First>
          </b:Person>
          <b:Person>
            <b:Last>Manion</b:Last>
            <b:First>Lawrence</b:First>
          </b:Person>
          <b:Person>
            <b:Last>Morrison</b:Last>
            <b:First>Keith</b:First>
          </b:Person>
        </b:NameList>
      </b:Author>
    </b:Author>
    <b:Publisher>Routledge</b:Publisher>
    <b:Edition>7th</b:Edition>
    <b:RefOrder>14</b:RefOrder>
  </b:Source>
  <b:Source>
    <b:Tag>Car05</b:Tag>
    <b:SourceType>JournalArticle</b:SourceType>
    <b:Guid>{B91D838E-C3A1-4081-AB27-909928370198}</b:Guid>
    <b:Author>
      <b:Author>
        <b:NameList>
          <b:Person>
            <b:Last>Caram</b:Last>
            <b:First>Chris</b:First>
            <b:Middle>A</b:Middle>
          </b:Person>
          <b:Person>
            <b:Last>Davis</b:Last>
            <b:First>Patsy</b:First>
            <b:Middle>B</b:Middle>
          </b:Person>
        </b:NameList>
      </b:Author>
    </b:Author>
    <b:Title>Inviting Student Engagement with Questioning</b:Title>
    <b:JournalName>Kappa Delta Pi Record</b:JournalName>
    <b:Year>2005</b:Year>
    <b:Pages>18-23</b:Pages>
    <b:Volume>42</b:Volume>
    <b:Issue>1</b:Issue>
    <b:RefOrder>15</b:RefOrder>
  </b:Source>
  <b:Source>
    <b:Tag>Wil14</b:Tag>
    <b:SourceType>Report</b:SourceType>
    <b:Guid>{BD350140-5A0A-4EBF-AEF9-ED61F097C5DC}</b:Guid>
    <b:Title>Formative Assessment and Contingency in the Regulation of Learning Processes</b:Title>
    <b:Year>2014</b:Year>
    <b:Author>
      <b:Author>
        <b:NameList>
          <b:Person>
            <b:Last>Wiliam</b:Last>
            <b:First>Dylan</b:First>
          </b:Person>
        </b:NameList>
      </b:Author>
    </b:Author>
    <b:RefOrder>16</b:RefOrder>
  </b:Source>
  <b:Source>
    <b:Tag>Wil09</b:Tag>
    <b:SourceType>Book</b:SourceType>
    <b:Guid>{EBE10BCE-00E8-4FE1-9559-43335F854EFD}</b:Guid>
    <b:Author>
      <b:Author>
        <b:NameList>
          <b:Person>
            <b:Last>Wiliam</b:Last>
            <b:First>Dylan</b:First>
          </b:Person>
        </b:NameList>
      </b:Author>
    </b:Author>
    <b:Title>Assessment for Learning: Why, what and how? (Inaugural Professorial Lecture)</b:Title>
    <b:Year>2009</b:Year>
    <b:Publisher>Institute of Education</b:Publisher>
    <b:RefOrder>17</b:RefOrder>
  </b:Source>
  <b:Source>
    <b:Tag>Wil10</b:Tag>
    <b:SourceType>ConferenceProceedings</b:SourceType>
    <b:Guid>{0043A445-A3B2-43EB-9667-37077D52C159}</b:Guid>
    <b:Title>Stopping People Doing Good Things: Keynote speech at the SSAT conference</b:Title>
    <b:Year>2010</b:Year>
    <b:City>Birmingham</b:City>
    <b:Author>
      <b:Author>
        <b:NameList>
          <b:Person>
            <b:Last>Wiliam</b:Last>
            <b:First>Dylan</b:First>
          </b:Person>
        </b:NameList>
      </b:Author>
    </b:Author>
    <b:RefOrder>18</b:RefOrder>
  </b:Source>
  <b:Source>
    <b:Tag>Lem16</b:Tag>
    <b:SourceType>InternetSite</b:SourceType>
    <b:Guid>{BC7A5D3B-03C2-429C-B565-B9A432284391}</b:Guid>
    <b:Author>
      <b:Author>
        <b:NameList>
          <b:Person>
            <b:Last>Lemov</b:Last>
            <b:First>Doug</b:First>
          </b:Person>
        </b:NameList>
      </b:Author>
    </b:Author>
    <b:Title>Cold Call is Inclusive</b:Title>
    <b:Year>2016</b:Year>
    <b:YearAccessed>2018</b:YearAccessed>
    <b:MonthAccessed>May</b:MonthAccessed>
    <b:DayAccessed>04</b:DayAccessed>
    <b:URL>http://teachlikeachampion.com/blog/cold-call-inclusive/</b:URL>
    <b:RefOrder>19</b:RefOrder>
  </b:Source>
  <b:Source>
    <b:Tag>All151</b:Tag>
    <b:SourceType>InternetSite</b:SourceType>
    <b:Guid>{636C68B2-151C-47C9-B55F-E51180EDBA38}</b:Guid>
    <b:Author>
      <b:Author>
        <b:NameList>
          <b:Person>
            <b:Last>Allison</b:Last>
            <b:First>Shaun</b:First>
          </b:Person>
          <b:Person>
            <b:Last>Runeckles</b:Last>
            <b:First>Chris</b:First>
          </b:Person>
          <b:Person>
            <b:Last>Haynes</b:Last>
            <b:First>Fran</b:First>
          </b:Person>
          <b:Person>
            <b:Last>Tharby</b:Last>
            <b:First>Andy</b:First>
          </b:Person>
        </b:NameList>
      </b:Author>
    </b:Author>
    <b:Title>Effective Questioning</b:Title>
    <b:Year>2015</b:Year>
    <b:YearAccessed>2018</b:YearAccessed>
    <b:MonthAccessed>May</b:MonthAccessed>
    <b:DayAccessed>04</b:DayAccessed>
    <b:URL>https://classteaching.wordpress.com/2015/12/03/effective-questioning/</b:URL>
    <b:RefOrder>20</b:RefOrder>
  </b:Source>
  <b:Source>
    <b:Tag>Vyg78</b:Tag>
    <b:SourceType>Book</b:SourceType>
    <b:Guid>{FE81802B-CBB5-45FB-AFD0-F64886FDC7A8}</b:Guid>
    <b:Author>
      <b:Author>
        <b:NameList>
          <b:Person>
            <b:Last>Vygotsky</b:Last>
            <b:First>Lev</b:First>
            <b:Middle>S.</b:Middle>
          </b:Person>
        </b:NameList>
      </b:Author>
    </b:Author>
    <b:Title>Mind in Society: The Development of Higher Psychological Processes</b:Title>
    <b:Year>1978</b:Year>
    <b:Publisher>Harvard University Press</b:Publisher>
    <b:RefOrder>21</b:RefOrder>
  </b:Source>
  <b:Source>
    <b:Tag>Nut07</b:Tag>
    <b:SourceType>Book</b:SourceType>
    <b:Guid>{17EA3ABC-8582-418E-9006-1300140FBA99}</b:Guid>
    <b:Title>The Hidden Lives of Learners</b:Title>
    <b:Year>2007</b:Year>
    <b:Author>
      <b:Author>
        <b:NameList>
          <b:Person>
            <b:Last>Nuthall</b:Last>
            <b:First>Graham</b:First>
          </b:Person>
        </b:NameList>
      </b:Author>
    </b:Author>
    <b:City>Wellington</b:City>
    <b:Publisher>New Zealand Council for Educational Research Press</b:Publisher>
    <b:RefOrder>22</b:RefOrder>
  </b:Source>
  <b:Source>
    <b:Tag>Dil07</b:Tag>
    <b:SourceType>Book</b:SourceType>
    <b:Guid>{390A5843-4539-4FE7-AAEC-8F4ABCB9FF5E}</b:Guid>
    <b:Author>
      <b:Author>
        <b:NameList>
          <b:Person>
            <b:Last>Dillon</b:Last>
            <b:First>Justin</b:First>
          </b:Person>
          <b:Person>
            <b:Last>Maguire</b:Last>
            <b:First>Meg</b:First>
          </b:Person>
        </b:NameList>
      </b:Author>
    </b:Author>
    <b:Title>Becoming a Teacher: Issues in secondary teaching</b:Title>
    <b:Year>2007</b:Year>
    <b:Publisher>Open University Press</b:Publisher>
    <b:Edition>3rd</b:Edition>
    <b:RefOrder>23</b:RefOrder>
  </b:Source>
  <b:Source>
    <b:Tag>Hop14</b:Tag>
    <b:SourceType>Book</b:SourceType>
    <b:Guid>{5367D813-E5A4-44BE-8C87-B2D01F01A4A4}</b:Guid>
    <b:Author>
      <b:Author>
        <b:NameList>
          <b:Person>
            <b:Last>Hopkins</b:Last>
            <b:First>David</b:First>
          </b:Person>
        </b:NameList>
      </b:Author>
    </b:Author>
    <b:Title>A Teacher's Guide to Classroom Research</b:Title>
    <b:Year>2014</b:Year>
    <b:Publisher>Open University Press</b:Publisher>
    <b:Edition>5th</b:Edition>
    <b:RefOrder>24</b:RefOrder>
  </b:Source>
  <b:Source>
    <b:Tag>Bri18</b:Tag>
    <b:SourceType>InternetSite</b:SourceType>
    <b:Guid>{FD4DD2FF-EFD2-4073-8056-EC3E20D2888C}</b:Guid>
    <b:Title>Home: BERA</b:Title>
    <b:Author>
      <b:Author>
        <b:Corporate>British Educational Research Association</b:Corporate>
      </b:Author>
    </b:Author>
    <b:YearAccessed>2018</b:YearAccessed>
    <b:MonthAccessed>May</b:MonthAccessed>
    <b:DayAccessed>06</b:DayAccessed>
    <b:URL>https://www.bera.ac.uk/</b:URL>
    <b:RefOrder>25</b:RefOrder>
  </b:Source>
  <b:Source>
    <b:Tag>OBy16</b:Tag>
    <b:SourceType>InternetSite</b:SourceType>
    <b:Guid>{E01A01F7-B1FC-43CA-A6A6-D3687A3B31C9}</b:Guid>
    <b:Author>
      <b:Author>
        <b:NameList>
          <b:Person>
            <b:Last>O'Byrne</b:Last>
            <b:First>W.</b:First>
            <b:Middle>Ian</b:Middle>
          </b:Person>
        </b:NameList>
      </b:Author>
    </b:Author>
    <b:Title>Four steps to conducting action research in the classroom</b:Title>
    <b:Year>2016</b:Year>
    <b:YearAccessed>2018</b:YearAccessed>
    <b:MonthAccessed>May</b:MonthAccessed>
    <b:DayAccessed>06</b:DayAccessed>
    <b:URL>https://wiobyrne.com/action-research/</b:URL>
    <b:RefOrder>26</b:RefOrder>
  </b:Source>
</b:Sources>
</file>

<file path=customXml/itemProps1.xml><?xml version="1.0" encoding="utf-8"?>
<ds:datastoreItem xmlns:ds="http://schemas.openxmlformats.org/officeDocument/2006/customXml" ds:itemID="{69A89D6C-9CD8-432E-8A9E-94E096C3FF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lastModifiedBy>Ryan Pendry (1201627)</lastModifiedBy>
  <revision>3</revision>
  <lastPrinted>2014-10-10T07:42:00.0000000Z</lastPrinted>
  <dcterms:created xsi:type="dcterms:W3CDTF">2018-05-13T23:01:00.0000000Z</dcterms:created>
  <dcterms:modified xsi:type="dcterms:W3CDTF">2018-05-14T12:13:33.0733643Z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