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061353C5" w:rsidR="00EF5221" w:rsidRDefault="11E2030B">
      <w:r>
        <w:t>part a</w:t>
      </w:r>
    </w:p>
    <w:p w14:paraId="02814CF3" w14:textId="07900241" w:rsidR="11E2030B" w:rsidRDefault="11E2030B">
      <w:r>
        <w:t xml:space="preserve">Sources </w:t>
      </w:r>
    </w:p>
    <w:p w14:paraId="797043BC" w14:textId="54E27C21" w:rsidR="56D145EA" w:rsidRDefault="56D145EA">
      <w:r>
        <w:t xml:space="preserve">Bowlby's </w:t>
      </w:r>
      <w:r w:rsidR="5CA94A8F">
        <w:t xml:space="preserve">attachment theory implies that early relationship with a caregiver is extremely </w:t>
      </w:r>
      <w:r w:rsidR="00D4BE09">
        <w:t>important for emotional development throughout life. The first key point is secure attachment which helps individuals feel safe and develo</w:t>
      </w:r>
      <w:r w:rsidR="52244C12">
        <w:t xml:space="preserve">p confidence. What this means is that children who create a strong bond </w:t>
      </w:r>
      <w:r w:rsidR="53E219C2">
        <w:t>with at</w:t>
      </w:r>
      <w:r w:rsidR="52244C12">
        <w:t xml:space="preserve"> least one </w:t>
      </w:r>
      <w:r w:rsidR="76EDD7B0">
        <w:t>caregiver develops</w:t>
      </w:r>
      <w:r w:rsidR="26DC0FEF">
        <w:t xml:space="preserve"> an internal working model of relationship which supports confidence, risk taking, and </w:t>
      </w:r>
      <w:r w:rsidR="3C041A82">
        <w:t>independence</w:t>
      </w:r>
      <w:r w:rsidR="26DC0FEF">
        <w:t xml:space="preserve"> </w:t>
      </w:r>
      <w:r w:rsidR="241C972B">
        <w:t>(Bowlby's</w:t>
      </w:r>
      <w:r w:rsidR="403CFF4C">
        <w:t xml:space="preserve"> 1969)</w:t>
      </w:r>
      <w:r w:rsidR="6D9FEF29">
        <w:t xml:space="preserve"> however to add </w:t>
      </w:r>
      <w:r w:rsidR="525D4D47">
        <w:t xml:space="preserve">to this point during old age attachment relationship can adapt to new contexts, such as forming relationship with health care providers. </w:t>
      </w:r>
      <w:r w:rsidR="54CA5C38">
        <w:t xml:space="preserve">Recent literatures highlight that secure attachment in older adults improves treatment </w:t>
      </w:r>
      <w:r w:rsidR="4924BEE3">
        <w:t>adherence</w:t>
      </w:r>
      <w:r w:rsidR="54CA5C38">
        <w:t xml:space="preserve"> and strengthens emotional regu</w:t>
      </w:r>
      <w:r w:rsidR="6F6D381E">
        <w:t xml:space="preserve">lation furthermore attachment in older adults is rarely addressed and can be poorly shown in current public's health polices </w:t>
      </w:r>
    </w:p>
    <w:p w14:paraId="562B5196" w14:textId="18D9CA52" w:rsidR="753A3545" w:rsidRDefault="753A3545">
      <w:r>
        <w:t xml:space="preserve">Havighurst theory </w:t>
      </w:r>
    </w:p>
    <w:p w14:paraId="202B3756" w14:textId="0F48A91D" w:rsidR="753A3545" w:rsidRDefault="753A3545">
      <w:r>
        <w:t xml:space="preserve">Havighurst activity theory of ageing is a sociological and psychological framework that </w:t>
      </w:r>
      <w:r w:rsidR="54199481">
        <w:t>highlights</w:t>
      </w:r>
      <w:r>
        <w:t xml:space="preserve"> the importance of being able to maintain physica</w:t>
      </w:r>
      <w:r w:rsidR="361606AE">
        <w:t xml:space="preserve">l activity and social engagement as individual grow older. Developed in the early 1960 by </w:t>
      </w:r>
      <w:r w:rsidR="1C06A22F">
        <w:t>Robert</w:t>
      </w:r>
      <w:r w:rsidR="361606AE">
        <w:t xml:space="preserve"> </w:t>
      </w:r>
      <w:r w:rsidR="26841C0C">
        <w:t xml:space="preserve">Havighurst the theory posits that active </w:t>
      </w:r>
      <w:r w:rsidR="668598E3">
        <w:t xml:space="preserve">participation in meaningful activites enhances quality of life, promotes self-worth and </w:t>
      </w:r>
      <w:r w:rsidR="340A3D29">
        <w:t>can slow</w:t>
      </w:r>
      <w:r w:rsidR="668598E3">
        <w:t xml:space="preserve"> the decline in </w:t>
      </w:r>
      <w:r w:rsidR="750DDCB5">
        <w:t>mental</w:t>
      </w:r>
      <w:r w:rsidR="6581F4CA">
        <w:t>, physical and emotional</w:t>
      </w:r>
      <w:r w:rsidR="0A8B26E0">
        <w:t xml:space="preserve">, physical and emotional health in older adults </w:t>
      </w:r>
      <w:r w:rsidR="7530B66C">
        <w:t xml:space="preserve">furthermore although this theory is widely accepted it faces criticism. Not all older adults have the same opportunities for engagement due to health issues, financial constraints or personal preference. Critics also argue </w:t>
      </w:r>
      <w:r w:rsidR="5239FF3E">
        <w:t xml:space="preserve">that active that </w:t>
      </w:r>
      <w:r w:rsidR="029423B4">
        <w:t>activities</w:t>
      </w:r>
      <w:r w:rsidR="5239FF3E">
        <w:t xml:space="preserve"> must hold personal importance to </w:t>
      </w:r>
      <w:r w:rsidR="0BF0C5D5">
        <w:t>truly</w:t>
      </w:r>
      <w:r w:rsidR="5239FF3E">
        <w:t xml:space="preserve"> benefit a per</w:t>
      </w:r>
      <w:r w:rsidR="4612BCF9">
        <w:t xml:space="preserve">son wellbeing and some individuals find fulfilment in a quiter lifestyle </w:t>
      </w:r>
      <w:r w:rsidR="7DCB33BC">
        <w:t>rather than</w:t>
      </w:r>
      <w:r w:rsidR="4612BCF9">
        <w:t xml:space="preserve"> active engagement </w:t>
      </w:r>
    </w:p>
    <w:p w14:paraId="0046E0C3" w14:textId="1E3843CA" w:rsidR="734F89D9" w:rsidRDefault="734F89D9">
      <w:r>
        <w:t xml:space="preserve">Academic </w:t>
      </w:r>
    </w:p>
    <w:p w14:paraId="5C0AC273" w14:textId="0D2CA8D2" w:rsidR="734F89D9" w:rsidRDefault="734F89D9">
      <w:r>
        <w:t xml:space="preserve">Bowlby ( 1969) developed attachment theory, which explained that with </w:t>
      </w:r>
      <w:r w:rsidR="3FA59112">
        <w:t xml:space="preserve">older adults having a relationship with </w:t>
      </w:r>
      <w:r w:rsidR="47491C03">
        <w:t xml:space="preserve">healthcare </w:t>
      </w:r>
      <w:r w:rsidR="0D4E7365">
        <w:t>carers</w:t>
      </w:r>
      <w:r w:rsidR="47491C03">
        <w:t xml:space="preserve"> is very important </w:t>
      </w:r>
      <w:r w:rsidR="68A95E0B">
        <w:t xml:space="preserve">as they often face multimorbidity and mental health challenges that need trust </w:t>
      </w:r>
      <w:r w:rsidR="15DB5F35">
        <w:t>and support from families, caregiver, society and the health care team. Promoting secure attachment in old age needs interventi</w:t>
      </w:r>
      <w:r w:rsidR="546E52D5">
        <w:t xml:space="preserve">on that transform and complements current lines of action as a </w:t>
      </w:r>
      <w:r w:rsidR="56840871">
        <w:t>complementary</w:t>
      </w:r>
      <w:r w:rsidR="546E52D5">
        <w:t xml:space="preserve"> framework for public policy within the phc </w:t>
      </w:r>
      <w:r w:rsidR="398CAABF">
        <w:t xml:space="preserve">such as training health care personal to be able to educate teams to recognise attachment style and their </w:t>
      </w:r>
      <w:r w:rsidR="3DC988E2">
        <w:t xml:space="preserve">impact on </w:t>
      </w:r>
      <w:r w:rsidR="1B92062B">
        <w:t>therapeutic</w:t>
      </w:r>
      <w:r w:rsidR="3DC988E2">
        <w:t xml:space="preserve"> </w:t>
      </w:r>
      <w:r w:rsidR="4CCC406E">
        <w:t>relationship</w:t>
      </w:r>
      <w:r w:rsidR="3DC988E2">
        <w:t xml:space="preserve"> and health outcomes. It also includes redesigning the clinical mode, so they </w:t>
      </w:r>
      <w:r w:rsidR="30D01BE4">
        <w:t xml:space="preserve">can create care strategies that incorporate the patient's relation history, also including </w:t>
      </w:r>
      <w:r w:rsidR="2EC7D257">
        <w:t>attachment</w:t>
      </w:r>
      <w:r w:rsidR="30D01BE4">
        <w:t xml:space="preserve"> </w:t>
      </w:r>
      <w:r w:rsidR="43C22CF7">
        <w:t>assessment</w:t>
      </w:r>
      <w:r w:rsidR="30D01BE4">
        <w:t xml:space="preserve"> and often dialogue strategies to enhance </w:t>
      </w:r>
      <w:r w:rsidR="5459CF5E">
        <w:t xml:space="preserve">continuity and trust </w:t>
      </w:r>
      <w:r w:rsidR="2C77396F">
        <w:t>(public</w:t>
      </w:r>
      <w:r w:rsidR="5459CF5E">
        <w:t xml:space="preserve"> health 2025)</w:t>
      </w:r>
    </w:p>
    <w:p w14:paraId="079D17AC" w14:textId="1C9DDF64" w:rsidR="274E534A" w:rsidRDefault="274E534A">
      <w:r>
        <w:t xml:space="preserve">There are different ways that can aid successful ageing, thus leading to a happier and more engaged life. One of the ways </w:t>
      </w:r>
      <w:r w:rsidR="141246C3">
        <w:t>is to develop and maintain social interaction, because is has a direct effect on increased physical activity as well. Care home can provide a ra</w:t>
      </w:r>
      <w:r w:rsidR="602AEB0A">
        <w:t xml:space="preserve">nge of social </w:t>
      </w:r>
      <w:r w:rsidR="7015497E">
        <w:t xml:space="preserve">activites </w:t>
      </w:r>
      <w:r w:rsidR="602AEB0A">
        <w:t xml:space="preserve"> such as board games, singing, quizzes and many more to get older people engaged and to help them feel </w:t>
      </w:r>
      <w:r w:rsidR="1E3C26B0">
        <w:t>valued</w:t>
      </w:r>
      <w:r w:rsidR="15D97F47">
        <w:t xml:space="preserve">. </w:t>
      </w:r>
      <w:r w:rsidR="104D9680">
        <w:t>Furthermore,</w:t>
      </w:r>
      <w:r w:rsidR="15D97F47">
        <w:t xml:space="preserve"> lai et al </w:t>
      </w:r>
      <w:r w:rsidR="41C7F5D4">
        <w:t>(2017</w:t>
      </w:r>
      <w:r w:rsidR="15D97F47">
        <w:t xml:space="preserve">) conducted a case study based on older people experiencing a range of losses from retirement to </w:t>
      </w:r>
      <w:r w:rsidR="3796BC24">
        <w:t>losing</w:t>
      </w:r>
      <w:r w:rsidR="15D97F47">
        <w:t xml:space="preserve"> a partner to having challenges with general health and </w:t>
      </w:r>
      <w:r w:rsidR="6ABF2EE8">
        <w:t>mobility</w:t>
      </w:r>
      <w:r w:rsidR="3E04B705">
        <w:t xml:space="preserve">, which then resulted in feeling of loss of </w:t>
      </w:r>
      <w:r w:rsidR="76B60518">
        <w:t>identity</w:t>
      </w:r>
      <w:r w:rsidR="3E04B705">
        <w:t>, shame and isolation</w:t>
      </w:r>
      <w:r w:rsidR="65563C49">
        <w:t xml:space="preserve">. For older adults to maintain optimal </w:t>
      </w:r>
      <w:r w:rsidR="73F64682">
        <w:t>wellbeing</w:t>
      </w:r>
      <w:r w:rsidR="65563C49">
        <w:t xml:space="preserve"> it is of primary importance that they engage in fulfilling social interaction and are involved </w:t>
      </w:r>
      <w:r w:rsidR="575160D6">
        <w:t xml:space="preserve">in performing meaningful </w:t>
      </w:r>
      <w:r w:rsidR="04501841">
        <w:t>activities</w:t>
      </w:r>
      <w:r w:rsidR="575160D6">
        <w:t xml:space="preserve"> which in turns transformative benefits for the field of care overall this supports </w:t>
      </w:r>
      <w:r w:rsidR="3E94E5B1">
        <w:t>Havighurst</w:t>
      </w:r>
      <w:r w:rsidR="575160D6">
        <w:t xml:space="preserve"> activity theo</w:t>
      </w:r>
      <w:r w:rsidR="6AF0389B">
        <w:t xml:space="preserve">ry as this suggest that staying socially and </w:t>
      </w:r>
      <w:r w:rsidR="71A5501B">
        <w:t>physically</w:t>
      </w:r>
      <w:r w:rsidR="6AF0389B">
        <w:t xml:space="preserve"> active leads to improved wellbeing in older adults</w:t>
      </w:r>
      <w:r w:rsidR="12B82B10">
        <w:t xml:space="preserve">. </w:t>
      </w:r>
    </w:p>
    <w:p w14:paraId="0E6268F5" w14:textId="51CAD3F6" w:rsidR="42A89813" w:rsidRDefault="42A89813"/>
    <w:p w14:paraId="24842AEB" w14:textId="52271FA1" w:rsidR="42A89813" w:rsidRDefault="42A89813"/>
    <w:p w14:paraId="3C3A3DCA" w14:textId="001B7113" w:rsidR="42A89813" w:rsidRDefault="42A89813"/>
    <w:p w14:paraId="51F7BFCE" w14:textId="5BBC09AA" w:rsidR="42A89813" w:rsidRDefault="42A89813"/>
    <w:p w14:paraId="39055DCF" w14:textId="64BD12E7" w:rsidR="7D9AD9F4" w:rsidRDefault="7D9AD9F4">
      <w:r>
        <w:t xml:space="preserve">Part b </w:t>
      </w:r>
    </w:p>
    <w:p w14:paraId="416091A4" w14:textId="7F4015CE" w:rsidR="289443A4" w:rsidRDefault="289443A4" w:rsidP="5E9ADBF5">
      <w:pPr>
        <w:pStyle w:val="p1"/>
        <w:rPr>
          <w:rStyle w:val="s1"/>
          <w:rFonts w:ascii="Arial Nova" w:eastAsia="Arial Nova" w:hAnsi="Arial Nova" w:cs="Arial Nova"/>
        </w:rPr>
      </w:pPr>
      <w:r w:rsidRPr="5A1718FA">
        <w:rPr>
          <w:rStyle w:val="s1"/>
          <w:rFonts w:ascii="Arial Nova" w:eastAsia="Arial Nova" w:hAnsi="Arial Nova" w:cs="Arial Nova"/>
        </w:rPr>
        <w:t>This report will examine how activity theory can be applied to support the wellbeing of older adults in care settings and how it benefits them. Developed in the 1960s by sociologist Robert Havighurst and his colleagues, activity theory proposes that staying physically and socially active is key to maintaining happiness and health in later years. Older adults are especially vulnerable to loneliness and social isolation, which can have a serious impact on their health. According to Age UK, more than 2 million people in England over the age of 75 live alone, and over a million older adults do not speak to or see anyone for over a month.</w:t>
      </w:r>
      <w:r w:rsidR="011DB226" w:rsidRPr="5A1718FA">
        <w:rPr>
          <w:rStyle w:val="s1"/>
          <w:rFonts w:ascii="Arial Nova" w:eastAsia="Arial Nova" w:hAnsi="Arial Nova" w:cs="Arial Nova"/>
        </w:rPr>
        <w:t xml:space="preserve"> However, there are ways to overcome this, such as inviting them to participate in social activities, keeping in touch by phone, encouraging involvement in the local community, and helping them to get out and about. This shows that staying socially active can reduce loneliness and improve the wellbeing of older adults in care settings. For example, thriving relationally focuses on building friendships and maintaining family relationships, which can reduce loneliness and improve emotional wellbeing. In addition, staying active encourages older adults to participate in activities and remain engaged within the community. This supports Havighurst’s activity theory, which suggests that staying socially and physically active helps maintain happiness and quality of life in older age. An example of this in practice can be seen in a care home setting where an older adult may initially experience loneliness and social isolation, particularly after moving into residential care. In such situations, care staff can encourage participation in social activities such as group games, singing sessions, or community-based events. Over time, this can help the individual build relationships, improve confidence, and enhance their overall emotional wellbeing. However, a key challenge when applying this theory is that not all older adults are willing or able to participate due to health conditions, lack of motivation, or personal preference. This means the theory may not apply to everyone. To address this, care providers can adopt a person-centred approach by tailoring activities to individual needs and interests. Providing additional support and gradually encouraging engagement can help individuals feel more comfortable and increase participation. Overall, Havighurst’s activity theory is useful in supporting the wellbeing of older adults, as it highlights the importance of social and physical activity in later life. However, it also recognises the need for a more holistic understanding of ageing, considering individuals </w:t>
      </w:r>
      <w:r w:rsidR="548A48AF" w:rsidRPr="6B017CA1">
        <w:rPr>
          <w:rStyle w:val="s1"/>
          <w:rFonts w:ascii="Arial Nova" w:eastAsia="Arial Nova" w:hAnsi="Arial Nova" w:cs="Arial Nova"/>
        </w:rPr>
        <w:t>difference</w:t>
      </w:r>
      <w:r w:rsidR="011DB226" w:rsidRPr="5A1718FA">
        <w:rPr>
          <w:rStyle w:val="s1"/>
          <w:rFonts w:ascii="Arial Nova" w:eastAsia="Arial Nova" w:hAnsi="Arial Nova" w:cs="Arial Nova"/>
        </w:rPr>
        <w:t xml:space="preserve"> and personal choice </w:t>
      </w:r>
    </w:p>
    <w:p w14:paraId="4C745903" w14:textId="573691A0" w:rsidR="114BF072" w:rsidRDefault="114BF072" w:rsidP="114BF072">
      <w:pPr>
        <w:pStyle w:val="p1"/>
        <w:rPr>
          <w:rStyle w:val="s1"/>
          <w:rFonts w:ascii="Arial" w:eastAsia="Arial" w:hAnsi="Arial" w:cs="Arial"/>
        </w:rPr>
      </w:pPr>
    </w:p>
    <w:p w14:paraId="02CADF25" w14:textId="3FD1E381" w:rsidR="61B97119" w:rsidRDefault="170C53EA" w:rsidP="533544D1">
      <w:pPr>
        <w:pStyle w:val="p1"/>
        <w:rPr>
          <w:rStyle w:val="s1"/>
          <w:rFonts w:ascii="Arial" w:eastAsia="Arial" w:hAnsi="Arial" w:cs="Arial"/>
        </w:rPr>
      </w:pPr>
      <w:r w:rsidRPr="1424AC4C">
        <w:rPr>
          <w:rStyle w:val="s1"/>
          <w:rFonts w:ascii="Arial" w:eastAsia="Arial" w:hAnsi="Arial" w:cs="Arial"/>
        </w:rPr>
        <w:t>Reference</w:t>
      </w:r>
      <w:r w:rsidR="61B97119" w:rsidRPr="19E38A9B">
        <w:rPr>
          <w:rStyle w:val="s1"/>
          <w:rFonts w:ascii="Arial" w:eastAsia="Arial" w:hAnsi="Arial" w:cs="Arial"/>
        </w:rPr>
        <w:t xml:space="preserve"> list </w:t>
      </w:r>
    </w:p>
    <w:p w14:paraId="70F40523" w14:textId="32BE8C55" w:rsidR="43C1DA69" w:rsidRDefault="61B97119" w:rsidP="43C1DA69">
      <w:pPr>
        <w:pStyle w:val="p1"/>
        <w:rPr>
          <w:rStyle w:val="s1"/>
          <w:rFonts w:ascii="Arial" w:eastAsia="Arial" w:hAnsi="Arial" w:cs="Arial"/>
        </w:rPr>
      </w:pPr>
      <w:r w:rsidRPr="6DBEA550">
        <w:rPr>
          <w:rStyle w:val="s1"/>
          <w:rFonts w:ascii="Arial" w:eastAsia="Arial" w:hAnsi="Arial" w:cs="Arial"/>
        </w:rPr>
        <w:t>Pmc.</w:t>
      </w:r>
      <w:r w:rsidRPr="354EE439">
        <w:rPr>
          <w:rStyle w:val="s1"/>
          <w:rFonts w:ascii="Arial" w:eastAsia="Arial" w:hAnsi="Arial" w:cs="Arial"/>
        </w:rPr>
        <w:t>ncbi</w:t>
      </w:r>
      <w:r w:rsidRPr="7287AE52">
        <w:rPr>
          <w:rStyle w:val="s1"/>
          <w:rFonts w:ascii="Arial" w:eastAsia="Arial" w:hAnsi="Arial" w:cs="Arial"/>
        </w:rPr>
        <w:t>.</w:t>
      </w:r>
      <w:r w:rsidRPr="6B161D29">
        <w:rPr>
          <w:rStyle w:val="s1"/>
          <w:rFonts w:ascii="Arial" w:eastAsia="Arial" w:hAnsi="Arial" w:cs="Arial"/>
        </w:rPr>
        <w:t>nlm</w:t>
      </w:r>
      <w:r w:rsidRPr="1086DF19">
        <w:rPr>
          <w:rStyle w:val="s1"/>
          <w:rFonts w:ascii="Arial" w:eastAsia="Arial" w:hAnsi="Arial" w:cs="Arial"/>
        </w:rPr>
        <w:t>.</w:t>
      </w:r>
      <w:r w:rsidRPr="4B336A55">
        <w:rPr>
          <w:rStyle w:val="s1"/>
          <w:rFonts w:ascii="Arial" w:eastAsia="Arial" w:hAnsi="Arial" w:cs="Arial"/>
        </w:rPr>
        <w:t>nih</w:t>
      </w:r>
      <w:r w:rsidRPr="442BE04F">
        <w:rPr>
          <w:rStyle w:val="s1"/>
          <w:rFonts w:ascii="Arial" w:eastAsia="Arial" w:hAnsi="Arial" w:cs="Arial"/>
        </w:rPr>
        <w:t xml:space="preserve">.gov </w:t>
      </w:r>
      <w:r w:rsidRPr="151AC13D">
        <w:rPr>
          <w:rStyle w:val="s1"/>
          <w:rFonts w:ascii="Arial" w:eastAsia="Arial" w:hAnsi="Arial" w:cs="Arial"/>
        </w:rPr>
        <w:t xml:space="preserve">public health </w:t>
      </w:r>
      <w:r w:rsidRPr="29C74807">
        <w:rPr>
          <w:rStyle w:val="s1"/>
          <w:rFonts w:ascii="Arial" w:eastAsia="Arial" w:hAnsi="Arial" w:cs="Arial"/>
        </w:rPr>
        <w:t xml:space="preserve">2025 </w:t>
      </w:r>
      <w:r w:rsidRPr="49AA4DC7">
        <w:rPr>
          <w:rStyle w:val="s1"/>
          <w:rFonts w:ascii="Arial" w:eastAsia="Arial" w:hAnsi="Arial" w:cs="Arial"/>
        </w:rPr>
        <w:t>may</w:t>
      </w:r>
      <w:r w:rsidRPr="68A457E8">
        <w:rPr>
          <w:rStyle w:val="s1"/>
          <w:rFonts w:ascii="Arial" w:eastAsia="Arial" w:hAnsi="Arial" w:cs="Arial"/>
        </w:rPr>
        <w:t xml:space="preserve"> </w:t>
      </w:r>
    </w:p>
    <w:p w14:paraId="760FD997" w14:textId="523D0C65" w:rsidR="68A457E8" w:rsidRDefault="61B97119" w:rsidP="68A457E8">
      <w:pPr>
        <w:pStyle w:val="p1"/>
        <w:rPr>
          <w:rStyle w:val="s1"/>
          <w:rFonts w:ascii="Arial" w:eastAsia="Arial" w:hAnsi="Arial" w:cs="Arial"/>
        </w:rPr>
      </w:pPr>
      <w:r w:rsidRPr="154F9F7A">
        <w:rPr>
          <w:rStyle w:val="s1"/>
          <w:rFonts w:ascii="Arial" w:eastAsia="Arial" w:hAnsi="Arial" w:cs="Arial"/>
        </w:rPr>
        <w:t xml:space="preserve">Aracadialife.com </w:t>
      </w:r>
      <w:r w:rsidRPr="248DFCA6">
        <w:rPr>
          <w:rStyle w:val="s1"/>
          <w:rFonts w:ascii="Arial" w:eastAsia="Arial" w:hAnsi="Arial" w:cs="Arial"/>
        </w:rPr>
        <w:t>25</w:t>
      </w:r>
      <w:r w:rsidRPr="36DE28D5">
        <w:rPr>
          <w:rStyle w:val="s1"/>
          <w:rFonts w:ascii="Arial" w:eastAsia="Arial" w:hAnsi="Arial" w:cs="Arial"/>
        </w:rPr>
        <w:t xml:space="preserve"> </w:t>
      </w:r>
      <w:r w:rsidRPr="3D2E7C5C">
        <w:rPr>
          <w:rStyle w:val="s1"/>
          <w:rFonts w:ascii="Arial" w:eastAsia="Arial" w:hAnsi="Arial" w:cs="Arial"/>
        </w:rPr>
        <w:t xml:space="preserve">april </w:t>
      </w:r>
      <w:r w:rsidRPr="1C1517E8">
        <w:rPr>
          <w:rStyle w:val="s1"/>
          <w:rFonts w:ascii="Arial" w:eastAsia="Arial" w:hAnsi="Arial" w:cs="Arial"/>
        </w:rPr>
        <w:t xml:space="preserve">by </w:t>
      </w:r>
      <w:r w:rsidRPr="6272C704">
        <w:rPr>
          <w:rStyle w:val="s1"/>
          <w:rFonts w:ascii="Arial" w:eastAsia="Arial" w:hAnsi="Arial" w:cs="Arial"/>
        </w:rPr>
        <w:t>arcadia</w:t>
      </w:r>
    </w:p>
    <w:p w14:paraId="4997BE2D" w14:textId="0948A4A1" w:rsidR="6272C704" w:rsidRDefault="61B97119" w:rsidP="6272C704">
      <w:pPr>
        <w:pStyle w:val="p1"/>
        <w:rPr>
          <w:rStyle w:val="s1"/>
          <w:rFonts w:ascii="Arial" w:eastAsia="Arial" w:hAnsi="Arial" w:cs="Arial"/>
        </w:rPr>
      </w:pPr>
      <w:r w:rsidRPr="199FEAC0">
        <w:rPr>
          <w:rStyle w:val="s1"/>
          <w:rFonts w:ascii="Arial" w:eastAsia="Arial" w:hAnsi="Arial" w:cs="Arial"/>
        </w:rPr>
        <w:t xml:space="preserve">Ebsco.com </w:t>
      </w:r>
      <w:r w:rsidRPr="568E6FDB">
        <w:rPr>
          <w:rStyle w:val="s1"/>
          <w:rFonts w:ascii="Arial" w:eastAsia="Arial" w:hAnsi="Arial" w:cs="Arial"/>
        </w:rPr>
        <w:t xml:space="preserve">by </w:t>
      </w:r>
      <w:r w:rsidRPr="33A4C950">
        <w:rPr>
          <w:rStyle w:val="s1"/>
          <w:rFonts w:ascii="Arial" w:eastAsia="Arial" w:hAnsi="Arial" w:cs="Arial"/>
        </w:rPr>
        <w:t xml:space="preserve">ungvarsky </w:t>
      </w:r>
      <w:r w:rsidRPr="1000FFB7">
        <w:rPr>
          <w:rStyle w:val="s1"/>
          <w:rFonts w:ascii="Arial" w:eastAsia="Arial" w:hAnsi="Arial" w:cs="Arial"/>
        </w:rPr>
        <w:t xml:space="preserve">janine </w:t>
      </w:r>
      <w:r w:rsidRPr="4AFC3A31">
        <w:rPr>
          <w:rStyle w:val="s1"/>
          <w:rFonts w:ascii="Arial" w:eastAsia="Arial" w:hAnsi="Arial" w:cs="Arial"/>
        </w:rPr>
        <w:t xml:space="preserve">published </w:t>
      </w:r>
      <w:r w:rsidRPr="1D4EBAFD">
        <w:rPr>
          <w:rStyle w:val="s1"/>
          <w:rFonts w:ascii="Arial" w:eastAsia="Arial" w:hAnsi="Arial" w:cs="Arial"/>
        </w:rPr>
        <w:t>2025</w:t>
      </w:r>
      <w:r w:rsidRPr="2F355EDA">
        <w:rPr>
          <w:rStyle w:val="s1"/>
          <w:rFonts w:ascii="Arial" w:eastAsia="Arial" w:hAnsi="Arial" w:cs="Arial"/>
        </w:rPr>
        <w:t xml:space="preserve"> </w:t>
      </w:r>
    </w:p>
    <w:p w14:paraId="7FA62A44" w14:textId="331B87E4" w:rsidR="03C43F7A" w:rsidRDefault="61B97119" w:rsidP="03C43F7A">
      <w:pPr>
        <w:pStyle w:val="p1"/>
        <w:rPr>
          <w:rStyle w:val="s1"/>
          <w:rFonts w:ascii="Arial" w:eastAsia="Arial" w:hAnsi="Arial" w:cs="Arial"/>
        </w:rPr>
      </w:pPr>
      <w:hyperlink r:id="rId4">
        <w:r w:rsidRPr="056D4438">
          <w:rPr>
            <w:rStyle w:val="Hyperlink"/>
            <w:rFonts w:ascii="Arial" w:eastAsia="Arial" w:hAnsi="Arial" w:cs="Arial"/>
          </w:rPr>
          <w:t>www.nhs.uk</w:t>
        </w:r>
      </w:hyperlink>
      <w:r w:rsidRPr="056D4438">
        <w:rPr>
          <w:rStyle w:val="s1"/>
          <w:rFonts w:ascii="Arial" w:eastAsia="Arial" w:hAnsi="Arial" w:cs="Arial"/>
        </w:rPr>
        <w:t xml:space="preserve"> </w:t>
      </w:r>
    </w:p>
    <w:p w14:paraId="4815F204" w14:textId="627FA365" w:rsidR="1755806F" w:rsidRDefault="61B97119" w:rsidP="1755806F">
      <w:pPr>
        <w:pStyle w:val="p1"/>
        <w:rPr>
          <w:rStyle w:val="s1"/>
          <w:rFonts w:ascii="Arial" w:eastAsia="Arial" w:hAnsi="Arial" w:cs="Arial"/>
        </w:rPr>
      </w:pPr>
      <w:r w:rsidRPr="7CC9BB93">
        <w:rPr>
          <w:rStyle w:val="s1"/>
          <w:rFonts w:ascii="Arial" w:eastAsia="Arial" w:hAnsi="Arial" w:cs="Arial"/>
        </w:rPr>
        <w:t>Nappa-</w:t>
      </w:r>
      <w:r w:rsidRPr="78C99A8E">
        <w:rPr>
          <w:rStyle w:val="s1"/>
          <w:rFonts w:ascii="Arial" w:eastAsia="Arial" w:hAnsi="Arial" w:cs="Arial"/>
        </w:rPr>
        <w:t>activites.</w:t>
      </w:r>
      <w:r w:rsidRPr="28CDBB94">
        <w:rPr>
          <w:rStyle w:val="s1"/>
          <w:rFonts w:ascii="Arial" w:eastAsia="Arial" w:hAnsi="Arial" w:cs="Arial"/>
        </w:rPr>
        <w:t xml:space="preserve">co.uk </w:t>
      </w:r>
    </w:p>
    <w:p w14:paraId="1EB9B87F" w14:textId="47917786" w:rsidR="5E9ADBF5" w:rsidRDefault="5E9ADBF5" w:rsidP="5E9ADBF5">
      <w:pPr>
        <w:rPr>
          <w:rFonts w:ascii="Arial" w:eastAsia="Arial" w:hAnsi="Arial" w:cs="Arial"/>
          <w:sz w:val="22"/>
          <w:szCs w:val="22"/>
          <w:u w:val="single"/>
        </w:rPr>
      </w:pPr>
    </w:p>
    <w:p w14:paraId="3DF03FB7" w14:textId="7D5E5091" w:rsidR="289443A4" w:rsidRDefault="289443A4" w:rsidP="651C9EC8">
      <w:pPr>
        <w:pStyle w:val="p1"/>
        <w:rPr>
          <w:rStyle w:val="s1"/>
          <w:rFonts w:ascii="Arial" w:eastAsia="Arial" w:hAnsi="Arial" w:cs="Arial"/>
        </w:rPr>
      </w:pPr>
    </w:p>
    <w:p w14:paraId="28189D9C" w14:textId="0392E2DD" w:rsidR="289443A4" w:rsidRDefault="289443A4" w:rsidP="6ECFFB9B">
      <w:pPr>
        <w:pStyle w:val="p1"/>
        <w:rPr>
          <w:rStyle w:val="s1"/>
          <w:rFonts w:ascii="Arial" w:eastAsia="Arial" w:hAnsi="Arial" w:cs="Arial"/>
        </w:rPr>
      </w:pPr>
    </w:p>
    <w:p w14:paraId="108C9F60" w14:textId="1E33F5EE" w:rsidR="289443A4" w:rsidRDefault="289443A4" w:rsidP="4EE2B59A">
      <w:pPr>
        <w:pStyle w:val="p1"/>
        <w:rPr>
          <w:rStyle w:val="s1"/>
          <w:rFonts w:ascii="Arial" w:eastAsia="Arial" w:hAnsi="Arial" w:cs="Arial"/>
        </w:rPr>
      </w:pPr>
    </w:p>
    <w:p w14:paraId="74F54656" w14:textId="47155B9D" w:rsidR="00E02AAF" w:rsidRDefault="00E02AAF" w:rsidP="4E02FC18">
      <w:pPr>
        <w:pStyle w:val="p1"/>
        <w:rPr>
          <w:rStyle w:val="s1"/>
          <w:rFonts w:ascii="Arial" w:eastAsia="Arial" w:hAnsi="Arial" w:cs="Arial"/>
        </w:rPr>
      </w:pPr>
    </w:p>
    <w:p w14:paraId="07CB7E29" w14:textId="247F3A50" w:rsidR="00E02AAF" w:rsidRDefault="289443A4">
      <w:pPr>
        <w:pStyle w:val="p1"/>
      </w:pPr>
      <w:r w:rsidRPr="4E02FC18">
        <w:rPr>
          <w:rStyle w:val="s1"/>
          <w:rFonts w:ascii="Arial" w:eastAsia="Arial" w:hAnsi="Arial" w:cs="Arial"/>
        </w:rPr>
        <w:t xml:space="preserve"> </w:t>
      </w:r>
    </w:p>
    <w:p w14:paraId="38CD7540" w14:textId="536922EC" w:rsidR="00E02AAF" w:rsidRDefault="289443A4">
      <w:pPr>
        <w:pStyle w:val="p1"/>
      </w:pPr>
      <w:r w:rsidRPr="4E02FC18">
        <w:rPr>
          <w:rStyle w:val="s1"/>
          <w:rFonts w:ascii="Arial" w:eastAsia="Arial" w:hAnsi="Arial" w:cs="Arial"/>
        </w:rPr>
        <w:t xml:space="preserve"> </w:t>
      </w:r>
    </w:p>
    <w:p w14:paraId="2A312D02" w14:textId="339B0783" w:rsidR="00E02AAF" w:rsidRDefault="289443A4">
      <w:pPr>
        <w:pStyle w:val="p1"/>
      </w:pPr>
      <w:r w:rsidRPr="4E02FC18">
        <w:rPr>
          <w:rStyle w:val="s1"/>
          <w:rFonts w:ascii="Arial" w:eastAsia="Arial" w:hAnsi="Arial" w:cs="Arial"/>
        </w:rPr>
        <w:t xml:space="preserve"> </w:t>
      </w:r>
    </w:p>
    <w:p w14:paraId="28FD7465" w14:textId="780ACE3C" w:rsidR="00E02AAF" w:rsidRDefault="289443A4">
      <w:pPr>
        <w:pStyle w:val="p1"/>
      </w:pPr>
      <w:r w:rsidRPr="4E02FC18">
        <w:rPr>
          <w:rStyle w:val="s1"/>
          <w:rFonts w:ascii="Arial" w:eastAsia="Arial" w:hAnsi="Arial" w:cs="Arial"/>
        </w:rPr>
        <w:t xml:space="preserve"> </w:t>
      </w:r>
    </w:p>
    <w:p w14:paraId="0352AD18" w14:textId="47917786" w:rsidR="7D9AD9F4" w:rsidRDefault="7D9AD9F4">
      <w:pPr>
        <w:rPr>
          <w:rFonts w:ascii="Arial" w:eastAsia="Arial" w:hAnsi="Arial" w:cs="Arial"/>
          <w:sz w:val="22"/>
          <w:szCs w:val="22"/>
          <w:u w:val="single"/>
        </w:rPr>
      </w:pPr>
    </w:p>
    <w:sectPr w:rsidR="7D9AD9F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altName w:val="Arial"/>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37A984"/>
    <w:rsid w:val="00041525"/>
    <w:rsid w:val="00055814"/>
    <w:rsid w:val="00071021"/>
    <w:rsid w:val="000976C8"/>
    <w:rsid w:val="000A7203"/>
    <w:rsid w:val="000B5F69"/>
    <w:rsid w:val="000C30E9"/>
    <w:rsid w:val="000D3EC1"/>
    <w:rsid w:val="000D4ED0"/>
    <w:rsid w:val="000F0DB9"/>
    <w:rsid w:val="000F17A0"/>
    <w:rsid w:val="00116A2F"/>
    <w:rsid w:val="00120945"/>
    <w:rsid w:val="00134A45"/>
    <w:rsid w:val="00154395"/>
    <w:rsid w:val="00193EB1"/>
    <w:rsid w:val="00193FB5"/>
    <w:rsid w:val="001A1381"/>
    <w:rsid w:val="001A3EBA"/>
    <w:rsid w:val="001C1F5E"/>
    <w:rsid w:val="001C672E"/>
    <w:rsid w:val="001D0E82"/>
    <w:rsid w:val="001F6738"/>
    <w:rsid w:val="00204BC2"/>
    <w:rsid w:val="00217766"/>
    <w:rsid w:val="002409B6"/>
    <w:rsid w:val="002419D5"/>
    <w:rsid w:val="002546BB"/>
    <w:rsid w:val="002954CF"/>
    <w:rsid w:val="002A482E"/>
    <w:rsid w:val="002C3587"/>
    <w:rsid w:val="002D529C"/>
    <w:rsid w:val="002E1A80"/>
    <w:rsid w:val="00305082"/>
    <w:rsid w:val="00312219"/>
    <w:rsid w:val="00323DCB"/>
    <w:rsid w:val="00360C27"/>
    <w:rsid w:val="0036688F"/>
    <w:rsid w:val="003A776A"/>
    <w:rsid w:val="003E5C9E"/>
    <w:rsid w:val="003F1A89"/>
    <w:rsid w:val="00416CB0"/>
    <w:rsid w:val="004363C4"/>
    <w:rsid w:val="00437F71"/>
    <w:rsid w:val="00450E4F"/>
    <w:rsid w:val="00461D3E"/>
    <w:rsid w:val="00481692"/>
    <w:rsid w:val="00486661"/>
    <w:rsid w:val="00486896"/>
    <w:rsid w:val="00490F24"/>
    <w:rsid w:val="004A4B4E"/>
    <w:rsid w:val="004A5EB5"/>
    <w:rsid w:val="004B4223"/>
    <w:rsid w:val="004D7A8F"/>
    <w:rsid w:val="004E0F01"/>
    <w:rsid w:val="004F5F3E"/>
    <w:rsid w:val="004F6D6A"/>
    <w:rsid w:val="004F7548"/>
    <w:rsid w:val="005035FE"/>
    <w:rsid w:val="005039AB"/>
    <w:rsid w:val="005118AA"/>
    <w:rsid w:val="0053309A"/>
    <w:rsid w:val="005439F7"/>
    <w:rsid w:val="005B7A0B"/>
    <w:rsid w:val="005C1135"/>
    <w:rsid w:val="005C69E2"/>
    <w:rsid w:val="00615635"/>
    <w:rsid w:val="0063100C"/>
    <w:rsid w:val="00660D78"/>
    <w:rsid w:val="0066281F"/>
    <w:rsid w:val="006A1EA4"/>
    <w:rsid w:val="006D02FD"/>
    <w:rsid w:val="006F523D"/>
    <w:rsid w:val="006F69F7"/>
    <w:rsid w:val="007062BC"/>
    <w:rsid w:val="007147B3"/>
    <w:rsid w:val="00722498"/>
    <w:rsid w:val="007A785E"/>
    <w:rsid w:val="007C2265"/>
    <w:rsid w:val="007D5E4C"/>
    <w:rsid w:val="007E4626"/>
    <w:rsid w:val="007E5F66"/>
    <w:rsid w:val="008107C3"/>
    <w:rsid w:val="00812D80"/>
    <w:rsid w:val="00820C43"/>
    <w:rsid w:val="008221EB"/>
    <w:rsid w:val="00832907"/>
    <w:rsid w:val="00844318"/>
    <w:rsid w:val="0086639D"/>
    <w:rsid w:val="00894291"/>
    <w:rsid w:val="008E18AA"/>
    <w:rsid w:val="008E60C4"/>
    <w:rsid w:val="008F13F2"/>
    <w:rsid w:val="00922D2D"/>
    <w:rsid w:val="00922E1B"/>
    <w:rsid w:val="00953488"/>
    <w:rsid w:val="009577F1"/>
    <w:rsid w:val="009B314D"/>
    <w:rsid w:val="009C5543"/>
    <w:rsid w:val="00A0401E"/>
    <w:rsid w:val="00A51835"/>
    <w:rsid w:val="00A8505D"/>
    <w:rsid w:val="00A85455"/>
    <w:rsid w:val="00AD27BC"/>
    <w:rsid w:val="00AD332E"/>
    <w:rsid w:val="00AD73A0"/>
    <w:rsid w:val="00AE5526"/>
    <w:rsid w:val="00B165F3"/>
    <w:rsid w:val="00B30EE3"/>
    <w:rsid w:val="00B5635D"/>
    <w:rsid w:val="00B6687D"/>
    <w:rsid w:val="00B66E0E"/>
    <w:rsid w:val="00BA47E5"/>
    <w:rsid w:val="00BE72D3"/>
    <w:rsid w:val="00C01A04"/>
    <w:rsid w:val="00C05DA6"/>
    <w:rsid w:val="00C164FE"/>
    <w:rsid w:val="00C52088"/>
    <w:rsid w:val="00C53160"/>
    <w:rsid w:val="00C94B01"/>
    <w:rsid w:val="00CB022E"/>
    <w:rsid w:val="00D4060E"/>
    <w:rsid w:val="00D45EE9"/>
    <w:rsid w:val="00D463FE"/>
    <w:rsid w:val="00D4BE09"/>
    <w:rsid w:val="00D75FFE"/>
    <w:rsid w:val="00D9240F"/>
    <w:rsid w:val="00D95F9B"/>
    <w:rsid w:val="00DA097D"/>
    <w:rsid w:val="00DB3DAA"/>
    <w:rsid w:val="00DC24AB"/>
    <w:rsid w:val="00DD320C"/>
    <w:rsid w:val="00DD35B5"/>
    <w:rsid w:val="00DE0737"/>
    <w:rsid w:val="00DE2C4A"/>
    <w:rsid w:val="00E02AAF"/>
    <w:rsid w:val="00E90248"/>
    <w:rsid w:val="00EB5B6B"/>
    <w:rsid w:val="00ED59B8"/>
    <w:rsid w:val="00EF1926"/>
    <w:rsid w:val="00EF1CB0"/>
    <w:rsid w:val="00EF5221"/>
    <w:rsid w:val="00EF65C2"/>
    <w:rsid w:val="00F267B0"/>
    <w:rsid w:val="00F51539"/>
    <w:rsid w:val="00FA3650"/>
    <w:rsid w:val="00FE323B"/>
    <w:rsid w:val="00FF3F4A"/>
    <w:rsid w:val="0103F71A"/>
    <w:rsid w:val="011DB226"/>
    <w:rsid w:val="012DA1CD"/>
    <w:rsid w:val="01A566F7"/>
    <w:rsid w:val="02170CE5"/>
    <w:rsid w:val="0229C946"/>
    <w:rsid w:val="029423B4"/>
    <w:rsid w:val="02ED703A"/>
    <w:rsid w:val="031FE7EC"/>
    <w:rsid w:val="03210B40"/>
    <w:rsid w:val="03B89036"/>
    <w:rsid w:val="03C43F7A"/>
    <w:rsid w:val="04501841"/>
    <w:rsid w:val="047F655D"/>
    <w:rsid w:val="056D4438"/>
    <w:rsid w:val="05832386"/>
    <w:rsid w:val="05BCF1E5"/>
    <w:rsid w:val="060235D1"/>
    <w:rsid w:val="062FE1F1"/>
    <w:rsid w:val="064B1D0D"/>
    <w:rsid w:val="068BD56F"/>
    <w:rsid w:val="06929075"/>
    <w:rsid w:val="06B116EF"/>
    <w:rsid w:val="06DC95B5"/>
    <w:rsid w:val="08AD97A3"/>
    <w:rsid w:val="08E91E51"/>
    <w:rsid w:val="0A401917"/>
    <w:rsid w:val="0A8B26E0"/>
    <w:rsid w:val="0ADDE407"/>
    <w:rsid w:val="0B1B3A42"/>
    <w:rsid w:val="0BF0C5D5"/>
    <w:rsid w:val="0D0C7B03"/>
    <w:rsid w:val="0D4E7365"/>
    <w:rsid w:val="0D7C1E06"/>
    <w:rsid w:val="0DD437C0"/>
    <w:rsid w:val="0DF68AD6"/>
    <w:rsid w:val="0EDED557"/>
    <w:rsid w:val="0F67F7D7"/>
    <w:rsid w:val="0FEC6FC2"/>
    <w:rsid w:val="1000FFB7"/>
    <w:rsid w:val="1014CAF8"/>
    <w:rsid w:val="104D9680"/>
    <w:rsid w:val="1086DF19"/>
    <w:rsid w:val="10C52504"/>
    <w:rsid w:val="112C8C56"/>
    <w:rsid w:val="114BF072"/>
    <w:rsid w:val="11501FA8"/>
    <w:rsid w:val="11E1500A"/>
    <w:rsid w:val="11E2030B"/>
    <w:rsid w:val="11E9DC44"/>
    <w:rsid w:val="12080578"/>
    <w:rsid w:val="1258BCD2"/>
    <w:rsid w:val="12B82B10"/>
    <w:rsid w:val="133E311F"/>
    <w:rsid w:val="13EC1AD3"/>
    <w:rsid w:val="141246C3"/>
    <w:rsid w:val="1424AC4C"/>
    <w:rsid w:val="151AC13D"/>
    <w:rsid w:val="154F9F7A"/>
    <w:rsid w:val="15898D92"/>
    <w:rsid w:val="15983E53"/>
    <w:rsid w:val="15D97F47"/>
    <w:rsid w:val="15DB5F35"/>
    <w:rsid w:val="160A1BB3"/>
    <w:rsid w:val="1623C1E4"/>
    <w:rsid w:val="170C53EA"/>
    <w:rsid w:val="171F6865"/>
    <w:rsid w:val="17268845"/>
    <w:rsid w:val="1755806F"/>
    <w:rsid w:val="178DF97B"/>
    <w:rsid w:val="18A22CE9"/>
    <w:rsid w:val="18C67263"/>
    <w:rsid w:val="18DF150E"/>
    <w:rsid w:val="18F305BB"/>
    <w:rsid w:val="19483ABC"/>
    <w:rsid w:val="19623C01"/>
    <w:rsid w:val="199FEAC0"/>
    <w:rsid w:val="19A26AC5"/>
    <w:rsid w:val="19E38A9B"/>
    <w:rsid w:val="1A7C5726"/>
    <w:rsid w:val="1AD8668A"/>
    <w:rsid w:val="1ADA8865"/>
    <w:rsid w:val="1B403F32"/>
    <w:rsid w:val="1B6A3D7A"/>
    <w:rsid w:val="1B92062B"/>
    <w:rsid w:val="1C06A22F"/>
    <w:rsid w:val="1C1517E8"/>
    <w:rsid w:val="1C2F6B9B"/>
    <w:rsid w:val="1CE3F6E5"/>
    <w:rsid w:val="1D4EBAFD"/>
    <w:rsid w:val="1E2521A3"/>
    <w:rsid w:val="1E3C26B0"/>
    <w:rsid w:val="1E4CB23D"/>
    <w:rsid w:val="1F6421C9"/>
    <w:rsid w:val="200F568A"/>
    <w:rsid w:val="208F1989"/>
    <w:rsid w:val="20F2A624"/>
    <w:rsid w:val="2101C81E"/>
    <w:rsid w:val="2120AEF5"/>
    <w:rsid w:val="2128F1B6"/>
    <w:rsid w:val="216FF86B"/>
    <w:rsid w:val="21FF5FBB"/>
    <w:rsid w:val="22AB413D"/>
    <w:rsid w:val="232F81A5"/>
    <w:rsid w:val="23C88E29"/>
    <w:rsid w:val="241C972B"/>
    <w:rsid w:val="248DFCA6"/>
    <w:rsid w:val="24E2CBB4"/>
    <w:rsid w:val="25DCB2C8"/>
    <w:rsid w:val="26841C0C"/>
    <w:rsid w:val="26DC0FEF"/>
    <w:rsid w:val="274E534A"/>
    <w:rsid w:val="276515C3"/>
    <w:rsid w:val="2775A64A"/>
    <w:rsid w:val="2856D377"/>
    <w:rsid w:val="289443A4"/>
    <w:rsid w:val="28CDBB94"/>
    <w:rsid w:val="29C74807"/>
    <w:rsid w:val="2BB6711C"/>
    <w:rsid w:val="2BC4F573"/>
    <w:rsid w:val="2C77396F"/>
    <w:rsid w:val="2C99EA9F"/>
    <w:rsid w:val="2EC7D257"/>
    <w:rsid w:val="2ED7FE11"/>
    <w:rsid w:val="2F355EDA"/>
    <w:rsid w:val="2F57A951"/>
    <w:rsid w:val="2F65B503"/>
    <w:rsid w:val="300CCC4F"/>
    <w:rsid w:val="30D01BE4"/>
    <w:rsid w:val="31EE04AF"/>
    <w:rsid w:val="323EE7D2"/>
    <w:rsid w:val="332276A7"/>
    <w:rsid w:val="33A4C950"/>
    <w:rsid w:val="33B56B55"/>
    <w:rsid w:val="340A3D29"/>
    <w:rsid w:val="34438D3B"/>
    <w:rsid w:val="344DE720"/>
    <w:rsid w:val="34694962"/>
    <w:rsid w:val="354EE439"/>
    <w:rsid w:val="359AE372"/>
    <w:rsid w:val="361606AE"/>
    <w:rsid w:val="36DE28D5"/>
    <w:rsid w:val="3796BC24"/>
    <w:rsid w:val="398CAABF"/>
    <w:rsid w:val="39C5CD5B"/>
    <w:rsid w:val="3A3B0930"/>
    <w:rsid w:val="3A496C49"/>
    <w:rsid w:val="3AD4ED48"/>
    <w:rsid w:val="3C041A82"/>
    <w:rsid w:val="3C424E2B"/>
    <w:rsid w:val="3C9C2C69"/>
    <w:rsid w:val="3D2E7C5C"/>
    <w:rsid w:val="3DC988E2"/>
    <w:rsid w:val="3E04B705"/>
    <w:rsid w:val="3E8ECD96"/>
    <w:rsid w:val="3E94E5B1"/>
    <w:rsid w:val="3EB1C151"/>
    <w:rsid w:val="3EC4C225"/>
    <w:rsid w:val="3EDE908B"/>
    <w:rsid w:val="3F4EE4C8"/>
    <w:rsid w:val="3FA59112"/>
    <w:rsid w:val="3FB04BCC"/>
    <w:rsid w:val="3FF392B0"/>
    <w:rsid w:val="40383D4A"/>
    <w:rsid w:val="403CFF4C"/>
    <w:rsid w:val="40D665EF"/>
    <w:rsid w:val="4135BCAF"/>
    <w:rsid w:val="41C082B2"/>
    <w:rsid w:val="41C7F5D4"/>
    <w:rsid w:val="41F24147"/>
    <w:rsid w:val="41FC7B9A"/>
    <w:rsid w:val="42682477"/>
    <w:rsid w:val="42A89813"/>
    <w:rsid w:val="43C1DA69"/>
    <w:rsid w:val="43C22CF7"/>
    <w:rsid w:val="43F6D2D2"/>
    <w:rsid w:val="44209C0C"/>
    <w:rsid w:val="442BE04F"/>
    <w:rsid w:val="44ADBA5A"/>
    <w:rsid w:val="44C839A6"/>
    <w:rsid w:val="44E223EA"/>
    <w:rsid w:val="4531BD1C"/>
    <w:rsid w:val="456C51EC"/>
    <w:rsid w:val="45CFCAF2"/>
    <w:rsid w:val="45E525DB"/>
    <w:rsid w:val="4612BCF9"/>
    <w:rsid w:val="47491C03"/>
    <w:rsid w:val="475DEE92"/>
    <w:rsid w:val="47D2A9FC"/>
    <w:rsid w:val="487CAAAF"/>
    <w:rsid w:val="48E182E3"/>
    <w:rsid w:val="49012290"/>
    <w:rsid w:val="4924BEE3"/>
    <w:rsid w:val="49AA4DC7"/>
    <w:rsid w:val="49DBBA65"/>
    <w:rsid w:val="4AC778C8"/>
    <w:rsid w:val="4AE3CBA6"/>
    <w:rsid w:val="4AF9D987"/>
    <w:rsid w:val="4AFC3A31"/>
    <w:rsid w:val="4B1803E4"/>
    <w:rsid w:val="4B336A55"/>
    <w:rsid w:val="4B45987E"/>
    <w:rsid w:val="4B627DFC"/>
    <w:rsid w:val="4CC870C3"/>
    <w:rsid w:val="4CCC406E"/>
    <w:rsid w:val="4CEF7007"/>
    <w:rsid w:val="4E02FC18"/>
    <w:rsid w:val="4E2DDB8D"/>
    <w:rsid w:val="4EE2B59A"/>
    <w:rsid w:val="4F58447F"/>
    <w:rsid w:val="4F6B978D"/>
    <w:rsid w:val="50DCD81E"/>
    <w:rsid w:val="51461657"/>
    <w:rsid w:val="52244C12"/>
    <w:rsid w:val="5239FF3E"/>
    <w:rsid w:val="525D4D47"/>
    <w:rsid w:val="52C67EB8"/>
    <w:rsid w:val="532B58EF"/>
    <w:rsid w:val="533544D1"/>
    <w:rsid w:val="53E219C2"/>
    <w:rsid w:val="54199481"/>
    <w:rsid w:val="5459CF5E"/>
    <w:rsid w:val="546E52D5"/>
    <w:rsid w:val="548A48AF"/>
    <w:rsid w:val="54ADBF28"/>
    <w:rsid w:val="54CA5C38"/>
    <w:rsid w:val="56840871"/>
    <w:rsid w:val="568E6FDB"/>
    <w:rsid w:val="56AABD29"/>
    <w:rsid w:val="56D145EA"/>
    <w:rsid w:val="57403A60"/>
    <w:rsid w:val="575160D6"/>
    <w:rsid w:val="582B2BCA"/>
    <w:rsid w:val="5957D12D"/>
    <w:rsid w:val="59AFAA4A"/>
    <w:rsid w:val="59B0A572"/>
    <w:rsid w:val="5A052933"/>
    <w:rsid w:val="5A1718FA"/>
    <w:rsid w:val="5BCB3CAF"/>
    <w:rsid w:val="5C924C96"/>
    <w:rsid w:val="5CA94A8F"/>
    <w:rsid w:val="5CE6A0DF"/>
    <w:rsid w:val="5D8AE862"/>
    <w:rsid w:val="5DB6E6A9"/>
    <w:rsid w:val="5E247F60"/>
    <w:rsid w:val="5E9ADBF5"/>
    <w:rsid w:val="6006B0D8"/>
    <w:rsid w:val="602AEB0A"/>
    <w:rsid w:val="6092449A"/>
    <w:rsid w:val="60993429"/>
    <w:rsid w:val="6169DC4F"/>
    <w:rsid w:val="61B5C1D5"/>
    <w:rsid w:val="61B97119"/>
    <w:rsid w:val="62175527"/>
    <w:rsid w:val="624EE359"/>
    <w:rsid w:val="6272C704"/>
    <w:rsid w:val="629A8496"/>
    <w:rsid w:val="63CA914C"/>
    <w:rsid w:val="651C9EC8"/>
    <w:rsid w:val="65563C49"/>
    <w:rsid w:val="6581F4CA"/>
    <w:rsid w:val="65EF116D"/>
    <w:rsid w:val="668598E3"/>
    <w:rsid w:val="66890CED"/>
    <w:rsid w:val="66B018E0"/>
    <w:rsid w:val="66C096CF"/>
    <w:rsid w:val="66DCE524"/>
    <w:rsid w:val="674E3AFD"/>
    <w:rsid w:val="67C2AE6D"/>
    <w:rsid w:val="67FAEC6A"/>
    <w:rsid w:val="685E9DA2"/>
    <w:rsid w:val="68A457E8"/>
    <w:rsid w:val="68A95E0B"/>
    <w:rsid w:val="68AC337B"/>
    <w:rsid w:val="68B2FB40"/>
    <w:rsid w:val="6A37A984"/>
    <w:rsid w:val="6AB96FD1"/>
    <w:rsid w:val="6ABF2EE8"/>
    <w:rsid w:val="6AF0389B"/>
    <w:rsid w:val="6B017CA1"/>
    <w:rsid w:val="6B161D29"/>
    <w:rsid w:val="6B8529C4"/>
    <w:rsid w:val="6C30F9CF"/>
    <w:rsid w:val="6C45126F"/>
    <w:rsid w:val="6CEBB264"/>
    <w:rsid w:val="6D9FEF29"/>
    <w:rsid w:val="6DAB059E"/>
    <w:rsid w:val="6DBEA550"/>
    <w:rsid w:val="6E6E1DEB"/>
    <w:rsid w:val="6ECFFB9B"/>
    <w:rsid w:val="6F6D381E"/>
    <w:rsid w:val="6F7E5B8C"/>
    <w:rsid w:val="7015497E"/>
    <w:rsid w:val="70569BFF"/>
    <w:rsid w:val="711FB76A"/>
    <w:rsid w:val="71506364"/>
    <w:rsid w:val="71533D98"/>
    <w:rsid w:val="718A9FF4"/>
    <w:rsid w:val="71A5501B"/>
    <w:rsid w:val="71C47CB0"/>
    <w:rsid w:val="7225D356"/>
    <w:rsid w:val="72677CC8"/>
    <w:rsid w:val="7287AE52"/>
    <w:rsid w:val="72FD8F95"/>
    <w:rsid w:val="7333C029"/>
    <w:rsid w:val="734F89D9"/>
    <w:rsid w:val="7379A4C4"/>
    <w:rsid w:val="73821086"/>
    <w:rsid w:val="73D652B0"/>
    <w:rsid w:val="73F64682"/>
    <w:rsid w:val="74DA45AB"/>
    <w:rsid w:val="750DDCB5"/>
    <w:rsid w:val="7530B66C"/>
    <w:rsid w:val="753A3545"/>
    <w:rsid w:val="756D9F6D"/>
    <w:rsid w:val="76428929"/>
    <w:rsid w:val="766E5450"/>
    <w:rsid w:val="76B60518"/>
    <w:rsid w:val="76EDD7B0"/>
    <w:rsid w:val="786CED76"/>
    <w:rsid w:val="78BA2A8B"/>
    <w:rsid w:val="78BF8C47"/>
    <w:rsid w:val="78C99A8E"/>
    <w:rsid w:val="794E1521"/>
    <w:rsid w:val="79557812"/>
    <w:rsid w:val="79732A92"/>
    <w:rsid w:val="7ABED743"/>
    <w:rsid w:val="7BD14C8A"/>
    <w:rsid w:val="7C185919"/>
    <w:rsid w:val="7CC9BB93"/>
    <w:rsid w:val="7CD850F4"/>
    <w:rsid w:val="7CFEA4BE"/>
    <w:rsid w:val="7D39E449"/>
    <w:rsid w:val="7D8A3F3E"/>
    <w:rsid w:val="7D9AD9F4"/>
    <w:rsid w:val="7DC3715D"/>
    <w:rsid w:val="7DCB33BC"/>
    <w:rsid w:val="7E1D0478"/>
    <w:rsid w:val="7E4583FE"/>
    <w:rsid w:val="7E99ACA8"/>
    <w:rsid w:val="7EFB6EF6"/>
    <w:rsid w:val="7FAD277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7C02451"/>
  <w15:chartTrackingRefBased/>
  <w15:docId w15:val="{7D5069AF-8501-4168-B2B7-F9D68859F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E02AAF"/>
    <w:pPr>
      <w:spacing w:before="100" w:beforeAutospacing="1" w:after="100" w:afterAutospacing="1" w:line="240" w:lineRule="auto"/>
    </w:pPr>
    <w:rPr>
      <w:rFonts w:ascii="Times New Roman" w:hAnsi="Times New Roman" w:cs="Times New Roman"/>
      <w:lang w:eastAsia="en-GB"/>
    </w:rPr>
  </w:style>
  <w:style w:type="character" w:customStyle="1" w:styleId="s1">
    <w:name w:val="s1"/>
    <w:basedOn w:val="DefaultParagraphFont"/>
    <w:rsid w:val="00E02AAF"/>
  </w:style>
  <w:style w:type="paragraph" w:customStyle="1" w:styleId="p2">
    <w:name w:val="p2"/>
    <w:basedOn w:val="Normal"/>
    <w:rsid w:val="00E02AAF"/>
    <w:pPr>
      <w:spacing w:before="100" w:beforeAutospacing="1" w:after="100" w:afterAutospacing="1" w:line="240" w:lineRule="auto"/>
    </w:pPr>
    <w:rPr>
      <w:rFonts w:ascii="Times New Roman" w:hAnsi="Times New Roman" w:cs="Times New Roman"/>
      <w:lang w:eastAsia="en-GB"/>
    </w:rPr>
  </w:style>
  <w:style w:type="character" w:styleId="Hyperlink">
    <w:name w:val="Hyperlink"/>
    <w:basedOn w:val="DefaultParagraphFont"/>
    <w:uiPriority w:val="99"/>
    <w:unhideWhenUsed/>
    <w:rsid w:val="002A482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Maimuna Ali (2432010)</dc:creator>
  <cp:keywords/>
  <dc:description/>
  <cp:lastModifiedBy>Maimuna Ali (2432010)</cp:lastModifiedBy>
  <cp:revision>4</cp:revision>
  <dcterms:created xsi:type="dcterms:W3CDTF">2026-03-24T05:41:00Z</dcterms:created>
  <dcterms:modified xsi:type="dcterms:W3CDTF">2026-03-24T00:23:00Z</dcterms:modified>
</cp:coreProperties>
</file>