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Archival Exercise</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Chosen topic: Edward the Black Prince</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Charter of Edward the Black Prince</w:t>
      </w:r>
    </w:p>
    <w:p>
      <w:pPr>
        <w:spacing w:before="0" w:after="160" w:line="48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Redruth</w:t>
      </w:r>
    </w:p>
    <w:p>
      <w:pPr>
        <w:spacing w:before="0" w:after="160" w:line="48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Archives and Cornish Study Service</w:t>
      </w:r>
    </w:p>
    <w:p>
      <w:pPr>
        <w:spacing w:before="0" w:after="160" w:line="48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BHEL/454</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following archival text contains charters and commissions of the peace of 1354, involving Edward the Black Prince. As this was published during Edward’s reign, it provides an insight into his contribution to medieval society.</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Photograph depicting Canterbury, Kent: tomb of Edward the Black Prince</w:t>
      </w:r>
    </w:p>
    <w:p>
      <w:pPr>
        <w:spacing w:before="0" w:after="160" w:line="48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Kew</w:t>
      </w:r>
    </w:p>
    <w:p>
      <w:pPr>
        <w:spacing w:before="0" w:after="160" w:line="48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National Archives</w:t>
      </w:r>
    </w:p>
    <w:p>
      <w:pPr>
        <w:spacing w:before="0" w:after="160" w:line="48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INF 9/750/36A</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following photograph depicts the tomb of Edward the Black Prince. It reflects Edward’s importance in medieval society as his tomb is held with great respect in Canterbury Cathedral. </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Edward, The Black Prince. Miscellaneous writs, includes some deeds.</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Chester</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Chesire Archives and Local Studies</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ZS/FW/3</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following archival text reflects some of Edward’s activity in Chester, highlighting his role in medieval Cheshire. This manuscript is available to view in person in the Cheshire Archives. </w:t>
      </w:r>
    </w:p>
    <w:p>
      <w:pPr>
        <w:spacing w:before="0" w:after="160" w:line="480"/>
        <w:ind w:right="0" w:left="0" w:firstLine="0"/>
        <w:jc w:val="left"/>
        <w:rPr>
          <w:rFonts w:ascii="Times New Roman" w:hAnsi="Times New Roman" w:cs="Times New Roman" w:eastAsia="Times New Roman"/>
          <w:color w:val="000000"/>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