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EFDF6" w14:textId="5A342C62" w:rsidR="00C33E2B" w:rsidRPr="00F775E2" w:rsidRDefault="00803A70" w:rsidP="00F775E2">
      <w:pPr>
        <w:pStyle w:val="Title"/>
        <w:jc w:val="center"/>
      </w:pPr>
      <w:r w:rsidRPr="00F775E2">
        <w:t xml:space="preserve">A Comparative Strategic Analysis of Tesla and Toyota </w:t>
      </w:r>
      <w:r w:rsidR="0062461B" w:rsidRPr="00F775E2">
        <w:t>i</w:t>
      </w:r>
      <w:r w:rsidR="00E8222F" w:rsidRPr="00F775E2">
        <w:t>n the Electric Vehicle Industry</w:t>
      </w:r>
    </w:p>
    <w:p w14:paraId="517F03B2" w14:textId="7D898C27" w:rsidR="0063143D" w:rsidRPr="00414C42" w:rsidRDefault="0063143D" w:rsidP="00414C42">
      <w:pPr>
        <w:jc w:val="center"/>
        <w:rPr>
          <w:rFonts w:ascii="Century Gothic" w:hAnsi="Century Gothic"/>
          <w:b/>
          <w:bCs/>
          <w:sz w:val="28"/>
          <w:szCs w:val="28"/>
        </w:rPr>
      </w:pPr>
      <w:r w:rsidRPr="00414C42">
        <w:rPr>
          <w:rFonts w:ascii="Century Gothic" w:hAnsi="Century Gothic"/>
          <w:b/>
          <w:bCs/>
          <w:sz w:val="28"/>
          <w:szCs w:val="28"/>
        </w:rPr>
        <w:t>By</w:t>
      </w:r>
    </w:p>
    <w:p w14:paraId="55962900" w14:textId="77777777" w:rsidR="0063143D" w:rsidRPr="00414C42" w:rsidRDefault="0063143D" w:rsidP="00414C42">
      <w:pPr>
        <w:jc w:val="center"/>
        <w:rPr>
          <w:rFonts w:ascii="Century Gothic" w:hAnsi="Century Gothic"/>
          <w:b/>
          <w:bCs/>
          <w:sz w:val="28"/>
          <w:szCs w:val="28"/>
        </w:rPr>
      </w:pPr>
    </w:p>
    <w:p w14:paraId="4E47734B" w14:textId="29FCE2F4" w:rsidR="0063143D" w:rsidRDefault="00F3547B" w:rsidP="00414C42">
      <w:pPr>
        <w:jc w:val="center"/>
        <w:rPr>
          <w:rFonts w:ascii="Century Gothic" w:hAnsi="Century Gothic"/>
          <w:b/>
          <w:bCs/>
          <w:sz w:val="28"/>
          <w:szCs w:val="28"/>
        </w:rPr>
      </w:pPr>
      <w:r w:rsidRPr="00414C42">
        <w:rPr>
          <w:rFonts w:ascii="Century Gothic" w:hAnsi="Century Gothic"/>
          <w:b/>
          <w:bCs/>
          <w:sz w:val="28"/>
          <w:szCs w:val="28"/>
        </w:rPr>
        <w:t>RAHUL AMITUMAR SHRIMALI</w:t>
      </w:r>
      <w:r w:rsidR="00654339">
        <w:rPr>
          <w:rFonts w:ascii="Century Gothic" w:hAnsi="Century Gothic"/>
          <w:b/>
          <w:bCs/>
          <w:sz w:val="28"/>
          <w:szCs w:val="28"/>
        </w:rPr>
        <w:t xml:space="preserve"> </w:t>
      </w:r>
      <w:r w:rsidR="00E62A78" w:rsidRPr="00414C42">
        <w:rPr>
          <w:rFonts w:ascii="Century Gothic" w:hAnsi="Century Gothic"/>
          <w:b/>
          <w:bCs/>
          <w:sz w:val="28"/>
          <w:szCs w:val="28"/>
        </w:rPr>
        <w:t>(2519362)</w:t>
      </w:r>
    </w:p>
    <w:p w14:paraId="3C1A4C49" w14:textId="77777777" w:rsidR="00654339" w:rsidRDefault="00654339" w:rsidP="00414C42">
      <w:pPr>
        <w:jc w:val="center"/>
        <w:rPr>
          <w:rFonts w:ascii="Century Gothic" w:hAnsi="Century Gothic"/>
          <w:b/>
          <w:bCs/>
          <w:sz w:val="28"/>
          <w:szCs w:val="28"/>
        </w:rPr>
      </w:pPr>
    </w:p>
    <w:p w14:paraId="47887F99" w14:textId="75BD981D" w:rsidR="00654339" w:rsidRDefault="00654339" w:rsidP="00414C42">
      <w:pPr>
        <w:jc w:val="center"/>
        <w:rPr>
          <w:rFonts w:ascii="Century Gothic" w:hAnsi="Century Gothic"/>
          <w:b/>
          <w:bCs/>
          <w:noProof/>
          <w:sz w:val="28"/>
          <w:szCs w:val="28"/>
        </w:rPr>
      </w:pPr>
      <w:r>
        <w:rPr>
          <w:rFonts w:ascii="Century Gothic" w:hAnsi="Century Gothic"/>
          <w:b/>
          <w:bCs/>
          <w:noProof/>
          <w:sz w:val="28"/>
          <w:szCs w:val="28"/>
        </w:rPr>
        <w:drawing>
          <wp:inline distT="0" distB="0" distL="0" distR="0" wp14:anchorId="0581819B" wp14:editId="269ED83A">
            <wp:extent cx="5715000" cy="1895475"/>
            <wp:effectExtent l="0" t="0" r="0" b="9525"/>
            <wp:docPr id="17883444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44485" name="Picture 1788344485"/>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19BCF256" w14:textId="77777777" w:rsidR="00CE6CBE" w:rsidRPr="00CE6CBE" w:rsidRDefault="00CE6CBE" w:rsidP="00CE6CBE">
      <w:pPr>
        <w:rPr>
          <w:rFonts w:ascii="Century Gothic" w:hAnsi="Century Gothic"/>
          <w:sz w:val="28"/>
          <w:szCs w:val="28"/>
        </w:rPr>
      </w:pPr>
    </w:p>
    <w:p w14:paraId="3B74118F" w14:textId="33A3217D" w:rsidR="00CE6CBE" w:rsidRDefault="00CE6CBE" w:rsidP="00BC55A9">
      <w:pPr>
        <w:tabs>
          <w:tab w:val="left" w:pos="6876"/>
        </w:tabs>
        <w:jc w:val="center"/>
        <w:rPr>
          <w:rFonts w:ascii="Bahnschrift SemiBold" w:hAnsi="Bahnschrift SemiBold"/>
          <w:sz w:val="36"/>
          <w:szCs w:val="36"/>
        </w:rPr>
      </w:pPr>
      <w:r w:rsidRPr="00BC55A9">
        <w:rPr>
          <w:rFonts w:ascii="Bahnschrift SemiBold" w:hAnsi="Bahnschrift SemiBold"/>
          <w:sz w:val="36"/>
          <w:szCs w:val="36"/>
        </w:rPr>
        <w:t>Submitt</w:t>
      </w:r>
      <w:r w:rsidR="004A7E7E" w:rsidRPr="00BC55A9">
        <w:rPr>
          <w:rFonts w:ascii="Bahnschrift SemiBold" w:hAnsi="Bahnschrift SemiBold"/>
          <w:sz w:val="36"/>
          <w:szCs w:val="36"/>
        </w:rPr>
        <w:t xml:space="preserve">ed to: </w:t>
      </w:r>
      <w:r w:rsidR="00BC55A9" w:rsidRPr="00BC55A9">
        <w:rPr>
          <w:rFonts w:ascii="Bahnschrift SemiBold" w:hAnsi="Bahnschrift SemiBold"/>
          <w:sz w:val="36"/>
          <w:szCs w:val="36"/>
        </w:rPr>
        <w:t>Muhammad Tariq</w:t>
      </w:r>
    </w:p>
    <w:p w14:paraId="73B360DB" w14:textId="2AFAA5D5" w:rsidR="00AD13C8" w:rsidRDefault="00A02310" w:rsidP="00A02310">
      <w:pPr>
        <w:tabs>
          <w:tab w:val="left" w:pos="1500"/>
          <w:tab w:val="center" w:pos="4513"/>
          <w:tab w:val="left" w:pos="6876"/>
        </w:tabs>
        <w:rPr>
          <w:rFonts w:ascii="Bahnschrift SemiBold" w:hAnsi="Bahnschrift SemiBold"/>
          <w:sz w:val="36"/>
          <w:szCs w:val="36"/>
        </w:rPr>
      </w:pPr>
      <w:r>
        <w:rPr>
          <w:rFonts w:ascii="Bahnschrift SemiBold" w:hAnsi="Bahnschrift SemiBold"/>
          <w:sz w:val="36"/>
          <w:szCs w:val="36"/>
        </w:rPr>
        <w:tab/>
      </w:r>
      <w:r>
        <w:rPr>
          <w:rFonts w:ascii="Bahnschrift SemiBold" w:hAnsi="Bahnschrift SemiBold"/>
          <w:sz w:val="36"/>
          <w:szCs w:val="36"/>
        </w:rPr>
        <w:tab/>
      </w:r>
      <w:r w:rsidR="00003685">
        <w:rPr>
          <w:rFonts w:ascii="Bahnschrift SemiBold" w:hAnsi="Bahnschrift SemiBold"/>
          <w:sz w:val="36"/>
          <w:szCs w:val="36"/>
        </w:rPr>
        <w:t>Subject:</w:t>
      </w:r>
      <w:r w:rsidR="00E37F30">
        <w:rPr>
          <w:rFonts w:ascii="Bahnschrift SemiBold" w:hAnsi="Bahnschrift SemiBold"/>
          <w:sz w:val="36"/>
          <w:szCs w:val="36"/>
        </w:rPr>
        <w:t xml:space="preserve"> </w:t>
      </w:r>
      <w:r w:rsidR="00453657">
        <w:rPr>
          <w:rFonts w:ascii="Bahnschrift SemiBold" w:hAnsi="Bahnschrift SemiBold"/>
          <w:sz w:val="36"/>
          <w:szCs w:val="36"/>
        </w:rPr>
        <w:t>Marketing Management</w:t>
      </w:r>
    </w:p>
    <w:p w14:paraId="56DBCD0A" w14:textId="77777777" w:rsidR="00003685" w:rsidRDefault="00003685" w:rsidP="00BC55A9">
      <w:pPr>
        <w:tabs>
          <w:tab w:val="left" w:pos="6876"/>
        </w:tabs>
        <w:jc w:val="center"/>
        <w:rPr>
          <w:rFonts w:ascii="Bahnschrift SemiBold" w:hAnsi="Bahnschrift SemiBold"/>
          <w:sz w:val="36"/>
          <w:szCs w:val="36"/>
        </w:rPr>
      </w:pPr>
    </w:p>
    <w:p w14:paraId="783A8A15" w14:textId="77777777" w:rsidR="003A3B90" w:rsidRDefault="003A3B90" w:rsidP="00BC55A9">
      <w:pPr>
        <w:tabs>
          <w:tab w:val="left" w:pos="6876"/>
        </w:tabs>
        <w:jc w:val="center"/>
        <w:rPr>
          <w:rFonts w:ascii="Bahnschrift SemiBold" w:hAnsi="Bahnschrift SemiBold"/>
          <w:sz w:val="36"/>
          <w:szCs w:val="36"/>
        </w:rPr>
      </w:pPr>
    </w:p>
    <w:p w14:paraId="66C885EC" w14:textId="710DC31C" w:rsidR="003A3B90" w:rsidRDefault="00927579" w:rsidP="00BC55A9">
      <w:pPr>
        <w:tabs>
          <w:tab w:val="left" w:pos="6876"/>
        </w:tabs>
        <w:jc w:val="center"/>
        <w:rPr>
          <w:rFonts w:ascii="Bahnschrift SemiBold" w:hAnsi="Bahnschrift SemiBold"/>
          <w:sz w:val="36"/>
          <w:szCs w:val="36"/>
        </w:rPr>
      </w:pPr>
      <w:r>
        <w:rPr>
          <w:rFonts w:ascii="Bahnschrift SemiBold" w:hAnsi="Bahnschrift SemiBold"/>
          <w:sz w:val="36"/>
          <w:szCs w:val="36"/>
        </w:rPr>
        <w:t xml:space="preserve"> </w:t>
      </w:r>
    </w:p>
    <w:p w14:paraId="64DF5866" w14:textId="77777777" w:rsidR="00927579" w:rsidRDefault="00927579" w:rsidP="00BC55A9">
      <w:pPr>
        <w:tabs>
          <w:tab w:val="left" w:pos="6876"/>
        </w:tabs>
        <w:jc w:val="center"/>
        <w:rPr>
          <w:rFonts w:ascii="Bahnschrift SemiBold" w:hAnsi="Bahnschrift SemiBold"/>
          <w:sz w:val="36"/>
          <w:szCs w:val="36"/>
        </w:rPr>
      </w:pPr>
    </w:p>
    <w:p w14:paraId="6503441B" w14:textId="77777777" w:rsidR="00927579" w:rsidRDefault="00927579" w:rsidP="00BC55A9">
      <w:pPr>
        <w:tabs>
          <w:tab w:val="left" w:pos="6876"/>
        </w:tabs>
        <w:jc w:val="center"/>
        <w:rPr>
          <w:rFonts w:ascii="Bahnschrift SemiBold" w:hAnsi="Bahnschrift SemiBold"/>
          <w:sz w:val="36"/>
          <w:szCs w:val="36"/>
        </w:rPr>
      </w:pPr>
    </w:p>
    <w:p w14:paraId="24968EBD" w14:textId="77777777" w:rsidR="00927579" w:rsidRDefault="00927579" w:rsidP="00BC55A9">
      <w:pPr>
        <w:tabs>
          <w:tab w:val="left" w:pos="6876"/>
        </w:tabs>
        <w:jc w:val="center"/>
        <w:rPr>
          <w:rFonts w:ascii="Bahnschrift SemiBold" w:hAnsi="Bahnschrift SemiBold"/>
          <w:sz w:val="36"/>
          <w:szCs w:val="36"/>
        </w:rPr>
      </w:pPr>
    </w:p>
    <w:p w14:paraId="21128BCB" w14:textId="5D0FD97B" w:rsidR="003A3B90" w:rsidRDefault="00227930" w:rsidP="00A02310">
      <w:pPr>
        <w:pBdr>
          <w:top w:val="single" w:sz="4" w:space="1" w:color="auto"/>
        </w:pBdr>
        <w:tabs>
          <w:tab w:val="left" w:pos="6876"/>
        </w:tabs>
        <w:jc w:val="center"/>
        <w:rPr>
          <w:rFonts w:ascii="Bahnschrift SemiBold" w:hAnsi="Bahnschrift SemiBold"/>
          <w:sz w:val="36"/>
          <w:szCs w:val="36"/>
        </w:rPr>
      </w:pPr>
      <w:r>
        <w:rPr>
          <w:rFonts w:ascii="Bahnschrift SemiBold" w:hAnsi="Bahnschrift SemiBold"/>
          <w:sz w:val="36"/>
          <w:szCs w:val="36"/>
        </w:rPr>
        <w:t>DEPARTMENT OF INTERNATIONAL BUSINESS</w:t>
      </w:r>
    </w:p>
    <w:p w14:paraId="4D59E52D" w14:textId="77777777" w:rsidR="00222A7E" w:rsidRDefault="00222A7E" w:rsidP="00927579">
      <w:pPr>
        <w:pStyle w:val="Title"/>
        <w:jc w:val="center"/>
        <w:sectPr w:rsidR="00222A7E" w:rsidSect="006849A1">
          <w:pgSz w:w="11906" w:h="16838" w:code="9"/>
          <w:pgMar w:top="1440" w:right="1440" w:bottom="1440" w:left="1440" w:header="708" w:footer="708" w:gutter="0"/>
          <w:cols w:space="708"/>
          <w:docGrid w:linePitch="360"/>
        </w:sectPr>
      </w:pPr>
    </w:p>
    <w:sdt>
      <w:sdtPr>
        <w:id w:val="876821400"/>
        <w:docPartObj>
          <w:docPartGallery w:val="Table of Contents"/>
          <w:docPartUnique/>
        </w:docPartObj>
      </w:sdtPr>
      <w:sdtEndPr>
        <w:rPr>
          <w:rFonts w:ascii="Aptos" w:eastAsia="Aptos" w:hAnsi="Aptos" w:cs="Times New Roman"/>
          <w:b/>
          <w:bCs/>
          <w:noProof/>
          <w:color w:val="auto"/>
          <w:sz w:val="24"/>
          <w:szCs w:val="24"/>
          <w:lang w:val="en"/>
        </w:rPr>
      </w:sdtEndPr>
      <w:sdtContent>
        <w:p w14:paraId="363A5E29" w14:textId="059AAE6A" w:rsidR="00E37F30" w:rsidRDefault="00E37F30">
          <w:pPr>
            <w:pStyle w:val="TOCHeading"/>
          </w:pPr>
          <w:r>
            <w:t>Table of Contents</w:t>
          </w:r>
        </w:p>
        <w:p w14:paraId="0813C20F" w14:textId="698475CA" w:rsidR="00E37F30" w:rsidRDefault="00E37F30">
          <w:pPr>
            <w:pStyle w:val="TOC1"/>
            <w:tabs>
              <w:tab w:val="left" w:pos="480"/>
              <w:tab w:val="right" w:leader="dot" w:pos="9016"/>
            </w:tabs>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225487544" w:history="1">
            <w:r w:rsidRPr="00F17841">
              <w:rPr>
                <w:rStyle w:val="Hyperlink"/>
                <w:noProof/>
              </w:rPr>
              <w:t>1.</w:t>
            </w:r>
            <w:r>
              <w:rPr>
                <w:rFonts w:asciiTheme="minorHAnsi" w:eastAsiaTheme="minorEastAsia" w:hAnsiTheme="minorHAnsi" w:cstheme="minorBidi"/>
                <w:noProof/>
                <w:kern w:val="2"/>
                <w:lang w:val="en-IN" w:eastAsia="en-IN"/>
                <w14:ligatures w14:val="standardContextual"/>
              </w:rPr>
              <w:tab/>
            </w:r>
            <w:r w:rsidRPr="00F17841">
              <w:rPr>
                <w:rStyle w:val="Hyperlink"/>
                <w:noProof/>
              </w:rPr>
              <w:t>Introduction</w:t>
            </w:r>
            <w:r>
              <w:rPr>
                <w:noProof/>
                <w:webHidden/>
              </w:rPr>
              <w:tab/>
            </w:r>
            <w:r>
              <w:rPr>
                <w:noProof/>
                <w:webHidden/>
              </w:rPr>
              <w:fldChar w:fldCharType="begin"/>
            </w:r>
            <w:r>
              <w:rPr>
                <w:noProof/>
                <w:webHidden/>
              </w:rPr>
              <w:instrText xml:space="preserve"> PAGEREF _Toc225487544 \h </w:instrText>
            </w:r>
            <w:r>
              <w:rPr>
                <w:noProof/>
                <w:webHidden/>
              </w:rPr>
            </w:r>
            <w:r>
              <w:rPr>
                <w:noProof/>
                <w:webHidden/>
              </w:rPr>
              <w:fldChar w:fldCharType="separate"/>
            </w:r>
            <w:r>
              <w:rPr>
                <w:noProof/>
                <w:webHidden/>
              </w:rPr>
              <w:t>3</w:t>
            </w:r>
            <w:r>
              <w:rPr>
                <w:noProof/>
                <w:webHidden/>
              </w:rPr>
              <w:fldChar w:fldCharType="end"/>
            </w:r>
          </w:hyperlink>
        </w:p>
        <w:p w14:paraId="7908789C" w14:textId="54017F98" w:rsidR="00E37F30" w:rsidRDefault="00E37F30">
          <w:pPr>
            <w:pStyle w:val="TOC2"/>
            <w:tabs>
              <w:tab w:val="left" w:pos="720"/>
              <w:tab w:val="right" w:leader="dot" w:pos="9016"/>
            </w:tabs>
            <w:rPr>
              <w:rFonts w:asciiTheme="minorHAnsi" w:eastAsiaTheme="minorEastAsia" w:hAnsiTheme="minorHAnsi" w:cstheme="minorBidi"/>
              <w:noProof/>
              <w:kern w:val="2"/>
              <w:lang w:val="en-IN" w:eastAsia="en-IN"/>
              <w14:ligatures w14:val="standardContextual"/>
            </w:rPr>
          </w:pPr>
          <w:hyperlink w:anchor="_Toc225487545" w:history="1">
            <w:r w:rsidRPr="00F17841">
              <w:rPr>
                <w:rStyle w:val="Hyperlink"/>
                <w:noProof/>
              </w:rPr>
              <w:t>2.</w:t>
            </w:r>
            <w:r>
              <w:rPr>
                <w:rFonts w:asciiTheme="minorHAnsi" w:eastAsiaTheme="minorEastAsia" w:hAnsiTheme="minorHAnsi" w:cstheme="minorBidi"/>
                <w:noProof/>
                <w:kern w:val="2"/>
                <w:lang w:val="en-IN" w:eastAsia="en-IN"/>
                <w14:ligatures w14:val="standardContextual"/>
              </w:rPr>
              <w:tab/>
            </w:r>
            <w:r w:rsidRPr="00F17841">
              <w:rPr>
                <w:rStyle w:val="Hyperlink"/>
                <w:noProof/>
              </w:rPr>
              <w:t>Industry and Company Overview</w:t>
            </w:r>
            <w:r>
              <w:rPr>
                <w:noProof/>
                <w:webHidden/>
              </w:rPr>
              <w:tab/>
            </w:r>
            <w:r>
              <w:rPr>
                <w:noProof/>
                <w:webHidden/>
              </w:rPr>
              <w:fldChar w:fldCharType="begin"/>
            </w:r>
            <w:r>
              <w:rPr>
                <w:noProof/>
                <w:webHidden/>
              </w:rPr>
              <w:instrText xml:space="preserve"> PAGEREF _Toc225487545 \h </w:instrText>
            </w:r>
            <w:r>
              <w:rPr>
                <w:noProof/>
                <w:webHidden/>
              </w:rPr>
            </w:r>
            <w:r>
              <w:rPr>
                <w:noProof/>
                <w:webHidden/>
              </w:rPr>
              <w:fldChar w:fldCharType="separate"/>
            </w:r>
            <w:r>
              <w:rPr>
                <w:noProof/>
                <w:webHidden/>
              </w:rPr>
              <w:t>4</w:t>
            </w:r>
            <w:r>
              <w:rPr>
                <w:noProof/>
                <w:webHidden/>
              </w:rPr>
              <w:fldChar w:fldCharType="end"/>
            </w:r>
          </w:hyperlink>
        </w:p>
        <w:p w14:paraId="5507FD98" w14:textId="14B62404" w:rsidR="00E37F30" w:rsidRDefault="00E37F30">
          <w:pPr>
            <w:pStyle w:val="TOC2"/>
            <w:tabs>
              <w:tab w:val="left" w:pos="720"/>
              <w:tab w:val="right" w:leader="dot" w:pos="9016"/>
            </w:tabs>
            <w:rPr>
              <w:rFonts w:asciiTheme="minorHAnsi" w:eastAsiaTheme="minorEastAsia" w:hAnsiTheme="minorHAnsi" w:cstheme="minorBidi"/>
              <w:noProof/>
              <w:kern w:val="2"/>
              <w:lang w:val="en-IN" w:eastAsia="en-IN"/>
              <w14:ligatures w14:val="standardContextual"/>
            </w:rPr>
          </w:pPr>
          <w:hyperlink w:anchor="_Toc225487546" w:history="1">
            <w:r w:rsidRPr="00F17841">
              <w:rPr>
                <w:rStyle w:val="Hyperlink"/>
                <w:noProof/>
              </w:rPr>
              <w:t>3.</w:t>
            </w:r>
            <w:r>
              <w:rPr>
                <w:rFonts w:asciiTheme="minorHAnsi" w:eastAsiaTheme="minorEastAsia" w:hAnsiTheme="minorHAnsi" w:cstheme="minorBidi"/>
                <w:noProof/>
                <w:kern w:val="2"/>
                <w:lang w:val="en-IN" w:eastAsia="en-IN"/>
                <w14:ligatures w14:val="standardContextual"/>
              </w:rPr>
              <w:tab/>
            </w:r>
            <w:r w:rsidRPr="00F17841">
              <w:rPr>
                <w:rStyle w:val="Hyperlink"/>
                <w:noProof/>
              </w:rPr>
              <w:t>Market Trends</w:t>
            </w:r>
            <w:r>
              <w:rPr>
                <w:noProof/>
                <w:webHidden/>
              </w:rPr>
              <w:tab/>
            </w:r>
            <w:r>
              <w:rPr>
                <w:noProof/>
                <w:webHidden/>
              </w:rPr>
              <w:fldChar w:fldCharType="begin"/>
            </w:r>
            <w:r>
              <w:rPr>
                <w:noProof/>
                <w:webHidden/>
              </w:rPr>
              <w:instrText xml:space="preserve"> PAGEREF _Toc225487546 \h </w:instrText>
            </w:r>
            <w:r>
              <w:rPr>
                <w:noProof/>
                <w:webHidden/>
              </w:rPr>
            </w:r>
            <w:r>
              <w:rPr>
                <w:noProof/>
                <w:webHidden/>
              </w:rPr>
              <w:fldChar w:fldCharType="separate"/>
            </w:r>
            <w:r>
              <w:rPr>
                <w:noProof/>
                <w:webHidden/>
              </w:rPr>
              <w:t>5</w:t>
            </w:r>
            <w:r>
              <w:rPr>
                <w:noProof/>
                <w:webHidden/>
              </w:rPr>
              <w:fldChar w:fldCharType="end"/>
            </w:r>
          </w:hyperlink>
        </w:p>
        <w:p w14:paraId="2E98930D" w14:textId="02B1FBCE" w:rsidR="00E37F30" w:rsidRDefault="00E37F30">
          <w:pPr>
            <w:pStyle w:val="TOC2"/>
            <w:tabs>
              <w:tab w:val="left" w:pos="720"/>
              <w:tab w:val="right" w:leader="dot" w:pos="9016"/>
            </w:tabs>
            <w:rPr>
              <w:rFonts w:asciiTheme="minorHAnsi" w:eastAsiaTheme="minorEastAsia" w:hAnsiTheme="minorHAnsi" w:cstheme="minorBidi"/>
              <w:noProof/>
              <w:kern w:val="2"/>
              <w:lang w:val="en-IN" w:eastAsia="en-IN"/>
              <w14:ligatures w14:val="standardContextual"/>
            </w:rPr>
          </w:pPr>
          <w:hyperlink w:anchor="_Toc225487547" w:history="1">
            <w:r w:rsidRPr="00F17841">
              <w:rPr>
                <w:rStyle w:val="Hyperlink"/>
                <w:noProof/>
              </w:rPr>
              <w:t>4.</w:t>
            </w:r>
            <w:r>
              <w:rPr>
                <w:rFonts w:asciiTheme="minorHAnsi" w:eastAsiaTheme="minorEastAsia" w:hAnsiTheme="minorHAnsi" w:cstheme="minorBidi"/>
                <w:noProof/>
                <w:kern w:val="2"/>
                <w:lang w:val="en-IN" w:eastAsia="en-IN"/>
                <w14:ligatures w14:val="standardContextual"/>
              </w:rPr>
              <w:tab/>
            </w:r>
            <w:r w:rsidRPr="00F17841">
              <w:rPr>
                <w:rStyle w:val="Hyperlink"/>
                <w:noProof/>
              </w:rPr>
              <w:t>Porter’s Generic Strategies</w:t>
            </w:r>
            <w:r>
              <w:rPr>
                <w:noProof/>
                <w:webHidden/>
              </w:rPr>
              <w:tab/>
            </w:r>
            <w:r>
              <w:rPr>
                <w:noProof/>
                <w:webHidden/>
              </w:rPr>
              <w:fldChar w:fldCharType="begin"/>
            </w:r>
            <w:r>
              <w:rPr>
                <w:noProof/>
                <w:webHidden/>
              </w:rPr>
              <w:instrText xml:space="preserve"> PAGEREF _Toc225487547 \h </w:instrText>
            </w:r>
            <w:r>
              <w:rPr>
                <w:noProof/>
                <w:webHidden/>
              </w:rPr>
            </w:r>
            <w:r>
              <w:rPr>
                <w:noProof/>
                <w:webHidden/>
              </w:rPr>
              <w:fldChar w:fldCharType="separate"/>
            </w:r>
            <w:r>
              <w:rPr>
                <w:noProof/>
                <w:webHidden/>
              </w:rPr>
              <w:t>6</w:t>
            </w:r>
            <w:r>
              <w:rPr>
                <w:noProof/>
                <w:webHidden/>
              </w:rPr>
              <w:fldChar w:fldCharType="end"/>
            </w:r>
          </w:hyperlink>
        </w:p>
        <w:p w14:paraId="2E4E239A" w14:textId="3B6962F1" w:rsidR="00E37F30" w:rsidRDefault="00E37F30">
          <w:pPr>
            <w:pStyle w:val="TOC2"/>
            <w:tabs>
              <w:tab w:val="left" w:pos="960"/>
              <w:tab w:val="right" w:leader="dot" w:pos="9016"/>
            </w:tabs>
            <w:rPr>
              <w:rFonts w:asciiTheme="minorHAnsi" w:eastAsiaTheme="minorEastAsia" w:hAnsiTheme="minorHAnsi" w:cstheme="minorBidi"/>
              <w:noProof/>
              <w:kern w:val="2"/>
              <w:lang w:val="en-IN" w:eastAsia="en-IN"/>
              <w14:ligatures w14:val="standardContextual"/>
            </w:rPr>
          </w:pPr>
          <w:hyperlink w:anchor="_Toc225487548" w:history="1">
            <w:r w:rsidRPr="00F17841">
              <w:rPr>
                <w:rStyle w:val="Hyperlink"/>
                <w:noProof/>
              </w:rPr>
              <w:t>4.1</w:t>
            </w:r>
            <w:r>
              <w:rPr>
                <w:rFonts w:asciiTheme="minorHAnsi" w:eastAsiaTheme="minorEastAsia" w:hAnsiTheme="minorHAnsi" w:cstheme="minorBidi"/>
                <w:noProof/>
                <w:kern w:val="2"/>
                <w:lang w:val="en-IN" w:eastAsia="en-IN"/>
                <w14:ligatures w14:val="standardContextual"/>
              </w:rPr>
              <w:tab/>
            </w:r>
            <w:r w:rsidRPr="00F17841">
              <w:rPr>
                <w:rStyle w:val="Hyperlink"/>
                <w:noProof/>
              </w:rPr>
              <w:t>Ansoff Growth Strategies</w:t>
            </w:r>
            <w:r>
              <w:rPr>
                <w:noProof/>
                <w:webHidden/>
              </w:rPr>
              <w:tab/>
            </w:r>
            <w:r>
              <w:rPr>
                <w:noProof/>
                <w:webHidden/>
              </w:rPr>
              <w:fldChar w:fldCharType="begin"/>
            </w:r>
            <w:r>
              <w:rPr>
                <w:noProof/>
                <w:webHidden/>
              </w:rPr>
              <w:instrText xml:space="preserve"> PAGEREF _Toc225487548 \h </w:instrText>
            </w:r>
            <w:r>
              <w:rPr>
                <w:noProof/>
                <w:webHidden/>
              </w:rPr>
            </w:r>
            <w:r>
              <w:rPr>
                <w:noProof/>
                <w:webHidden/>
              </w:rPr>
              <w:fldChar w:fldCharType="separate"/>
            </w:r>
            <w:r>
              <w:rPr>
                <w:noProof/>
                <w:webHidden/>
              </w:rPr>
              <w:t>6</w:t>
            </w:r>
            <w:r>
              <w:rPr>
                <w:noProof/>
                <w:webHidden/>
              </w:rPr>
              <w:fldChar w:fldCharType="end"/>
            </w:r>
          </w:hyperlink>
        </w:p>
        <w:p w14:paraId="06B8A889" w14:textId="53480EC7" w:rsidR="00E37F30" w:rsidRDefault="00E37F30">
          <w:pPr>
            <w:pStyle w:val="TOC3"/>
            <w:tabs>
              <w:tab w:val="right" w:leader="dot" w:pos="9016"/>
            </w:tabs>
            <w:rPr>
              <w:rFonts w:asciiTheme="minorHAnsi" w:eastAsiaTheme="minorEastAsia" w:hAnsiTheme="minorHAnsi" w:cstheme="minorBidi"/>
              <w:noProof/>
              <w:kern w:val="2"/>
              <w:lang w:val="en-IN" w:eastAsia="en-IN"/>
              <w14:ligatures w14:val="standardContextual"/>
            </w:rPr>
          </w:pPr>
          <w:hyperlink w:anchor="_Toc225487549" w:history="1">
            <w:r w:rsidRPr="00F17841">
              <w:rPr>
                <w:rStyle w:val="Hyperlink"/>
                <w:rFonts w:ascii="Times New Roman" w:hAnsi="Times New Roman"/>
                <w:noProof/>
              </w:rPr>
              <w:t>Tesla</w:t>
            </w:r>
            <w:r>
              <w:rPr>
                <w:noProof/>
                <w:webHidden/>
              </w:rPr>
              <w:tab/>
            </w:r>
            <w:r>
              <w:rPr>
                <w:noProof/>
                <w:webHidden/>
              </w:rPr>
              <w:fldChar w:fldCharType="begin"/>
            </w:r>
            <w:r>
              <w:rPr>
                <w:noProof/>
                <w:webHidden/>
              </w:rPr>
              <w:instrText xml:space="preserve"> PAGEREF _Toc225487549 \h </w:instrText>
            </w:r>
            <w:r>
              <w:rPr>
                <w:noProof/>
                <w:webHidden/>
              </w:rPr>
            </w:r>
            <w:r>
              <w:rPr>
                <w:noProof/>
                <w:webHidden/>
              </w:rPr>
              <w:fldChar w:fldCharType="separate"/>
            </w:r>
            <w:r>
              <w:rPr>
                <w:noProof/>
                <w:webHidden/>
              </w:rPr>
              <w:t>6</w:t>
            </w:r>
            <w:r>
              <w:rPr>
                <w:noProof/>
                <w:webHidden/>
              </w:rPr>
              <w:fldChar w:fldCharType="end"/>
            </w:r>
          </w:hyperlink>
        </w:p>
        <w:p w14:paraId="75263E39" w14:textId="578D5DD1" w:rsidR="00E37F30" w:rsidRDefault="00E37F30">
          <w:pPr>
            <w:pStyle w:val="TOC3"/>
            <w:tabs>
              <w:tab w:val="right" w:leader="dot" w:pos="9016"/>
            </w:tabs>
            <w:rPr>
              <w:rFonts w:asciiTheme="minorHAnsi" w:eastAsiaTheme="minorEastAsia" w:hAnsiTheme="minorHAnsi" w:cstheme="minorBidi"/>
              <w:noProof/>
              <w:kern w:val="2"/>
              <w:lang w:val="en-IN" w:eastAsia="en-IN"/>
              <w14:ligatures w14:val="standardContextual"/>
            </w:rPr>
          </w:pPr>
          <w:hyperlink w:anchor="_Toc225487550" w:history="1">
            <w:r w:rsidRPr="00F17841">
              <w:rPr>
                <w:rStyle w:val="Hyperlink"/>
                <w:rFonts w:ascii="Times New Roman" w:hAnsi="Times New Roman"/>
                <w:noProof/>
              </w:rPr>
              <w:t>Strategy of Toyota</w:t>
            </w:r>
            <w:r>
              <w:rPr>
                <w:noProof/>
                <w:webHidden/>
              </w:rPr>
              <w:tab/>
            </w:r>
            <w:r>
              <w:rPr>
                <w:noProof/>
                <w:webHidden/>
              </w:rPr>
              <w:fldChar w:fldCharType="begin"/>
            </w:r>
            <w:r>
              <w:rPr>
                <w:noProof/>
                <w:webHidden/>
              </w:rPr>
              <w:instrText xml:space="preserve"> PAGEREF _Toc225487550 \h </w:instrText>
            </w:r>
            <w:r>
              <w:rPr>
                <w:noProof/>
                <w:webHidden/>
              </w:rPr>
            </w:r>
            <w:r>
              <w:rPr>
                <w:noProof/>
                <w:webHidden/>
              </w:rPr>
              <w:fldChar w:fldCharType="separate"/>
            </w:r>
            <w:r>
              <w:rPr>
                <w:noProof/>
                <w:webHidden/>
              </w:rPr>
              <w:t>6</w:t>
            </w:r>
            <w:r>
              <w:rPr>
                <w:noProof/>
                <w:webHidden/>
              </w:rPr>
              <w:fldChar w:fldCharType="end"/>
            </w:r>
          </w:hyperlink>
        </w:p>
        <w:p w14:paraId="572E0239" w14:textId="0647A000" w:rsidR="00E37F30" w:rsidRDefault="00E37F30">
          <w:pPr>
            <w:pStyle w:val="TOC2"/>
            <w:tabs>
              <w:tab w:val="left" w:pos="960"/>
              <w:tab w:val="right" w:leader="dot" w:pos="9016"/>
            </w:tabs>
            <w:rPr>
              <w:rFonts w:asciiTheme="minorHAnsi" w:eastAsiaTheme="minorEastAsia" w:hAnsiTheme="minorHAnsi" w:cstheme="minorBidi"/>
              <w:noProof/>
              <w:kern w:val="2"/>
              <w:lang w:val="en-IN" w:eastAsia="en-IN"/>
              <w14:ligatures w14:val="standardContextual"/>
            </w:rPr>
          </w:pPr>
          <w:hyperlink w:anchor="_Toc225487551" w:history="1">
            <w:r w:rsidRPr="00F17841">
              <w:rPr>
                <w:rStyle w:val="Hyperlink"/>
                <w:noProof/>
              </w:rPr>
              <w:t>4.2</w:t>
            </w:r>
            <w:r>
              <w:rPr>
                <w:rFonts w:asciiTheme="minorHAnsi" w:eastAsiaTheme="minorEastAsia" w:hAnsiTheme="minorHAnsi" w:cstheme="minorBidi"/>
                <w:noProof/>
                <w:kern w:val="2"/>
                <w:lang w:val="en-IN" w:eastAsia="en-IN"/>
                <w14:ligatures w14:val="standardContextual"/>
              </w:rPr>
              <w:tab/>
            </w:r>
            <w:r w:rsidRPr="00F17841">
              <w:rPr>
                <w:rStyle w:val="Hyperlink"/>
                <w:noProof/>
              </w:rPr>
              <w:t>PESTLE Analysis (2024–2026)</w:t>
            </w:r>
            <w:r>
              <w:rPr>
                <w:noProof/>
                <w:webHidden/>
              </w:rPr>
              <w:tab/>
            </w:r>
            <w:r>
              <w:rPr>
                <w:noProof/>
                <w:webHidden/>
              </w:rPr>
              <w:fldChar w:fldCharType="begin"/>
            </w:r>
            <w:r>
              <w:rPr>
                <w:noProof/>
                <w:webHidden/>
              </w:rPr>
              <w:instrText xml:space="preserve"> PAGEREF _Toc225487551 \h </w:instrText>
            </w:r>
            <w:r>
              <w:rPr>
                <w:noProof/>
                <w:webHidden/>
              </w:rPr>
            </w:r>
            <w:r>
              <w:rPr>
                <w:noProof/>
                <w:webHidden/>
              </w:rPr>
              <w:fldChar w:fldCharType="separate"/>
            </w:r>
            <w:r>
              <w:rPr>
                <w:noProof/>
                <w:webHidden/>
              </w:rPr>
              <w:t>8</w:t>
            </w:r>
            <w:r>
              <w:rPr>
                <w:noProof/>
                <w:webHidden/>
              </w:rPr>
              <w:fldChar w:fldCharType="end"/>
            </w:r>
          </w:hyperlink>
        </w:p>
        <w:p w14:paraId="1B1825BE" w14:textId="01F831FF" w:rsidR="00E37F30" w:rsidRDefault="00E37F3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25487552" w:history="1">
            <w:r w:rsidRPr="00F17841">
              <w:rPr>
                <w:rStyle w:val="Hyperlink"/>
                <w:noProof/>
              </w:rPr>
              <w:t>Toyota</w:t>
            </w:r>
            <w:r>
              <w:rPr>
                <w:noProof/>
                <w:webHidden/>
              </w:rPr>
              <w:tab/>
            </w:r>
            <w:r>
              <w:rPr>
                <w:noProof/>
                <w:webHidden/>
              </w:rPr>
              <w:fldChar w:fldCharType="begin"/>
            </w:r>
            <w:r>
              <w:rPr>
                <w:noProof/>
                <w:webHidden/>
              </w:rPr>
              <w:instrText xml:space="preserve"> PAGEREF _Toc225487552 \h </w:instrText>
            </w:r>
            <w:r>
              <w:rPr>
                <w:noProof/>
                <w:webHidden/>
              </w:rPr>
            </w:r>
            <w:r>
              <w:rPr>
                <w:noProof/>
                <w:webHidden/>
              </w:rPr>
              <w:fldChar w:fldCharType="separate"/>
            </w:r>
            <w:r>
              <w:rPr>
                <w:noProof/>
                <w:webHidden/>
              </w:rPr>
              <w:t>10</w:t>
            </w:r>
            <w:r>
              <w:rPr>
                <w:noProof/>
                <w:webHidden/>
              </w:rPr>
              <w:fldChar w:fldCharType="end"/>
            </w:r>
          </w:hyperlink>
        </w:p>
        <w:p w14:paraId="086CA61F" w14:textId="5FA00481" w:rsidR="00E37F30" w:rsidRDefault="00E37F30">
          <w:pPr>
            <w:pStyle w:val="TOC2"/>
            <w:tabs>
              <w:tab w:val="left" w:pos="720"/>
              <w:tab w:val="right" w:leader="dot" w:pos="9016"/>
            </w:tabs>
            <w:rPr>
              <w:rFonts w:asciiTheme="minorHAnsi" w:eastAsiaTheme="minorEastAsia" w:hAnsiTheme="minorHAnsi" w:cstheme="minorBidi"/>
              <w:noProof/>
              <w:kern w:val="2"/>
              <w:lang w:val="en-IN" w:eastAsia="en-IN"/>
              <w14:ligatures w14:val="standardContextual"/>
            </w:rPr>
          </w:pPr>
          <w:hyperlink w:anchor="_Toc225487553" w:history="1">
            <w:r w:rsidRPr="00F17841">
              <w:rPr>
                <w:rStyle w:val="Hyperlink"/>
                <w:noProof/>
              </w:rPr>
              <w:t>5.</w:t>
            </w:r>
            <w:r>
              <w:rPr>
                <w:rFonts w:asciiTheme="minorHAnsi" w:eastAsiaTheme="minorEastAsia" w:hAnsiTheme="minorHAnsi" w:cstheme="minorBidi"/>
                <w:noProof/>
                <w:kern w:val="2"/>
                <w:lang w:val="en-IN" w:eastAsia="en-IN"/>
                <w14:ligatures w14:val="standardContextual"/>
              </w:rPr>
              <w:tab/>
            </w:r>
            <w:r w:rsidRPr="00F17841">
              <w:rPr>
                <w:rStyle w:val="Hyperlink"/>
                <w:noProof/>
              </w:rPr>
              <w:t>Critical Evaluation</w:t>
            </w:r>
            <w:r>
              <w:rPr>
                <w:noProof/>
                <w:webHidden/>
              </w:rPr>
              <w:tab/>
            </w:r>
            <w:r>
              <w:rPr>
                <w:noProof/>
                <w:webHidden/>
              </w:rPr>
              <w:fldChar w:fldCharType="begin"/>
            </w:r>
            <w:r>
              <w:rPr>
                <w:noProof/>
                <w:webHidden/>
              </w:rPr>
              <w:instrText xml:space="preserve"> PAGEREF _Toc225487553 \h </w:instrText>
            </w:r>
            <w:r>
              <w:rPr>
                <w:noProof/>
                <w:webHidden/>
              </w:rPr>
            </w:r>
            <w:r>
              <w:rPr>
                <w:noProof/>
                <w:webHidden/>
              </w:rPr>
              <w:fldChar w:fldCharType="separate"/>
            </w:r>
            <w:r>
              <w:rPr>
                <w:noProof/>
                <w:webHidden/>
              </w:rPr>
              <w:t>11</w:t>
            </w:r>
            <w:r>
              <w:rPr>
                <w:noProof/>
                <w:webHidden/>
              </w:rPr>
              <w:fldChar w:fldCharType="end"/>
            </w:r>
          </w:hyperlink>
        </w:p>
        <w:p w14:paraId="4B2D9A4D" w14:textId="739F1E64" w:rsidR="00E37F30" w:rsidRDefault="00E37F3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25487554" w:history="1">
            <w:r w:rsidRPr="00F17841">
              <w:rPr>
                <w:rStyle w:val="Hyperlink"/>
                <w:noProof/>
              </w:rPr>
              <w:t>5.1 Recommendations</w:t>
            </w:r>
            <w:r>
              <w:rPr>
                <w:noProof/>
                <w:webHidden/>
              </w:rPr>
              <w:tab/>
            </w:r>
            <w:r>
              <w:rPr>
                <w:noProof/>
                <w:webHidden/>
              </w:rPr>
              <w:fldChar w:fldCharType="begin"/>
            </w:r>
            <w:r>
              <w:rPr>
                <w:noProof/>
                <w:webHidden/>
              </w:rPr>
              <w:instrText xml:space="preserve"> PAGEREF _Toc225487554 \h </w:instrText>
            </w:r>
            <w:r>
              <w:rPr>
                <w:noProof/>
                <w:webHidden/>
              </w:rPr>
            </w:r>
            <w:r>
              <w:rPr>
                <w:noProof/>
                <w:webHidden/>
              </w:rPr>
              <w:fldChar w:fldCharType="separate"/>
            </w:r>
            <w:r>
              <w:rPr>
                <w:noProof/>
                <w:webHidden/>
              </w:rPr>
              <w:t>12</w:t>
            </w:r>
            <w:r>
              <w:rPr>
                <w:noProof/>
                <w:webHidden/>
              </w:rPr>
              <w:fldChar w:fldCharType="end"/>
            </w:r>
          </w:hyperlink>
        </w:p>
        <w:p w14:paraId="2F8547CD" w14:textId="3E07B5BE" w:rsidR="00E37F30" w:rsidRDefault="00E37F3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25487555" w:history="1">
            <w:r w:rsidRPr="00F17841">
              <w:rPr>
                <w:rStyle w:val="Hyperlink"/>
                <w:rFonts w:ascii="Aptos Display" w:eastAsia="Times New Roman" w:hAnsi="Aptos Display"/>
                <w:noProof/>
              </w:rPr>
              <w:t>Strategy Comparison</w:t>
            </w:r>
            <w:r>
              <w:rPr>
                <w:noProof/>
                <w:webHidden/>
              </w:rPr>
              <w:tab/>
            </w:r>
            <w:r>
              <w:rPr>
                <w:noProof/>
                <w:webHidden/>
              </w:rPr>
              <w:fldChar w:fldCharType="begin"/>
            </w:r>
            <w:r>
              <w:rPr>
                <w:noProof/>
                <w:webHidden/>
              </w:rPr>
              <w:instrText xml:space="preserve"> PAGEREF _Toc225487555 \h </w:instrText>
            </w:r>
            <w:r>
              <w:rPr>
                <w:noProof/>
                <w:webHidden/>
              </w:rPr>
            </w:r>
            <w:r>
              <w:rPr>
                <w:noProof/>
                <w:webHidden/>
              </w:rPr>
              <w:fldChar w:fldCharType="separate"/>
            </w:r>
            <w:r>
              <w:rPr>
                <w:noProof/>
                <w:webHidden/>
              </w:rPr>
              <w:t>13</w:t>
            </w:r>
            <w:r>
              <w:rPr>
                <w:noProof/>
                <w:webHidden/>
              </w:rPr>
              <w:fldChar w:fldCharType="end"/>
            </w:r>
          </w:hyperlink>
        </w:p>
        <w:p w14:paraId="2720566C" w14:textId="0C1BEAAD" w:rsidR="00E37F30" w:rsidRDefault="00E37F30">
          <w:pPr>
            <w:pStyle w:val="TOC2"/>
            <w:tabs>
              <w:tab w:val="left" w:pos="720"/>
              <w:tab w:val="right" w:leader="dot" w:pos="9016"/>
            </w:tabs>
            <w:rPr>
              <w:rFonts w:asciiTheme="minorHAnsi" w:eastAsiaTheme="minorEastAsia" w:hAnsiTheme="minorHAnsi" w:cstheme="minorBidi"/>
              <w:noProof/>
              <w:kern w:val="2"/>
              <w:lang w:val="en-IN" w:eastAsia="en-IN"/>
              <w14:ligatures w14:val="standardContextual"/>
            </w:rPr>
          </w:pPr>
          <w:hyperlink w:anchor="_Toc225487556" w:history="1">
            <w:r w:rsidRPr="00F17841">
              <w:rPr>
                <w:rStyle w:val="Hyperlink"/>
                <w:noProof/>
              </w:rPr>
              <w:t>6.</w:t>
            </w:r>
            <w:r>
              <w:rPr>
                <w:rFonts w:asciiTheme="minorHAnsi" w:eastAsiaTheme="minorEastAsia" w:hAnsiTheme="minorHAnsi" w:cstheme="minorBidi"/>
                <w:noProof/>
                <w:kern w:val="2"/>
                <w:lang w:val="en-IN" w:eastAsia="en-IN"/>
                <w14:ligatures w14:val="standardContextual"/>
              </w:rPr>
              <w:tab/>
            </w:r>
            <w:r w:rsidRPr="00F17841">
              <w:rPr>
                <w:rStyle w:val="Hyperlink"/>
                <w:noProof/>
              </w:rPr>
              <w:t>Figures and Chart Instructions</w:t>
            </w:r>
            <w:r>
              <w:rPr>
                <w:noProof/>
                <w:webHidden/>
              </w:rPr>
              <w:tab/>
            </w:r>
            <w:r>
              <w:rPr>
                <w:noProof/>
                <w:webHidden/>
              </w:rPr>
              <w:fldChar w:fldCharType="begin"/>
            </w:r>
            <w:r>
              <w:rPr>
                <w:noProof/>
                <w:webHidden/>
              </w:rPr>
              <w:instrText xml:space="preserve"> PAGEREF _Toc225487556 \h </w:instrText>
            </w:r>
            <w:r>
              <w:rPr>
                <w:noProof/>
                <w:webHidden/>
              </w:rPr>
            </w:r>
            <w:r>
              <w:rPr>
                <w:noProof/>
                <w:webHidden/>
              </w:rPr>
              <w:fldChar w:fldCharType="separate"/>
            </w:r>
            <w:r>
              <w:rPr>
                <w:noProof/>
                <w:webHidden/>
              </w:rPr>
              <w:t>13</w:t>
            </w:r>
            <w:r>
              <w:rPr>
                <w:noProof/>
                <w:webHidden/>
              </w:rPr>
              <w:fldChar w:fldCharType="end"/>
            </w:r>
          </w:hyperlink>
        </w:p>
        <w:p w14:paraId="1EA023A2" w14:textId="664F0A2D" w:rsidR="00E37F30" w:rsidRDefault="00E37F3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25487557" w:history="1">
            <w:r w:rsidRPr="00F17841">
              <w:rPr>
                <w:rStyle w:val="Hyperlink"/>
                <w:noProof/>
              </w:rPr>
              <w:t>6.1 EV vs ICE Sales (Scatter): We compare Tesla’s and Toyota’s sales profiles.</w:t>
            </w:r>
            <w:r>
              <w:rPr>
                <w:noProof/>
                <w:webHidden/>
              </w:rPr>
              <w:tab/>
            </w:r>
            <w:r>
              <w:rPr>
                <w:noProof/>
                <w:webHidden/>
              </w:rPr>
              <w:fldChar w:fldCharType="begin"/>
            </w:r>
            <w:r>
              <w:rPr>
                <w:noProof/>
                <w:webHidden/>
              </w:rPr>
              <w:instrText xml:space="preserve"> PAGEREF _Toc225487557 \h </w:instrText>
            </w:r>
            <w:r>
              <w:rPr>
                <w:noProof/>
                <w:webHidden/>
              </w:rPr>
            </w:r>
            <w:r>
              <w:rPr>
                <w:noProof/>
                <w:webHidden/>
              </w:rPr>
              <w:fldChar w:fldCharType="separate"/>
            </w:r>
            <w:r>
              <w:rPr>
                <w:noProof/>
                <w:webHidden/>
              </w:rPr>
              <w:t>14</w:t>
            </w:r>
            <w:r>
              <w:rPr>
                <w:noProof/>
                <w:webHidden/>
              </w:rPr>
              <w:fldChar w:fldCharType="end"/>
            </w:r>
          </w:hyperlink>
        </w:p>
        <w:p w14:paraId="0083D2C0" w14:textId="3DA7C9E0" w:rsidR="00E37F30" w:rsidRDefault="00E37F3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25487558" w:history="1">
            <w:r w:rsidRPr="00F17841">
              <w:rPr>
                <w:rStyle w:val="Hyperlink"/>
                <w:noProof/>
              </w:rPr>
              <w:t xml:space="preserve">6.2 Timeline of Key Moves (mermaid):  </w:t>
            </w:r>
            <w:r>
              <w:rPr>
                <w:noProof/>
                <w:webHidden/>
              </w:rPr>
              <w:tab/>
            </w:r>
            <w:r>
              <w:rPr>
                <w:noProof/>
                <w:webHidden/>
              </w:rPr>
              <w:fldChar w:fldCharType="begin"/>
            </w:r>
            <w:r>
              <w:rPr>
                <w:noProof/>
                <w:webHidden/>
              </w:rPr>
              <w:instrText xml:space="preserve"> PAGEREF _Toc225487558 \h </w:instrText>
            </w:r>
            <w:r>
              <w:rPr>
                <w:noProof/>
                <w:webHidden/>
              </w:rPr>
            </w:r>
            <w:r>
              <w:rPr>
                <w:noProof/>
                <w:webHidden/>
              </w:rPr>
              <w:fldChar w:fldCharType="separate"/>
            </w:r>
            <w:r>
              <w:rPr>
                <w:noProof/>
                <w:webHidden/>
              </w:rPr>
              <w:t>16</w:t>
            </w:r>
            <w:r>
              <w:rPr>
                <w:noProof/>
                <w:webHidden/>
              </w:rPr>
              <w:fldChar w:fldCharType="end"/>
            </w:r>
          </w:hyperlink>
        </w:p>
        <w:p w14:paraId="5C38BB82" w14:textId="73C838B9" w:rsidR="00E37F30" w:rsidRDefault="00E37F30">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25487559" w:history="1">
            <w:r w:rsidRPr="00F17841">
              <w:rPr>
                <w:rStyle w:val="Hyperlink"/>
                <w:noProof/>
              </w:rPr>
              <w:t>References</w:t>
            </w:r>
            <w:r>
              <w:rPr>
                <w:noProof/>
                <w:webHidden/>
              </w:rPr>
              <w:tab/>
            </w:r>
            <w:r>
              <w:rPr>
                <w:noProof/>
                <w:webHidden/>
              </w:rPr>
              <w:fldChar w:fldCharType="begin"/>
            </w:r>
            <w:r>
              <w:rPr>
                <w:noProof/>
                <w:webHidden/>
              </w:rPr>
              <w:instrText xml:space="preserve"> PAGEREF _Toc225487559 \h </w:instrText>
            </w:r>
            <w:r>
              <w:rPr>
                <w:noProof/>
                <w:webHidden/>
              </w:rPr>
            </w:r>
            <w:r>
              <w:rPr>
                <w:noProof/>
                <w:webHidden/>
              </w:rPr>
              <w:fldChar w:fldCharType="separate"/>
            </w:r>
            <w:r>
              <w:rPr>
                <w:noProof/>
                <w:webHidden/>
              </w:rPr>
              <w:t>16</w:t>
            </w:r>
            <w:r>
              <w:rPr>
                <w:noProof/>
                <w:webHidden/>
              </w:rPr>
              <w:fldChar w:fldCharType="end"/>
            </w:r>
          </w:hyperlink>
        </w:p>
        <w:p w14:paraId="783B17C5" w14:textId="63350F59" w:rsidR="00E37F30" w:rsidRDefault="00E37F30">
          <w:r>
            <w:rPr>
              <w:b/>
              <w:bCs/>
              <w:noProof/>
            </w:rPr>
            <w:fldChar w:fldCharType="end"/>
          </w:r>
        </w:p>
      </w:sdtContent>
    </w:sdt>
    <w:p w14:paraId="0CB9D135" w14:textId="77777777" w:rsidR="00222A7E" w:rsidRDefault="00222A7E" w:rsidP="00927579">
      <w:pPr>
        <w:pStyle w:val="Title"/>
        <w:jc w:val="center"/>
        <w:sectPr w:rsidR="00222A7E" w:rsidSect="006849A1">
          <w:pgSz w:w="11906" w:h="16838" w:code="9"/>
          <w:pgMar w:top="1440" w:right="1440" w:bottom="1440" w:left="1440" w:header="708" w:footer="708" w:gutter="0"/>
          <w:cols w:space="708"/>
          <w:docGrid w:linePitch="360"/>
        </w:sectPr>
      </w:pPr>
    </w:p>
    <w:p w14:paraId="5B27443A" w14:textId="5ECBD903" w:rsidR="00801442" w:rsidRDefault="003715C5" w:rsidP="00D95229">
      <w:pPr>
        <w:pStyle w:val="Heading1"/>
        <w:numPr>
          <w:ilvl w:val="0"/>
          <w:numId w:val="1"/>
        </w:numPr>
      </w:pPr>
      <w:bookmarkStart w:id="0" w:name="_Toc225487544"/>
      <w:r w:rsidRPr="003715C5">
        <w:lastRenderedPageBreak/>
        <w:t>Introduction</w:t>
      </w:r>
      <w:bookmarkEnd w:id="0"/>
    </w:p>
    <w:p w14:paraId="7EEA9C39" w14:textId="77777777" w:rsidR="00D1311B" w:rsidRDefault="00D1311B" w:rsidP="00D1311B">
      <w:pPr>
        <w:pStyle w:val="TEXTY"/>
      </w:pPr>
      <w:r>
        <w:t xml:space="preserve">The impact of climate change is radically changing the automotive industry. In short, automobile manufacturers will have to completely revamp the current </w:t>
      </w:r>
      <w:proofErr w:type="spellStart"/>
      <w:r>
        <w:t>catalog</w:t>
      </w:r>
      <w:proofErr w:type="spellEnd"/>
      <w:r>
        <w:t xml:space="preserve"> of offerings to survive and satisfy new consumers- eco-conscious customers. Businesses possessing good brand equity and over decades of ability will also need to develop new products and identify new niche markets to sell.</w:t>
      </w:r>
    </w:p>
    <w:p w14:paraId="097830C5" w14:textId="77777777" w:rsidR="00D1311B" w:rsidRDefault="00D1311B" w:rsidP="00EC71A0">
      <w:pPr>
        <w:pStyle w:val="Heading5"/>
      </w:pPr>
    </w:p>
    <w:p w14:paraId="62F3A4FF" w14:textId="77777777" w:rsidR="00D1311B" w:rsidRDefault="00D1311B" w:rsidP="00EC71A0">
      <w:pPr>
        <w:pStyle w:val="Heading5"/>
      </w:pPr>
      <w:r>
        <w:t>Tesla</w:t>
      </w:r>
    </w:p>
    <w:p w14:paraId="380DA3A7" w14:textId="77777777" w:rsidR="00D1311B" w:rsidRDefault="00D1311B" w:rsidP="00D1311B">
      <w:pPr>
        <w:pStyle w:val="TEXTY"/>
      </w:pPr>
      <w:r>
        <w:t>Based in Palo Alto, California, Tesla Inc. is a global corporation that designs, manufactures, and sells electric vehicles and energy storage systems. In addition to electric vehicles, the company also manufactures solar systems [1]. Tesla is presently the most successful public pure play electric vehicle maker. They manufacture passenger and utility vehicles. It also makes solar products and energy storage systems for residential, commercial, and grid uses.</w:t>
      </w:r>
    </w:p>
    <w:p w14:paraId="7E4C0F69" w14:textId="77777777" w:rsidR="00D1311B" w:rsidRDefault="00D1311B" w:rsidP="00D1311B">
      <w:pPr>
        <w:pStyle w:val="TEXTY"/>
      </w:pPr>
    </w:p>
    <w:p w14:paraId="46F835DE" w14:textId="77777777" w:rsidR="00D1311B" w:rsidRDefault="00D1311B" w:rsidP="00EC71A0">
      <w:pPr>
        <w:pStyle w:val="Heading5"/>
      </w:pPr>
      <w:r>
        <w:t>Toyota</w:t>
      </w:r>
    </w:p>
    <w:p w14:paraId="3B374FE7" w14:textId="77777777" w:rsidR="00D1311B" w:rsidRDefault="00D1311B" w:rsidP="00D1311B">
      <w:pPr>
        <w:pStyle w:val="TEXTY"/>
      </w:pPr>
      <w:r>
        <w:t>Toyota ranks as the second biggest designer and manufacturer of vehicles for the entire world. The business of affiliate substitute components is pretty strong too. It is the largest maker of hybrid electric vehicles in the world. Toyota was the first to launch hybrid vehicles in the market.</w:t>
      </w:r>
    </w:p>
    <w:p w14:paraId="54012AFB" w14:textId="77777777" w:rsidR="00D1311B" w:rsidRDefault="00D1311B" w:rsidP="00D1311B">
      <w:pPr>
        <w:pStyle w:val="TEXTY"/>
      </w:pPr>
      <w:r>
        <w:t>Hybrid Car Prius It is the Japanese auto company with a maximum profit.</w:t>
      </w:r>
    </w:p>
    <w:p w14:paraId="4BDAC5C3" w14:textId="77777777" w:rsidR="00D1311B" w:rsidRDefault="00D1311B" w:rsidP="00D1311B">
      <w:pPr>
        <w:pStyle w:val="TEXTY"/>
      </w:pPr>
    </w:p>
    <w:p w14:paraId="22E196DE" w14:textId="77777777" w:rsidR="00D1311B" w:rsidRDefault="00D1311B" w:rsidP="00D1311B">
      <w:pPr>
        <w:pStyle w:val="TEXTY"/>
      </w:pPr>
      <w:r>
        <w:t>Comparative Study.</w:t>
      </w:r>
    </w:p>
    <w:p w14:paraId="436591FF" w14:textId="77777777" w:rsidR="00D1311B" w:rsidRDefault="00D1311B" w:rsidP="00D1311B">
      <w:pPr>
        <w:pStyle w:val="TEXTY"/>
      </w:pPr>
      <w:r>
        <w:t>Tesla</w:t>
      </w:r>
    </w:p>
    <w:p w14:paraId="2A9ECB30" w14:textId="77777777" w:rsidR="00D1311B" w:rsidRDefault="00D1311B" w:rsidP="00D1311B">
      <w:pPr>
        <w:pStyle w:val="TEXTY"/>
      </w:pPr>
      <w:r>
        <w:t>Commercial Positions.</w:t>
      </w:r>
    </w:p>
    <w:p w14:paraId="28E5CB54" w14:textId="77777777" w:rsidR="00D1311B" w:rsidRDefault="00D1311B" w:rsidP="00D1311B">
      <w:pPr>
        <w:pStyle w:val="TEXTY"/>
      </w:pPr>
      <w:r>
        <w:t>Tesla has been the world’s most successful standalone electric vehicle (EV) manufacturer. The global EV market share is approximately 7.8%, which was 10.6% in 2024. It has grown from a very low level (approximately 0.5% of global auto sales in 2018) to about 1.6% of all global auto sales by 2025[1].  Tesla operates 10 gigafactories (soon coming to India).</w:t>
      </w:r>
    </w:p>
    <w:p w14:paraId="12B615A8" w14:textId="77777777" w:rsidR="00D1311B" w:rsidRDefault="00D1311B" w:rsidP="00D1311B">
      <w:pPr>
        <w:pStyle w:val="TEXTY"/>
      </w:pPr>
    </w:p>
    <w:p w14:paraId="6E699416" w14:textId="77777777" w:rsidR="00D1311B" w:rsidRPr="00EC71A0" w:rsidRDefault="00D1311B" w:rsidP="00EC71A0">
      <w:pPr>
        <w:pStyle w:val="TEXTY"/>
      </w:pPr>
      <w:r w:rsidRPr="00EC71A0">
        <w:lastRenderedPageBreak/>
        <w:t xml:space="preserve">Toyota is carefully introducing BEVs, including the </w:t>
      </w:r>
      <w:proofErr w:type="spellStart"/>
      <w:r w:rsidRPr="00EC71A0">
        <w:t>bZ</w:t>
      </w:r>
      <w:proofErr w:type="spellEnd"/>
      <w:r w:rsidRPr="00EC71A0">
        <w:t xml:space="preserve"> series, while working on hybrid models and PHEVs. Exploring hydrogen, </w:t>
      </w:r>
      <w:proofErr w:type="spellStart"/>
      <w:r w:rsidRPr="00EC71A0">
        <w:t>toyota</w:t>
      </w:r>
      <w:proofErr w:type="spellEnd"/>
      <w:r w:rsidRPr="00EC71A0">
        <w:t xml:space="preserve"> chose to launch. Ansoff’s matrix position Tesla is a market developer and product developer. Toyota mainly penetrates markets with hybrids and makes mild product development toward EVs. Major problems are as follows. On one side, Tesla must keep living up to the premium pricing via constant demand and volume innovation. On the other, Tesla’s inflection point is getting to global mass market plus absorbing competition from as many as 74 competitors and counting.</w:t>
      </w:r>
    </w:p>
    <w:p w14:paraId="2DF10E3E" w14:textId="636309D3" w:rsidR="003715C5" w:rsidRPr="00EC71A0" w:rsidRDefault="00D1311B" w:rsidP="00EC71A0">
      <w:pPr>
        <w:pStyle w:val="TEXTY"/>
      </w:pPr>
      <w:r w:rsidRPr="00EC71A0">
        <w:t xml:space="preserve"> Toyota is facing a big issue on this pre-elevation of regulators, i.e. catch-up in EVs. Since they are metastasising electrification, while using hybrids which has been their default product so far, it would have to cede some ground. The two groups are facing an array of supply chain shocks (e.g. chip shortage) and regulatory shifts (carbon policies, EV mandates). The recommended actions are in tables below.  In short, Tesla should broaden its (services, AI/robotaxi) business model and multiply production further; Toyota should speed up EV R&amp;D; announce full electrification roadmap using hybridization as a bridge. Both parties should make use of their R&amp;D strength for fresh technology (industry, new battery technology) and construct greater resistance to supply chains.</w:t>
      </w:r>
    </w:p>
    <w:p w14:paraId="7EE11608" w14:textId="77777777" w:rsidR="00D95229" w:rsidRDefault="00D95229" w:rsidP="00D1311B">
      <w:pPr>
        <w:pStyle w:val="TEXTY"/>
      </w:pPr>
    </w:p>
    <w:p w14:paraId="3577D69D" w14:textId="77777777" w:rsidR="00AA3E24" w:rsidRPr="00AA3E24" w:rsidRDefault="00AA3E24" w:rsidP="00AA3E24">
      <w:pPr>
        <w:pStyle w:val="Heading2"/>
        <w:numPr>
          <w:ilvl w:val="0"/>
          <w:numId w:val="1"/>
        </w:numPr>
        <w:spacing w:line="278" w:lineRule="auto"/>
      </w:pPr>
      <w:bookmarkStart w:id="1" w:name="_Toc225487545"/>
      <w:r w:rsidRPr="00AA3E24">
        <w:t>Industry and Company Overview</w:t>
      </w:r>
      <w:bookmarkEnd w:id="1"/>
    </w:p>
    <w:p w14:paraId="34BA42B8" w14:textId="77777777" w:rsidR="00C076F2" w:rsidRDefault="00C076F2" w:rsidP="00C076F2">
      <w:pPr>
        <w:pStyle w:val="TEXTY"/>
      </w:pPr>
      <w:r>
        <w:t xml:space="preserve">Tesla (NYSE: TSLA) is a California-based EV and energy company, selling exclusively electric cars (Model S/X/3/Y; upcoming </w:t>
      </w:r>
      <w:proofErr w:type="spellStart"/>
      <w:r>
        <w:t>Cybertruck</w:t>
      </w:r>
      <w:proofErr w:type="spellEnd"/>
      <w:r>
        <w:t xml:space="preserve">) and related products. Toyota (Tokyo: 7203) is the world’s largest automaker, selling mostly ICE cars and hybrids (Prius, Camry, RAV4, Lexus, etc.), with a small but growing EV lineup. Global light vehicle sales reached ~124 million in 2025; Toyota sold ~11.2M (≈12.2% global </w:t>
      </w:r>
      <w:proofErr w:type="gramStart"/>
      <w:r>
        <w:t>share[</w:t>
      </w:r>
      <w:proofErr w:type="gramEnd"/>
      <w:r>
        <w:t>2]), Tesla ~1.64M. Tesla’s market is 100% EVs, giving it ~7.8% of all EVs in 2025[1], but only ≈1.6% of all vehicles. Toyota’s sales mix was ≈20% full hybrids, 40% ICE, 3% EV/hydrogen in 2025 (estimated). Ford, GM and BYD follow in scale; notably, BYD had a higher share of EVs (19%) in 2025[1].</w:t>
      </w:r>
    </w:p>
    <w:p w14:paraId="689E6BDA" w14:textId="77777777" w:rsidR="00C076F2" w:rsidRDefault="00C076F2" w:rsidP="00C076F2">
      <w:pPr>
        <w:pStyle w:val="TEXTY"/>
      </w:pPr>
      <w:r>
        <w:t xml:space="preserve">Global EV adoption has accelerated: by 2025 about 17% of new cars were plug-in hybrids or </w:t>
      </w:r>
      <w:proofErr w:type="gramStart"/>
      <w:r>
        <w:t>EVs[</w:t>
      </w:r>
      <w:proofErr w:type="gramEnd"/>
      <w:r>
        <w:t>1] (up from ~4% in 2020). Tesla dominates many EV markets (e.g. it had ~45% of U.S. EV sales in 2025[7]), though its global EV share dipped as competitors like BYD and VW ramped up. Toyota historically led hybrid sales, benefiting from slower adoption of strict EV mandates. For context, the IEA’s Global EV Outlook 2025 estimates EV sales will reach ~20M by 2025[8].</w:t>
      </w:r>
    </w:p>
    <w:p w14:paraId="75FA0D75" w14:textId="622C796D" w:rsidR="008032B2" w:rsidRPr="00EC71A0" w:rsidRDefault="00C076F2" w:rsidP="00EC71A0">
      <w:pPr>
        <w:pStyle w:val="TEXTY"/>
      </w:pPr>
      <w:r w:rsidRPr="00EC71A0">
        <w:lastRenderedPageBreak/>
        <w:t>Financial snapshots (FY2025): Tesla revenue ~$100B (implied, given $3.79B net) with net margin ~3.8</w:t>
      </w:r>
      <w:proofErr w:type="gramStart"/>
      <w:r w:rsidRPr="00EC71A0">
        <w:t>%[</w:t>
      </w:r>
      <w:proofErr w:type="gramEnd"/>
      <w:r w:rsidRPr="00EC71A0">
        <w:t>3]. Toyota revenue ~~¥48T (~$360B), operating margin ~10</w:t>
      </w:r>
      <w:proofErr w:type="gramStart"/>
      <w:r w:rsidRPr="00EC71A0">
        <w:t>%[</w:t>
      </w:r>
      <w:proofErr w:type="gramEnd"/>
      <w:r w:rsidRPr="00EC71A0">
        <w:t>4]. Tesla’s EV gross margins are high (~30%+), thanks to vertical integration (batteries, software) and direct sales. Toyota’s margins are lower but stable, spread across volume products. Tesla’s asset-light design lets it scale quickly, whereas Toyota’s legacy plants limit agility.</w:t>
      </w:r>
    </w:p>
    <w:p w14:paraId="61D15495" w14:textId="77777777" w:rsidR="004D321F" w:rsidRDefault="004D321F" w:rsidP="00C076F2">
      <w:pPr>
        <w:pStyle w:val="TEXTY"/>
      </w:pPr>
    </w:p>
    <w:p w14:paraId="09B77ED5" w14:textId="40162EB5" w:rsidR="008032B2" w:rsidRDefault="008032B2" w:rsidP="008032B2">
      <w:pPr>
        <w:pStyle w:val="Heading2"/>
        <w:numPr>
          <w:ilvl w:val="0"/>
          <w:numId w:val="1"/>
        </w:numPr>
      </w:pPr>
      <w:bookmarkStart w:id="2" w:name="_Toc225487546"/>
      <w:r>
        <w:t>Market Trends</w:t>
      </w:r>
      <w:bookmarkEnd w:id="2"/>
    </w:p>
    <w:p w14:paraId="6A051724" w14:textId="77777777" w:rsidR="008032B2" w:rsidRDefault="008032B2" w:rsidP="008032B2"/>
    <w:p w14:paraId="668CC1D4" w14:textId="77777777" w:rsidR="007E5F77" w:rsidRDefault="007E5F77" w:rsidP="00EC71A0">
      <w:pPr>
        <w:pStyle w:val="TEXTY"/>
      </w:pPr>
      <w:r>
        <w:t>Global light-vehicle (LV) sales have hovered 2–3% growth annually. EVs are the fastest segment: all-electric car sales grew 50% in 2025</w:t>
      </w:r>
      <w:hyperlink r:id="rId9" w:anchor=":~:text=Tesla%20took%20second%20place%20in,5pp" w:history="1">
        <w:r>
          <w:rPr>
            <w:rStyle w:val="Hyperlink"/>
            <w:u w:val="single"/>
          </w:rPr>
          <w:t>[1]</w:t>
        </w:r>
      </w:hyperlink>
      <w:r>
        <w:t>, driven by falling battery costs and policy incentives. Conversely, overall auto sales face headwinds from inflation and rental/used car markets. China remains the largest EV market (60% of global EV sales), where Tesla and Toyota both compete. Tesla’s share of China’s EV market is ~12% (2025), slightly down from 2024, as local rivals (BYD, NIO) surge.</w:t>
      </w:r>
    </w:p>
    <w:p w14:paraId="40F4E225" w14:textId="5E54024D" w:rsidR="007E5F77" w:rsidRDefault="007E5F77" w:rsidP="007E5F77">
      <w:pPr>
        <w:pStyle w:val="BodyText"/>
      </w:pPr>
      <w:r>
        <w:t>Chart, Tesla’s market share trend (2018–2025) versus Toyota’s might look like:</w:t>
      </w:r>
    </w:p>
    <w:tbl>
      <w:tblPr>
        <w:tblStyle w:val="Table"/>
        <w:tblW w:w="0" w:type="auto"/>
        <w:tblInd w:w="0" w:type="dxa"/>
        <w:tblLook w:val="0020" w:firstRow="1" w:lastRow="0" w:firstColumn="0" w:lastColumn="0" w:noHBand="0" w:noVBand="0"/>
      </w:tblPr>
      <w:tblGrid>
        <w:gridCol w:w="729"/>
        <w:gridCol w:w="3618"/>
        <w:gridCol w:w="2649"/>
      </w:tblGrid>
      <w:tr w:rsidR="007E5F77" w14:paraId="4BA4AF0C" w14:textId="77777777">
        <w:trPr>
          <w:cnfStyle w:val="100000000000" w:firstRow="1" w:lastRow="0" w:firstColumn="0" w:lastColumn="0" w:oddVBand="0" w:evenVBand="0" w:oddHBand="0" w:evenHBand="0" w:firstRowFirstColumn="0" w:firstRowLastColumn="0" w:lastRowFirstColumn="0" w:lastRowLastColumn="0"/>
          <w:tblHeader/>
        </w:trPr>
        <w:tc>
          <w:tcPr>
            <w:tcW w:w="0" w:type="auto"/>
            <w:tcBorders>
              <w:top w:val="nil"/>
              <w:left w:val="nil"/>
              <w:right w:val="nil"/>
            </w:tcBorders>
            <w:hideMark/>
          </w:tcPr>
          <w:p w14:paraId="0D947026" w14:textId="77777777" w:rsidR="007E5F77" w:rsidRDefault="007E5F77">
            <w:pPr>
              <w:pStyle w:val="Compact"/>
            </w:pPr>
            <w:r>
              <w:t>Year</w:t>
            </w:r>
          </w:p>
        </w:tc>
        <w:tc>
          <w:tcPr>
            <w:tcW w:w="0" w:type="auto"/>
            <w:tcBorders>
              <w:top w:val="nil"/>
              <w:left w:val="nil"/>
              <w:right w:val="nil"/>
            </w:tcBorders>
            <w:hideMark/>
          </w:tcPr>
          <w:p w14:paraId="129F18F4" w14:textId="77777777" w:rsidR="007E5F77" w:rsidRDefault="007E5F77">
            <w:pPr>
              <w:pStyle w:val="Compact"/>
            </w:pPr>
            <w:r>
              <w:t>Tesla (Global LV Market Share %)</w:t>
            </w:r>
          </w:p>
        </w:tc>
        <w:tc>
          <w:tcPr>
            <w:tcW w:w="0" w:type="auto"/>
            <w:tcBorders>
              <w:top w:val="nil"/>
              <w:left w:val="nil"/>
              <w:right w:val="nil"/>
            </w:tcBorders>
            <w:hideMark/>
          </w:tcPr>
          <w:p w14:paraId="7C8D167D" w14:textId="77777777" w:rsidR="007E5F77" w:rsidRDefault="007E5F77">
            <w:pPr>
              <w:pStyle w:val="Compact"/>
            </w:pPr>
            <w:r>
              <w:t>Toyota Group Share (%)</w:t>
            </w:r>
          </w:p>
        </w:tc>
      </w:tr>
      <w:tr w:rsidR="007E5F77" w14:paraId="42A00440" w14:textId="77777777">
        <w:tc>
          <w:tcPr>
            <w:tcW w:w="0" w:type="auto"/>
            <w:hideMark/>
          </w:tcPr>
          <w:p w14:paraId="07DC4018" w14:textId="77777777" w:rsidR="007E5F77" w:rsidRDefault="007E5F77">
            <w:pPr>
              <w:pStyle w:val="Compact"/>
            </w:pPr>
            <w:r>
              <w:t>2018</w:t>
            </w:r>
          </w:p>
        </w:tc>
        <w:tc>
          <w:tcPr>
            <w:tcW w:w="0" w:type="auto"/>
            <w:hideMark/>
          </w:tcPr>
          <w:p w14:paraId="27939F4E" w14:textId="77777777" w:rsidR="007E5F77" w:rsidRDefault="007E5F77">
            <w:pPr>
              <w:pStyle w:val="Compact"/>
            </w:pPr>
            <w:r>
              <w:t>~0.5%</w:t>
            </w:r>
          </w:p>
        </w:tc>
        <w:tc>
          <w:tcPr>
            <w:tcW w:w="0" w:type="auto"/>
            <w:hideMark/>
          </w:tcPr>
          <w:p w14:paraId="65532ADB" w14:textId="77777777" w:rsidR="007E5F77" w:rsidRDefault="007E5F77">
            <w:pPr>
              <w:pStyle w:val="Compact"/>
            </w:pPr>
            <w:r>
              <w:t>~10.5%</w:t>
            </w:r>
          </w:p>
        </w:tc>
      </w:tr>
      <w:tr w:rsidR="007E5F77" w14:paraId="32C9C084" w14:textId="77777777">
        <w:tc>
          <w:tcPr>
            <w:tcW w:w="0" w:type="auto"/>
            <w:hideMark/>
          </w:tcPr>
          <w:p w14:paraId="0FCFEC49" w14:textId="77777777" w:rsidR="007E5F77" w:rsidRDefault="007E5F77">
            <w:pPr>
              <w:pStyle w:val="Compact"/>
            </w:pPr>
            <w:r>
              <w:t>2019</w:t>
            </w:r>
          </w:p>
        </w:tc>
        <w:tc>
          <w:tcPr>
            <w:tcW w:w="0" w:type="auto"/>
            <w:hideMark/>
          </w:tcPr>
          <w:p w14:paraId="36A8689D" w14:textId="77777777" w:rsidR="007E5F77" w:rsidRDefault="007E5F77">
            <w:pPr>
              <w:pStyle w:val="Compact"/>
            </w:pPr>
            <w:r>
              <w:t>0.8%</w:t>
            </w:r>
          </w:p>
        </w:tc>
        <w:tc>
          <w:tcPr>
            <w:tcW w:w="0" w:type="auto"/>
            <w:hideMark/>
          </w:tcPr>
          <w:p w14:paraId="75C21C6F" w14:textId="77777777" w:rsidR="007E5F77" w:rsidRDefault="007E5F77">
            <w:pPr>
              <w:pStyle w:val="Compact"/>
            </w:pPr>
            <w:r>
              <w:t>11.0%</w:t>
            </w:r>
          </w:p>
        </w:tc>
      </w:tr>
      <w:tr w:rsidR="007E5F77" w14:paraId="2E10F560" w14:textId="77777777">
        <w:tc>
          <w:tcPr>
            <w:tcW w:w="0" w:type="auto"/>
            <w:hideMark/>
          </w:tcPr>
          <w:p w14:paraId="00EB5AE7" w14:textId="77777777" w:rsidR="007E5F77" w:rsidRDefault="007E5F77">
            <w:pPr>
              <w:pStyle w:val="Compact"/>
            </w:pPr>
            <w:r>
              <w:t>2020</w:t>
            </w:r>
          </w:p>
        </w:tc>
        <w:tc>
          <w:tcPr>
            <w:tcW w:w="0" w:type="auto"/>
            <w:hideMark/>
          </w:tcPr>
          <w:p w14:paraId="600B0650" w14:textId="77777777" w:rsidR="007E5F77" w:rsidRDefault="007E5F77">
            <w:pPr>
              <w:pStyle w:val="Compact"/>
            </w:pPr>
            <w:r>
              <w:t>0.9%</w:t>
            </w:r>
          </w:p>
        </w:tc>
        <w:tc>
          <w:tcPr>
            <w:tcW w:w="0" w:type="auto"/>
            <w:hideMark/>
          </w:tcPr>
          <w:p w14:paraId="21FE2653" w14:textId="77777777" w:rsidR="007E5F77" w:rsidRDefault="007E5F77">
            <w:pPr>
              <w:pStyle w:val="Compact"/>
            </w:pPr>
            <w:r>
              <w:t>10.8%</w:t>
            </w:r>
          </w:p>
        </w:tc>
      </w:tr>
      <w:tr w:rsidR="007E5F77" w14:paraId="756B6ABC" w14:textId="77777777">
        <w:tc>
          <w:tcPr>
            <w:tcW w:w="0" w:type="auto"/>
            <w:hideMark/>
          </w:tcPr>
          <w:p w14:paraId="5BA238B1" w14:textId="77777777" w:rsidR="007E5F77" w:rsidRDefault="007E5F77">
            <w:pPr>
              <w:pStyle w:val="Compact"/>
            </w:pPr>
            <w:r>
              <w:t>2021</w:t>
            </w:r>
          </w:p>
        </w:tc>
        <w:tc>
          <w:tcPr>
            <w:tcW w:w="0" w:type="auto"/>
            <w:hideMark/>
          </w:tcPr>
          <w:p w14:paraId="7965CFD0" w14:textId="77777777" w:rsidR="007E5F77" w:rsidRDefault="007E5F77">
            <w:pPr>
              <w:pStyle w:val="Compact"/>
            </w:pPr>
            <w:r>
              <w:t>1.0%</w:t>
            </w:r>
          </w:p>
        </w:tc>
        <w:tc>
          <w:tcPr>
            <w:tcW w:w="0" w:type="auto"/>
            <w:hideMark/>
          </w:tcPr>
          <w:p w14:paraId="51E265E2" w14:textId="77777777" w:rsidR="007E5F77" w:rsidRDefault="007E5F77">
            <w:pPr>
              <w:pStyle w:val="Compact"/>
            </w:pPr>
            <w:r>
              <w:t>10.5%</w:t>
            </w:r>
          </w:p>
        </w:tc>
      </w:tr>
      <w:tr w:rsidR="007E5F77" w14:paraId="5E7EF716" w14:textId="77777777">
        <w:tc>
          <w:tcPr>
            <w:tcW w:w="0" w:type="auto"/>
            <w:hideMark/>
          </w:tcPr>
          <w:p w14:paraId="34EAB41F" w14:textId="77777777" w:rsidR="007E5F77" w:rsidRDefault="007E5F77">
            <w:pPr>
              <w:pStyle w:val="Compact"/>
            </w:pPr>
            <w:r>
              <w:t>2022</w:t>
            </w:r>
          </w:p>
        </w:tc>
        <w:tc>
          <w:tcPr>
            <w:tcW w:w="0" w:type="auto"/>
            <w:hideMark/>
          </w:tcPr>
          <w:p w14:paraId="2B0CCCA0" w14:textId="77777777" w:rsidR="007E5F77" w:rsidRDefault="007E5F77">
            <w:pPr>
              <w:pStyle w:val="Compact"/>
            </w:pPr>
            <w:r>
              <w:t>1.3%</w:t>
            </w:r>
          </w:p>
        </w:tc>
        <w:tc>
          <w:tcPr>
            <w:tcW w:w="0" w:type="auto"/>
            <w:hideMark/>
          </w:tcPr>
          <w:p w14:paraId="2512D4EB" w14:textId="77777777" w:rsidR="007E5F77" w:rsidRDefault="007E5F77">
            <w:pPr>
              <w:pStyle w:val="Compact"/>
            </w:pPr>
            <w:r>
              <w:t>10.1%</w:t>
            </w:r>
          </w:p>
        </w:tc>
      </w:tr>
      <w:tr w:rsidR="007E5F77" w14:paraId="50CB2772" w14:textId="77777777">
        <w:tc>
          <w:tcPr>
            <w:tcW w:w="0" w:type="auto"/>
            <w:hideMark/>
          </w:tcPr>
          <w:p w14:paraId="47D9FE47" w14:textId="77777777" w:rsidR="007E5F77" w:rsidRDefault="007E5F77">
            <w:pPr>
              <w:pStyle w:val="Compact"/>
            </w:pPr>
            <w:r>
              <w:t>2023</w:t>
            </w:r>
          </w:p>
        </w:tc>
        <w:tc>
          <w:tcPr>
            <w:tcW w:w="0" w:type="auto"/>
            <w:hideMark/>
          </w:tcPr>
          <w:p w14:paraId="10FCCA3B" w14:textId="77777777" w:rsidR="007E5F77" w:rsidRDefault="007E5F77">
            <w:pPr>
              <w:pStyle w:val="Compact"/>
            </w:pPr>
            <w:r>
              <w:t>1.6%</w:t>
            </w:r>
          </w:p>
        </w:tc>
        <w:tc>
          <w:tcPr>
            <w:tcW w:w="0" w:type="auto"/>
            <w:hideMark/>
          </w:tcPr>
          <w:p w14:paraId="4CE6E424" w14:textId="77777777" w:rsidR="007E5F77" w:rsidRDefault="007E5F77">
            <w:pPr>
              <w:pStyle w:val="Compact"/>
            </w:pPr>
            <w:r>
              <w:t>11.0%</w:t>
            </w:r>
          </w:p>
        </w:tc>
      </w:tr>
      <w:tr w:rsidR="007E5F77" w14:paraId="3DC1D0CF" w14:textId="77777777">
        <w:tc>
          <w:tcPr>
            <w:tcW w:w="0" w:type="auto"/>
            <w:hideMark/>
          </w:tcPr>
          <w:p w14:paraId="1CB52F9C" w14:textId="77777777" w:rsidR="007E5F77" w:rsidRDefault="007E5F77">
            <w:pPr>
              <w:pStyle w:val="Compact"/>
            </w:pPr>
            <w:r>
              <w:t>2024</w:t>
            </w:r>
          </w:p>
        </w:tc>
        <w:tc>
          <w:tcPr>
            <w:tcW w:w="0" w:type="auto"/>
            <w:hideMark/>
          </w:tcPr>
          <w:p w14:paraId="6DF03C6D" w14:textId="77777777" w:rsidR="007E5F77" w:rsidRDefault="007E5F77">
            <w:pPr>
              <w:pStyle w:val="Compact"/>
            </w:pPr>
            <w:r>
              <w:t>1.8%</w:t>
            </w:r>
          </w:p>
        </w:tc>
        <w:tc>
          <w:tcPr>
            <w:tcW w:w="0" w:type="auto"/>
            <w:hideMark/>
          </w:tcPr>
          <w:p w14:paraId="344B09C0" w14:textId="77777777" w:rsidR="007E5F77" w:rsidRDefault="007E5F77">
            <w:pPr>
              <w:pStyle w:val="Compact"/>
            </w:pPr>
            <w:r>
              <w:t>10.8%</w:t>
            </w:r>
          </w:p>
        </w:tc>
      </w:tr>
      <w:tr w:rsidR="007E5F77" w14:paraId="3F1A9590" w14:textId="77777777">
        <w:tc>
          <w:tcPr>
            <w:tcW w:w="0" w:type="auto"/>
            <w:hideMark/>
          </w:tcPr>
          <w:p w14:paraId="4F7468AB" w14:textId="77777777" w:rsidR="007E5F77" w:rsidRDefault="007E5F77">
            <w:pPr>
              <w:pStyle w:val="Compact"/>
            </w:pPr>
            <w:r>
              <w:t>2025</w:t>
            </w:r>
          </w:p>
        </w:tc>
        <w:tc>
          <w:tcPr>
            <w:tcW w:w="0" w:type="auto"/>
            <w:hideMark/>
          </w:tcPr>
          <w:p w14:paraId="3FE04F4C" w14:textId="77777777" w:rsidR="007E5F77" w:rsidRDefault="007E5F77">
            <w:pPr>
              <w:pStyle w:val="Compact"/>
            </w:pPr>
            <w:r>
              <w:t>1.6%</w:t>
            </w:r>
          </w:p>
        </w:tc>
        <w:tc>
          <w:tcPr>
            <w:tcW w:w="0" w:type="auto"/>
            <w:hideMark/>
          </w:tcPr>
          <w:p w14:paraId="1B4EF506" w14:textId="77777777" w:rsidR="007E5F77" w:rsidRDefault="007E5F77">
            <w:pPr>
              <w:pStyle w:val="Compact"/>
            </w:pPr>
            <w:r>
              <w:t>12.2%</w:t>
            </w:r>
            <w:hyperlink r:id="rId10" w:anchor=":~:text=Looking%20at%20full,in%20America" w:history="1">
              <w:r>
                <w:rPr>
                  <w:rStyle w:val="Hyperlink"/>
                  <w:u w:val="single"/>
                </w:rPr>
                <w:t>[2]</w:t>
              </w:r>
            </w:hyperlink>
          </w:p>
        </w:tc>
      </w:tr>
    </w:tbl>
    <w:p w14:paraId="79E8797E" w14:textId="77777777" w:rsidR="007E5F77" w:rsidRDefault="007E5F77" w:rsidP="007E5F77">
      <w:pPr>
        <w:pStyle w:val="BodyText"/>
        <w:rPr>
          <w:rFonts w:asciiTheme="minorHAnsi" w:hAnsiTheme="minorHAnsi" w:cstheme="minorBidi"/>
        </w:rPr>
      </w:pPr>
      <w:r>
        <w:rPr>
          <w:i/>
          <w:iCs/>
        </w:rPr>
        <w:t>(Chart instructions: Plot Year on X-axis, Market Share (%) on Y. Tesla line rising slowly (peak ~1.8% in 2024), Toyota flat ~11%. Data from Tesla deliveries (10-K) and industry sales</w:t>
      </w:r>
      <w:hyperlink r:id="rId11" w:anchor=":~:text=Tesla%20took%20second%20place%20in,5pp" w:history="1">
        <w:r>
          <w:rPr>
            <w:rStyle w:val="Hyperlink"/>
            <w:i/>
            <w:iCs/>
            <w:u w:val="single"/>
          </w:rPr>
          <w:t>[1]</w:t>
        </w:r>
      </w:hyperlink>
      <w:hyperlink r:id="rId12" w:anchor=":~:text=Looking%20at%20full,in%20America" w:history="1">
        <w:r>
          <w:rPr>
            <w:rStyle w:val="Hyperlink"/>
            <w:i/>
            <w:iCs/>
            <w:u w:val="single"/>
          </w:rPr>
          <w:t>[2]</w:t>
        </w:r>
      </w:hyperlink>
      <w:r>
        <w:rPr>
          <w:i/>
          <w:iCs/>
        </w:rPr>
        <w:t>.)</w:t>
      </w:r>
    </w:p>
    <w:p w14:paraId="1C10C471" w14:textId="77777777" w:rsidR="007E5F77" w:rsidRPr="008032B2" w:rsidRDefault="007E5F77" w:rsidP="008032B2"/>
    <w:p w14:paraId="742A12D2" w14:textId="77777777" w:rsidR="00441F85" w:rsidRPr="00441F85" w:rsidRDefault="00441F85" w:rsidP="00441F85"/>
    <w:p w14:paraId="369B17B7" w14:textId="77777777" w:rsidR="00645107" w:rsidRDefault="00645107" w:rsidP="00441F85">
      <w:pPr>
        <w:sectPr w:rsidR="00645107" w:rsidSect="006849A1">
          <w:pgSz w:w="11906" w:h="16838" w:code="9"/>
          <w:pgMar w:top="1440" w:right="1440" w:bottom="1440" w:left="1440" w:header="708" w:footer="708" w:gutter="0"/>
          <w:cols w:space="708"/>
          <w:docGrid w:linePitch="360"/>
        </w:sectPr>
      </w:pPr>
    </w:p>
    <w:p w14:paraId="01B33ABB" w14:textId="4734A643" w:rsidR="00441F85" w:rsidRDefault="00311D37" w:rsidP="009E4695">
      <w:pPr>
        <w:pStyle w:val="Heading2"/>
        <w:numPr>
          <w:ilvl w:val="0"/>
          <w:numId w:val="1"/>
        </w:numPr>
      </w:pPr>
      <w:bookmarkStart w:id="3" w:name="_Toc225487547"/>
      <w:r w:rsidRPr="00311D37">
        <w:lastRenderedPageBreak/>
        <w:t>Porter’s Generic Strategies</w:t>
      </w:r>
      <w:bookmarkEnd w:id="3"/>
    </w:p>
    <w:p w14:paraId="26B0F525" w14:textId="77777777" w:rsidR="00D90022" w:rsidRDefault="00D90022" w:rsidP="00D133E6">
      <w:pPr>
        <w:pStyle w:val="TEXTY"/>
      </w:pPr>
      <w:r>
        <w:rPr>
          <w:b/>
          <w:bCs/>
        </w:rPr>
        <w:t>Tesla (Differentiation):</w:t>
      </w:r>
      <w:r>
        <w:t xml:space="preserve"> Tesla’s key competitive edge is technology and innovation. Its vertically integrated “gigafactory” model (in-house batteries, motors) and software (Autopilot, over-the-air updates) create products unlike legacy cars. This allows premium pricing (luxury EVs) and high gross margins (~35%). Its brand is synonymous with EV and tech leadership. The risk is sustainability: competitors are investing heavily in EV (VW, GM, Hyundai, BYD), and Tesla must continuously innovate to justify its premium (e.g. </w:t>
      </w:r>
      <w:proofErr w:type="spellStart"/>
      <w:r>
        <w:t>Cybertruck</w:t>
      </w:r>
      <w:proofErr w:type="spellEnd"/>
      <w:r>
        <w:t>, S/X refresh). If its FSD tech does not deliver safe autonomy, Tesla’s differentiation could erode.</w:t>
      </w:r>
    </w:p>
    <w:p w14:paraId="6DB95917" w14:textId="77777777" w:rsidR="00D90022" w:rsidRDefault="00D90022" w:rsidP="00D133E6">
      <w:pPr>
        <w:pStyle w:val="TEXTY"/>
      </w:pPr>
      <w:r>
        <w:rPr>
          <w:b/>
          <w:bCs/>
        </w:rPr>
        <w:t>Toyota (Broad Differentiation/Cost Focus):</w:t>
      </w:r>
      <w:r>
        <w:t xml:space="preserve"> Toyota leverages scale and process excellence (TPS) to produce reliable vehicles cheaply. It differentiates on quality and brand trust (e.g. top resale values). It dominates hybrid EVs, giving it a “green image” without full EV risk. Toyota’s portfolio covers all segments (compact to luxury), giving market coverage. The trade-off: by focusing on hybrids (lower risk, existing tech), Toyota lags in fully EV innovation. Porter’s forces: Toyota faces moderate competitive rivalry (many OEMs) but high supplier power (specialized tech like batteries), whereas Tesla’s supplier power is low (in-house) but buyer power is rising (more EV choices).</w:t>
      </w:r>
    </w:p>
    <w:p w14:paraId="782C8B5F" w14:textId="77777777" w:rsidR="00311D37" w:rsidRDefault="00311D37" w:rsidP="00D133E6">
      <w:pPr>
        <w:pStyle w:val="TEXTY"/>
      </w:pPr>
    </w:p>
    <w:p w14:paraId="417E0F68" w14:textId="6A8CE414" w:rsidR="00A0798A" w:rsidRDefault="005172C2" w:rsidP="005172C2">
      <w:pPr>
        <w:pStyle w:val="Heading2"/>
        <w:numPr>
          <w:ilvl w:val="1"/>
          <w:numId w:val="1"/>
        </w:numPr>
      </w:pPr>
      <w:bookmarkStart w:id="4" w:name="_Toc225487548"/>
      <w:r w:rsidRPr="005172C2">
        <w:t>Ansoff Growth Strategies</w:t>
      </w:r>
      <w:bookmarkEnd w:id="4"/>
    </w:p>
    <w:p w14:paraId="79B68B0E" w14:textId="77777777" w:rsidR="002217C6" w:rsidRDefault="002217C6" w:rsidP="00F24D89">
      <w:pPr>
        <w:pStyle w:val="ListParagraph"/>
        <w:ind w:left="840"/>
        <w:rPr>
          <w:rStyle w:val="Heading3Char"/>
        </w:rPr>
      </w:pPr>
    </w:p>
    <w:p w14:paraId="1D2D243C" w14:textId="0D726C6F" w:rsidR="00F24D89" w:rsidRDefault="002217C6" w:rsidP="00D133E6">
      <w:pPr>
        <w:pStyle w:val="TEXTY"/>
      </w:pPr>
      <w:r w:rsidRPr="002217C6">
        <w:rPr>
          <w:rStyle w:val="Heading3Char"/>
        </w:rPr>
        <w:t xml:space="preserve"> </w:t>
      </w:r>
      <w:bookmarkStart w:id="5" w:name="_Toc225487549"/>
      <w:r w:rsidR="00F24D89" w:rsidRPr="002217C6">
        <w:rPr>
          <w:rStyle w:val="Heading3Char"/>
        </w:rPr>
        <w:t>Tesla</w:t>
      </w:r>
      <w:bookmarkEnd w:id="5"/>
      <w:r w:rsidR="00F24D89">
        <w:t xml:space="preserve"> employs a strategy of product &amp; market development. Tesla allocates significant resources to product development, targeting the production of fresh models, including the Semi truck, </w:t>
      </w:r>
      <w:proofErr w:type="spellStart"/>
      <w:r w:rsidR="00F24D89">
        <w:t>Cybertruck</w:t>
      </w:r>
      <w:proofErr w:type="spellEnd"/>
      <w:r w:rsidR="00F24D89">
        <w:t>, and $25,000 model. It seeks to expand into Europe and Asia through market development.  Tesla has energy storage and solar as other products. It attempts to bundle products (home + car and others) too.  Tesla aims to enter new markets (N. America, Europe, China and India) as fast as possible with its new products (EVs) and (later) introduce new tech (</w:t>
      </w:r>
      <w:proofErr w:type="gramStart"/>
      <w:r w:rsidR="00F24D89">
        <w:t xml:space="preserve">Autonomy)   </w:t>
      </w:r>
      <w:proofErr w:type="gramEnd"/>
      <w:r w:rsidR="00F24D89">
        <w:t>This rapid cycle of innovation is risky. Will the company scale safely or will problems arise? Safety to scale will determine success.</w:t>
      </w:r>
    </w:p>
    <w:p w14:paraId="67D3C472" w14:textId="77777777" w:rsidR="00F24D89" w:rsidRDefault="00F24D89" w:rsidP="00D133E6">
      <w:pPr>
        <w:pStyle w:val="TEXTY"/>
      </w:pPr>
    </w:p>
    <w:p w14:paraId="42244186" w14:textId="77777777" w:rsidR="00F24D89" w:rsidRDefault="00F24D89" w:rsidP="00D133E6">
      <w:pPr>
        <w:pStyle w:val="TEXTY"/>
      </w:pPr>
      <w:bookmarkStart w:id="6" w:name="_Toc225487550"/>
      <w:r w:rsidRPr="002217C6">
        <w:rPr>
          <w:rStyle w:val="Heading3Char"/>
        </w:rPr>
        <w:t>Strategy of Toyota</w:t>
      </w:r>
      <w:bookmarkEnd w:id="6"/>
      <w:r>
        <w:t>.</w:t>
      </w:r>
    </w:p>
    <w:p w14:paraId="5D2AAAE8" w14:textId="77777777" w:rsidR="0023739B" w:rsidRDefault="00F24D89" w:rsidP="00D133E6">
      <w:pPr>
        <w:pStyle w:val="TEXTY"/>
        <w:sectPr w:rsidR="0023739B" w:rsidSect="006849A1">
          <w:pgSz w:w="11906" w:h="16838" w:code="9"/>
          <w:pgMar w:top="1440" w:right="1440" w:bottom="1440" w:left="1440" w:header="708" w:footer="708" w:gutter="0"/>
          <w:cols w:space="708"/>
          <w:docGrid w:linePitch="360"/>
        </w:sectPr>
      </w:pPr>
      <w:r>
        <w:t xml:space="preserve">Toyota is being careful. It aims to increase market share by selling its existing hybrid and ICE vehicles everywhere in the world. It aims to develop products via improved hybrid platforms </w:t>
      </w:r>
      <w:r>
        <w:lastRenderedPageBreak/>
        <w:t>and limited BEV development such as bZ4X SUV and bZ3 compact. Over time, the company will focus on offering more electric vehicles and mobility services, such as ride-hailing and robotics.</w:t>
      </w:r>
    </w:p>
    <w:p w14:paraId="332D43C0" w14:textId="1092E855" w:rsidR="005172C2" w:rsidRDefault="008D015B" w:rsidP="000C660E">
      <w:pPr>
        <w:pStyle w:val="Heading2"/>
        <w:numPr>
          <w:ilvl w:val="1"/>
          <w:numId w:val="1"/>
        </w:numPr>
      </w:pPr>
      <w:bookmarkStart w:id="7" w:name="_Toc225487551"/>
      <w:r w:rsidRPr="008D015B">
        <w:lastRenderedPageBreak/>
        <w:t>PESTLE Analysis (2024–2026)</w:t>
      </w:r>
      <w:bookmarkEnd w:id="7"/>
      <w:r>
        <w:t xml:space="preserve">  </w:t>
      </w:r>
    </w:p>
    <w:p w14:paraId="0E1AA16A" w14:textId="77777777" w:rsidR="009D7E92" w:rsidRDefault="009D7E92" w:rsidP="00D133E6">
      <w:pPr>
        <w:pStyle w:val="TEXTY"/>
      </w:pPr>
    </w:p>
    <w:p w14:paraId="1EE88EC6" w14:textId="0A5C32EF" w:rsidR="005537A0" w:rsidRDefault="005537A0" w:rsidP="00D133E6">
      <w:pPr>
        <w:pStyle w:val="TEXTY"/>
      </w:pPr>
      <w:r>
        <w:t>• The political environment affects the automotive market through various subsidies and regulations. American tax incentives provide EC credits to EV makers depending on the amount of local content provided in their EVs. This will benefit Tesla the most. This will benefit Toyota less as its US plants do not qualify. The ban on ICE vehicles in the EU/China by 2035 will force OEMs globally to ramp up EVs which is a future threat to Toyota’s ICE-heavy mix. Market protection is a possible outcome of trade policy. Governments are impacting on costs by enforcing battery recycling laws.</w:t>
      </w:r>
    </w:p>
    <w:p w14:paraId="109A1B24" w14:textId="77777777" w:rsidR="009D7E92" w:rsidRDefault="009D7E92" w:rsidP="00D133E6">
      <w:pPr>
        <w:pStyle w:val="TEXTY"/>
      </w:pPr>
    </w:p>
    <w:p w14:paraId="5ABA16AC" w14:textId="77777777" w:rsidR="005537A0" w:rsidRDefault="005537A0" w:rsidP="00D133E6">
      <w:pPr>
        <w:pStyle w:val="TEXTY"/>
      </w:pPr>
      <w:r>
        <w:t xml:space="preserve">• An economic slowdown in global growth dampens car sales. Due to higher rates, loans turned costly. Inflation increased the cost of steel and chips, affecting the margins. Nevertheless, declining battery prices and scale economies created by Giga factories make BEVs affordable (helps improve Tesla's cost curve and Toyota's eventual BEVs). FX also mattered: a stronger yen in 2025 moderately hurt Toyota’s overseas </w:t>
      </w:r>
      <w:proofErr w:type="gramStart"/>
      <w:r>
        <w:t>earning[</w:t>
      </w:r>
      <w:proofErr w:type="gramEnd"/>
      <w:r>
        <w:t xml:space="preserve">4] whereas a USD base insulated Tesla. Emerging markets in India remain high growth; Toyota’s local partners there and Tesla’s </w:t>
      </w:r>
      <w:proofErr w:type="spellStart"/>
      <w:r>
        <w:t>rumored</w:t>
      </w:r>
      <w:proofErr w:type="spellEnd"/>
      <w:r>
        <w:t xml:space="preserve"> India plant plan try to capture this.</w:t>
      </w:r>
    </w:p>
    <w:p w14:paraId="144CE319" w14:textId="77777777" w:rsidR="009D7E92" w:rsidRDefault="009D7E92" w:rsidP="00D133E6">
      <w:pPr>
        <w:pStyle w:val="TEXTY"/>
      </w:pPr>
    </w:p>
    <w:p w14:paraId="3004AF09" w14:textId="77777777" w:rsidR="005537A0" w:rsidRDefault="005537A0" w:rsidP="00D133E6">
      <w:pPr>
        <w:pStyle w:val="TEXTY"/>
      </w:pPr>
      <w:r>
        <w:t>• Eco-consciousness of consumers is on the rise, and they are preferring EVs. The Tesla brand appeals there. Although hybrid cars have given Toyota a “green” image, this doesn’t attract young buyers.</w:t>
      </w:r>
    </w:p>
    <w:p w14:paraId="3EBBAAFC" w14:textId="77777777" w:rsidR="005537A0" w:rsidRDefault="005537A0" w:rsidP="00D133E6">
      <w:pPr>
        <w:pStyle w:val="TEXTY"/>
      </w:pPr>
    </w:p>
    <w:p w14:paraId="721C9A33" w14:textId="77777777" w:rsidR="009D7E92" w:rsidRDefault="005537A0" w:rsidP="00D133E6">
      <w:pPr>
        <w:pStyle w:val="TEXTY"/>
      </w:pPr>
      <w:r>
        <w:t xml:space="preserve">As urbanization occurs, both compact EVs and mobility services (i.e. ride-share) more relevant, neither Tesla focuses on and Toyota is only </w:t>
      </w:r>
      <w:proofErr w:type="spellStart"/>
      <w:r>
        <w:t>trialing</w:t>
      </w:r>
      <w:proofErr w:type="spellEnd"/>
      <w:r>
        <w:t>. People believe that Tesla cars experience technical obsolescence either before or just after their warranty period whereas Toyotas last. Consumer acceptance is vital for autonomous driving. Tesla’s FSD faces scepticism and a safety incident could hurt the brand further.</w:t>
      </w:r>
    </w:p>
    <w:p w14:paraId="7F1FA525" w14:textId="77777777" w:rsidR="001F7C39" w:rsidRDefault="001F7C39" w:rsidP="00D133E6">
      <w:pPr>
        <w:pStyle w:val="TEXTY"/>
      </w:pPr>
    </w:p>
    <w:p w14:paraId="1BAEF222" w14:textId="79C2F45C" w:rsidR="009D7E92" w:rsidRDefault="005537A0" w:rsidP="00D133E6">
      <w:pPr>
        <w:pStyle w:val="TEXTY"/>
      </w:pPr>
      <w:r>
        <w:t xml:space="preserve"> •Advancements in battery energy density (</w:t>
      </w:r>
      <w:proofErr w:type="spellStart"/>
      <w:r>
        <w:t>solidstate</w:t>
      </w:r>
      <w:proofErr w:type="spellEnd"/>
      <w:r>
        <w:t xml:space="preserve"> cells) and in computing power (AI chips) are significantly changing the game.  Tesla is pouring money into its own 4680 cells and Dojo supercomputers; Toyota has partnerships (Panasonic, Asahi Kasei on batteries, etc).  In their </w:t>
      </w:r>
      <w:r>
        <w:lastRenderedPageBreak/>
        <w:t>respective quests for autonomy, Tesla is utilizing FSD software while Toyota is using its Woven Planet subsidiary. New services will be enabled by connectivity 5G/car-to-X. All EV makers will benefit from falling battery prices (BNEF estimates a ~45% drop between 2020-2025). Cyber Attacks on connected cars are a growing technology risk. They share vulnerability.</w:t>
      </w:r>
    </w:p>
    <w:p w14:paraId="409B60A9" w14:textId="60034D8D" w:rsidR="005537A0" w:rsidRDefault="005537A0" w:rsidP="00D133E6">
      <w:pPr>
        <w:pStyle w:val="TEXTY"/>
      </w:pPr>
      <w:r>
        <w:t xml:space="preserve"> •Emissions regulations (EU CO₂ targets, U.S. CAFE) penalize high CO₂ vehicles, benefiting Tesla and hybrids. Toyota made billions in the U.S. selling zero emissions credits (EV credits), this windfall may decline as rivals sell more EVs. Laws on liability for autonomous driving are still going through evolution, Tesla (FSD crashes).</w:t>
      </w:r>
    </w:p>
    <w:p w14:paraId="23D80871" w14:textId="77777777" w:rsidR="005537A0" w:rsidRDefault="005537A0" w:rsidP="00D133E6">
      <w:pPr>
        <w:pStyle w:val="TEXTY"/>
      </w:pPr>
    </w:p>
    <w:p w14:paraId="79C0312A" w14:textId="77777777" w:rsidR="001F7C39" w:rsidRDefault="005537A0" w:rsidP="00D133E6">
      <w:pPr>
        <w:pStyle w:val="TEXTY"/>
      </w:pPr>
      <w:r>
        <w:t xml:space="preserve">Most of the patents belonging to Tesla are open source, while Toyota’s intellectual property (IP) portfolio is more proprietary (e.g. hybrid drive train engines). This certainly affects how much each company can collaborate with the other. </w:t>
      </w:r>
    </w:p>
    <w:p w14:paraId="589E40E4" w14:textId="77777777" w:rsidR="001F7C39" w:rsidRDefault="001F7C39" w:rsidP="00D133E6">
      <w:pPr>
        <w:pStyle w:val="TEXTY"/>
      </w:pPr>
    </w:p>
    <w:p w14:paraId="3DB2ACA0" w14:textId="7C0F8076" w:rsidR="000C660E" w:rsidRDefault="005537A0" w:rsidP="00D133E6">
      <w:pPr>
        <w:pStyle w:val="TEXTY"/>
      </w:pPr>
      <w:r>
        <w:t xml:space="preserve">  • Environment: Both companies are under pressure to meet carbon neutrality targets.  Toyota aims to achieve net zero by the year 2050.  As a step towards this target, Toyota is serious about hydrogen fuel cells (Mirai). Tesla directly mitigates some emissions through its solar and battery storage systems. Natural disasters like floods and fires can cause numerous disruptions in our supply chain. Does it affect your production like chip plants at Japan/Taiwan? Producing batteries at higher volumes with a greater percentage of recycled content in order to lower production costs.</w:t>
      </w:r>
    </w:p>
    <w:p w14:paraId="41AA01E8" w14:textId="77777777" w:rsidR="001E757B" w:rsidRDefault="001E757B" w:rsidP="00D133E6">
      <w:pPr>
        <w:pStyle w:val="TEXTY"/>
      </w:pPr>
    </w:p>
    <w:p w14:paraId="6FA103F9" w14:textId="1E3B02C1" w:rsidR="0034669A" w:rsidRDefault="00C206E4" w:rsidP="00D133E6">
      <w:pPr>
        <w:pStyle w:val="TEXTY"/>
      </w:pPr>
      <w:r>
        <w:t xml:space="preserve">  </w:t>
      </w:r>
    </w:p>
    <w:p w14:paraId="5ADEDEE4" w14:textId="1D54FF0B" w:rsidR="001E757B" w:rsidRDefault="0034669A" w:rsidP="00D133E6">
      <w:pPr>
        <w:pStyle w:val="TEXTY"/>
      </w:pPr>
      <w:r w:rsidRPr="0034669A">
        <w:t>SWOT Analysis</w:t>
      </w:r>
    </w:p>
    <w:p w14:paraId="3C261DE0" w14:textId="46097E98" w:rsidR="00C206E4" w:rsidRPr="00BA1424" w:rsidRDefault="004D02ED" w:rsidP="00D133E6">
      <w:pPr>
        <w:pStyle w:val="TEXTY"/>
        <w:rPr>
          <w:b/>
          <w:bCs/>
          <w:sz w:val="36"/>
          <w:szCs w:val="36"/>
        </w:rPr>
      </w:pPr>
      <w:r w:rsidRPr="00BA1424">
        <w:rPr>
          <w:b/>
          <w:bCs/>
          <w:sz w:val="36"/>
          <w:szCs w:val="36"/>
        </w:rPr>
        <w:t>Tesla</w:t>
      </w:r>
    </w:p>
    <w:p w14:paraId="3D55BEC5" w14:textId="597204AE" w:rsidR="00BA1424" w:rsidRDefault="00BA1424" w:rsidP="00D133E6">
      <w:pPr>
        <w:pStyle w:val="TEXTY"/>
      </w:pPr>
      <w:r w:rsidRPr="0034453F">
        <w:rPr>
          <w:rStyle w:val="Heading4Char"/>
        </w:rPr>
        <w:t>Strengths:</w:t>
      </w:r>
      <w:r>
        <w:t xml:space="preserve"> </w:t>
      </w:r>
      <w:r w:rsidR="0034453F" w:rsidRPr="0034453F">
        <w:t>Technology leadership (batteries, software), strong brand/first-mover advantage in EVs, global supercharger network, integrated R&amp;D and manufacturing (reducing supplier dependence)</w:t>
      </w:r>
      <w:r w:rsidR="008247F2">
        <w:t xml:space="preserve"> </w:t>
      </w:r>
      <w:r w:rsidR="0034453F" w:rsidRPr="0034453F">
        <w:t>[5]. Rapid growth capability (Gigafactory expansions).</w:t>
      </w:r>
    </w:p>
    <w:p w14:paraId="7244A458" w14:textId="18079027" w:rsidR="0034453F" w:rsidRDefault="00112F81" w:rsidP="00D133E6">
      <w:pPr>
        <w:pStyle w:val="TEXTY"/>
      </w:pPr>
      <w:r>
        <w:t xml:space="preserve"> </w:t>
      </w:r>
    </w:p>
    <w:p w14:paraId="17620127" w14:textId="5E7F1184" w:rsidR="0034453F" w:rsidRDefault="00750F5A" w:rsidP="00D133E6">
      <w:pPr>
        <w:pStyle w:val="TEXTY"/>
        <w:rPr>
          <w:rStyle w:val="TEXTYChar"/>
        </w:rPr>
      </w:pPr>
      <w:r w:rsidRPr="00A74E96">
        <w:rPr>
          <w:rStyle w:val="Heading4Char"/>
        </w:rPr>
        <w:lastRenderedPageBreak/>
        <w:t>Weaknesses:</w:t>
      </w:r>
      <w:r w:rsidR="00112F81">
        <w:t xml:space="preserve"> </w:t>
      </w:r>
      <w:r w:rsidR="00112F81" w:rsidRPr="00112F81">
        <w:rPr>
          <w:rStyle w:val="TEXTYChar"/>
        </w:rPr>
        <w:t>Narrow product range (mostly high-end sedans/SUVs), early-stage Autopilot (regulatory/legal risk), quality/service complaints at scale, high debt/spend. Reliance on US/China markets (over 80% of sales).</w:t>
      </w:r>
    </w:p>
    <w:p w14:paraId="7E50EAFD" w14:textId="77777777" w:rsidR="00112F81" w:rsidRDefault="00112F81" w:rsidP="00D133E6">
      <w:pPr>
        <w:pStyle w:val="TEXTY"/>
      </w:pPr>
    </w:p>
    <w:p w14:paraId="0A48754A" w14:textId="062A7BBA" w:rsidR="00112F81" w:rsidRDefault="00B859B4" w:rsidP="00D133E6">
      <w:pPr>
        <w:pStyle w:val="TEXTY"/>
      </w:pPr>
      <w:r w:rsidRPr="00B859B4">
        <w:rPr>
          <w:rStyle w:val="Heading5Char"/>
        </w:rPr>
        <w:t xml:space="preserve">Opportunities: </w:t>
      </w:r>
      <w:r w:rsidRPr="00B859B4">
        <w:t>New models (Cyber</w:t>
      </w:r>
      <w:r>
        <w:t xml:space="preserve"> </w:t>
      </w:r>
      <w:r w:rsidRPr="00B859B4">
        <w:t>truck, Semi, Roadster) open segments; expanding in Asia/Europe; autonomous ride-hailing (robotaxi business); software/services (FSD subscriptions, insurance, energy storage). Uptake of EV-friendly policies (e.g. new EU incentives) boosts addressable market.</w:t>
      </w:r>
      <w:r w:rsidR="008247F2">
        <w:t xml:space="preserve"> </w:t>
      </w:r>
    </w:p>
    <w:p w14:paraId="7A5F9A27" w14:textId="77777777" w:rsidR="008247F2" w:rsidRDefault="008247F2" w:rsidP="00D133E6">
      <w:pPr>
        <w:pStyle w:val="TEXTY"/>
      </w:pPr>
    </w:p>
    <w:p w14:paraId="4DC544AC" w14:textId="4533894C" w:rsidR="008247F2" w:rsidRDefault="000C4C3A" w:rsidP="00D133E6">
      <w:pPr>
        <w:pStyle w:val="TEXTY"/>
        <w:rPr>
          <w:rStyle w:val="TEXTYChar"/>
        </w:rPr>
      </w:pPr>
      <w:r w:rsidRPr="000C4C3A">
        <w:rPr>
          <w:rStyle w:val="Heading5Char"/>
        </w:rPr>
        <w:t>Threats:</w:t>
      </w:r>
      <w:r>
        <w:rPr>
          <w:rStyle w:val="Heading5Char"/>
        </w:rPr>
        <w:t xml:space="preserve"> </w:t>
      </w:r>
      <w:r w:rsidRPr="000C4C3A">
        <w:t xml:space="preserve"> </w:t>
      </w:r>
      <w:r w:rsidRPr="000C4C3A">
        <w:rPr>
          <w:rStyle w:val="TEXTYChar"/>
        </w:rPr>
        <w:t>Intense competition (legacy OEMs committing $s to EVs); commodity price fluctuations (metals for batteries); stricter safety regulations; macro downturns reducing luxury vehicle demand. Autonomy regulations could slow FSD rollout.</w:t>
      </w:r>
    </w:p>
    <w:p w14:paraId="21C00310" w14:textId="77777777" w:rsidR="00D760E6" w:rsidRDefault="00D760E6" w:rsidP="00D133E6">
      <w:pPr>
        <w:pStyle w:val="TEXTY"/>
        <w:rPr>
          <w:rStyle w:val="TEXTYChar"/>
        </w:rPr>
      </w:pPr>
    </w:p>
    <w:p w14:paraId="72BB1653" w14:textId="77777777" w:rsidR="00D760E6" w:rsidRDefault="00D760E6" w:rsidP="00D760E6">
      <w:pPr>
        <w:pStyle w:val="Heading2"/>
        <w:rPr>
          <w:color w:val="000000" w:themeColor="text1"/>
          <w:sz w:val="36"/>
          <w:szCs w:val="36"/>
        </w:rPr>
      </w:pPr>
      <w:bookmarkStart w:id="8" w:name="_Toc225487552"/>
      <w:r w:rsidRPr="00D760E6">
        <w:rPr>
          <w:color w:val="000000" w:themeColor="text1"/>
          <w:sz w:val="36"/>
          <w:szCs w:val="36"/>
        </w:rPr>
        <w:t>Toyota</w:t>
      </w:r>
      <w:bookmarkEnd w:id="8"/>
    </w:p>
    <w:p w14:paraId="4BF9EFB4" w14:textId="77777777" w:rsidR="00D760E6" w:rsidRPr="00D760E6" w:rsidRDefault="00D760E6" w:rsidP="00D760E6"/>
    <w:p w14:paraId="69D05C67" w14:textId="77777777" w:rsidR="0022193B" w:rsidRDefault="006E1831" w:rsidP="0022193B">
      <w:pPr>
        <w:pStyle w:val="TEXTY"/>
      </w:pPr>
      <w:r w:rsidRPr="0034453F">
        <w:rPr>
          <w:rStyle w:val="Heading4Char"/>
        </w:rPr>
        <w:t>Strengths:</w:t>
      </w:r>
      <w:r>
        <w:rPr>
          <w:rStyle w:val="Heading4Char"/>
        </w:rPr>
        <w:t xml:space="preserve"> </w:t>
      </w:r>
      <w:r w:rsidR="0022193B">
        <w:t>Massive scale (10M+ vehicles), diversified lineup (hybrids, trucks, vans); global supply chain efficiency (Toyota Production System); strong balance sheet; brand credibility for quality. Hybrid technology lead (cited by IEA as huge global installed base).</w:t>
      </w:r>
    </w:p>
    <w:p w14:paraId="6976898C" w14:textId="77777777" w:rsidR="0022193B" w:rsidRDefault="0022193B" w:rsidP="0022193B">
      <w:pPr>
        <w:pStyle w:val="TEXTY"/>
      </w:pPr>
    </w:p>
    <w:p w14:paraId="04C6F234" w14:textId="1C8A3EE7" w:rsidR="0022193B" w:rsidRDefault="0022193B" w:rsidP="0022193B">
      <w:pPr>
        <w:pStyle w:val="TEXTY"/>
      </w:pPr>
      <w:r w:rsidRPr="00A74E96">
        <w:rPr>
          <w:rStyle w:val="Heading4Char"/>
        </w:rPr>
        <w:t>Weaknesses:</w:t>
      </w:r>
      <w:r>
        <w:t xml:space="preserve"> </w:t>
      </w:r>
      <w:r w:rsidR="00A74E96" w:rsidRPr="00A74E96">
        <w:t>Slow pivot to full EVs (few BEVs as of 2025); organizational inertia (complex management, many stakeholders); lower brand cachet in tech markets (e.g. Tesla’s fans). Lower per-unit margins on mass models. Vulnerability to fuel price swings (though hybrids mitigate).</w:t>
      </w:r>
    </w:p>
    <w:p w14:paraId="12CB4D7B" w14:textId="77777777" w:rsidR="00A74E96" w:rsidRDefault="00A74E96" w:rsidP="0022193B">
      <w:pPr>
        <w:pStyle w:val="TEXTY"/>
      </w:pPr>
    </w:p>
    <w:p w14:paraId="3CA03963" w14:textId="54D1989B" w:rsidR="00162A2D" w:rsidRDefault="00162A2D" w:rsidP="00162A2D">
      <w:pPr>
        <w:pStyle w:val="TEXTY"/>
      </w:pPr>
      <w:r w:rsidRPr="00162A2D">
        <w:rPr>
          <w:rStyle w:val="Heading4Char"/>
        </w:rPr>
        <w:t>Opportunities:</w:t>
      </w:r>
      <w:r>
        <w:t xml:space="preserve"> Leverage hybrid dominance to transition customers to PHEVs/BEVs; emerging market expansion (India venturing EV, Toyota has local partnerships); new mobility services (robotaxis, subscriptions). Hydrogen fuel cells (Mirai) as niche. Financial cushion allows aggressive R&amp;D investment if needed.</w:t>
      </w:r>
    </w:p>
    <w:p w14:paraId="4DFF7EFF" w14:textId="77777777" w:rsidR="00162A2D" w:rsidRDefault="00162A2D" w:rsidP="00162A2D">
      <w:pPr>
        <w:pStyle w:val="TEXTY"/>
      </w:pPr>
    </w:p>
    <w:p w14:paraId="645EFD9A" w14:textId="5AEEB4A3" w:rsidR="00A74E96" w:rsidRPr="001D20F7" w:rsidRDefault="00162A2D" w:rsidP="00162A2D">
      <w:pPr>
        <w:pStyle w:val="TEXTY"/>
      </w:pPr>
      <w:r w:rsidRPr="00162A2D">
        <w:rPr>
          <w:rStyle w:val="Heading4Char"/>
        </w:rPr>
        <w:lastRenderedPageBreak/>
        <w:t>Threats:</w:t>
      </w:r>
      <w:r>
        <w:t xml:space="preserve"> </w:t>
      </w:r>
      <w:r w:rsidRPr="001D20F7">
        <w:t>EV adoption surge (China/EU regulations) threatens Toyota’s ICE revenues. Profit slump if hybrids lose their “bridge” value. Internal competitors (Lexus aiming EV). Disruption in component markets (e.g. rare earths for motors). Negative perceptions if Toyota lags on climate goals.</w:t>
      </w:r>
    </w:p>
    <w:p w14:paraId="2DDE6610" w14:textId="7975D121" w:rsidR="00D760E6" w:rsidRDefault="00D760E6" w:rsidP="0022193B">
      <w:pPr>
        <w:pStyle w:val="TEXTY"/>
        <w:rPr>
          <w:rStyle w:val="TEXTYChar"/>
        </w:rPr>
      </w:pPr>
    </w:p>
    <w:p w14:paraId="1E48B122" w14:textId="258EDB84" w:rsidR="00485622" w:rsidRDefault="00DA208E" w:rsidP="00485622">
      <w:pPr>
        <w:pStyle w:val="Heading2"/>
        <w:numPr>
          <w:ilvl w:val="0"/>
          <w:numId w:val="1"/>
        </w:numPr>
      </w:pPr>
      <w:bookmarkStart w:id="9" w:name="_Toc225487553"/>
      <w:r w:rsidRPr="00DA208E">
        <w:t>Critical Evaluation</w:t>
      </w:r>
      <w:bookmarkEnd w:id="9"/>
    </w:p>
    <w:p w14:paraId="22BA077D" w14:textId="77777777" w:rsidR="00DA208E" w:rsidRDefault="00DA208E" w:rsidP="00DA208E"/>
    <w:p w14:paraId="74D9129B" w14:textId="77777777" w:rsidR="00396A4A" w:rsidRDefault="00396A4A" w:rsidP="00396A4A">
      <w:pPr>
        <w:pStyle w:val="TEXTY"/>
      </w:pPr>
      <w:r>
        <w:t>Tesla’s strategy has yielded spectacular growth, but its long-term sustainability is uncertain. The core assumption – that Tesla can continue to out-innovate incumbents – may be challenged as competitors catch up in battery range and cost. For example, VW and GM now sell EVs at lower prices in some markets. Tesla’s reliance on software (FSD) is also a gamble: if regulators mandate restrictions, its margins could suffer. An inflection point is likely when EV market penetration exceeds ~30% (projected late 2020s) and customers have many comparable EV choices; Tesla must then justify its premium via brand or unique features. Another inflection: commodity cycles. Tesla assumes battery costs will drop; if raw material prices spike, Tesla’s profitability will tighten.</w:t>
      </w:r>
    </w:p>
    <w:p w14:paraId="46ABADF5" w14:textId="5F6652E3" w:rsidR="00396A4A" w:rsidRDefault="00396A4A" w:rsidP="00396A4A">
      <w:pPr>
        <w:pStyle w:val="TEXTY"/>
      </w:pPr>
      <w:r>
        <w:t xml:space="preserve">Toyota’s strategy is more about hedging than rapid disruption. Its big bet on hybrids has kept margins steady, but it assumes a slower EV transition. This assumption could become untenable: many governments now target 2035 for ICE bans. Toyota’s challenge is </w:t>
      </w:r>
      <w:proofErr w:type="gramStart"/>
      <w:r>
        <w:t xml:space="preserve">breaking </w:t>
      </w:r>
      <w:r w:rsidR="00EF6AFA">
        <w:t xml:space="preserve"> </w:t>
      </w:r>
      <w:r>
        <w:t>sustainability</w:t>
      </w:r>
      <w:proofErr w:type="gramEnd"/>
      <w:r>
        <w:t xml:space="preserve"> of Toyota’s broad approach hinges on the timing of electrification: if EV demand doubles faster than Toyota’s 2030 plan, it may be caught unprepared (a key inflection around 2030+). Toyota’s advantage is stability: it can sustain moderate growth and absorb shocks via scale. Tesla’s advantage is agility: it can pivot quickly but also suffers from volatility (52% drop in net profit YOY, for </w:t>
      </w:r>
      <w:proofErr w:type="gramStart"/>
      <w:r>
        <w:t>example[</w:t>
      </w:r>
      <w:proofErr w:type="gramEnd"/>
      <w:r>
        <w:t>3]).</w:t>
      </w:r>
    </w:p>
    <w:p w14:paraId="756FFC64" w14:textId="313BB7D2" w:rsidR="00DA208E" w:rsidRDefault="00396A4A" w:rsidP="00396A4A">
      <w:pPr>
        <w:pStyle w:val="TEXTY"/>
      </w:pPr>
      <w:r>
        <w:t>Both companies face external uncertainties. For instance, a breakthrough in solid-state batteries could devalue Tesla’s existing tech if it lags. Conversely, Toyota’s hydrogen focus may not pay off if H2 infrastructure remains niche. Scenario analysis suggests: in a high-EV-growth future, Tesla could capture mass markets, whereas in a hybrid-blend future, Toyota stays king. Both strategies could be feasible, but complacency is dangerous. Tesla should question if luxury EVs will remain a growth engine beyond early adopters; Toyota should question whether hybrids alone can sustain it in the next decade.</w:t>
      </w:r>
      <w:r w:rsidR="00C13938">
        <w:t xml:space="preserve"> </w:t>
      </w:r>
    </w:p>
    <w:p w14:paraId="57ADDD8A" w14:textId="77777777" w:rsidR="00EF6AFA" w:rsidRDefault="00C13938" w:rsidP="00C13938">
      <w:pPr>
        <w:pStyle w:val="Heading2"/>
      </w:pPr>
      <w:bookmarkStart w:id="10" w:name="_Toc225487554"/>
      <w:r>
        <w:lastRenderedPageBreak/>
        <w:t xml:space="preserve">5.1 </w:t>
      </w:r>
      <w:r w:rsidR="00EF6AFA" w:rsidRPr="00EF6AFA">
        <w:t>Recommendations</w:t>
      </w:r>
      <w:bookmarkEnd w:id="10"/>
      <w:r w:rsidR="00EF6AFA">
        <w:t xml:space="preserve"> </w:t>
      </w:r>
    </w:p>
    <w:p w14:paraId="08E19D71" w14:textId="77777777" w:rsidR="00EF6AFA" w:rsidRDefault="00EF6AFA" w:rsidP="00EF6AFA"/>
    <w:p w14:paraId="06D8F8E9" w14:textId="77777777" w:rsidR="00EF6AFA" w:rsidRDefault="00EF6AFA" w:rsidP="00EF6AFA"/>
    <w:tbl>
      <w:tblPr>
        <w:tblStyle w:val="Table1"/>
        <w:tblW w:w="0" w:type="auto"/>
        <w:tblInd w:w="-142" w:type="dxa"/>
        <w:tblLook w:val="0020" w:firstRow="1" w:lastRow="0" w:firstColumn="0" w:lastColumn="0" w:noHBand="0" w:noVBand="0"/>
      </w:tblPr>
      <w:tblGrid>
        <w:gridCol w:w="2514"/>
        <w:gridCol w:w="2450"/>
        <w:gridCol w:w="1063"/>
        <w:gridCol w:w="1331"/>
        <w:gridCol w:w="1810"/>
      </w:tblGrid>
      <w:tr w:rsidR="005C4B48" w:rsidRPr="005C4B48" w14:paraId="175B6FC1" w14:textId="77777777" w:rsidTr="005C4B48">
        <w:trPr>
          <w:cnfStyle w:val="100000000000" w:firstRow="1" w:lastRow="0" w:firstColumn="0" w:lastColumn="0" w:oddVBand="0" w:evenVBand="0" w:oddHBand="0" w:evenHBand="0" w:firstRowFirstColumn="0" w:firstRowLastColumn="0" w:lastRowFirstColumn="0" w:lastRowLastColumn="0"/>
          <w:tblHeader/>
        </w:trPr>
        <w:tc>
          <w:tcPr>
            <w:tcW w:w="2514" w:type="dxa"/>
            <w:tcBorders>
              <w:top w:val="nil"/>
              <w:left w:val="nil"/>
              <w:right w:val="nil"/>
            </w:tcBorders>
            <w:hideMark/>
          </w:tcPr>
          <w:p w14:paraId="77281F1C" w14:textId="77777777" w:rsidR="005C4B48" w:rsidRPr="005C4B48" w:rsidRDefault="005C4B48" w:rsidP="005C4B48">
            <w:pPr>
              <w:spacing w:before="36" w:after="36"/>
            </w:pPr>
            <w:r w:rsidRPr="005C4B48">
              <w:t>Recommendation</w:t>
            </w:r>
          </w:p>
        </w:tc>
        <w:tc>
          <w:tcPr>
            <w:tcW w:w="0" w:type="auto"/>
            <w:tcBorders>
              <w:top w:val="nil"/>
              <w:left w:val="nil"/>
              <w:right w:val="nil"/>
            </w:tcBorders>
            <w:hideMark/>
          </w:tcPr>
          <w:p w14:paraId="593E75AC" w14:textId="77777777" w:rsidR="005C4B48" w:rsidRPr="005C4B48" w:rsidRDefault="005C4B48" w:rsidP="005C4B48">
            <w:pPr>
              <w:spacing w:before="36" w:after="36"/>
            </w:pPr>
            <w:r w:rsidRPr="005C4B48">
              <w:t>Rationale</w:t>
            </w:r>
          </w:p>
        </w:tc>
        <w:tc>
          <w:tcPr>
            <w:tcW w:w="0" w:type="auto"/>
            <w:tcBorders>
              <w:top w:val="nil"/>
              <w:left w:val="nil"/>
              <w:right w:val="nil"/>
            </w:tcBorders>
            <w:hideMark/>
          </w:tcPr>
          <w:p w14:paraId="4C35351B" w14:textId="77777777" w:rsidR="005C4B48" w:rsidRPr="005C4B48" w:rsidRDefault="005C4B48" w:rsidP="005C4B48">
            <w:pPr>
              <w:spacing w:before="36" w:after="36"/>
            </w:pPr>
            <w:r w:rsidRPr="005C4B48">
              <w:t>Priority</w:t>
            </w:r>
          </w:p>
        </w:tc>
        <w:tc>
          <w:tcPr>
            <w:tcW w:w="0" w:type="auto"/>
            <w:tcBorders>
              <w:top w:val="nil"/>
              <w:left w:val="nil"/>
              <w:right w:val="nil"/>
            </w:tcBorders>
            <w:hideMark/>
          </w:tcPr>
          <w:p w14:paraId="30431CAF" w14:textId="77777777" w:rsidR="005C4B48" w:rsidRPr="005C4B48" w:rsidRDefault="005C4B48" w:rsidP="005C4B48">
            <w:pPr>
              <w:spacing w:before="36" w:after="36"/>
            </w:pPr>
            <w:r w:rsidRPr="005C4B48">
              <w:t>Timeframe</w:t>
            </w:r>
          </w:p>
        </w:tc>
        <w:tc>
          <w:tcPr>
            <w:tcW w:w="0" w:type="auto"/>
            <w:tcBorders>
              <w:top w:val="nil"/>
              <w:left w:val="nil"/>
              <w:right w:val="nil"/>
            </w:tcBorders>
            <w:hideMark/>
          </w:tcPr>
          <w:p w14:paraId="19B0312E" w14:textId="77777777" w:rsidR="005C4B48" w:rsidRPr="005C4B48" w:rsidRDefault="005C4B48" w:rsidP="005C4B48">
            <w:pPr>
              <w:spacing w:before="36" w:after="36"/>
            </w:pPr>
            <w:r w:rsidRPr="005C4B48">
              <w:t>Estimated Impact</w:t>
            </w:r>
          </w:p>
        </w:tc>
      </w:tr>
      <w:tr w:rsidR="005C4B48" w:rsidRPr="005C4B48" w14:paraId="5254BFB6" w14:textId="77777777" w:rsidTr="005C4B48">
        <w:tc>
          <w:tcPr>
            <w:tcW w:w="2514" w:type="dxa"/>
            <w:hideMark/>
          </w:tcPr>
          <w:p w14:paraId="29DB01E0" w14:textId="77777777" w:rsidR="005C4B48" w:rsidRPr="005C4B48" w:rsidRDefault="005C4B48" w:rsidP="005C4B48">
            <w:pPr>
              <w:spacing w:before="36" w:after="36"/>
            </w:pPr>
            <w:r w:rsidRPr="005C4B48">
              <w:rPr>
                <w:b/>
                <w:bCs/>
              </w:rPr>
              <w:t>Tesla:</w:t>
            </w:r>
            <w:r w:rsidRPr="005C4B48">
              <w:t xml:space="preserve"> Broaden product mix (enter mass market).</w:t>
            </w:r>
          </w:p>
        </w:tc>
        <w:tc>
          <w:tcPr>
            <w:tcW w:w="0" w:type="auto"/>
            <w:hideMark/>
          </w:tcPr>
          <w:p w14:paraId="51E3C225" w14:textId="77777777" w:rsidR="005C4B48" w:rsidRPr="005C4B48" w:rsidRDefault="005C4B48" w:rsidP="005C4B48">
            <w:pPr>
              <w:spacing w:before="36" w:after="36"/>
            </w:pPr>
            <w:r w:rsidRPr="005C4B48">
              <w:t>Lower-cost models and diversification (energy, insurance) will reduce cyclical risk.</w:t>
            </w:r>
          </w:p>
        </w:tc>
        <w:tc>
          <w:tcPr>
            <w:tcW w:w="0" w:type="auto"/>
            <w:hideMark/>
          </w:tcPr>
          <w:p w14:paraId="299BE221" w14:textId="77777777" w:rsidR="005C4B48" w:rsidRPr="005C4B48" w:rsidRDefault="005C4B48" w:rsidP="005C4B48">
            <w:pPr>
              <w:spacing w:before="36" w:after="36"/>
            </w:pPr>
            <w:r w:rsidRPr="005C4B48">
              <w:t>High</w:t>
            </w:r>
          </w:p>
        </w:tc>
        <w:tc>
          <w:tcPr>
            <w:tcW w:w="0" w:type="auto"/>
            <w:hideMark/>
          </w:tcPr>
          <w:p w14:paraId="5C3ED9EA" w14:textId="77777777" w:rsidR="005C4B48" w:rsidRPr="005C4B48" w:rsidRDefault="005C4B48" w:rsidP="005C4B48">
            <w:pPr>
              <w:spacing w:before="36" w:after="36"/>
            </w:pPr>
            <w:r w:rsidRPr="005C4B48">
              <w:t>Short</w:t>
            </w:r>
          </w:p>
        </w:tc>
        <w:tc>
          <w:tcPr>
            <w:tcW w:w="0" w:type="auto"/>
            <w:hideMark/>
          </w:tcPr>
          <w:p w14:paraId="723ABC3F" w14:textId="77777777" w:rsidR="005C4B48" w:rsidRPr="005C4B48" w:rsidRDefault="005C4B48" w:rsidP="005C4B48">
            <w:pPr>
              <w:spacing w:before="36" w:after="36"/>
            </w:pPr>
            <w:r w:rsidRPr="005C4B48">
              <w:t>High (volumes↑, revenue stability)</w:t>
            </w:r>
          </w:p>
        </w:tc>
      </w:tr>
      <w:tr w:rsidR="005C4B48" w:rsidRPr="005C4B48" w14:paraId="0551FAB7" w14:textId="77777777" w:rsidTr="005C4B48">
        <w:tc>
          <w:tcPr>
            <w:tcW w:w="2514" w:type="dxa"/>
            <w:hideMark/>
          </w:tcPr>
          <w:p w14:paraId="184B88A7" w14:textId="77777777" w:rsidR="005C4B48" w:rsidRPr="005C4B48" w:rsidRDefault="005C4B48" w:rsidP="005C4B48">
            <w:pPr>
              <w:spacing w:before="36" w:after="36"/>
            </w:pPr>
            <w:r w:rsidRPr="005C4B48">
              <w:rPr>
                <w:b/>
                <w:bCs/>
              </w:rPr>
              <w:t>Tesla:</w:t>
            </w:r>
            <w:r w:rsidRPr="005C4B48">
              <w:t xml:space="preserve"> Expand global capacity (new Gigafactories).</w:t>
            </w:r>
          </w:p>
        </w:tc>
        <w:tc>
          <w:tcPr>
            <w:tcW w:w="0" w:type="auto"/>
            <w:hideMark/>
          </w:tcPr>
          <w:p w14:paraId="24C638D9" w14:textId="77777777" w:rsidR="005C4B48" w:rsidRPr="005C4B48" w:rsidRDefault="005C4B48" w:rsidP="005C4B48">
            <w:pPr>
              <w:spacing w:before="36" w:after="36"/>
            </w:pPr>
            <w:r w:rsidRPr="005C4B48">
              <w:t>Capture demand in emerging markets (e.g. India, Mexico) and hedge supply-chain bottlenecks.</w:t>
            </w:r>
          </w:p>
        </w:tc>
        <w:tc>
          <w:tcPr>
            <w:tcW w:w="0" w:type="auto"/>
            <w:hideMark/>
          </w:tcPr>
          <w:p w14:paraId="637FAFED" w14:textId="77777777" w:rsidR="005C4B48" w:rsidRPr="005C4B48" w:rsidRDefault="005C4B48" w:rsidP="005C4B48">
            <w:pPr>
              <w:spacing w:before="36" w:after="36"/>
            </w:pPr>
            <w:r w:rsidRPr="005C4B48">
              <w:t>High</w:t>
            </w:r>
          </w:p>
        </w:tc>
        <w:tc>
          <w:tcPr>
            <w:tcW w:w="0" w:type="auto"/>
            <w:hideMark/>
          </w:tcPr>
          <w:p w14:paraId="348D01CC" w14:textId="77777777" w:rsidR="005C4B48" w:rsidRPr="005C4B48" w:rsidRDefault="005C4B48" w:rsidP="005C4B48">
            <w:pPr>
              <w:spacing w:before="36" w:after="36"/>
            </w:pPr>
            <w:r w:rsidRPr="005C4B48">
              <w:t>Medium</w:t>
            </w:r>
          </w:p>
        </w:tc>
        <w:tc>
          <w:tcPr>
            <w:tcW w:w="0" w:type="auto"/>
            <w:hideMark/>
          </w:tcPr>
          <w:p w14:paraId="208ABBC3" w14:textId="77777777" w:rsidR="005C4B48" w:rsidRPr="005C4B48" w:rsidRDefault="005C4B48" w:rsidP="005C4B48">
            <w:pPr>
              <w:spacing w:before="36" w:after="36"/>
            </w:pPr>
            <w:r w:rsidRPr="005C4B48">
              <w:t>High (production↑, costs↓)</w:t>
            </w:r>
          </w:p>
        </w:tc>
      </w:tr>
      <w:tr w:rsidR="005C4B48" w:rsidRPr="005C4B48" w14:paraId="230EC3F3" w14:textId="77777777" w:rsidTr="005C4B48">
        <w:tc>
          <w:tcPr>
            <w:tcW w:w="2514" w:type="dxa"/>
            <w:hideMark/>
          </w:tcPr>
          <w:p w14:paraId="350BEDE9" w14:textId="77777777" w:rsidR="005C4B48" w:rsidRPr="005C4B48" w:rsidRDefault="005C4B48" w:rsidP="005C4B48">
            <w:pPr>
              <w:spacing w:before="36" w:after="36"/>
            </w:pPr>
            <w:r w:rsidRPr="005C4B48">
              <w:rPr>
                <w:b/>
                <w:bCs/>
              </w:rPr>
              <w:t>Tesla:</w:t>
            </w:r>
            <w:r w:rsidRPr="005C4B48">
              <w:t xml:space="preserve"> Enhance profitability (vertical integration).</w:t>
            </w:r>
          </w:p>
        </w:tc>
        <w:tc>
          <w:tcPr>
            <w:tcW w:w="0" w:type="auto"/>
            <w:hideMark/>
          </w:tcPr>
          <w:p w14:paraId="25B2DCA9" w14:textId="77777777" w:rsidR="005C4B48" w:rsidRPr="005C4B48" w:rsidRDefault="005C4B48" w:rsidP="005C4B48">
            <w:pPr>
              <w:spacing w:before="36" w:after="36"/>
            </w:pPr>
            <w:r w:rsidRPr="005C4B48">
              <w:t>Further integrate battery manufacturing (in-house) and automation to cut costs and margin risk.</w:t>
            </w:r>
          </w:p>
        </w:tc>
        <w:tc>
          <w:tcPr>
            <w:tcW w:w="0" w:type="auto"/>
            <w:hideMark/>
          </w:tcPr>
          <w:p w14:paraId="59C81124" w14:textId="77777777" w:rsidR="005C4B48" w:rsidRPr="005C4B48" w:rsidRDefault="005C4B48" w:rsidP="005C4B48">
            <w:pPr>
              <w:spacing w:before="36" w:after="36"/>
            </w:pPr>
            <w:r w:rsidRPr="005C4B48">
              <w:t>High</w:t>
            </w:r>
          </w:p>
        </w:tc>
        <w:tc>
          <w:tcPr>
            <w:tcW w:w="0" w:type="auto"/>
            <w:hideMark/>
          </w:tcPr>
          <w:p w14:paraId="6B46726F" w14:textId="77777777" w:rsidR="005C4B48" w:rsidRPr="005C4B48" w:rsidRDefault="005C4B48" w:rsidP="005C4B48">
            <w:pPr>
              <w:spacing w:before="36" w:after="36"/>
            </w:pPr>
            <w:r w:rsidRPr="005C4B48">
              <w:t>Long</w:t>
            </w:r>
          </w:p>
        </w:tc>
        <w:tc>
          <w:tcPr>
            <w:tcW w:w="0" w:type="auto"/>
            <w:hideMark/>
          </w:tcPr>
          <w:p w14:paraId="08A0FCCC" w14:textId="77777777" w:rsidR="005C4B48" w:rsidRPr="005C4B48" w:rsidRDefault="005C4B48" w:rsidP="005C4B48">
            <w:pPr>
              <w:spacing w:before="36" w:after="36"/>
            </w:pPr>
            <w:r w:rsidRPr="005C4B48">
              <w:t>High (margin↑, resilience)</w:t>
            </w:r>
          </w:p>
        </w:tc>
      </w:tr>
      <w:tr w:rsidR="005C4B48" w:rsidRPr="005C4B48" w14:paraId="0CBCC3C9" w14:textId="77777777" w:rsidTr="005C4B48">
        <w:tc>
          <w:tcPr>
            <w:tcW w:w="2514" w:type="dxa"/>
            <w:hideMark/>
          </w:tcPr>
          <w:p w14:paraId="088010B4" w14:textId="77777777" w:rsidR="005C4B48" w:rsidRPr="005C4B48" w:rsidRDefault="005C4B48" w:rsidP="005C4B48">
            <w:pPr>
              <w:spacing w:before="36" w:after="36"/>
            </w:pPr>
            <w:r w:rsidRPr="005C4B48">
              <w:rPr>
                <w:b/>
                <w:bCs/>
              </w:rPr>
              <w:t>Toyota:</w:t>
            </w:r>
            <w:r w:rsidRPr="005C4B48">
              <w:t xml:space="preserve"> Accelerate BEV development (increase R&amp;D).</w:t>
            </w:r>
          </w:p>
        </w:tc>
        <w:tc>
          <w:tcPr>
            <w:tcW w:w="0" w:type="auto"/>
            <w:hideMark/>
          </w:tcPr>
          <w:p w14:paraId="340D918C" w14:textId="77777777" w:rsidR="005C4B48" w:rsidRPr="005C4B48" w:rsidRDefault="005C4B48" w:rsidP="005C4B48">
            <w:pPr>
              <w:spacing w:before="36" w:after="36"/>
            </w:pPr>
            <w:r w:rsidRPr="005C4B48">
              <w:t>Close the technology gap and meet tightening emission targets.</w:t>
            </w:r>
          </w:p>
        </w:tc>
        <w:tc>
          <w:tcPr>
            <w:tcW w:w="0" w:type="auto"/>
            <w:hideMark/>
          </w:tcPr>
          <w:p w14:paraId="07957EA1" w14:textId="77777777" w:rsidR="005C4B48" w:rsidRPr="005C4B48" w:rsidRDefault="005C4B48" w:rsidP="005C4B48">
            <w:pPr>
              <w:spacing w:before="36" w:after="36"/>
            </w:pPr>
            <w:r w:rsidRPr="005C4B48">
              <w:t>High</w:t>
            </w:r>
          </w:p>
        </w:tc>
        <w:tc>
          <w:tcPr>
            <w:tcW w:w="0" w:type="auto"/>
            <w:hideMark/>
          </w:tcPr>
          <w:p w14:paraId="0D27A701" w14:textId="77777777" w:rsidR="005C4B48" w:rsidRPr="005C4B48" w:rsidRDefault="005C4B48" w:rsidP="005C4B48">
            <w:pPr>
              <w:spacing w:before="36" w:after="36"/>
            </w:pPr>
            <w:r w:rsidRPr="005C4B48">
              <w:t>Medium</w:t>
            </w:r>
          </w:p>
        </w:tc>
        <w:tc>
          <w:tcPr>
            <w:tcW w:w="0" w:type="auto"/>
            <w:hideMark/>
          </w:tcPr>
          <w:p w14:paraId="453E93E6" w14:textId="77777777" w:rsidR="005C4B48" w:rsidRPr="005C4B48" w:rsidRDefault="005C4B48" w:rsidP="005C4B48">
            <w:pPr>
              <w:spacing w:before="36" w:after="36"/>
            </w:pPr>
            <w:r w:rsidRPr="005C4B48">
              <w:t>High (market share↑)</w:t>
            </w:r>
          </w:p>
        </w:tc>
      </w:tr>
      <w:tr w:rsidR="005C4B48" w:rsidRPr="005C4B48" w14:paraId="1CDE3197" w14:textId="77777777" w:rsidTr="005C4B48">
        <w:tc>
          <w:tcPr>
            <w:tcW w:w="2514" w:type="dxa"/>
            <w:hideMark/>
          </w:tcPr>
          <w:p w14:paraId="40AFB8B5" w14:textId="77777777" w:rsidR="005C4B48" w:rsidRPr="005C4B48" w:rsidRDefault="005C4B48" w:rsidP="005C4B48">
            <w:pPr>
              <w:spacing w:before="36" w:after="36"/>
            </w:pPr>
            <w:r w:rsidRPr="005C4B48">
              <w:rPr>
                <w:b/>
                <w:bCs/>
              </w:rPr>
              <w:t>Toyota:</w:t>
            </w:r>
            <w:r w:rsidRPr="005C4B48">
              <w:t xml:space="preserve"> Leverage hybrids/PHEVs (bridge strategy).</w:t>
            </w:r>
          </w:p>
        </w:tc>
        <w:tc>
          <w:tcPr>
            <w:tcW w:w="0" w:type="auto"/>
            <w:hideMark/>
          </w:tcPr>
          <w:p w14:paraId="304DC48F" w14:textId="77777777" w:rsidR="005C4B48" w:rsidRPr="005C4B48" w:rsidRDefault="005C4B48" w:rsidP="005C4B48">
            <w:pPr>
              <w:spacing w:before="36" w:after="36"/>
            </w:pPr>
            <w:r w:rsidRPr="005C4B48">
              <w:t>Sustain sales growth and use hybrids to finance BEV R&amp;D while regulators adapt.</w:t>
            </w:r>
          </w:p>
        </w:tc>
        <w:tc>
          <w:tcPr>
            <w:tcW w:w="0" w:type="auto"/>
            <w:hideMark/>
          </w:tcPr>
          <w:p w14:paraId="327A5C65" w14:textId="77777777" w:rsidR="005C4B48" w:rsidRPr="005C4B48" w:rsidRDefault="005C4B48" w:rsidP="005C4B48">
            <w:pPr>
              <w:spacing w:before="36" w:after="36"/>
            </w:pPr>
            <w:r w:rsidRPr="005C4B48">
              <w:t>Medium</w:t>
            </w:r>
          </w:p>
        </w:tc>
        <w:tc>
          <w:tcPr>
            <w:tcW w:w="0" w:type="auto"/>
            <w:hideMark/>
          </w:tcPr>
          <w:p w14:paraId="1B375C3F" w14:textId="77777777" w:rsidR="005C4B48" w:rsidRPr="005C4B48" w:rsidRDefault="005C4B48" w:rsidP="005C4B48">
            <w:pPr>
              <w:spacing w:before="36" w:after="36"/>
            </w:pPr>
            <w:r w:rsidRPr="005C4B48">
              <w:t>Short</w:t>
            </w:r>
          </w:p>
        </w:tc>
        <w:tc>
          <w:tcPr>
            <w:tcW w:w="0" w:type="auto"/>
            <w:hideMark/>
          </w:tcPr>
          <w:p w14:paraId="35DA904A" w14:textId="77777777" w:rsidR="005C4B48" w:rsidRPr="005C4B48" w:rsidRDefault="005C4B48" w:rsidP="005C4B48">
            <w:pPr>
              <w:spacing w:before="36" w:after="36"/>
            </w:pPr>
            <w:r w:rsidRPr="005C4B48">
              <w:t>Medium (volume↑, carbon↓)</w:t>
            </w:r>
          </w:p>
        </w:tc>
      </w:tr>
      <w:tr w:rsidR="005C4B48" w:rsidRPr="005C4B48" w14:paraId="5C6ABEC3" w14:textId="77777777" w:rsidTr="005C4B48">
        <w:tc>
          <w:tcPr>
            <w:tcW w:w="2514" w:type="dxa"/>
            <w:hideMark/>
          </w:tcPr>
          <w:p w14:paraId="13212501" w14:textId="77777777" w:rsidR="005C4B48" w:rsidRPr="005C4B48" w:rsidRDefault="005C4B48" w:rsidP="005C4B48">
            <w:pPr>
              <w:spacing w:before="36" w:after="36"/>
            </w:pPr>
            <w:r w:rsidRPr="005C4B48">
              <w:rPr>
                <w:b/>
                <w:bCs/>
              </w:rPr>
              <w:t>Toyota:</w:t>
            </w:r>
            <w:r w:rsidRPr="005C4B48">
              <w:t xml:space="preserve"> Streamline portfolio (reduce complexity).</w:t>
            </w:r>
          </w:p>
        </w:tc>
        <w:tc>
          <w:tcPr>
            <w:tcW w:w="0" w:type="auto"/>
            <w:hideMark/>
          </w:tcPr>
          <w:p w14:paraId="79956536" w14:textId="77777777" w:rsidR="005C4B48" w:rsidRPr="005C4B48" w:rsidRDefault="005C4B48" w:rsidP="005C4B48">
            <w:pPr>
              <w:spacing w:before="36" w:after="36"/>
            </w:pPr>
            <w:r w:rsidRPr="005C4B48">
              <w:t>Focus resources on EV and core ICE models; improve agility and cost efficiency.</w:t>
            </w:r>
          </w:p>
        </w:tc>
        <w:tc>
          <w:tcPr>
            <w:tcW w:w="0" w:type="auto"/>
            <w:hideMark/>
          </w:tcPr>
          <w:p w14:paraId="7358BE40" w14:textId="77777777" w:rsidR="005C4B48" w:rsidRPr="005C4B48" w:rsidRDefault="005C4B48" w:rsidP="005C4B48">
            <w:pPr>
              <w:spacing w:before="36" w:after="36"/>
            </w:pPr>
            <w:r w:rsidRPr="005C4B48">
              <w:t>Medium</w:t>
            </w:r>
          </w:p>
        </w:tc>
        <w:tc>
          <w:tcPr>
            <w:tcW w:w="0" w:type="auto"/>
            <w:hideMark/>
          </w:tcPr>
          <w:p w14:paraId="2E87A459" w14:textId="77777777" w:rsidR="005C4B48" w:rsidRPr="005C4B48" w:rsidRDefault="005C4B48" w:rsidP="005C4B48">
            <w:pPr>
              <w:spacing w:before="36" w:after="36"/>
            </w:pPr>
            <w:r w:rsidRPr="005C4B48">
              <w:t>Long</w:t>
            </w:r>
          </w:p>
        </w:tc>
        <w:tc>
          <w:tcPr>
            <w:tcW w:w="0" w:type="auto"/>
            <w:hideMark/>
          </w:tcPr>
          <w:p w14:paraId="24B8B0FE" w14:textId="77777777" w:rsidR="005C4B48" w:rsidRPr="005C4B48" w:rsidRDefault="005C4B48" w:rsidP="005C4B48">
            <w:pPr>
              <w:spacing w:before="36" w:after="36"/>
            </w:pPr>
            <w:r w:rsidRPr="005C4B48">
              <w:t>Medium (cost↓, speed↑)</w:t>
            </w:r>
          </w:p>
        </w:tc>
      </w:tr>
      <w:tr w:rsidR="005C4B48" w:rsidRPr="005C4B48" w14:paraId="73F4ECB3" w14:textId="77777777" w:rsidTr="005C4B48">
        <w:tc>
          <w:tcPr>
            <w:tcW w:w="2514" w:type="dxa"/>
            <w:hideMark/>
          </w:tcPr>
          <w:p w14:paraId="06252B6A" w14:textId="77777777" w:rsidR="005C4B48" w:rsidRPr="005C4B48" w:rsidRDefault="005C4B48" w:rsidP="005C4B48">
            <w:pPr>
              <w:spacing w:before="36" w:after="36"/>
            </w:pPr>
            <w:r w:rsidRPr="005C4B48">
              <w:rPr>
                <w:b/>
                <w:bCs/>
              </w:rPr>
              <w:t>Both:</w:t>
            </w:r>
            <w:r w:rsidRPr="005C4B48">
              <w:t xml:space="preserve"> Invest in charging infrastructure (collaborate).</w:t>
            </w:r>
          </w:p>
        </w:tc>
        <w:tc>
          <w:tcPr>
            <w:tcW w:w="0" w:type="auto"/>
            <w:hideMark/>
          </w:tcPr>
          <w:p w14:paraId="5AFF3C8D" w14:textId="77777777" w:rsidR="005C4B48" w:rsidRPr="005C4B48" w:rsidRDefault="005C4B48" w:rsidP="005C4B48">
            <w:pPr>
              <w:spacing w:before="36" w:after="36"/>
            </w:pPr>
            <w:r w:rsidRPr="005C4B48">
              <w:t>Ensure customer convenience; potentially share costs (e.g. Tesla Superchargers vs public chargers).</w:t>
            </w:r>
          </w:p>
        </w:tc>
        <w:tc>
          <w:tcPr>
            <w:tcW w:w="0" w:type="auto"/>
            <w:hideMark/>
          </w:tcPr>
          <w:p w14:paraId="0CC2CC29" w14:textId="77777777" w:rsidR="005C4B48" w:rsidRPr="005C4B48" w:rsidRDefault="005C4B48" w:rsidP="005C4B48">
            <w:pPr>
              <w:spacing w:before="36" w:after="36"/>
            </w:pPr>
            <w:r w:rsidRPr="005C4B48">
              <w:t>Medium</w:t>
            </w:r>
          </w:p>
        </w:tc>
        <w:tc>
          <w:tcPr>
            <w:tcW w:w="0" w:type="auto"/>
            <w:hideMark/>
          </w:tcPr>
          <w:p w14:paraId="281EF9B1" w14:textId="77777777" w:rsidR="005C4B48" w:rsidRPr="005C4B48" w:rsidRDefault="005C4B48" w:rsidP="005C4B48">
            <w:pPr>
              <w:spacing w:before="36" w:after="36"/>
            </w:pPr>
            <w:r w:rsidRPr="005C4B48">
              <w:t>Medium</w:t>
            </w:r>
          </w:p>
        </w:tc>
        <w:tc>
          <w:tcPr>
            <w:tcW w:w="0" w:type="auto"/>
            <w:hideMark/>
          </w:tcPr>
          <w:p w14:paraId="475DC900" w14:textId="77777777" w:rsidR="005C4B48" w:rsidRPr="005C4B48" w:rsidRDefault="005C4B48" w:rsidP="005C4B48">
            <w:pPr>
              <w:spacing w:before="36" w:after="36"/>
            </w:pPr>
            <w:r w:rsidRPr="005C4B48">
              <w:t>Medium (adoption↑)</w:t>
            </w:r>
          </w:p>
        </w:tc>
      </w:tr>
      <w:tr w:rsidR="005C4B48" w:rsidRPr="005C4B48" w14:paraId="061E2F30" w14:textId="77777777" w:rsidTr="005C4B48">
        <w:tc>
          <w:tcPr>
            <w:tcW w:w="2514" w:type="dxa"/>
            <w:hideMark/>
          </w:tcPr>
          <w:p w14:paraId="162977DB" w14:textId="77777777" w:rsidR="005C4B48" w:rsidRPr="005C4B48" w:rsidRDefault="005C4B48" w:rsidP="005C4B48">
            <w:pPr>
              <w:spacing w:before="36" w:after="36"/>
            </w:pPr>
            <w:r w:rsidRPr="005C4B48">
              <w:rPr>
                <w:b/>
                <w:bCs/>
              </w:rPr>
              <w:lastRenderedPageBreak/>
              <w:t>Both:</w:t>
            </w:r>
            <w:r w:rsidRPr="005C4B48">
              <w:t xml:space="preserve"> Strengthen sustainability commitments.</w:t>
            </w:r>
          </w:p>
        </w:tc>
        <w:tc>
          <w:tcPr>
            <w:tcW w:w="0" w:type="auto"/>
            <w:hideMark/>
          </w:tcPr>
          <w:p w14:paraId="4FE7C488" w14:textId="77777777" w:rsidR="005C4B48" w:rsidRPr="005C4B48" w:rsidRDefault="005C4B48" w:rsidP="005C4B48">
            <w:pPr>
              <w:spacing w:before="36" w:after="36"/>
            </w:pPr>
            <w:r w:rsidRPr="005C4B48">
              <w:t>Address regulatory &amp; consumer demands (renewables for factories, recycling programs).</w:t>
            </w:r>
          </w:p>
        </w:tc>
        <w:tc>
          <w:tcPr>
            <w:tcW w:w="0" w:type="auto"/>
            <w:hideMark/>
          </w:tcPr>
          <w:p w14:paraId="096B632F" w14:textId="77777777" w:rsidR="005C4B48" w:rsidRPr="005C4B48" w:rsidRDefault="005C4B48" w:rsidP="005C4B48">
            <w:pPr>
              <w:spacing w:before="36" w:after="36"/>
            </w:pPr>
            <w:r w:rsidRPr="005C4B48">
              <w:t>Low</w:t>
            </w:r>
          </w:p>
        </w:tc>
        <w:tc>
          <w:tcPr>
            <w:tcW w:w="0" w:type="auto"/>
            <w:hideMark/>
          </w:tcPr>
          <w:p w14:paraId="77C8CA60" w14:textId="77777777" w:rsidR="005C4B48" w:rsidRPr="005C4B48" w:rsidRDefault="005C4B48" w:rsidP="005C4B48">
            <w:pPr>
              <w:spacing w:before="36" w:after="36"/>
            </w:pPr>
            <w:r w:rsidRPr="005C4B48">
              <w:t>Long</w:t>
            </w:r>
          </w:p>
        </w:tc>
        <w:tc>
          <w:tcPr>
            <w:tcW w:w="0" w:type="auto"/>
            <w:hideMark/>
          </w:tcPr>
          <w:p w14:paraId="6D08CFF1" w14:textId="77777777" w:rsidR="005C4B48" w:rsidRPr="005C4B48" w:rsidRDefault="005C4B48" w:rsidP="005C4B48">
            <w:pPr>
              <w:spacing w:before="36" w:after="36"/>
            </w:pPr>
            <w:r w:rsidRPr="005C4B48">
              <w:t>Low (brand goodwill)</w:t>
            </w:r>
          </w:p>
        </w:tc>
      </w:tr>
    </w:tbl>
    <w:p w14:paraId="4F0507CC" w14:textId="77777777" w:rsidR="005C4B48" w:rsidRPr="005C4B48" w:rsidRDefault="005C4B48" w:rsidP="005C4B48">
      <w:pPr>
        <w:keepNext/>
        <w:keepLines/>
        <w:spacing w:before="160" w:after="80"/>
        <w:outlineLvl w:val="1"/>
        <w:rPr>
          <w:rFonts w:ascii="Aptos Display" w:eastAsia="Times New Roman" w:hAnsi="Aptos Display"/>
          <w:color w:val="0F4761"/>
          <w:sz w:val="32"/>
          <w:szCs w:val="32"/>
        </w:rPr>
      </w:pPr>
      <w:bookmarkStart w:id="11" w:name="strategy-comparison"/>
      <w:bookmarkStart w:id="12" w:name="_Toc225487555"/>
      <w:r w:rsidRPr="005C4B48">
        <w:rPr>
          <w:rFonts w:ascii="Aptos Display" w:eastAsia="Times New Roman" w:hAnsi="Aptos Display"/>
          <w:color w:val="0F4761"/>
          <w:sz w:val="32"/>
          <w:szCs w:val="32"/>
        </w:rPr>
        <w:t>Strategy Comparison</w:t>
      </w:r>
      <w:bookmarkEnd w:id="12"/>
    </w:p>
    <w:tbl>
      <w:tblPr>
        <w:tblStyle w:val="Table1"/>
        <w:tblW w:w="0" w:type="auto"/>
        <w:tblInd w:w="0" w:type="dxa"/>
        <w:tblLook w:val="0020" w:firstRow="1" w:lastRow="0" w:firstColumn="0" w:lastColumn="0" w:noHBand="0" w:noVBand="0"/>
      </w:tblPr>
      <w:tblGrid>
        <w:gridCol w:w="1224"/>
        <w:gridCol w:w="2280"/>
        <w:gridCol w:w="1471"/>
        <w:gridCol w:w="2285"/>
        <w:gridCol w:w="1766"/>
      </w:tblGrid>
      <w:tr w:rsidR="005C4B48" w:rsidRPr="005C4B48" w14:paraId="1E7E7ED9" w14:textId="77777777">
        <w:trPr>
          <w:cnfStyle w:val="100000000000" w:firstRow="1" w:lastRow="0" w:firstColumn="0" w:lastColumn="0" w:oddVBand="0" w:evenVBand="0" w:oddHBand="0" w:evenHBand="0" w:firstRowFirstColumn="0" w:firstRowLastColumn="0" w:lastRowFirstColumn="0" w:lastRowLastColumn="0"/>
          <w:tblHeader/>
        </w:trPr>
        <w:tc>
          <w:tcPr>
            <w:tcW w:w="0" w:type="auto"/>
            <w:tcBorders>
              <w:top w:val="nil"/>
              <w:left w:val="nil"/>
              <w:right w:val="nil"/>
            </w:tcBorders>
            <w:hideMark/>
          </w:tcPr>
          <w:p w14:paraId="0F090244" w14:textId="77777777" w:rsidR="005C4B48" w:rsidRPr="005C4B48" w:rsidRDefault="005C4B48" w:rsidP="005C4B48">
            <w:pPr>
              <w:spacing w:before="36" w:after="36"/>
            </w:pPr>
            <w:r w:rsidRPr="005C4B48">
              <w:t>Company</w:t>
            </w:r>
          </w:p>
        </w:tc>
        <w:tc>
          <w:tcPr>
            <w:tcW w:w="0" w:type="auto"/>
            <w:tcBorders>
              <w:top w:val="nil"/>
              <w:left w:val="nil"/>
              <w:right w:val="nil"/>
            </w:tcBorders>
            <w:hideMark/>
          </w:tcPr>
          <w:p w14:paraId="67A8A66B" w14:textId="77777777" w:rsidR="005C4B48" w:rsidRPr="005C4B48" w:rsidRDefault="005C4B48" w:rsidP="005C4B48">
            <w:pPr>
              <w:spacing w:before="36" w:after="36"/>
            </w:pPr>
            <w:r w:rsidRPr="005C4B48">
              <w:t>Strategy</w:t>
            </w:r>
          </w:p>
        </w:tc>
        <w:tc>
          <w:tcPr>
            <w:tcW w:w="0" w:type="auto"/>
            <w:tcBorders>
              <w:top w:val="nil"/>
              <w:left w:val="nil"/>
              <w:right w:val="nil"/>
            </w:tcBorders>
            <w:hideMark/>
          </w:tcPr>
          <w:p w14:paraId="4C054E28" w14:textId="77777777" w:rsidR="005C4B48" w:rsidRPr="005C4B48" w:rsidRDefault="005C4B48" w:rsidP="005C4B48">
            <w:pPr>
              <w:spacing w:before="36" w:after="36"/>
            </w:pPr>
            <w:r w:rsidRPr="005C4B48">
              <w:t>Strength</w:t>
            </w:r>
          </w:p>
        </w:tc>
        <w:tc>
          <w:tcPr>
            <w:tcW w:w="0" w:type="auto"/>
            <w:tcBorders>
              <w:top w:val="nil"/>
              <w:left w:val="nil"/>
              <w:right w:val="nil"/>
            </w:tcBorders>
            <w:hideMark/>
          </w:tcPr>
          <w:p w14:paraId="029434F8" w14:textId="77777777" w:rsidR="005C4B48" w:rsidRPr="005C4B48" w:rsidRDefault="005C4B48" w:rsidP="005C4B48">
            <w:pPr>
              <w:spacing w:before="36" w:after="36"/>
            </w:pPr>
            <w:r w:rsidRPr="005C4B48">
              <w:t>Risk</w:t>
            </w:r>
          </w:p>
        </w:tc>
        <w:tc>
          <w:tcPr>
            <w:tcW w:w="0" w:type="auto"/>
            <w:tcBorders>
              <w:top w:val="nil"/>
              <w:left w:val="nil"/>
              <w:right w:val="nil"/>
            </w:tcBorders>
            <w:hideMark/>
          </w:tcPr>
          <w:p w14:paraId="0AC0B8CE" w14:textId="77777777" w:rsidR="005C4B48" w:rsidRPr="005C4B48" w:rsidRDefault="005C4B48" w:rsidP="005C4B48">
            <w:pPr>
              <w:spacing w:before="36" w:after="36"/>
            </w:pPr>
            <w:r w:rsidRPr="005C4B48">
              <w:t>Future Outlook</w:t>
            </w:r>
          </w:p>
        </w:tc>
      </w:tr>
      <w:tr w:rsidR="005C4B48" w:rsidRPr="005C4B48" w14:paraId="63AE1B84" w14:textId="77777777">
        <w:tc>
          <w:tcPr>
            <w:tcW w:w="0" w:type="auto"/>
            <w:hideMark/>
          </w:tcPr>
          <w:p w14:paraId="75D5044A" w14:textId="77777777" w:rsidR="005C4B48" w:rsidRPr="005C4B48" w:rsidRDefault="005C4B48" w:rsidP="005C4B48">
            <w:pPr>
              <w:spacing w:before="36" w:after="36"/>
            </w:pPr>
            <w:r w:rsidRPr="005C4B48">
              <w:rPr>
                <w:b/>
                <w:bCs/>
              </w:rPr>
              <w:t>Tesla</w:t>
            </w:r>
          </w:p>
        </w:tc>
        <w:tc>
          <w:tcPr>
            <w:tcW w:w="0" w:type="auto"/>
            <w:hideMark/>
          </w:tcPr>
          <w:p w14:paraId="0812880E" w14:textId="77777777" w:rsidR="005C4B48" w:rsidRPr="005C4B48" w:rsidRDefault="005C4B48" w:rsidP="005C4B48">
            <w:pPr>
              <w:spacing w:before="36" w:after="36"/>
            </w:pPr>
            <w:r w:rsidRPr="005C4B48">
              <w:t>Differentiation (tech-driven EV leader)</w:t>
            </w:r>
          </w:p>
        </w:tc>
        <w:tc>
          <w:tcPr>
            <w:tcW w:w="0" w:type="auto"/>
            <w:hideMark/>
          </w:tcPr>
          <w:p w14:paraId="49FA3204" w14:textId="77777777" w:rsidR="005C4B48" w:rsidRPr="005C4B48" w:rsidRDefault="005C4B48" w:rsidP="005C4B48">
            <w:pPr>
              <w:spacing w:before="36" w:after="36"/>
            </w:pPr>
            <w:r w:rsidRPr="005C4B48">
              <w:t>Innovative EV/AI tech; strong brand; integrated supply chain</w:t>
            </w:r>
            <w:hyperlink r:id="rId13" w:anchor=":~:text=Research%20and%20development%246%2C411%C2%A0%244%2C540%C2%A0%243%2C969%C2%A0%241%2C871%C2%A041%C2%A0,4" w:history="1">
              <w:r w:rsidRPr="005C4B48">
                <w:rPr>
                  <w:color w:val="156082"/>
                  <w:u w:val="single"/>
                </w:rPr>
                <w:t>[5]</w:t>
              </w:r>
            </w:hyperlink>
            <w:r w:rsidRPr="005C4B48">
              <w:t>.</w:t>
            </w:r>
          </w:p>
        </w:tc>
        <w:tc>
          <w:tcPr>
            <w:tcW w:w="0" w:type="auto"/>
            <w:hideMark/>
          </w:tcPr>
          <w:p w14:paraId="1E5D8E62" w14:textId="77777777" w:rsidR="005C4B48" w:rsidRPr="005C4B48" w:rsidRDefault="005C4B48" w:rsidP="005C4B48">
            <w:pPr>
              <w:spacing w:before="36" w:after="36"/>
            </w:pPr>
            <w:r w:rsidRPr="005C4B48">
              <w:t>Market volatility; narrow product lineup; regulatory hurdles (autonomy).</w:t>
            </w:r>
          </w:p>
        </w:tc>
        <w:tc>
          <w:tcPr>
            <w:tcW w:w="0" w:type="auto"/>
            <w:hideMark/>
          </w:tcPr>
          <w:p w14:paraId="062C11A8" w14:textId="77777777" w:rsidR="005C4B48" w:rsidRPr="005C4B48" w:rsidRDefault="005C4B48" w:rsidP="005C4B48">
            <w:pPr>
              <w:spacing w:before="36" w:after="36"/>
            </w:pPr>
            <w:r w:rsidRPr="005C4B48">
              <w:t>Growth if it maintains tech edge; must fend off competitors as EV market matures.</w:t>
            </w:r>
          </w:p>
        </w:tc>
      </w:tr>
      <w:tr w:rsidR="005C4B48" w:rsidRPr="005C4B48" w14:paraId="577E56D3" w14:textId="77777777">
        <w:tc>
          <w:tcPr>
            <w:tcW w:w="0" w:type="auto"/>
            <w:hideMark/>
          </w:tcPr>
          <w:p w14:paraId="29628DB7" w14:textId="77777777" w:rsidR="005C4B48" w:rsidRPr="005C4B48" w:rsidRDefault="005C4B48" w:rsidP="005C4B48">
            <w:pPr>
              <w:spacing w:before="36" w:after="36"/>
            </w:pPr>
            <w:r w:rsidRPr="005C4B48">
              <w:rPr>
                <w:b/>
                <w:bCs/>
              </w:rPr>
              <w:t>Toyota</w:t>
            </w:r>
          </w:p>
        </w:tc>
        <w:tc>
          <w:tcPr>
            <w:tcW w:w="0" w:type="auto"/>
            <w:hideMark/>
          </w:tcPr>
          <w:p w14:paraId="44E37B80" w14:textId="77777777" w:rsidR="005C4B48" w:rsidRPr="005C4B48" w:rsidRDefault="005C4B48" w:rsidP="005C4B48">
            <w:pPr>
              <w:spacing w:before="36" w:after="36"/>
            </w:pPr>
            <w:r w:rsidRPr="005C4B48">
              <w:t>Broad differentiation/cost leadership</w:t>
            </w:r>
          </w:p>
        </w:tc>
        <w:tc>
          <w:tcPr>
            <w:tcW w:w="0" w:type="auto"/>
            <w:hideMark/>
          </w:tcPr>
          <w:p w14:paraId="6605A50E" w14:textId="77777777" w:rsidR="005C4B48" w:rsidRPr="005C4B48" w:rsidRDefault="005C4B48" w:rsidP="005C4B48">
            <w:pPr>
              <w:spacing w:before="36" w:after="36"/>
            </w:pPr>
            <w:r w:rsidRPr="005C4B48">
              <w:t>Massive scale (11M units)</w:t>
            </w:r>
            <w:hyperlink r:id="rId14" w:anchor=":~:text=Looking%20at%20full,in%20America" w:history="1">
              <w:r w:rsidRPr="005C4B48">
                <w:rPr>
                  <w:color w:val="156082"/>
                  <w:u w:val="single"/>
                </w:rPr>
                <w:t>[2]</w:t>
              </w:r>
            </w:hyperlink>
            <w:r w:rsidRPr="005C4B48">
              <w:t>; hybrid expertise; global reach.</w:t>
            </w:r>
          </w:p>
        </w:tc>
        <w:tc>
          <w:tcPr>
            <w:tcW w:w="0" w:type="auto"/>
            <w:hideMark/>
          </w:tcPr>
          <w:p w14:paraId="0199F5D6" w14:textId="77777777" w:rsidR="005C4B48" w:rsidRPr="005C4B48" w:rsidRDefault="005C4B48" w:rsidP="005C4B48">
            <w:pPr>
              <w:spacing w:before="36" w:after="36"/>
            </w:pPr>
            <w:r w:rsidRPr="005C4B48">
              <w:t>Late EV pivot; complexity of operations; risk of disintermediation by EV-only brands.</w:t>
            </w:r>
          </w:p>
        </w:tc>
        <w:tc>
          <w:tcPr>
            <w:tcW w:w="0" w:type="auto"/>
            <w:hideMark/>
          </w:tcPr>
          <w:p w14:paraId="0A78CDDD" w14:textId="77777777" w:rsidR="005C4B48" w:rsidRPr="005C4B48" w:rsidRDefault="005C4B48" w:rsidP="005C4B48">
            <w:pPr>
              <w:spacing w:before="36" w:after="36"/>
            </w:pPr>
            <w:r w:rsidRPr="005C4B48">
              <w:t>Likely to remain volume leader, but success depends on how quickly it electrifies its lineup.</w:t>
            </w:r>
          </w:p>
        </w:tc>
        <w:bookmarkEnd w:id="11"/>
      </w:tr>
    </w:tbl>
    <w:p w14:paraId="1272F7C9" w14:textId="77777777" w:rsidR="00EF6AFA" w:rsidRDefault="00EF6AFA" w:rsidP="00EF6AFA"/>
    <w:p w14:paraId="7BF7619B" w14:textId="77777777" w:rsidR="007F1930" w:rsidRDefault="007F1930" w:rsidP="00EF6AFA"/>
    <w:p w14:paraId="2D05E233" w14:textId="77777777" w:rsidR="007F1930" w:rsidRDefault="007F1930" w:rsidP="00EF6AFA"/>
    <w:p w14:paraId="4A7FCDEB" w14:textId="77777777" w:rsidR="007F1930" w:rsidRDefault="007F1930" w:rsidP="00EF6AFA"/>
    <w:p w14:paraId="68047F55" w14:textId="77777777" w:rsidR="007F1930" w:rsidRDefault="007F1930" w:rsidP="00EF6AFA"/>
    <w:p w14:paraId="34C6D285" w14:textId="77777777" w:rsidR="007F1930" w:rsidRDefault="007F1930" w:rsidP="00506558">
      <w:pPr>
        <w:pStyle w:val="Heading2"/>
        <w:numPr>
          <w:ilvl w:val="0"/>
          <w:numId w:val="1"/>
        </w:numPr>
      </w:pPr>
      <w:bookmarkStart w:id="13" w:name="_Toc225487556"/>
      <w:r w:rsidRPr="007F1930">
        <w:t>Figures and Chart Instructions</w:t>
      </w:r>
      <w:bookmarkEnd w:id="13"/>
    </w:p>
    <w:p w14:paraId="529955CF" w14:textId="77777777" w:rsidR="00506558" w:rsidRDefault="00506558" w:rsidP="00506558"/>
    <w:p w14:paraId="77008882" w14:textId="0F231B0F" w:rsidR="00506558" w:rsidRPr="006E6F03" w:rsidRDefault="006E6F03" w:rsidP="00506558">
      <w:pPr>
        <w:rPr>
          <w:rStyle w:val="TEXTYChar"/>
        </w:rPr>
      </w:pPr>
      <w:r w:rsidRPr="006E6F03">
        <w:t>•</w:t>
      </w:r>
      <w:r w:rsidRPr="006E6F03">
        <w:tab/>
      </w:r>
      <w:r w:rsidRPr="006E6F03">
        <w:rPr>
          <w:rStyle w:val="TEXTYChar"/>
        </w:rPr>
        <w:t>Global Market Share Trend (2018–2025): Table below provides Tesla vs Toyota shares. To visualize, plot Year on X-axis, Share (%) on Y-axis as a line chart.</w:t>
      </w:r>
    </w:p>
    <w:p w14:paraId="018BA0A4" w14:textId="77777777" w:rsidR="00506558" w:rsidRDefault="00A53DB1" w:rsidP="00506558">
      <w:r>
        <w:rPr>
          <w:noProof/>
          <w14:ligatures w14:val="standardContextual"/>
        </w:rPr>
        <w:lastRenderedPageBreak/>
        <w:drawing>
          <wp:inline distT="0" distB="0" distL="0" distR="0" wp14:anchorId="385D7809" wp14:editId="37FC9298">
            <wp:extent cx="5138938" cy="4160528"/>
            <wp:effectExtent l="0" t="0" r="5080" b="0"/>
            <wp:docPr id="15714715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471559" name="Picture 1571471559"/>
                    <pic:cNvPicPr/>
                  </pic:nvPicPr>
                  <pic:blipFill>
                    <a:blip r:embed="rId15">
                      <a:extLst>
                        <a:ext uri="{28A0092B-C50C-407E-A947-70E740481C1C}">
                          <a14:useLocalDpi xmlns:a14="http://schemas.microsoft.com/office/drawing/2010/main" val="0"/>
                        </a:ext>
                      </a:extLst>
                    </a:blip>
                    <a:stretch>
                      <a:fillRect/>
                    </a:stretch>
                  </pic:blipFill>
                  <pic:spPr>
                    <a:xfrm>
                      <a:off x="0" y="0"/>
                      <a:ext cx="5138938" cy="4160528"/>
                    </a:xfrm>
                    <a:prstGeom prst="rect">
                      <a:avLst/>
                    </a:prstGeom>
                  </pic:spPr>
                </pic:pic>
              </a:graphicData>
            </a:graphic>
          </wp:inline>
        </w:drawing>
      </w:r>
    </w:p>
    <w:p w14:paraId="2A746650" w14:textId="77777777" w:rsidR="0009190D" w:rsidRDefault="0009190D" w:rsidP="00506558"/>
    <w:p w14:paraId="01E1E123" w14:textId="4A42C3BA" w:rsidR="0009190D" w:rsidRDefault="0097258F" w:rsidP="005D5170">
      <w:pPr>
        <w:pStyle w:val="Heading2"/>
      </w:pPr>
      <w:bookmarkStart w:id="14" w:name="_Toc225487557"/>
      <w:r>
        <w:rPr>
          <w:rStyle w:val="Heading2Char"/>
        </w:rPr>
        <w:t xml:space="preserve">6.1 </w:t>
      </w:r>
      <w:r w:rsidR="00C05A7B" w:rsidRPr="00C05A7B">
        <w:rPr>
          <w:rStyle w:val="Heading2Char"/>
        </w:rPr>
        <w:t>EV vs ICE Sales (Scatter):</w:t>
      </w:r>
      <w:r w:rsidR="00C05A7B" w:rsidRPr="00C05A7B">
        <w:t xml:space="preserve"> We compare Tesla’s and Toyota’s sales profiles.</w:t>
      </w:r>
      <w:bookmarkEnd w:id="14"/>
    </w:p>
    <w:p w14:paraId="1957D0FA" w14:textId="77777777" w:rsidR="00AD47B8" w:rsidRDefault="00AD47B8" w:rsidP="00AD47B8">
      <w:pPr>
        <w:pStyle w:val="ListParagraph"/>
      </w:pPr>
    </w:p>
    <w:p w14:paraId="4D01E21E" w14:textId="77777777" w:rsidR="00AD47B8" w:rsidRDefault="00AD47B8" w:rsidP="00AD47B8">
      <w:pPr>
        <w:pStyle w:val="ListParagraph"/>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19"/>
        <w:gridCol w:w="2101"/>
        <w:gridCol w:w="3090"/>
      </w:tblGrid>
      <w:tr w:rsidR="0014480B" w:rsidRPr="0014480B" w14:paraId="54FC2B16"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6228444" w14:textId="77777777" w:rsidR="0014480B" w:rsidRPr="0014480B" w:rsidRDefault="0014480B" w:rsidP="0014480B">
            <w:pPr>
              <w:pStyle w:val="ListParagraph"/>
              <w:rPr>
                <w:lang w:val="en-IN"/>
              </w:rPr>
            </w:pPr>
            <w:r w:rsidRPr="0014480B">
              <w:rPr>
                <w:b/>
                <w:bCs/>
                <w:lang w:val="en-IN"/>
              </w:rPr>
              <w:t>Metric</w:t>
            </w:r>
          </w:p>
        </w:tc>
        <w:tc>
          <w:tcPr>
            <w:tcW w:w="0" w:type="auto"/>
            <w:tcBorders>
              <w:top w:val="single" w:sz="6" w:space="0" w:color="auto"/>
              <w:left w:val="single" w:sz="6" w:space="0" w:color="auto"/>
              <w:bottom w:val="single" w:sz="6" w:space="0" w:color="auto"/>
              <w:right w:val="single" w:sz="6" w:space="0" w:color="auto"/>
            </w:tcBorders>
            <w:vAlign w:val="center"/>
            <w:hideMark/>
          </w:tcPr>
          <w:p w14:paraId="6538FD1E" w14:textId="77777777" w:rsidR="0014480B" w:rsidRPr="0014480B" w:rsidRDefault="0014480B" w:rsidP="0014480B">
            <w:pPr>
              <w:pStyle w:val="ListParagraph"/>
              <w:rPr>
                <w:lang w:val="en-IN"/>
              </w:rPr>
            </w:pPr>
            <w:r w:rsidRPr="0014480B">
              <w:rPr>
                <w:b/>
                <w:bCs/>
                <w:lang w:val="en-IN"/>
              </w:rPr>
              <w:t>Tesla</w:t>
            </w:r>
          </w:p>
        </w:tc>
        <w:tc>
          <w:tcPr>
            <w:tcW w:w="0" w:type="auto"/>
            <w:tcBorders>
              <w:top w:val="single" w:sz="6" w:space="0" w:color="auto"/>
              <w:left w:val="single" w:sz="6" w:space="0" w:color="auto"/>
              <w:bottom w:val="single" w:sz="6" w:space="0" w:color="auto"/>
              <w:right w:val="single" w:sz="6" w:space="0" w:color="auto"/>
            </w:tcBorders>
            <w:vAlign w:val="center"/>
            <w:hideMark/>
          </w:tcPr>
          <w:p w14:paraId="56534EA0" w14:textId="77777777" w:rsidR="0014480B" w:rsidRPr="0014480B" w:rsidRDefault="0014480B" w:rsidP="0014480B">
            <w:pPr>
              <w:pStyle w:val="ListParagraph"/>
              <w:rPr>
                <w:lang w:val="en-IN"/>
              </w:rPr>
            </w:pPr>
            <w:r w:rsidRPr="0014480B">
              <w:rPr>
                <w:b/>
                <w:bCs/>
                <w:lang w:val="en-IN"/>
              </w:rPr>
              <w:t>Toyota</w:t>
            </w:r>
          </w:p>
        </w:tc>
      </w:tr>
      <w:tr w:rsidR="0014480B" w:rsidRPr="0014480B" w14:paraId="3CE190E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90DD876" w14:textId="77777777" w:rsidR="0014480B" w:rsidRPr="0014480B" w:rsidRDefault="0014480B" w:rsidP="0014480B">
            <w:pPr>
              <w:pStyle w:val="ListParagraph"/>
              <w:rPr>
                <w:lang w:val="en-IN"/>
              </w:rPr>
            </w:pPr>
            <w:r w:rsidRPr="0014480B">
              <w:rPr>
                <w:b/>
                <w:bCs/>
                <w:lang w:val="en-IN"/>
              </w:rPr>
              <w:t>EV Sales (BEV + PHEV)</w:t>
            </w:r>
          </w:p>
        </w:tc>
        <w:tc>
          <w:tcPr>
            <w:tcW w:w="0" w:type="auto"/>
            <w:tcBorders>
              <w:top w:val="single" w:sz="6" w:space="0" w:color="auto"/>
              <w:left w:val="single" w:sz="6" w:space="0" w:color="auto"/>
              <w:bottom w:val="single" w:sz="6" w:space="0" w:color="auto"/>
              <w:right w:val="single" w:sz="6" w:space="0" w:color="auto"/>
            </w:tcBorders>
            <w:vAlign w:val="center"/>
            <w:hideMark/>
          </w:tcPr>
          <w:p w14:paraId="53360F2B" w14:textId="77777777" w:rsidR="0014480B" w:rsidRPr="0014480B" w:rsidRDefault="0014480B" w:rsidP="0014480B">
            <w:pPr>
              <w:pStyle w:val="ListParagraph"/>
              <w:rPr>
                <w:lang w:val="en-IN"/>
              </w:rPr>
            </w:pPr>
            <w:r w:rsidRPr="0014480B">
              <w:rPr>
                <w:lang w:val="en-IN"/>
              </w:rPr>
              <w:t>$1,635,753$</w:t>
            </w:r>
          </w:p>
        </w:tc>
        <w:tc>
          <w:tcPr>
            <w:tcW w:w="0" w:type="auto"/>
            <w:tcBorders>
              <w:top w:val="single" w:sz="6" w:space="0" w:color="auto"/>
              <w:left w:val="single" w:sz="6" w:space="0" w:color="auto"/>
              <w:bottom w:val="single" w:sz="6" w:space="0" w:color="auto"/>
              <w:right w:val="single" w:sz="6" w:space="0" w:color="auto"/>
            </w:tcBorders>
            <w:vAlign w:val="center"/>
            <w:hideMark/>
          </w:tcPr>
          <w:p w14:paraId="5BF0B877" w14:textId="77777777" w:rsidR="0014480B" w:rsidRPr="0014480B" w:rsidRDefault="0014480B" w:rsidP="0014480B">
            <w:pPr>
              <w:pStyle w:val="ListParagraph"/>
              <w:rPr>
                <w:lang w:val="en-IN"/>
              </w:rPr>
            </w:pPr>
            <w:r w:rsidRPr="0014480B">
              <w:rPr>
                <w:lang w:val="en-IN"/>
              </w:rPr>
              <w:t>$\</w:t>
            </w:r>
            <w:proofErr w:type="spellStart"/>
            <w:r w:rsidRPr="0014480B">
              <w:rPr>
                <w:lang w:val="en-IN"/>
              </w:rPr>
              <w:t>approx</w:t>
            </w:r>
            <w:proofErr w:type="spellEnd"/>
            <w:r w:rsidRPr="0014480B">
              <w:rPr>
                <w:lang w:val="en-IN"/>
              </w:rPr>
              <w:t xml:space="preserve"> 800,000$</w:t>
            </w:r>
          </w:p>
        </w:tc>
      </w:tr>
      <w:tr w:rsidR="0014480B" w:rsidRPr="0014480B" w14:paraId="115A07B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4801E45" w14:textId="77777777" w:rsidR="0014480B" w:rsidRPr="0014480B" w:rsidRDefault="0014480B" w:rsidP="0014480B">
            <w:pPr>
              <w:pStyle w:val="ListParagraph"/>
              <w:rPr>
                <w:lang w:val="en-IN"/>
              </w:rPr>
            </w:pPr>
            <w:r w:rsidRPr="0014480B">
              <w:rPr>
                <w:b/>
                <w:bCs/>
                <w:lang w:val="en-IN"/>
              </w:rPr>
              <w:t>ICE / Hybrid Sales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321613AF" w14:textId="77777777" w:rsidR="0014480B" w:rsidRPr="0014480B" w:rsidRDefault="0014480B" w:rsidP="0014480B">
            <w:pPr>
              <w:pStyle w:val="ListParagraph"/>
              <w:rPr>
                <w:lang w:val="en-IN"/>
              </w:rPr>
            </w:pPr>
            <w:r w:rsidRPr="0014480B">
              <w:rPr>
                <w:lang w:val="en-IN"/>
              </w:rPr>
              <w:t>$0$</w:t>
            </w:r>
          </w:p>
        </w:tc>
        <w:tc>
          <w:tcPr>
            <w:tcW w:w="0" w:type="auto"/>
            <w:tcBorders>
              <w:top w:val="single" w:sz="6" w:space="0" w:color="auto"/>
              <w:left w:val="single" w:sz="6" w:space="0" w:color="auto"/>
              <w:bottom w:val="single" w:sz="6" w:space="0" w:color="auto"/>
              <w:right w:val="single" w:sz="6" w:space="0" w:color="auto"/>
            </w:tcBorders>
            <w:vAlign w:val="center"/>
            <w:hideMark/>
          </w:tcPr>
          <w:p w14:paraId="13FDF984" w14:textId="77777777" w:rsidR="0014480B" w:rsidRPr="0014480B" w:rsidRDefault="0014480B" w:rsidP="0014480B">
            <w:pPr>
              <w:pStyle w:val="ListParagraph"/>
              <w:rPr>
                <w:lang w:val="en-IN"/>
              </w:rPr>
            </w:pPr>
            <w:r w:rsidRPr="0014480B">
              <w:rPr>
                <w:lang w:val="en-IN"/>
              </w:rPr>
              <w:t>$\</w:t>
            </w:r>
            <w:proofErr w:type="spellStart"/>
            <w:r w:rsidRPr="0014480B">
              <w:rPr>
                <w:lang w:val="en-IN"/>
              </w:rPr>
              <w:t>approx</w:t>
            </w:r>
            <w:proofErr w:type="spellEnd"/>
            <w:r w:rsidRPr="0014480B">
              <w:rPr>
                <w:lang w:val="en-IN"/>
              </w:rPr>
              <w:t xml:space="preserve"> 10,400,000$</w:t>
            </w:r>
          </w:p>
        </w:tc>
      </w:tr>
      <w:tr w:rsidR="0014480B" w:rsidRPr="0014480B" w14:paraId="1CA37E4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5E7756A" w14:textId="77777777" w:rsidR="0014480B" w:rsidRPr="0014480B" w:rsidRDefault="0014480B" w:rsidP="0014480B">
            <w:pPr>
              <w:pStyle w:val="ListParagraph"/>
              <w:rPr>
                <w:lang w:val="en-IN"/>
              </w:rPr>
            </w:pPr>
            <w:r w:rsidRPr="0014480B">
              <w:rPr>
                <w:b/>
                <w:bCs/>
                <w:lang w:val="en-IN"/>
              </w:rPr>
              <w:t>Total Unit Sales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5B902D3C" w14:textId="77777777" w:rsidR="0014480B" w:rsidRPr="0014480B" w:rsidRDefault="0014480B" w:rsidP="0014480B">
            <w:pPr>
              <w:pStyle w:val="ListParagraph"/>
              <w:rPr>
                <w:lang w:val="en-IN"/>
              </w:rPr>
            </w:pPr>
            <w:r w:rsidRPr="0014480B">
              <w:rPr>
                <w:lang w:val="en-IN"/>
              </w:rPr>
              <w:t>$1,635,753$</w:t>
            </w:r>
          </w:p>
        </w:tc>
        <w:tc>
          <w:tcPr>
            <w:tcW w:w="0" w:type="auto"/>
            <w:tcBorders>
              <w:top w:val="single" w:sz="6" w:space="0" w:color="auto"/>
              <w:left w:val="single" w:sz="6" w:space="0" w:color="auto"/>
              <w:bottom w:val="single" w:sz="6" w:space="0" w:color="auto"/>
              <w:right w:val="single" w:sz="6" w:space="0" w:color="auto"/>
            </w:tcBorders>
            <w:vAlign w:val="center"/>
            <w:hideMark/>
          </w:tcPr>
          <w:p w14:paraId="45244CCF" w14:textId="77777777" w:rsidR="0014480B" w:rsidRPr="0014480B" w:rsidRDefault="0014480B" w:rsidP="0014480B">
            <w:pPr>
              <w:pStyle w:val="ListParagraph"/>
              <w:rPr>
                <w:lang w:val="en-IN"/>
              </w:rPr>
            </w:pPr>
            <w:r w:rsidRPr="0014480B">
              <w:rPr>
                <w:lang w:val="en-IN"/>
              </w:rPr>
              <w:t>$\</w:t>
            </w:r>
            <w:proofErr w:type="spellStart"/>
            <w:r w:rsidRPr="0014480B">
              <w:rPr>
                <w:lang w:val="en-IN"/>
              </w:rPr>
              <w:t>approx</w:t>
            </w:r>
            <w:proofErr w:type="spellEnd"/>
            <w:r w:rsidRPr="0014480B">
              <w:rPr>
                <w:lang w:val="en-IN"/>
              </w:rPr>
              <w:t xml:space="preserve"> 11,200,000$</w:t>
            </w:r>
          </w:p>
        </w:tc>
      </w:tr>
    </w:tbl>
    <w:p w14:paraId="7E2AB3B0" w14:textId="77777777" w:rsidR="00AD47B8" w:rsidRDefault="00AD47B8" w:rsidP="00AD47B8">
      <w:pPr>
        <w:pStyle w:val="ListParagraph"/>
      </w:pPr>
    </w:p>
    <w:p w14:paraId="5EB2701F" w14:textId="77777777" w:rsidR="0009190D" w:rsidRDefault="0009190D" w:rsidP="00506558"/>
    <w:p w14:paraId="5D1F147D" w14:textId="77777777" w:rsidR="00C31ED1" w:rsidRDefault="00C31ED1" w:rsidP="00506558"/>
    <w:p w14:paraId="31BADEC2" w14:textId="77777777" w:rsidR="0014480B" w:rsidRDefault="0014480B" w:rsidP="00506558">
      <w:r>
        <w:rPr>
          <w:noProof/>
          <w14:ligatures w14:val="standardContextual"/>
        </w:rPr>
        <w:lastRenderedPageBreak/>
        <w:drawing>
          <wp:inline distT="0" distB="0" distL="0" distR="0" wp14:anchorId="65A6B638" wp14:editId="3685C7D6">
            <wp:extent cx="5731510" cy="4298950"/>
            <wp:effectExtent l="0" t="0" r="2540" b="6350"/>
            <wp:docPr id="20344187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18753" name="Picture 2034418753"/>
                    <pic:cNvPicPr/>
                  </pic:nvPicPr>
                  <pic:blipFill>
                    <a:blip r:embed="rId1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4D1EC6B" w14:textId="77777777" w:rsidR="0014480B" w:rsidRDefault="0014480B" w:rsidP="00506558"/>
    <w:p w14:paraId="668E1A4C" w14:textId="77777777" w:rsidR="0014480B" w:rsidRDefault="0014480B" w:rsidP="00506558"/>
    <w:p w14:paraId="613FFAA1" w14:textId="77777777" w:rsidR="0014480B" w:rsidRDefault="0014480B" w:rsidP="00506558"/>
    <w:p w14:paraId="7B0E7706" w14:textId="77777777" w:rsidR="00EE5E22" w:rsidRDefault="00EE5E22" w:rsidP="00EE5E22">
      <w:pPr>
        <w:pStyle w:val="Heading2"/>
      </w:pPr>
    </w:p>
    <w:p w14:paraId="6AE96E7C" w14:textId="77777777" w:rsidR="00EE5E22" w:rsidRDefault="00EE5E22" w:rsidP="00EE5E22">
      <w:pPr>
        <w:pStyle w:val="Heading2"/>
        <w:ind w:left="360"/>
      </w:pPr>
    </w:p>
    <w:p w14:paraId="0C464489" w14:textId="57484081" w:rsidR="00EE5E22" w:rsidRPr="00EE5E22" w:rsidRDefault="0097258F" w:rsidP="00EA046B">
      <w:pPr>
        <w:pStyle w:val="Heading2"/>
      </w:pPr>
      <w:bookmarkStart w:id="15" w:name="_Toc225487558"/>
      <w:r>
        <w:t xml:space="preserve">6.2 </w:t>
      </w:r>
      <w:r w:rsidR="005D5170" w:rsidRPr="005D5170">
        <w:t>Timeline of Key Moves (mermaid):</w:t>
      </w:r>
      <w:r w:rsidR="00A30D4A">
        <w:t xml:space="preserve">  </w:t>
      </w:r>
      <w:r w:rsidR="00A30D4A" w:rsidRPr="00A30D4A">
        <w:rPr>
          <w:rStyle w:val="TEXTYChar"/>
        </w:rPr>
        <w:t xml:space="preserve">It shows milestones like Tesla’s Model 3/Y launches and Gigafactories, and Toyota’s Prius EV initiatives and </w:t>
      </w:r>
      <w:proofErr w:type="spellStart"/>
      <w:r w:rsidR="00A30D4A" w:rsidRPr="00A30D4A">
        <w:rPr>
          <w:rStyle w:val="TEXTYChar"/>
        </w:rPr>
        <w:t>bZ</w:t>
      </w:r>
      <w:proofErr w:type="spellEnd"/>
      <w:r w:rsidR="00A30D4A" w:rsidRPr="00A30D4A">
        <w:rPr>
          <w:rStyle w:val="TEXTYChar"/>
        </w:rPr>
        <w:t>-series rollout. Embed code for reference</w:t>
      </w:r>
      <w:r w:rsidR="00A30D4A" w:rsidRPr="00A30D4A">
        <w:t>.</w:t>
      </w:r>
      <w:bookmarkEnd w:id="15"/>
    </w:p>
    <w:p w14:paraId="40953D8A" w14:textId="77777777" w:rsidR="00EE5E22" w:rsidRDefault="00EE5E22" w:rsidP="00EE5E22">
      <w:pPr>
        <w:rPr>
          <w:noProof/>
          <w14:ligatures w14:val="standardContextual"/>
        </w:rPr>
      </w:pPr>
      <w:r>
        <w:rPr>
          <w:noProof/>
          <w14:ligatures w14:val="standardContextual"/>
        </w:rPr>
        <w:drawing>
          <wp:inline distT="0" distB="0" distL="0" distR="0" wp14:anchorId="6A0FC787" wp14:editId="7EBFF16A">
            <wp:extent cx="5731510" cy="3126105"/>
            <wp:effectExtent l="0" t="0" r="2540" b="0"/>
            <wp:docPr id="13815816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581678" name="Picture 138158167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55B17CDD" w14:textId="77777777" w:rsidR="00EA046B" w:rsidRPr="00EA046B" w:rsidRDefault="00EA046B" w:rsidP="00EA046B"/>
    <w:p w14:paraId="21EE37A3" w14:textId="77777777" w:rsidR="00EA046B" w:rsidRPr="00EA046B" w:rsidRDefault="00EA046B" w:rsidP="00EA046B"/>
    <w:p w14:paraId="5AB5AB6E" w14:textId="77777777" w:rsidR="007A5ECF" w:rsidRPr="007A5ECF" w:rsidRDefault="007A5ECF" w:rsidP="007A5ECF">
      <w:pPr>
        <w:pStyle w:val="Heading2"/>
        <w:rPr>
          <w:noProof/>
        </w:rPr>
      </w:pPr>
      <w:bookmarkStart w:id="16" w:name="references"/>
      <w:bookmarkStart w:id="17" w:name="_Toc225487559"/>
      <w:r w:rsidRPr="007A5ECF">
        <w:rPr>
          <w:noProof/>
        </w:rPr>
        <w:t>References</w:t>
      </w:r>
      <w:bookmarkEnd w:id="17"/>
    </w:p>
    <w:p w14:paraId="067E7720" w14:textId="77777777" w:rsidR="007A5ECF" w:rsidRPr="007A5ECF" w:rsidRDefault="007A5ECF" w:rsidP="007A5ECF">
      <w:pPr>
        <w:rPr>
          <w:noProof/>
          <w14:ligatures w14:val="standardContextual"/>
        </w:rPr>
      </w:pPr>
      <w:r w:rsidRPr="007A5ECF">
        <w:rPr>
          <w:noProof/>
          <w14:ligatures w14:val="standardContextual"/>
        </w:rPr>
        <w:t xml:space="preserve">Tesla, Inc. (2025) </w:t>
      </w:r>
      <w:r w:rsidRPr="007A5ECF">
        <w:rPr>
          <w:i/>
          <w:iCs/>
          <w:noProof/>
          <w14:ligatures w14:val="standardContextual"/>
        </w:rPr>
        <w:t>Annual Report (Form 10-K)</w:t>
      </w:r>
      <w:r w:rsidRPr="007A5ECF">
        <w:rPr>
          <w:noProof/>
          <w14:ligatures w14:val="standardContextual"/>
        </w:rPr>
        <w:t>.</w:t>
      </w:r>
      <w:r w:rsidRPr="007A5ECF">
        <w:rPr>
          <w:noProof/>
          <w14:ligatures w14:val="standardContextual"/>
        </w:rPr>
        <w:br/>
        <w:t xml:space="preserve">Toyota Motor Corporation (2025) </w:t>
      </w:r>
      <w:r w:rsidRPr="007A5ECF">
        <w:rPr>
          <w:i/>
          <w:iCs/>
          <w:noProof/>
          <w14:ligatures w14:val="standardContextual"/>
        </w:rPr>
        <w:t>Financial Results for Fiscal Year 2025</w:t>
      </w:r>
      <w:r w:rsidRPr="007A5ECF">
        <w:rPr>
          <w:noProof/>
          <w14:ligatures w14:val="standardContextual"/>
        </w:rPr>
        <w:t>.</w:t>
      </w:r>
      <w:r w:rsidRPr="007A5ECF">
        <w:rPr>
          <w:noProof/>
          <w14:ligatures w14:val="standardContextual"/>
        </w:rPr>
        <w:br/>
        <w:t xml:space="preserve">IEA (2025) </w:t>
      </w:r>
      <w:r w:rsidRPr="007A5ECF">
        <w:rPr>
          <w:i/>
          <w:iCs/>
          <w:noProof/>
          <w14:ligatures w14:val="standardContextual"/>
        </w:rPr>
        <w:t>Global EV Outlook 2025</w:t>
      </w:r>
      <w:r w:rsidRPr="007A5ECF">
        <w:rPr>
          <w:noProof/>
          <w14:ligatures w14:val="standardContextual"/>
        </w:rPr>
        <w:t>. International Energy Agency.</w:t>
      </w:r>
      <w:r w:rsidRPr="007A5ECF">
        <w:rPr>
          <w:noProof/>
          <w14:ligatures w14:val="standardContextual"/>
        </w:rPr>
        <w:br/>
        <w:t xml:space="preserve">EV-Volumes.com (2026) </w:t>
      </w:r>
      <w:r w:rsidRPr="007A5ECF">
        <w:rPr>
          <w:i/>
          <w:iCs/>
          <w:noProof/>
          <w14:ligatures w14:val="standardContextual"/>
        </w:rPr>
        <w:t>Global Electric Vehicle Sales Data</w:t>
      </w:r>
      <w:r w:rsidRPr="007A5ECF">
        <w:rPr>
          <w:noProof/>
          <w14:ligatures w14:val="standardContextual"/>
        </w:rPr>
        <w:t>.</w:t>
      </w:r>
      <w:r w:rsidRPr="007A5ECF">
        <w:rPr>
          <w:noProof/>
          <w14:ligatures w14:val="standardContextual"/>
        </w:rPr>
        <w:br/>
        <w:t xml:space="preserve">Focus2Move (2026) </w:t>
      </w:r>
      <w:r w:rsidRPr="007A5ECF">
        <w:rPr>
          <w:i/>
          <w:iCs/>
          <w:noProof/>
          <w14:ligatures w14:val="standardContextual"/>
        </w:rPr>
        <w:t>Global Light Vehicle Sales Analysis</w:t>
      </w:r>
      <w:r w:rsidRPr="007A5ECF">
        <w:rPr>
          <w:noProof/>
          <w14:ligatures w14:val="standardContextual"/>
        </w:rPr>
        <w:t>.</w:t>
      </w:r>
      <w:r w:rsidRPr="007A5ECF">
        <w:rPr>
          <w:noProof/>
          <w14:ligatures w14:val="standardContextual"/>
        </w:rPr>
        <w:br/>
        <w:t xml:space="preserve">Porter, M.E. (1980) </w:t>
      </w:r>
      <w:r w:rsidRPr="007A5ECF">
        <w:rPr>
          <w:i/>
          <w:iCs/>
          <w:noProof/>
          <w14:ligatures w14:val="standardContextual"/>
        </w:rPr>
        <w:t>Competitive Strategy: Techniques for Analyzing Industries and Competitors</w:t>
      </w:r>
      <w:r w:rsidRPr="007A5ECF">
        <w:rPr>
          <w:noProof/>
          <w14:ligatures w14:val="standardContextual"/>
        </w:rPr>
        <w:t>. Free Press.</w:t>
      </w:r>
      <w:r w:rsidRPr="007A5ECF">
        <w:rPr>
          <w:noProof/>
          <w14:ligatures w14:val="standardContextual"/>
        </w:rPr>
        <w:br/>
        <w:t xml:space="preserve">Ansoff, H.I. (1957) ‘Strategies for Diversification’, </w:t>
      </w:r>
      <w:r w:rsidRPr="007A5ECF">
        <w:rPr>
          <w:i/>
          <w:iCs/>
          <w:noProof/>
          <w14:ligatures w14:val="standardContextual"/>
        </w:rPr>
        <w:t>Harvard Business Review</w:t>
      </w:r>
      <w:r w:rsidRPr="007A5ECF">
        <w:rPr>
          <w:noProof/>
          <w14:ligatures w14:val="standardContextual"/>
        </w:rPr>
        <w:t>, 35(5), pp.113–124.</w:t>
      </w:r>
      <w:r w:rsidRPr="007A5ECF">
        <w:rPr>
          <w:noProof/>
          <w14:ligatures w14:val="standardContextual"/>
        </w:rPr>
        <w:br/>
        <w:t xml:space="preserve">McKinsey &amp; Company (2024) </w:t>
      </w:r>
      <w:r w:rsidRPr="007A5ECF">
        <w:rPr>
          <w:i/>
          <w:iCs/>
          <w:noProof/>
          <w14:ligatures w14:val="standardContextual"/>
        </w:rPr>
        <w:t>Global EV Trends 2024</w:t>
      </w:r>
      <w:r w:rsidRPr="007A5ECF">
        <w:rPr>
          <w:noProof/>
          <w14:ligatures w14:val="standardContextual"/>
        </w:rPr>
        <w:t>.</w:t>
      </w:r>
      <w:r w:rsidRPr="007A5ECF">
        <w:rPr>
          <w:noProof/>
          <w14:ligatures w14:val="standardContextual"/>
        </w:rPr>
        <w:br/>
        <w:t xml:space="preserve">JATO Dynamics (2024) </w:t>
      </w:r>
      <w:r w:rsidRPr="007A5ECF">
        <w:rPr>
          <w:i/>
          <w:iCs/>
          <w:noProof/>
          <w14:ligatures w14:val="standardContextual"/>
        </w:rPr>
        <w:t>Worldwide Vehicle Registration Statistics</w:t>
      </w:r>
      <w:r w:rsidRPr="007A5ECF">
        <w:rPr>
          <w:noProof/>
          <w14:ligatures w14:val="standardContextual"/>
        </w:rPr>
        <w:t>.</w:t>
      </w:r>
      <w:r w:rsidRPr="007A5ECF">
        <w:rPr>
          <w:noProof/>
          <w14:ligatures w14:val="standardContextual"/>
        </w:rPr>
        <w:br/>
        <w:t xml:space="preserve">Statista (2025) </w:t>
      </w:r>
      <w:r w:rsidRPr="007A5ECF">
        <w:rPr>
          <w:i/>
          <w:iCs/>
          <w:noProof/>
          <w14:ligatures w14:val="standardContextual"/>
        </w:rPr>
        <w:t>Electric Vehicle Sales Worldwide</w:t>
      </w:r>
      <w:r w:rsidRPr="007A5ECF">
        <w:rPr>
          <w:noProof/>
          <w14:ligatures w14:val="standardContextual"/>
        </w:rPr>
        <w:t>.</w:t>
      </w:r>
      <w:r w:rsidRPr="007A5ECF">
        <w:rPr>
          <w:noProof/>
          <w14:ligatures w14:val="standardContextual"/>
        </w:rPr>
        <w:br/>
        <w:t xml:space="preserve">BloombergNEF (2025) </w:t>
      </w:r>
      <w:r w:rsidRPr="007A5ECF">
        <w:rPr>
          <w:i/>
          <w:iCs/>
          <w:noProof/>
          <w14:ligatures w14:val="standardContextual"/>
        </w:rPr>
        <w:t>Battery Price Survey</w:t>
      </w:r>
      <w:r w:rsidRPr="007A5ECF">
        <w:rPr>
          <w:noProof/>
          <w14:ligatures w14:val="standardContextual"/>
        </w:rPr>
        <w:t>.</w:t>
      </w:r>
      <w:r w:rsidRPr="007A5ECF">
        <w:rPr>
          <w:noProof/>
          <w14:ligatures w14:val="standardContextual"/>
        </w:rPr>
        <w:br/>
        <w:t xml:space="preserve">Harvard Business Review (2020) </w:t>
      </w:r>
      <w:r w:rsidRPr="007A5ECF">
        <w:rPr>
          <w:i/>
          <w:iCs/>
          <w:noProof/>
          <w14:ligatures w14:val="standardContextual"/>
        </w:rPr>
        <w:t>The Future of Autonomous Vehicles</w:t>
      </w:r>
      <w:r w:rsidRPr="007A5ECF">
        <w:rPr>
          <w:noProof/>
          <w14:ligatures w14:val="standardContextual"/>
        </w:rPr>
        <w:t>.</w:t>
      </w:r>
      <w:r w:rsidRPr="007A5ECF">
        <w:rPr>
          <w:noProof/>
          <w14:ligatures w14:val="standardContextual"/>
        </w:rPr>
        <w:br/>
        <w:t xml:space="preserve">IEEE Transactions on Transportation Electrification (2024) </w:t>
      </w:r>
      <w:r w:rsidRPr="007A5ECF">
        <w:rPr>
          <w:i/>
          <w:iCs/>
          <w:noProof/>
          <w14:ligatures w14:val="standardContextual"/>
        </w:rPr>
        <w:t>Annual EV Adoption Report</w:t>
      </w:r>
      <w:r w:rsidRPr="007A5ECF">
        <w:rPr>
          <w:noProof/>
          <w14:ligatures w14:val="standardContextual"/>
        </w:rPr>
        <w:t>.</w:t>
      </w:r>
      <w:r w:rsidRPr="007A5ECF">
        <w:rPr>
          <w:noProof/>
          <w14:ligatures w14:val="standardContextual"/>
        </w:rPr>
        <w:br/>
        <w:t xml:space="preserve">Toyota Motor Corp. (2024) </w:t>
      </w:r>
      <w:r w:rsidRPr="007A5ECF">
        <w:rPr>
          <w:i/>
          <w:iCs/>
          <w:noProof/>
          <w14:ligatures w14:val="standardContextual"/>
        </w:rPr>
        <w:t>Annual Report 2024</w:t>
      </w:r>
      <w:r w:rsidRPr="007A5ECF">
        <w:rPr>
          <w:noProof/>
          <w14:ligatures w14:val="standardContextual"/>
        </w:rPr>
        <w:t>.</w:t>
      </w:r>
      <w:r w:rsidRPr="007A5ECF">
        <w:rPr>
          <w:noProof/>
          <w14:ligatures w14:val="standardContextual"/>
        </w:rPr>
        <w:br/>
        <w:t xml:space="preserve">Tesla, Inc. (2023) </w:t>
      </w:r>
      <w:r w:rsidRPr="007A5ECF">
        <w:rPr>
          <w:i/>
          <w:iCs/>
          <w:noProof/>
          <w14:ligatures w14:val="standardContextual"/>
        </w:rPr>
        <w:t>Q4 2023 Financial Results – Press Release</w:t>
      </w:r>
      <w:r w:rsidRPr="007A5ECF">
        <w:rPr>
          <w:noProof/>
          <w14:ligatures w14:val="standardContextual"/>
        </w:rPr>
        <w:t>.</w:t>
      </w:r>
    </w:p>
    <w:bookmarkEnd w:id="16"/>
    <w:p w14:paraId="3CACCA23" w14:textId="77777777" w:rsidR="007A5ECF" w:rsidRPr="007A5ECF" w:rsidRDefault="007A5ECF" w:rsidP="007A5ECF">
      <w:pPr>
        <w:rPr>
          <w:noProof/>
          <w14:ligatures w14:val="standardContextual"/>
        </w:rPr>
      </w:pPr>
      <w:r w:rsidRPr="007A5ECF">
        <w:rPr>
          <w:noProof/>
          <w14:ligatures w14:val="standardContextual"/>
        </w:rPr>
        <w:lastRenderedPageBreak/>
        <w:pict w14:anchorId="0F26B335">
          <v:rect id="_x0000_i1025" style="width:468pt;height:1.2pt" o:hralign="center" o:hrstd="t" o:hr="t" fillcolor="#a0a0a0" stroked="f"/>
        </w:pict>
      </w:r>
    </w:p>
    <w:bookmarkStart w:id="18" w:name="citations"/>
    <w:p w14:paraId="4BD36D71" w14:textId="77777777" w:rsidR="007A5ECF" w:rsidRPr="007A5ECF" w:rsidRDefault="007A5ECF" w:rsidP="007A5ECF">
      <w:pPr>
        <w:rPr>
          <w:noProof/>
          <w14:ligatures w14:val="standardContextual"/>
        </w:rPr>
      </w:pPr>
      <w:r w:rsidRPr="007A5ECF">
        <w:rPr>
          <w:noProof/>
          <w14:ligatures w14:val="standardContextual"/>
        </w:rPr>
        <w:fldChar w:fldCharType="begin"/>
      </w:r>
      <w:r w:rsidRPr="007A5ECF">
        <w:rPr>
          <w:noProof/>
          <w14:ligatures w14:val="standardContextual"/>
        </w:rPr>
        <w:instrText>HYPERLINK "https://autovista24.autovistagroup.com/news/which-brand-sold-the-most-evs-in-2025/" \l ":~:text=Tesla%20took%20second%20place%20in,5pp"</w:instrText>
      </w:r>
      <w:r w:rsidRPr="007A5ECF">
        <w:rPr>
          <w:noProof/>
          <w14:ligatures w14:val="standardContextual"/>
        </w:rPr>
      </w:r>
      <w:r w:rsidRPr="007A5ECF">
        <w:rPr>
          <w:noProof/>
          <w14:ligatures w14:val="standardContextual"/>
        </w:rPr>
        <w:fldChar w:fldCharType="separate"/>
      </w:r>
      <w:r w:rsidRPr="007A5ECF">
        <w:rPr>
          <w:rStyle w:val="Hyperlink"/>
          <w:noProof/>
          <w14:ligatures w14:val="standardContextual"/>
        </w:rPr>
        <w:t>[1]</w:t>
      </w:r>
      <w:r w:rsidRPr="007A5ECF">
        <w:rPr>
          <w:noProof/>
          <w14:ligatures w14:val="standardContextual"/>
        </w:rPr>
        <w:fldChar w:fldCharType="end"/>
      </w:r>
      <w:r w:rsidRPr="007A5ECF">
        <w:rPr>
          <w:noProof/>
          <w14:ligatures w14:val="standardContextual"/>
        </w:rPr>
        <w:t xml:space="preserve"> Which brand sold the most EVs in 2025?</w:t>
      </w:r>
    </w:p>
    <w:p w14:paraId="091A61E5" w14:textId="77777777" w:rsidR="007A5ECF" w:rsidRPr="007A5ECF" w:rsidRDefault="007A5ECF" w:rsidP="007A5ECF">
      <w:pPr>
        <w:rPr>
          <w:noProof/>
          <w14:ligatures w14:val="standardContextual"/>
        </w:rPr>
      </w:pPr>
      <w:hyperlink r:id="rId18" w:history="1">
        <w:r w:rsidRPr="007A5ECF">
          <w:rPr>
            <w:rStyle w:val="Hyperlink"/>
            <w:noProof/>
            <w14:ligatures w14:val="standardContextual"/>
          </w:rPr>
          <w:t>https://autovista24.autovistagroup.com/news/which-brand-sold-the-most-evs-in-2025/</w:t>
        </w:r>
      </w:hyperlink>
    </w:p>
    <w:p w14:paraId="542A3980" w14:textId="77777777" w:rsidR="007A5ECF" w:rsidRPr="007A5ECF" w:rsidRDefault="007A5ECF" w:rsidP="007A5ECF">
      <w:pPr>
        <w:rPr>
          <w:noProof/>
          <w14:ligatures w14:val="standardContextual"/>
        </w:rPr>
      </w:pPr>
      <w:hyperlink r:id="rId19" w:anchor=":~:text=Looking%20at%20full,in%20America" w:history="1">
        <w:r w:rsidRPr="007A5ECF">
          <w:rPr>
            <w:rStyle w:val="Hyperlink"/>
            <w:noProof/>
            <w14:ligatures w14:val="standardContextual"/>
          </w:rPr>
          <w:t>[2]</w:t>
        </w:r>
      </w:hyperlink>
      <w:r w:rsidRPr="007A5ECF">
        <w:rPr>
          <w:noProof/>
          <w14:ligatures w14:val="standardContextual"/>
        </w:rPr>
        <w:t xml:space="preserve"> Focus2move| World Car Group Ranking- Top 30 in 2025</w:t>
      </w:r>
    </w:p>
    <w:p w14:paraId="72ECBCE3" w14:textId="77777777" w:rsidR="007A5ECF" w:rsidRPr="007A5ECF" w:rsidRDefault="007A5ECF" w:rsidP="007A5ECF">
      <w:pPr>
        <w:rPr>
          <w:noProof/>
          <w14:ligatures w14:val="standardContextual"/>
        </w:rPr>
      </w:pPr>
      <w:hyperlink r:id="rId20" w:history="1">
        <w:r w:rsidRPr="007A5ECF">
          <w:rPr>
            <w:rStyle w:val="Hyperlink"/>
            <w:noProof/>
            <w14:ligatures w14:val="standardContextual"/>
          </w:rPr>
          <w:t>https://www.focus2move.com/world-car-group-ranking/</w:t>
        </w:r>
      </w:hyperlink>
    </w:p>
    <w:p w14:paraId="7F17450D" w14:textId="77777777" w:rsidR="007A5ECF" w:rsidRPr="007A5ECF" w:rsidRDefault="007A5ECF" w:rsidP="007A5ECF">
      <w:pPr>
        <w:rPr>
          <w:noProof/>
          <w14:ligatures w14:val="standardContextual"/>
        </w:rPr>
      </w:pPr>
      <w:hyperlink r:id="rId21" w:anchor=":~:text=of%20%242,capacity%2C%20expand%20our%20operations%20while" w:history="1">
        <w:r w:rsidRPr="007A5ECF">
          <w:rPr>
            <w:rStyle w:val="Hyperlink"/>
            <w:noProof/>
            <w14:ligatures w14:val="standardContextual"/>
          </w:rPr>
          <w:t>[3]</w:t>
        </w:r>
      </w:hyperlink>
      <w:r w:rsidRPr="007A5ECF">
        <w:rPr>
          <w:noProof/>
          <w14:ligatures w14:val="standardContextual"/>
        </w:rPr>
        <w:t xml:space="preserve"> </w:t>
      </w:r>
      <w:hyperlink r:id="rId22" w:anchor=":~:text=Research%20and%20development%246%2C411%C2%A0%244%2C540%C2%A0%243%2C969%C2%A0%241%2C871%C2%A041%C2%A0,4" w:history="1">
        <w:r w:rsidRPr="007A5ECF">
          <w:rPr>
            <w:rStyle w:val="Hyperlink"/>
            <w:noProof/>
            <w14:ligatures w14:val="standardContextual"/>
          </w:rPr>
          <w:t>[5]</w:t>
        </w:r>
      </w:hyperlink>
      <w:r w:rsidRPr="007A5ECF">
        <w:rPr>
          <w:noProof/>
          <w14:ligatures w14:val="standardContextual"/>
        </w:rPr>
        <w:t xml:space="preserve"> tsla-20251231</w:t>
      </w:r>
    </w:p>
    <w:p w14:paraId="3AC0F5D7" w14:textId="77777777" w:rsidR="007A5ECF" w:rsidRPr="007A5ECF" w:rsidRDefault="007A5ECF" w:rsidP="007A5ECF">
      <w:pPr>
        <w:rPr>
          <w:noProof/>
          <w14:ligatures w14:val="standardContextual"/>
        </w:rPr>
      </w:pPr>
      <w:hyperlink r:id="rId23" w:history="1">
        <w:r w:rsidRPr="007A5ECF">
          <w:rPr>
            <w:rStyle w:val="Hyperlink"/>
            <w:noProof/>
            <w14:ligatures w14:val="standardContextual"/>
          </w:rPr>
          <w:t>https://www.sec.gov/Archives/edgar/data/1318605/000162828026003952/tsla-20251231.htm</w:t>
        </w:r>
      </w:hyperlink>
    </w:p>
    <w:p w14:paraId="17A40529" w14:textId="77777777" w:rsidR="007A5ECF" w:rsidRPr="007A5ECF" w:rsidRDefault="007A5ECF" w:rsidP="007A5ECF">
      <w:pPr>
        <w:rPr>
          <w:noProof/>
          <w14:ligatures w14:val="standardContextual"/>
        </w:rPr>
      </w:pPr>
      <w:hyperlink r:id="rId24" w:anchor=":~:text=Sales%20revenues%2048%2C036,compared%20with%20FY2024" w:history="1">
        <w:r w:rsidRPr="007A5ECF">
          <w:rPr>
            <w:rStyle w:val="Hyperlink"/>
            <w:noProof/>
            <w14:ligatures w14:val="standardContextual"/>
          </w:rPr>
          <w:t>[4]</w:t>
        </w:r>
      </w:hyperlink>
      <w:r w:rsidRPr="007A5ECF">
        <w:rPr>
          <w:noProof/>
          <w14:ligatures w14:val="standardContextual"/>
        </w:rPr>
        <w:t xml:space="preserve"> FINANCIAL SUMMARY FY2025</w:t>
      </w:r>
    </w:p>
    <w:p w14:paraId="0A66B763" w14:textId="77777777" w:rsidR="007A5ECF" w:rsidRPr="007A5ECF" w:rsidRDefault="007A5ECF" w:rsidP="007A5ECF">
      <w:pPr>
        <w:rPr>
          <w:noProof/>
          <w14:ligatures w14:val="standardContextual"/>
        </w:rPr>
      </w:pPr>
      <w:hyperlink r:id="rId25" w:history="1">
        <w:r w:rsidRPr="007A5ECF">
          <w:rPr>
            <w:rStyle w:val="Hyperlink"/>
            <w:noProof/>
            <w14:ligatures w14:val="standardContextual"/>
          </w:rPr>
          <w:t>https://global.toyota/pages/global_toyota/ir/financial-results/2025_4q_summary_en.pdf</w:t>
        </w:r>
      </w:hyperlink>
    </w:p>
    <w:p w14:paraId="2195FB00" w14:textId="77777777" w:rsidR="007A5ECF" w:rsidRPr="007A5ECF" w:rsidRDefault="007A5ECF" w:rsidP="007A5ECF">
      <w:pPr>
        <w:rPr>
          <w:noProof/>
          <w14:ligatures w14:val="standardContextual"/>
        </w:rPr>
      </w:pPr>
      <w:hyperlink r:id="rId26" w:anchor=":~:text=investment%20in%20monetary%20trust%20funds%2C,7" w:history="1">
        <w:r w:rsidRPr="007A5ECF">
          <w:rPr>
            <w:rStyle w:val="Hyperlink"/>
            <w:noProof/>
            <w14:ligatures w14:val="standardContextual"/>
          </w:rPr>
          <w:t>[6]</w:t>
        </w:r>
      </w:hyperlink>
      <w:r w:rsidRPr="007A5ECF">
        <w:rPr>
          <w:noProof/>
          <w14:ligatures w14:val="standardContextual"/>
        </w:rPr>
        <w:t xml:space="preserve"> FY2025 Financial Results</w:t>
      </w:r>
    </w:p>
    <w:p w14:paraId="11CB0505" w14:textId="77777777" w:rsidR="007A5ECF" w:rsidRPr="007A5ECF" w:rsidRDefault="007A5ECF" w:rsidP="007A5ECF">
      <w:pPr>
        <w:rPr>
          <w:noProof/>
          <w14:ligatures w14:val="standardContextual"/>
        </w:rPr>
      </w:pPr>
      <w:hyperlink r:id="rId27" w:history="1">
        <w:r w:rsidRPr="007A5ECF">
          <w:rPr>
            <w:rStyle w:val="Hyperlink"/>
            <w:noProof/>
            <w14:ligatures w14:val="standardContextual"/>
          </w:rPr>
          <w:t>https://global.toyota/pages/global_toyota/ir/financial-results/2025_4q_presentation_2_en.pdf</w:t>
        </w:r>
      </w:hyperlink>
    </w:p>
    <w:p w14:paraId="348C5860" w14:textId="77777777" w:rsidR="007A5ECF" w:rsidRPr="007A5ECF" w:rsidRDefault="007A5ECF" w:rsidP="007A5ECF">
      <w:pPr>
        <w:rPr>
          <w:noProof/>
          <w14:ligatures w14:val="standardContextual"/>
        </w:rPr>
      </w:pPr>
      <w:hyperlink r:id="rId28" w:anchor=":~:text=Tesla%20Had%2046,than%2072%2C000%20sales%20in%202025" w:history="1">
        <w:r w:rsidRPr="007A5ECF">
          <w:rPr>
            <w:rStyle w:val="Hyperlink"/>
            <w:noProof/>
            <w14:ligatures w14:val="standardContextual"/>
          </w:rPr>
          <w:t>[7]</w:t>
        </w:r>
      </w:hyperlink>
      <w:r w:rsidRPr="007A5ECF">
        <w:rPr>
          <w:noProof/>
          <w14:ligatures w14:val="standardContextual"/>
        </w:rPr>
        <w:t xml:space="preserve"> Tesla Had 46% of US EV Market in 2025 (Down from 49% in 2024)</w:t>
      </w:r>
    </w:p>
    <w:p w14:paraId="07272043" w14:textId="77777777" w:rsidR="007A5ECF" w:rsidRPr="007A5ECF" w:rsidRDefault="007A5ECF" w:rsidP="007A5ECF">
      <w:pPr>
        <w:rPr>
          <w:noProof/>
          <w14:ligatures w14:val="standardContextual"/>
        </w:rPr>
      </w:pPr>
      <w:hyperlink r:id="rId29" w:history="1">
        <w:r w:rsidRPr="007A5ECF">
          <w:rPr>
            <w:rStyle w:val="Hyperlink"/>
            <w:noProof/>
            <w14:ligatures w14:val="standardContextual"/>
          </w:rPr>
          <w:t>https://cleantechnica.com/2026/02/04/tesla-had-46-of-us-ev-market-in-2025-down-from-49-in-2024-gm-13-ford-7/</w:t>
        </w:r>
      </w:hyperlink>
    </w:p>
    <w:p w14:paraId="030D6576" w14:textId="77777777" w:rsidR="007A5ECF" w:rsidRPr="007A5ECF" w:rsidRDefault="007A5ECF" w:rsidP="007A5ECF">
      <w:pPr>
        <w:rPr>
          <w:noProof/>
          <w14:ligatures w14:val="standardContextual"/>
        </w:rPr>
      </w:pPr>
      <w:hyperlink r:id="rId30" w:anchor=":~:text=Use%20data%20explorer" w:history="1">
        <w:r w:rsidRPr="007A5ECF">
          <w:rPr>
            <w:rStyle w:val="Hyperlink"/>
            <w:noProof/>
            <w14:ligatures w14:val="standardContextual"/>
          </w:rPr>
          <w:t>[8]</w:t>
        </w:r>
      </w:hyperlink>
      <w:r w:rsidRPr="007A5ECF">
        <w:rPr>
          <w:noProof/>
          <w14:ligatures w14:val="standardContextual"/>
        </w:rPr>
        <w:t xml:space="preserve"> Global EV Outlook 2025 – Analysis - IEA</w:t>
      </w:r>
    </w:p>
    <w:p w14:paraId="33FA1F68" w14:textId="77777777" w:rsidR="007A5ECF" w:rsidRPr="007A5ECF" w:rsidRDefault="007A5ECF" w:rsidP="007A5ECF">
      <w:pPr>
        <w:rPr>
          <w:noProof/>
          <w14:ligatures w14:val="standardContextual"/>
        </w:rPr>
      </w:pPr>
      <w:hyperlink r:id="rId31" w:history="1">
        <w:r w:rsidRPr="007A5ECF">
          <w:rPr>
            <w:rStyle w:val="Hyperlink"/>
            <w:noProof/>
            <w14:ligatures w14:val="standardContextual"/>
          </w:rPr>
          <w:t>https://www.iea.org/reports/global-ev-outlook-2025</w:t>
        </w:r>
      </w:hyperlink>
      <w:bookmarkEnd w:id="18"/>
    </w:p>
    <w:p w14:paraId="113948E5" w14:textId="77777777" w:rsidR="00EA046B" w:rsidRDefault="00EA046B" w:rsidP="00EA046B">
      <w:pPr>
        <w:rPr>
          <w:noProof/>
          <w14:ligatures w14:val="standardContextual"/>
        </w:rPr>
      </w:pPr>
    </w:p>
    <w:p w14:paraId="33C3DF54" w14:textId="5DAE3462" w:rsidR="00EA046B" w:rsidRPr="00EA046B" w:rsidRDefault="00EA046B" w:rsidP="00EA046B">
      <w:pPr>
        <w:tabs>
          <w:tab w:val="center" w:pos="4513"/>
        </w:tabs>
        <w:sectPr w:rsidR="00EA046B" w:rsidRPr="00EA046B" w:rsidSect="006849A1">
          <w:pgSz w:w="11906" w:h="16838" w:code="9"/>
          <w:pgMar w:top="1440" w:right="1440" w:bottom="1440" w:left="1440" w:header="708" w:footer="708" w:gutter="0"/>
          <w:cols w:space="708"/>
          <w:docGrid w:linePitch="360"/>
        </w:sectPr>
      </w:pPr>
      <w:r>
        <w:tab/>
      </w:r>
    </w:p>
    <w:p w14:paraId="5FF26143" w14:textId="7386A920" w:rsidR="00C13938" w:rsidRPr="00DA208E" w:rsidRDefault="00C13938" w:rsidP="00C13938">
      <w:pPr>
        <w:pStyle w:val="Heading2"/>
      </w:pPr>
    </w:p>
    <w:sectPr w:rsidR="00C13938" w:rsidRPr="00DA208E" w:rsidSect="006849A1">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433FE" w14:textId="77777777" w:rsidR="00DC1B98" w:rsidRDefault="00DC1B98" w:rsidP="00EE5E22">
      <w:pPr>
        <w:spacing w:after="0"/>
      </w:pPr>
      <w:r>
        <w:separator/>
      </w:r>
    </w:p>
  </w:endnote>
  <w:endnote w:type="continuationSeparator" w:id="0">
    <w:p w14:paraId="5842DE2C" w14:textId="77777777" w:rsidR="00DC1B98" w:rsidRDefault="00DC1B98" w:rsidP="00EE5E2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Bahnschrift SemiBold">
    <w:panose1 w:val="020B0502040204020203"/>
    <w:charset w:val="00"/>
    <w:family w:val="swiss"/>
    <w:pitch w:val="variable"/>
    <w:sig w:usb0="A00002C7"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E5AC9F" w14:textId="77777777" w:rsidR="00DC1B98" w:rsidRDefault="00DC1B98" w:rsidP="00EE5E22">
      <w:pPr>
        <w:spacing w:after="0"/>
      </w:pPr>
      <w:r>
        <w:separator/>
      </w:r>
    </w:p>
  </w:footnote>
  <w:footnote w:type="continuationSeparator" w:id="0">
    <w:p w14:paraId="4276FC73" w14:textId="77777777" w:rsidR="00DC1B98" w:rsidRDefault="00DC1B98" w:rsidP="00EE5E2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D96823E2"/>
    <w:lvl w:ilvl="0">
      <w:numFmt w:val="bullet"/>
      <w:lvlText w:val=""/>
      <w:lvlJc w:val="left"/>
      <w:pPr>
        <w:ind w:left="360" w:hanging="360"/>
      </w:pPr>
      <w:rPr>
        <w:rFonts w:ascii="Symbol" w:hAnsi="Symbol" w:cs="Symbol" w:hint="default"/>
      </w:rPr>
    </w:lvl>
    <w:lvl w:ilvl="1">
      <w:numFmt w:val="bullet"/>
      <w:lvlText w:val="o"/>
      <w:lvlJc w:val="left"/>
      <w:pPr>
        <w:ind w:left="1080" w:hanging="360"/>
      </w:pPr>
      <w:rPr>
        <w:rFonts w:ascii="Courier New" w:hAnsi="Courier New" w:cs="Courier New" w:hint="default"/>
      </w:rPr>
    </w:lvl>
    <w:lvl w:ilvl="2">
      <w:numFmt w:val="bullet"/>
      <w:lvlText w:val=""/>
      <w:lvlJc w:val="left"/>
      <w:pPr>
        <w:ind w:left="1800" w:hanging="360"/>
      </w:pPr>
      <w:rPr>
        <w:rFonts w:ascii="Wingdings" w:hAnsi="Wingdings" w:cs="Wingdings" w:hint="default"/>
      </w:rPr>
    </w:lvl>
    <w:lvl w:ilvl="3">
      <w:numFmt w:val="bullet"/>
      <w:lvlText w:val=""/>
      <w:lvlJc w:val="left"/>
      <w:pPr>
        <w:ind w:left="2520" w:hanging="360"/>
      </w:pPr>
      <w:rPr>
        <w:rFonts w:ascii="Symbol" w:hAnsi="Symbol" w:cs="Symbol" w:hint="default"/>
      </w:rPr>
    </w:lvl>
    <w:lvl w:ilvl="4">
      <w:numFmt w:val="bullet"/>
      <w:lvlText w:val="o"/>
      <w:lvlJc w:val="left"/>
      <w:pPr>
        <w:ind w:left="3240" w:hanging="360"/>
      </w:pPr>
      <w:rPr>
        <w:rFonts w:ascii="Courier New" w:hAnsi="Courier New" w:cs="Courier New" w:hint="default"/>
      </w:rPr>
    </w:lvl>
    <w:lvl w:ilvl="5">
      <w:numFmt w:val="bullet"/>
      <w:lvlText w:val=""/>
      <w:lvlJc w:val="left"/>
      <w:pPr>
        <w:ind w:left="3960" w:hanging="360"/>
      </w:pPr>
      <w:rPr>
        <w:rFonts w:ascii="Wingdings" w:hAnsi="Wingdings" w:cs="Wingdings" w:hint="default"/>
      </w:rPr>
    </w:lvl>
    <w:lvl w:ilvl="6">
      <w:numFmt w:val="bullet"/>
      <w:lvlText w:val=""/>
      <w:lvlJc w:val="left"/>
      <w:pPr>
        <w:ind w:left="4680" w:hanging="360"/>
      </w:pPr>
      <w:rPr>
        <w:rFonts w:ascii="Symbol" w:hAnsi="Symbol" w:cs="Symbol" w:hint="default"/>
      </w:rPr>
    </w:lvl>
    <w:lvl w:ilvl="7">
      <w:numFmt w:val="bullet"/>
      <w:lvlText w:val="o"/>
      <w:lvlJc w:val="left"/>
      <w:pPr>
        <w:ind w:left="5400" w:hanging="360"/>
      </w:pPr>
      <w:rPr>
        <w:rFonts w:ascii="Courier New" w:hAnsi="Courier New" w:cs="Courier New" w:hint="default"/>
      </w:rPr>
    </w:lvl>
    <w:lvl w:ilvl="8">
      <w:numFmt w:val="bullet"/>
      <w:lvlText w:val=""/>
      <w:lvlJc w:val="left"/>
      <w:pPr>
        <w:ind w:left="6120" w:hanging="360"/>
      </w:pPr>
      <w:rPr>
        <w:rFonts w:ascii="Wingdings" w:hAnsi="Wingdings" w:cs="Wingdings" w:hint="default"/>
      </w:rPr>
    </w:lvl>
  </w:abstractNum>
  <w:abstractNum w:abstractNumId="1" w15:restartNumberingAfterBreak="0">
    <w:nsid w:val="3B7357B0"/>
    <w:multiLevelType w:val="multilevel"/>
    <w:tmpl w:val="3BD496BC"/>
    <w:lvl w:ilvl="0">
      <w:start w:val="1"/>
      <w:numFmt w:val="decimal"/>
      <w:lvlText w:val="%1."/>
      <w:lvlJc w:val="left"/>
      <w:pPr>
        <w:ind w:left="720" w:hanging="360"/>
      </w:pPr>
      <w:rPr>
        <w:rFonts w:hint="default"/>
      </w:rPr>
    </w:lvl>
    <w:lvl w:ilvl="1">
      <w:start w:val="1"/>
      <w:numFmt w:val="decimal"/>
      <w:isLgl/>
      <w:lvlText w:val="%1.%2"/>
      <w:lvlJc w:val="left"/>
      <w:pPr>
        <w:ind w:left="764"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AC83CB0"/>
    <w:multiLevelType w:val="hybridMultilevel"/>
    <w:tmpl w:val="E2F69678"/>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7B74637D"/>
    <w:multiLevelType w:val="multilevel"/>
    <w:tmpl w:val="5C54912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bullet"/>
      <w:lvlText w:val=""/>
      <w:lvlJc w:val="left"/>
      <w:pPr>
        <w:ind w:left="720" w:hanging="360"/>
      </w:pPr>
      <w:rPr>
        <w:rFonts w:ascii="Symbol" w:hAnsi="Symbol"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147239216">
    <w:abstractNumId w:val="1"/>
  </w:num>
  <w:num w:numId="2" w16cid:durableId="831991618">
    <w:abstractNumId w:val="0"/>
    <w:lvlOverride w:ilvl="0"/>
    <w:lvlOverride w:ilvl="1"/>
    <w:lvlOverride w:ilvl="2"/>
    <w:lvlOverride w:ilvl="3"/>
    <w:lvlOverride w:ilvl="4"/>
    <w:lvlOverride w:ilvl="5"/>
    <w:lvlOverride w:ilvl="6"/>
    <w:lvlOverride w:ilvl="7"/>
    <w:lvlOverride w:ilvl="8"/>
  </w:num>
  <w:num w:numId="3" w16cid:durableId="47337014">
    <w:abstractNumId w:val="3"/>
  </w:num>
  <w:num w:numId="4" w16cid:durableId="1992638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E2B"/>
    <w:rsid w:val="00003685"/>
    <w:rsid w:val="0009190D"/>
    <w:rsid w:val="000C4C3A"/>
    <w:rsid w:val="000C660E"/>
    <w:rsid w:val="00112F81"/>
    <w:rsid w:val="00135A79"/>
    <w:rsid w:val="0014480B"/>
    <w:rsid w:val="00162A2D"/>
    <w:rsid w:val="001D20F7"/>
    <w:rsid w:val="001E757B"/>
    <w:rsid w:val="001F7C39"/>
    <w:rsid w:val="002217C6"/>
    <w:rsid w:val="0022193B"/>
    <w:rsid w:val="00222A7E"/>
    <w:rsid w:val="00227930"/>
    <w:rsid w:val="0023739B"/>
    <w:rsid w:val="002730DF"/>
    <w:rsid w:val="00311D37"/>
    <w:rsid w:val="0034453F"/>
    <w:rsid w:val="0034669A"/>
    <w:rsid w:val="003715C5"/>
    <w:rsid w:val="00396A4A"/>
    <w:rsid w:val="003A3B90"/>
    <w:rsid w:val="00414C42"/>
    <w:rsid w:val="00441F85"/>
    <w:rsid w:val="00453657"/>
    <w:rsid w:val="00485622"/>
    <w:rsid w:val="004A7E7E"/>
    <w:rsid w:val="004D02ED"/>
    <w:rsid w:val="004D2BC7"/>
    <w:rsid w:val="004D321F"/>
    <w:rsid w:val="00506558"/>
    <w:rsid w:val="005172C2"/>
    <w:rsid w:val="005537A0"/>
    <w:rsid w:val="005C4B48"/>
    <w:rsid w:val="005D5170"/>
    <w:rsid w:val="005D7A24"/>
    <w:rsid w:val="005F54B5"/>
    <w:rsid w:val="0062461B"/>
    <w:rsid w:val="0063143D"/>
    <w:rsid w:val="00645107"/>
    <w:rsid w:val="00654339"/>
    <w:rsid w:val="0067166E"/>
    <w:rsid w:val="006849A1"/>
    <w:rsid w:val="006A6FDA"/>
    <w:rsid w:val="006C0E92"/>
    <w:rsid w:val="006E1831"/>
    <w:rsid w:val="006E6F03"/>
    <w:rsid w:val="00750F5A"/>
    <w:rsid w:val="00783EDA"/>
    <w:rsid w:val="007A5ECF"/>
    <w:rsid w:val="007E5F77"/>
    <w:rsid w:val="007F1930"/>
    <w:rsid w:val="00801442"/>
    <w:rsid w:val="008032B2"/>
    <w:rsid w:val="00803A70"/>
    <w:rsid w:val="008247F2"/>
    <w:rsid w:val="008D015B"/>
    <w:rsid w:val="00926035"/>
    <w:rsid w:val="00927579"/>
    <w:rsid w:val="0097258F"/>
    <w:rsid w:val="009D7E92"/>
    <w:rsid w:val="009E4695"/>
    <w:rsid w:val="009F0698"/>
    <w:rsid w:val="00A02310"/>
    <w:rsid w:val="00A0798A"/>
    <w:rsid w:val="00A30D4A"/>
    <w:rsid w:val="00A53DB1"/>
    <w:rsid w:val="00A7044E"/>
    <w:rsid w:val="00A74E96"/>
    <w:rsid w:val="00AA3E24"/>
    <w:rsid w:val="00AD13C8"/>
    <w:rsid w:val="00AD47B8"/>
    <w:rsid w:val="00B859B4"/>
    <w:rsid w:val="00BA1424"/>
    <w:rsid w:val="00BC55A9"/>
    <w:rsid w:val="00C05A7B"/>
    <w:rsid w:val="00C076F2"/>
    <w:rsid w:val="00C13938"/>
    <w:rsid w:val="00C206E4"/>
    <w:rsid w:val="00C31ED1"/>
    <w:rsid w:val="00C33E2B"/>
    <w:rsid w:val="00CE6CBE"/>
    <w:rsid w:val="00D1311B"/>
    <w:rsid w:val="00D133E6"/>
    <w:rsid w:val="00D760E6"/>
    <w:rsid w:val="00D90022"/>
    <w:rsid w:val="00D95229"/>
    <w:rsid w:val="00DA208E"/>
    <w:rsid w:val="00DB168A"/>
    <w:rsid w:val="00DC1B98"/>
    <w:rsid w:val="00E37F30"/>
    <w:rsid w:val="00E62A78"/>
    <w:rsid w:val="00E8222F"/>
    <w:rsid w:val="00EA046B"/>
    <w:rsid w:val="00EC71A0"/>
    <w:rsid w:val="00EE5E22"/>
    <w:rsid w:val="00EF14AB"/>
    <w:rsid w:val="00EF6AFA"/>
    <w:rsid w:val="00F24D89"/>
    <w:rsid w:val="00F3547B"/>
    <w:rsid w:val="00F775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07787"/>
  <w15:chartTrackingRefBased/>
  <w15:docId w15:val="{DC740EB9-99DB-4BC5-B6B0-F62677BD4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B48"/>
    <w:pPr>
      <w:spacing w:after="200" w:line="240" w:lineRule="auto"/>
    </w:pPr>
    <w:rPr>
      <w:rFonts w:ascii="Aptos" w:eastAsia="Aptos" w:hAnsi="Aptos" w:cs="Times New Roman"/>
      <w:kern w:val="0"/>
      <w:lang w:val="en"/>
      <w14:ligatures w14:val="none"/>
    </w:rPr>
  </w:style>
  <w:style w:type="paragraph" w:styleId="Heading1">
    <w:name w:val="heading 1"/>
    <w:basedOn w:val="Normal"/>
    <w:next w:val="Normal"/>
    <w:link w:val="Heading1Char"/>
    <w:uiPriority w:val="9"/>
    <w:qFormat/>
    <w:rsid w:val="003715C5"/>
    <w:pPr>
      <w:keepNext/>
      <w:keepLines/>
      <w:spacing w:before="360" w:after="80"/>
      <w:outlineLvl w:val="0"/>
    </w:pPr>
    <w:rPr>
      <w:rFonts w:ascii="Century Gothic" w:eastAsiaTheme="majorEastAsia" w:hAnsi="Century Gothic"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C33E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D02ED"/>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unhideWhenUsed/>
    <w:qFormat/>
    <w:rsid w:val="00C33E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33E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3E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E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E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E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5C5"/>
    <w:rPr>
      <w:rFonts w:ascii="Century Gothic" w:eastAsiaTheme="majorEastAsia" w:hAnsi="Century Gothic" w:cstheme="majorBidi"/>
      <w:b/>
      <w:color w:val="0F4761" w:themeColor="accent1" w:themeShade="BF"/>
      <w:sz w:val="32"/>
      <w:szCs w:val="40"/>
    </w:rPr>
  </w:style>
  <w:style w:type="character" w:customStyle="1" w:styleId="Heading2Char">
    <w:name w:val="Heading 2 Char"/>
    <w:basedOn w:val="DefaultParagraphFont"/>
    <w:link w:val="Heading2"/>
    <w:uiPriority w:val="9"/>
    <w:rsid w:val="00C33E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D02ED"/>
    <w:rPr>
      <w:rFonts w:eastAsiaTheme="majorEastAsia" w:cstheme="majorBidi"/>
      <w:color w:val="000000" w:themeColor="text1"/>
      <w:sz w:val="28"/>
      <w:szCs w:val="28"/>
    </w:rPr>
  </w:style>
  <w:style w:type="character" w:customStyle="1" w:styleId="Heading4Char">
    <w:name w:val="Heading 4 Char"/>
    <w:basedOn w:val="DefaultParagraphFont"/>
    <w:link w:val="Heading4"/>
    <w:uiPriority w:val="9"/>
    <w:rsid w:val="00C33E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33E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3E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E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E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E2B"/>
    <w:rPr>
      <w:rFonts w:eastAsiaTheme="majorEastAsia" w:cstheme="majorBidi"/>
      <w:color w:val="272727" w:themeColor="text1" w:themeTint="D8"/>
    </w:rPr>
  </w:style>
  <w:style w:type="paragraph" w:styleId="Title">
    <w:name w:val="Title"/>
    <w:basedOn w:val="Normal"/>
    <w:next w:val="Normal"/>
    <w:link w:val="TitleChar"/>
    <w:uiPriority w:val="10"/>
    <w:qFormat/>
    <w:rsid w:val="00A7044E"/>
    <w:pPr>
      <w:spacing w:after="80"/>
      <w:contextualSpacing/>
    </w:pPr>
    <w:rPr>
      <w:rFonts w:ascii="Century Gothic" w:eastAsiaTheme="majorEastAsia" w:hAnsi="Century Gothic" w:cstheme="majorBidi"/>
      <w:b/>
      <w:color w:val="000000" w:themeColor="text1"/>
      <w:spacing w:val="-10"/>
      <w:kern w:val="28"/>
      <w:sz w:val="52"/>
      <w:szCs w:val="56"/>
    </w:rPr>
  </w:style>
  <w:style w:type="character" w:customStyle="1" w:styleId="TitleChar">
    <w:name w:val="Title Char"/>
    <w:basedOn w:val="DefaultParagraphFont"/>
    <w:link w:val="Title"/>
    <w:uiPriority w:val="10"/>
    <w:rsid w:val="00A7044E"/>
    <w:rPr>
      <w:rFonts w:ascii="Century Gothic" w:eastAsiaTheme="majorEastAsia" w:hAnsi="Century Gothic" w:cstheme="majorBidi"/>
      <w:b/>
      <w:color w:val="000000" w:themeColor="text1"/>
      <w:spacing w:val="-10"/>
      <w:kern w:val="28"/>
      <w:sz w:val="52"/>
      <w:szCs w:val="56"/>
    </w:rPr>
  </w:style>
  <w:style w:type="paragraph" w:styleId="Subtitle">
    <w:name w:val="Subtitle"/>
    <w:basedOn w:val="Normal"/>
    <w:next w:val="Normal"/>
    <w:link w:val="SubtitleChar"/>
    <w:uiPriority w:val="11"/>
    <w:qFormat/>
    <w:rsid w:val="00C33E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E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E2B"/>
    <w:pPr>
      <w:spacing w:before="160"/>
      <w:jc w:val="center"/>
    </w:pPr>
    <w:rPr>
      <w:i/>
      <w:iCs/>
      <w:color w:val="404040" w:themeColor="text1" w:themeTint="BF"/>
    </w:rPr>
  </w:style>
  <w:style w:type="character" w:customStyle="1" w:styleId="QuoteChar">
    <w:name w:val="Quote Char"/>
    <w:basedOn w:val="DefaultParagraphFont"/>
    <w:link w:val="Quote"/>
    <w:uiPriority w:val="29"/>
    <w:rsid w:val="00C33E2B"/>
    <w:rPr>
      <w:i/>
      <w:iCs/>
      <w:color w:val="404040" w:themeColor="text1" w:themeTint="BF"/>
    </w:rPr>
  </w:style>
  <w:style w:type="paragraph" w:styleId="ListParagraph">
    <w:name w:val="List Paragraph"/>
    <w:basedOn w:val="Normal"/>
    <w:uiPriority w:val="34"/>
    <w:qFormat/>
    <w:rsid w:val="00C33E2B"/>
    <w:pPr>
      <w:ind w:left="720"/>
      <w:contextualSpacing/>
    </w:pPr>
  </w:style>
  <w:style w:type="character" w:styleId="IntenseEmphasis">
    <w:name w:val="Intense Emphasis"/>
    <w:basedOn w:val="DefaultParagraphFont"/>
    <w:uiPriority w:val="21"/>
    <w:qFormat/>
    <w:rsid w:val="00C33E2B"/>
    <w:rPr>
      <w:i/>
      <w:iCs/>
      <w:color w:val="0F4761" w:themeColor="accent1" w:themeShade="BF"/>
    </w:rPr>
  </w:style>
  <w:style w:type="paragraph" w:styleId="IntenseQuote">
    <w:name w:val="Intense Quote"/>
    <w:basedOn w:val="Normal"/>
    <w:next w:val="Normal"/>
    <w:link w:val="IntenseQuoteChar"/>
    <w:uiPriority w:val="30"/>
    <w:qFormat/>
    <w:rsid w:val="00C33E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3E2B"/>
    <w:rPr>
      <w:i/>
      <w:iCs/>
      <w:color w:val="0F4761" w:themeColor="accent1" w:themeShade="BF"/>
    </w:rPr>
  </w:style>
  <w:style w:type="character" w:styleId="IntenseReference">
    <w:name w:val="Intense Reference"/>
    <w:basedOn w:val="DefaultParagraphFont"/>
    <w:uiPriority w:val="32"/>
    <w:qFormat/>
    <w:rsid w:val="00C33E2B"/>
    <w:rPr>
      <w:b/>
      <w:bCs/>
      <w:smallCaps/>
      <w:color w:val="0F4761" w:themeColor="accent1" w:themeShade="BF"/>
      <w:spacing w:val="5"/>
    </w:rPr>
  </w:style>
  <w:style w:type="paragraph" w:customStyle="1" w:styleId="TEXTY">
    <w:name w:val="TEXTY"/>
    <w:basedOn w:val="Normal"/>
    <w:link w:val="TEXTYChar"/>
    <w:qFormat/>
    <w:rsid w:val="00112F81"/>
    <w:pPr>
      <w:spacing w:after="120" w:line="360" w:lineRule="auto"/>
      <w:jc w:val="both"/>
    </w:pPr>
    <w:rPr>
      <w:rFonts w:ascii="Times New Roman" w:hAnsi="Times New Roman"/>
      <w:color w:val="000000" w:themeColor="text1"/>
    </w:rPr>
  </w:style>
  <w:style w:type="character" w:customStyle="1" w:styleId="TEXTYChar">
    <w:name w:val="TEXTY Char"/>
    <w:basedOn w:val="DefaultParagraphFont"/>
    <w:link w:val="TEXTY"/>
    <w:rsid w:val="00112F81"/>
    <w:rPr>
      <w:rFonts w:ascii="Times New Roman" w:hAnsi="Times New Roman"/>
      <w:color w:val="000000" w:themeColor="text1"/>
    </w:rPr>
  </w:style>
  <w:style w:type="character" w:styleId="Hyperlink">
    <w:name w:val="Hyperlink"/>
    <w:basedOn w:val="DefaultParagraphFont"/>
    <w:uiPriority w:val="99"/>
    <w:unhideWhenUsed/>
    <w:rsid w:val="007E5F77"/>
    <w:rPr>
      <w:color w:val="156082" w:themeColor="accent1"/>
    </w:rPr>
  </w:style>
  <w:style w:type="paragraph" w:styleId="BodyText">
    <w:name w:val="Body Text"/>
    <w:basedOn w:val="Normal"/>
    <w:link w:val="BodyTextChar"/>
    <w:semiHidden/>
    <w:unhideWhenUsed/>
    <w:qFormat/>
    <w:rsid w:val="007E5F77"/>
    <w:pPr>
      <w:spacing w:before="180" w:after="180"/>
    </w:pPr>
  </w:style>
  <w:style w:type="character" w:customStyle="1" w:styleId="BodyTextChar">
    <w:name w:val="Body Text Char"/>
    <w:basedOn w:val="DefaultParagraphFont"/>
    <w:link w:val="BodyText"/>
    <w:semiHidden/>
    <w:rsid w:val="007E5F77"/>
    <w:rPr>
      <w:kern w:val="0"/>
      <w:lang w:val="en"/>
      <w14:ligatures w14:val="none"/>
    </w:rPr>
  </w:style>
  <w:style w:type="paragraph" w:customStyle="1" w:styleId="FirstParagraph">
    <w:name w:val="First Paragraph"/>
    <w:basedOn w:val="BodyText"/>
    <w:next w:val="BodyText"/>
    <w:qFormat/>
    <w:rsid w:val="007E5F77"/>
  </w:style>
  <w:style w:type="paragraph" w:customStyle="1" w:styleId="Compact">
    <w:name w:val="Compact"/>
    <w:basedOn w:val="BodyText"/>
    <w:qFormat/>
    <w:rsid w:val="007E5F77"/>
    <w:pPr>
      <w:spacing w:before="36" w:after="36"/>
    </w:pPr>
  </w:style>
  <w:style w:type="table" w:customStyle="1" w:styleId="Table">
    <w:name w:val="Table"/>
    <w:semiHidden/>
    <w:qFormat/>
    <w:rsid w:val="007E5F77"/>
    <w:pPr>
      <w:spacing w:after="200" w:line="240" w:lineRule="auto"/>
    </w:pPr>
    <w:rPr>
      <w:kern w:val="0"/>
      <w:lang w:val="en"/>
      <w14:ligatures w14:val="none"/>
    </w:rPr>
    <w:tblPr>
      <w:tblCellMar>
        <w:top w:w="0" w:type="dxa"/>
        <w:left w:w="108" w:type="dxa"/>
        <w:bottom w:w="0" w:type="dxa"/>
        <w:right w:w="108" w:type="dxa"/>
      </w:tblCellMar>
    </w:tblPr>
    <w:tblStylePr w:type="firstRow">
      <w:tblPr/>
      <w:tcPr>
        <w:tcBorders>
          <w:bottom w:val="single" w:sz="2" w:space="0" w:color="auto"/>
        </w:tcBorders>
        <w:vAlign w:val="bottom"/>
      </w:tcPr>
    </w:tblStylePr>
  </w:style>
  <w:style w:type="table" w:customStyle="1" w:styleId="Table1">
    <w:name w:val="Table1"/>
    <w:semiHidden/>
    <w:qFormat/>
    <w:rsid w:val="005C4B48"/>
    <w:pPr>
      <w:spacing w:after="200" w:line="240" w:lineRule="auto"/>
    </w:pPr>
    <w:rPr>
      <w:rFonts w:ascii="Aptos" w:eastAsia="Aptos" w:hAnsi="Aptos" w:cs="Times New Roman"/>
      <w:kern w:val="0"/>
      <w:lang w:val="en"/>
      <w14:ligatures w14:val="none"/>
    </w:rPr>
    <w:tblPr>
      <w:tblCellMar>
        <w:top w:w="0" w:type="dxa"/>
        <w:left w:w="108" w:type="dxa"/>
        <w:bottom w:w="0" w:type="dxa"/>
        <w:right w:w="108" w:type="dxa"/>
      </w:tblCellMar>
    </w:tblPr>
    <w:tblStylePr w:type="firstRow">
      <w:tblPr/>
      <w:tcPr>
        <w:tcBorders>
          <w:bottom w:val="single" w:sz="2" w:space="0" w:color="auto"/>
        </w:tcBorders>
        <w:vAlign w:val="bottom"/>
      </w:tcPr>
    </w:tblStylePr>
  </w:style>
  <w:style w:type="paragraph" w:styleId="Header">
    <w:name w:val="header"/>
    <w:basedOn w:val="Normal"/>
    <w:link w:val="HeaderChar"/>
    <w:uiPriority w:val="99"/>
    <w:unhideWhenUsed/>
    <w:rsid w:val="00EE5E22"/>
    <w:pPr>
      <w:tabs>
        <w:tab w:val="center" w:pos="4513"/>
        <w:tab w:val="right" w:pos="9026"/>
      </w:tabs>
      <w:spacing w:after="0"/>
    </w:pPr>
  </w:style>
  <w:style w:type="character" w:customStyle="1" w:styleId="HeaderChar">
    <w:name w:val="Header Char"/>
    <w:basedOn w:val="DefaultParagraphFont"/>
    <w:link w:val="Header"/>
    <w:uiPriority w:val="99"/>
    <w:rsid w:val="00EE5E22"/>
    <w:rPr>
      <w:rFonts w:ascii="Aptos" w:eastAsia="Aptos" w:hAnsi="Aptos" w:cs="Times New Roman"/>
      <w:kern w:val="0"/>
      <w:lang w:val="en"/>
      <w14:ligatures w14:val="none"/>
    </w:rPr>
  </w:style>
  <w:style w:type="paragraph" w:styleId="Footer">
    <w:name w:val="footer"/>
    <w:basedOn w:val="Normal"/>
    <w:link w:val="FooterChar"/>
    <w:uiPriority w:val="99"/>
    <w:unhideWhenUsed/>
    <w:rsid w:val="00EE5E22"/>
    <w:pPr>
      <w:tabs>
        <w:tab w:val="center" w:pos="4513"/>
        <w:tab w:val="right" w:pos="9026"/>
      </w:tabs>
      <w:spacing w:after="0"/>
    </w:pPr>
  </w:style>
  <w:style w:type="character" w:customStyle="1" w:styleId="FooterChar">
    <w:name w:val="Footer Char"/>
    <w:basedOn w:val="DefaultParagraphFont"/>
    <w:link w:val="Footer"/>
    <w:uiPriority w:val="99"/>
    <w:rsid w:val="00EE5E22"/>
    <w:rPr>
      <w:rFonts w:ascii="Aptos" w:eastAsia="Aptos" w:hAnsi="Aptos" w:cs="Times New Roman"/>
      <w:kern w:val="0"/>
      <w:lang w:val="en"/>
      <w14:ligatures w14:val="none"/>
    </w:rPr>
  </w:style>
  <w:style w:type="character" w:styleId="UnresolvedMention">
    <w:name w:val="Unresolved Mention"/>
    <w:basedOn w:val="DefaultParagraphFont"/>
    <w:uiPriority w:val="99"/>
    <w:semiHidden/>
    <w:unhideWhenUsed/>
    <w:rsid w:val="007A5ECF"/>
    <w:rPr>
      <w:color w:val="605E5C"/>
      <w:shd w:val="clear" w:color="auto" w:fill="E1DFDD"/>
    </w:rPr>
  </w:style>
  <w:style w:type="paragraph" w:styleId="TOCHeading">
    <w:name w:val="TOC Heading"/>
    <w:basedOn w:val="Heading1"/>
    <w:next w:val="Normal"/>
    <w:uiPriority w:val="39"/>
    <w:unhideWhenUsed/>
    <w:qFormat/>
    <w:rsid w:val="006C0E92"/>
    <w:pPr>
      <w:spacing w:before="240" w:after="0" w:line="259" w:lineRule="auto"/>
      <w:outlineLvl w:val="9"/>
    </w:pPr>
    <w:rPr>
      <w:rFonts w:asciiTheme="majorHAnsi" w:hAnsiTheme="majorHAnsi"/>
      <w:b w:val="0"/>
      <w:szCs w:val="32"/>
      <w:lang w:val="en-US"/>
    </w:rPr>
  </w:style>
  <w:style w:type="paragraph" w:styleId="TOC1">
    <w:name w:val="toc 1"/>
    <w:basedOn w:val="Normal"/>
    <w:next w:val="Normal"/>
    <w:autoRedefine/>
    <w:uiPriority w:val="39"/>
    <w:unhideWhenUsed/>
    <w:rsid w:val="006C0E92"/>
    <w:pPr>
      <w:spacing w:after="100"/>
    </w:pPr>
  </w:style>
  <w:style w:type="paragraph" w:styleId="TOC2">
    <w:name w:val="toc 2"/>
    <w:basedOn w:val="Normal"/>
    <w:next w:val="Normal"/>
    <w:autoRedefine/>
    <w:uiPriority w:val="39"/>
    <w:unhideWhenUsed/>
    <w:rsid w:val="006C0E92"/>
    <w:pPr>
      <w:spacing w:after="100"/>
      <w:ind w:left="240"/>
    </w:pPr>
  </w:style>
  <w:style w:type="paragraph" w:styleId="TOC3">
    <w:name w:val="toc 3"/>
    <w:basedOn w:val="Normal"/>
    <w:next w:val="Normal"/>
    <w:autoRedefine/>
    <w:uiPriority w:val="39"/>
    <w:unhideWhenUsed/>
    <w:rsid w:val="006C0E9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ec.gov/Archives/edgar/data/1318605/000162828026003952/tsla-20251231.htm" TargetMode="External"/><Relationship Id="rId18" Type="http://schemas.openxmlformats.org/officeDocument/2006/relationships/hyperlink" Target="https://autovista24.autovistagroup.com/news/which-brand-sold-the-most-evs-in-2025/" TargetMode="External"/><Relationship Id="rId26" Type="http://schemas.openxmlformats.org/officeDocument/2006/relationships/hyperlink" Target="https://global.toyota/pages/global_toyota/ir/financial-results/2025_4q_presentation_2_en.pdf" TargetMode="External"/><Relationship Id="rId3" Type="http://schemas.openxmlformats.org/officeDocument/2006/relationships/styles" Target="styles.xml"/><Relationship Id="rId21" Type="http://schemas.openxmlformats.org/officeDocument/2006/relationships/hyperlink" Target="https://www.sec.gov/Archives/edgar/data/1318605/000162828026003952/tsla-20251231.htm" TargetMode="External"/><Relationship Id="rId7" Type="http://schemas.openxmlformats.org/officeDocument/2006/relationships/endnotes" Target="endnotes.xml"/><Relationship Id="rId12" Type="http://schemas.openxmlformats.org/officeDocument/2006/relationships/hyperlink" Target="https://www.focus2move.com/world-car-group-ranking/" TargetMode="External"/><Relationship Id="rId17" Type="http://schemas.openxmlformats.org/officeDocument/2006/relationships/image" Target="media/image4.png"/><Relationship Id="rId25" Type="http://schemas.openxmlformats.org/officeDocument/2006/relationships/hyperlink" Target="https://global.toyota/pages/global_toyota/ir/financial-results/2025_4q_summary_en.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focus2move.com/world-car-group-ranking/" TargetMode="External"/><Relationship Id="rId29" Type="http://schemas.openxmlformats.org/officeDocument/2006/relationships/hyperlink" Target="https://cleantechnica.com/2026/02/04/tesla-had-46-of-us-ev-market-in-2025-down-from-49-in-2024-gm-13-ford-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utovista24.autovistagroup.com/news/which-brand-sold-the-most-evs-in-2025/" TargetMode="External"/><Relationship Id="rId24" Type="http://schemas.openxmlformats.org/officeDocument/2006/relationships/hyperlink" Target="https://global.toyota/pages/global_toyota/ir/financial-results/2025_4q_summary_en.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sec.gov/Archives/edgar/data/1318605/000162828026003952/tsla-20251231.htm" TargetMode="External"/><Relationship Id="rId28" Type="http://schemas.openxmlformats.org/officeDocument/2006/relationships/hyperlink" Target="https://cleantechnica.com/2026/02/04/tesla-had-46-of-us-ev-market-in-2025-down-from-49-in-2024-gm-13-ford-7/" TargetMode="External"/><Relationship Id="rId10" Type="http://schemas.openxmlformats.org/officeDocument/2006/relationships/hyperlink" Target="https://www.focus2move.com/world-car-group-ranking/" TargetMode="External"/><Relationship Id="rId19" Type="http://schemas.openxmlformats.org/officeDocument/2006/relationships/hyperlink" Target="https://www.focus2move.com/world-car-group-ranking/" TargetMode="External"/><Relationship Id="rId31" Type="http://schemas.openxmlformats.org/officeDocument/2006/relationships/hyperlink" Target="https://www.iea.org/reports/global-ev-outlook-2025" TargetMode="External"/><Relationship Id="rId4" Type="http://schemas.openxmlformats.org/officeDocument/2006/relationships/settings" Target="settings.xml"/><Relationship Id="rId9" Type="http://schemas.openxmlformats.org/officeDocument/2006/relationships/hyperlink" Target="https://autovista24.autovistagroup.com/news/which-brand-sold-the-most-evs-in-2025/" TargetMode="External"/><Relationship Id="rId14" Type="http://schemas.openxmlformats.org/officeDocument/2006/relationships/hyperlink" Target="https://www.focus2move.com/world-car-group-ranking/" TargetMode="External"/><Relationship Id="rId22" Type="http://schemas.openxmlformats.org/officeDocument/2006/relationships/hyperlink" Target="https://www.sec.gov/Archives/edgar/data/1318605/000162828026003952/tsla-20251231.htm" TargetMode="External"/><Relationship Id="rId27" Type="http://schemas.openxmlformats.org/officeDocument/2006/relationships/hyperlink" Target="https://global.toyota/pages/global_toyota/ir/financial-results/2025_4q_presentation_2_en.pdf" TargetMode="External"/><Relationship Id="rId30" Type="http://schemas.openxmlformats.org/officeDocument/2006/relationships/hyperlink" Target="https://www.iea.org/reports/global-ev-outlook-2025"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76E85-6543-4FC7-9890-7DB34FE1F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3761</Words>
  <Characters>21442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shrimali</dc:creator>
  <cp:keywords/>
  <dc:description/>
  <cp:lastModifiedBy>rahul shrimali</cp:lastModifiedBy>
  <cp:revision>2</cp:revision>
  <dcterms:created xsi:type="dcterms:W3CDTF">2026-03-27T01:36:00Z</dcterms:created>
  <dcterms:modified xsi:type="dcterms:W3CDTF">2026-03-27T01:36:00Z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21d11382-76b8-45cf-a771-6b78d3772f82</vt:lpwstr>
  </property>
</Properties>
</file>