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71549D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D5AD1">
              <w:rPr>
                <w:rFonts w:ascii="Times New Roman" w:hAnsi="Times New Roman" w:cs="Times New Roman"/>
                <w:b/>
                <w:color w:val="auto"/>
                <w:sz w:val="48"/>
              </w:rPr>
              <w:t>Lynsey Wilcock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0D5E32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D5AD1">
              <w:rPr>
                <w:rFonts w:ascii="Times New Roman" w:hAnsi="Times New Roman" w:cs="Times New Roman"/>
                <w:b/>
                <w:color w:val="auto"/>
                <w:sz w:val="48"/>
              </w:rPr>
              <w:t xml:space="preserve"> lynsey.wilcock@flintshire.gov.uk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BD14760" w14:textId="6F06AC47" w:rsidR="0077170B" w:rsidRPr="005D3F07" w:rsidRDefault="0077170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2319801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28A8780" w14:textId="77777777" w:rsidR="0077170B" w:rsidRDefault="0077170B" w:rsidP="00FF7EBB">
            <w:pPr>
              <w:jc w:val="both"/>
              <w:rPr>
                <w:i/>
                <w:sz w:val="24"/>
                <w:szCs w:val="24"/>
              </w:rPr>
            </w:pPr>
          </w:p>
          <w:p w14:paraId="75EC0B15"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color w:val="auto"/>
                <w:kern w:val="2"/>
                <w:sz w:val="22"/>
                <w:szCs w:val="22"/>
                <w:lang w:eastAsia="en-US"/>
              </w:rPr>
            </w:pPr>
            <w:r w:rsidRPr="0077170B">
              <w:rPr>
                <w:rFonts w:asciiTheme="minorHAnsi" w:hAnsiTheme="minorHAnsi" w:cs="Times New Roman"/>
                <w:color w:val="auto"/>
                <w:kern w:val="2"/>
                <w:sz w:val="22"/>
                <w:szCs w:val="22"/>
                <w:lang w:eastAsia="en-US"/>
              </w:rPr>
              <w:t xml:space="preserve">While on duty cover for the team we received a safeguarding referral. This was from a medical professional raising concerns that a 9 year old boy, who shall be referred to as </w:t>
            </w:r>
            <w:r w:rsidRPr="0077170B">
              <w:rPr>
                <w:rFonts w:asciiTheme="minorHAnsi" w:hAnsiTheme="minorHAnsi" w:cs="Times New Roman"/>
                <w:b/>
                <w:bCs/>
                <w:color w:val="auto"/>
                <w:kern w:val="2"/>
                <w:sz w:val="22"/>
                <w:szCs w:val="22"/>
                <w:lang w:eastAsia="en-US"/>
              </w:rPr>
              <w:t>2</w:t>
            </w:r>
            <w:r w:rsidRPr="0077170B">
              <w:rPr>
                <w:rFonts w:asciiTheme="minorHAnsi" w:hAnsiTheme="minorHAnsi" w:cs="Times New Roman"/>
                <w:color w:val="auto"/>
                <w:kern w:val="2"/>
                <w:sz w:val="22"/>
                <w:szCs w:val="22"/>
                <w:lang w:eastAsia="en-US"/>
              </w:rPr>
              <w:t>, had missed a significant number of medical appointments over the past few months and might “be at risk of abuse, neglect or other kinds of harm”. He has been having issues with his Nasal gastric feeds and his weight was very low so he was admitted to the hospital for several days in order to be monitored and during which his weight gain was significantly better, however he has lost this weight since returning home. ‘The duty to report a child at risk of abuse, neglect and/or harm comes under section 2’ (All Wales safeguarding procedures) (AWSP 2019) and Section 7 – safeguarding of the Social Services and wellbeing Act (Wales)(2014).</w:t>
            </w:r>
          </w:p>
          <w:p w14:paraId="7B72170B"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color w:val="auto"/>
                <w:kern w:val="2"/>
                <w:sz w:val="22"/>
                <w:szCs w:val="22"/>
                <w:lang w:eastAsia="en-US"/>
              </w:rPr>
            </w:pPr>
            <w:r w:rsidRPr="0077170B">
              <w:rPr>
                <w:rFonts w:asciiTheme="minorHAnsi" w:hAnsiTheme="minorHAnsi" w:cs="Times New Roman"/>
                <w:color w:val="auto"/>
                <w:kern w:val="2"/>
                <w:sz w:val="22"/>
                <w:szCs w:val="22"/>
                <w:lang w:eastAsia="en-US"/>
              </w:rPr>
              <w:t xml:space="preserve">According to the AWSP (2019) once the referral has been received the local authority have a legal requirement to decide and record actions within one working day. If it is decided that a strategy meeting is required, then it would also be held within one working day and would include the police and other professionals if required. The initial strategy will identify if a single or joint investigation is necessary and if a s47 is required. The outcome for this case was to continue a s47 as a single investigation by social services. S47 is a safeguarding enquiry under the Children Act 1989 which needs to be completed within 15 working days of the strategy. As a newly qualified social worker it was decided that I would take a colleague out with me in order to shadow the visit and offer support if needed. On the first visit there was no answer at the property. I then arranged to visit the following day and meet the school nurse there as a joint visit. Unfortunately, there was no answer again. However, I had a letter prepared in case this was the situation which explained who I was and the reason for the visit. The letter also asked Mum to telephone me as soon as possible. Later that day Mum phoned, and I was able to arrange to visit and also meet with her and </w:t>
            </w:r>
            <w:r w:rsidRPr="0077170B">
              <w:rPr>
                <w:rFonts w:asciiTheme="minorHAnsi" w:hAnsiTheme="minorHAnsi" w:cs="Times New Roman"/>
                <w:b/>
                <w:bCs/>
                <w:color w:val="auto"/>
                <w:kern w:val="2"/>
                <w:sz w:val="22"/>
                <w:szCs w:val="22"/>
                <w:lang w:eastAsia="en-US"/>
              </w:rPr>
              <w:t>2</w:t>
            </w:r>
            <w:r w:rsidRPr="0077170B">
              <w:rPr>
                <w:rFonts w:asciiTheme="minorHAnsi" w:hAnsiTheme="minorHAnsi" w:cs="Times New Roman"/>
                <w:color w:val="auto"/>
                <w:kern w:val="2"/>
                <w:sz w:val="22"/>
                <w:szCs w:val="22"/>
                <w:lang w:eastAsia="en-US"/>
              </w:rPr>
              <w:t xml:space="preserve">.  </w:t>
            </w:r>
          </w:p>
          <w:p w14:paraId="62EAE8EB"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color w:val="auto"/>
                <w:kern w:val="2"/>
                <w:sz w:val="22"/>
                <w:szCs w:val="22"/>
                <w:lang w:eastAsia="en-US"/>
              </w:rPr>
            </w:pPr>
            <w:r w:rsidRPr="0077170B">
              <w:rPr>
                <w:rFonts w:asciiTheme="minorHAnsi" w:hAnsiTheme="minorHAnsi" w:cs="Times New Roman"/>
                <w:color w:val="auto"/>
                <w:kern w:val="2"/>
                <w:sz w:val="22"/>
                <w:szCs w:val="22"/>
                <w:lang w:eastAsia="en-US"/>
              </w:rPr>
              <w:lastRenderedPageBreak/>
              <w:t>I visited as arranged and also took a colleague. We were able to complete an initial s47 visit. During the visit it was very clear that Mum was upset and concerned about the referral as</w:t>
            </w:r>
            <w:r w:rsidRPr="0077170B">
              <w:rPr>
                <w:rFonts w:asciiTheme="minorHAnsi" w:hAnsiTheme="minorHAnsi" w:cs="Times New Roman"/>
                <w:b/>
                <w:bCs/>
                <w:color w:val="auto"/>
                <w:kern w:val="2"/>
                <w:sz w:val="22"/>
                <w:szCs w:val="22"/>
                <w:lang w:eastAsia="en-US"/>
              </w:rPr>
              <w:t xml:space="preserve"> 2</w:t>
            </w:r>
            <w:r w:rsidRPr="0077170B">
              <w:rPr>
                <w:rFonts w:asciiTheme="minorHAnsi" w:hAnsiTheme="minorHAnsi" w:cs="Times New Roman"/>
                <w:color w:val="auto"/>
                <w:kern w:val="2"/>
                <w:sz w:val="22"/>
                <w:szCs w:val="22"/>
                <w:lang w:eastAsia="en-US"/>
              </w:rPr>
              <w:t xml:space="preserve"> had previously been on the child protection register. I explained to Mum that we were not there to judge or make assumptions but to gather more information about the situation that they had found themselves in, and to explore options on how to make this better. Mum did then appear to calm slightly however it was clear she was still very guarded. I was keen to explore the reason for this but felt that an initial meeting was not going to be the right time. My colleague and I had a lengthy conversation with Mum, gained a lot of information which enable us to fulfil our requirements within Section 3 part 1 of the procedures (AWSP 2109). This requires us as a local authority to explore and gather all  of the relevant evidence to “establish the nature of the harm and whether it is significant” (AWSP 2019).  </w:t>
            </w:r>
          </w:p>
          <w:p w14:paraId="68F67D2C"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color w:val="auto"/>
                <w:kern w:val="2"/>
                <w:sz w:val="22"/>
                <w:szCs w:val="22"/>
                <w:lang w:eastAsia="en-US"/>
              </w:rPr>
              <w:t xml:space="preserve">During the initial visit I spoke with Mum without </w:t>
            </w:r>
            <w:r w:rsidRPr="0077170B">
              <w:rPr>
                <w:rFonts w:asciiTheme="minorHAnsi" w:hAnsiTheme="minorHAnsi" w:cs="Times New Roman"/>
                <w:b/>
                <w:bCs/>
                <w:color w:val="auto"/>
                <w:kern w:val="2"/>
                <w:sz w:val="22"/>
                <w:szCs w:val="22"/>
                <w:lang w:eastAsia="en-US"/>
              </w:rPr>
              <w:t>2</w:t>
            </w:r>
            <w:r w:rsidRPr="0077170B">
              <w:rPr>
                <w:rFonts w:asciiTheme="minorHAnsi" w:hAnsiTheme="minorHAnsi" w:cs="Times New Roman"/>
                <w:color w:val="auto"/>
                <w:kern w:val="2"/>
                <w:sz w:val="22"/>
                <w:szCs w:val="22"/>
                <w:lang w:eastAsia="en-US"/>
              </w:rPr>
              <w:t xml:space="preserve"> being present as I didn’t believe it was beneficial for his to hear abut the concerns raised. Before the end of the visit I introduced myself to </w:t>
            </w:r>
            <w:r w:rsidRPr="0077170B">
              <w:rPr>
                <w:rFonts w:asciiTheme="minorHAnsi" w:hAnsiTheme="minorHAnsi" w:cs="Times New Roman"/>
                <w:b/>
                <w:bCs/>
                <w:color w:val="auto"/>
                <w:kern w:val="2"/>
                <w:sz w:val="22"/>
                <w:szCs w:val="22"/>
                <w:lang w:eastAsia="en-US"/>
              </w:rPr>
              <w:t>2</w:t>
            </w:r>
            <w:r w:rsidRPr="0077170B">
              <w:rPr>
                <w:rFonts w:asciiTheme="minorHAnsi" w:hAnsiTheme="minorHAnsi" w:cs="Times New Roman"/>
                <w:color w:val="auto"/>
                <w:kern w:val="2"/>
                <w:sz w:val="22"/>
                <w:szCs w:val="22"/>
                <w:lang w:eastAsia="en-US"/>
              </w:rPr>
              <w:t xml:space="preserve"> and explained that I had come to see how things were going for him.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is a very capable and articulate young man who after a few minutes was more than happy to have a short conversation with me. He told me all about the toys in his room and all of the different characters. I asked if it would be ok for me to come and see him at school next week and he replied, “it would be nice to see you”. I also confirmed that Mum was happy for me to visit him at school which she agreed to. We completed a brief home assessment, and everything appeared to be acceptable. </w:t>
            </w:r>
          </w:p>
          <w:p w14:paraId="532D0036"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When I returned to the office my colleague and I reflected and analysed the situation. We both decided that it was a very complex home life and there were many concerns that would need to be addressed. It was discussed that Mum has significant issues of her own and we felt that this is contributing to the wider concerns regarding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I also felt that further information around the wider family situation would be helpful. </w:t>
            </w:r>
          </w:p>
          <w:p w14:paraId="006E01CB"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 then completed the relevant paperwork and had a discussion with my manager. This was further discussed in an additional strategy MDT meeting where I shared my views and evidence. I agreed that there were some concerns regarding missed appointment for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however I believed there was more to be explored and mum was willing to work with us. I suspected that with some significant support and collaborative work with both health professionals and education as a multidisciplinary team we would be able to support this family under the Care and Support model and this was also the conclusion of the MDT. The case was therefore opened to me under care and support which I was pleased about as I felt it the least oppressive. </w:t>
            </w:r>
          </w:p>
          <w:p w14:paraId="17478AFC"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 feel that following the; what? so what? what now? Reflection model allowed me to determine the situation the family are currently in, what the impact of this was and what actions needed to be taken in order to move forward and make things better. (Terry Borton’s model of reflection - Model thinkers online) </w:t>
            </w:r>
          </w:p>
          <w:p w14:paraId="2EABAEE7"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 revisited Mum and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and</w:t>
            </w:r>
            <w:r w:rsidRPr="0077170B">
              <w:rPr>
                <w:rFonts w:asciiTheme="minorHAnsi" w:hAnsiTheme="minorHAnsi" w:cs="Times New Roman"/>
                <w:b/>
                <w:color w:val="auto"/>
                <w:kern w:val="2"/>
                <w:sz w:val="22"/>
                <w:szCs w:val="22"/>
                <w:lang w:eastAsia="en-US"/>
              </w:rPr>
              <w:t xml:space="preserve"> </w:t>
            </w:r>
            <w:r w:rsidRPr="0077170B">
              <w:rPr>
                <w:rFonts w:asciiTheme="minorHAnsi" w:hAnsiTheme="minorHAnsi" w:cs="Times New Roman"/>
                <w:bCs/>
                <w:color w:val="auto"/>
                <w:kern w:val="2"/>
                <w:sz w:val="22"/>
                <w:szCs w:val="22"/>
                <w:lang w:eastAsia="en-US"/>
              </w:rPr>
              <w:t>explained what had been decided and what steps needed to be made going forward. During this short meeting, Mum spoke about her historical experiences regarding a broken and unconventional home life which included a significant level of domestic violence, coercive and controlling behaviours which enabled me a clearer picture of the situation. Mum stated that she had not had good experiences with social services in the past and that she lacks trust in them. She did however state that she had appreciated my open, honest, and non-judgemental attitude during my first visit as it had made her feel more at ease. I was pleased to hear this as it confirmed my belief that the visit had gone well and that I had, to the best of my ability, used an approachable but professional attitude which assisted the initial visit and avoided confrontation. (Professional codes of practice in social work 2017)</w:t>
            </w:r>
          </w:p>
          <w:p w14:paraId="0B61B298"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lastRenderedPageBreak/>
              <w:t xml:space="preserve">During this conversation it was apparent that Mum was also struggling due to where they live, they live in a more rural setting with some public transport links but they are not accessible for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Mum does not drive and has to rely on her Dad or a taxi to access any appointments. Mum has very little spare income and the cost of this can often prove to be out of her budget. Where she lives also has very poor signal for both phones and internet and this in turn poses problems if an online meeting is required and she often has trouble accessing them or it drop out regularly. If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has an appointment over the border into England this proves harder again as the travel time is significantly longer and accessing a big city is not easy with regards to parking, parking charges, etc.  </w:t>
            </w:r>
          </w:p>
          <w:p w14:paraId="3E0D24CF"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 arranged to meet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at school the following week. On my arrival his class teacher stated that he had not been very well at the beginning of the week and that he was still very tired.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was dozing at his desk when I first arrived however, over the 30 minutes I was there I managed to gain information from his class teacher regarding his significant absence of late, his daily routine and how his Nasal Gastric tube (NGT) effected his learning.  Once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woke up a little, he appeared happy to talk to me and stated that he did remember who I was. He told me about some of the activities that he took part in in class. His teacher did raise some concerns however I was able to explain that I planned to hold a multidisciplinary team meeting (MDT) for all professionals to share their views to enable us to make a plan to support collaboratively. </w:t>
            </w:r>
          </w:p>
          <w:p w14:paraId="1949E225"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Over the next few days, I had a conversation with the health professional who had made the initial referral. I explained that the case was now open to me under care and support and that I would be helping both Mum and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going forward. She informed me that there were a lot of medical professionals involved with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who all had very different roles. I suggested that it would be good to hold a meeting with all of the medical professionals to find out their roles before the planned MDT. This was arranged and several professionals attended. I did find this particularly challenging as I was the only attendee who wasn’t a health professional and, on several occasions, I had to ask for an explanation regarding acronyms, abbreviations, and a breakdown of the medical process. However, I was glad that I held the meeting before the planned MDT as it gave me a much deeper insight to the situation before involving any other professionals or taking up the time of the people who were already familiar with the case. </w:t>
            </w:r>
          </w:p>
          <w:p w14:paraId="4275656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 was able to gain lot of background information from the initial meeting and make some of the professional aware of other significant issues and dynamics for family. I believe some professionals were being particularly critical of Mum without knowing the whole story. Once I had explained my role, clarified that I was there to work in a holistic, collaborative manner and to provide support to both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and his Mum, all professionals fears appeared to subside slightly. I asked that I be included in all correspondence to Mum as I feel that she can become overwhelmed. </w:t>
            </w:r>
          </w:p>
          <w:p w14:paraId="2CC10B72"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Over the following months I worked closely with Mum and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and we put together a plan on how we move forward. Mum agreed that she would let me know whenever she had an appointment come through and if we felt that it was necessary or if Mum needed extra support, then I would attend the appointments with her. This then allowed me to be the second pair of ears which enabled me to have the information that was given to Mum so that I could clarify with her what was said later if she felt she hadn’t heard or understood something. This worked well as Mum and other professional’s accounts of what was said or discussed differed significantly and then it became one word against another. This way I was fully aware of information had been shared. </w:t>
            </w:r>
          </w:p>
          <w:p w14:paraId="04E0F021"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lastRenderedPageBreak/>
              <w:t xml:space="preserve">This case has caused me to become aware of the complex power dynamics that can occur between a selection of people all working on the same case. During meetings it has been clear that several different points of view have been present. The power struggle in relation to the social model versus the medical model has been clear as health professionals appear to believe they have the overarching power over social services but then rely on social services to lead the intervention. There is also a struggle between Mum and professionals as she knows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best yet is being given instructions and almost being told what is going to happen (unfortunately this is the medical model) and Mum does not always agree to what is in his best interests. I have been a more neutral party through this process as I have been meeting with health professionals and Mum both together and separately, so I have been able to take a step back and observe the family and their thoughts and wishes whilst balancing that with the medical processes and need for further intervention. </w:t>
            </w:r>
          </w:p>
          <w:p w14:paraId="4468E20D"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This has led me to explore Bronfenbrenner’s ecological systems theory as it considers the support network around a child and how each one impacts and effects another. Looking at the basic principles it is clear that due to the family dynamics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has a very small support network and this may be leading to some shortfalls in the experiences, influences and developmental opportunities that he is experiencing. </w:t>
            </w:r>
          </w:p>
          <w:p w14:paraId="06B4F22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(Ecological systems theory)</w:t>
            </w:r>
          </w:p>
          <w:p w14:paraId="66BB7FF0"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As this is an ongoing case which will be under care and support for some time. While we are making progress in some areas there is still much room for improvement in others. We have had some issues and hurdles to overcome during this time. I feel that being aware of the Transtheoretical model of change (Prochaska and DiClemente 1983) the concept of which I have with Mum, has allowed her to understand the process of change, to embrace the process and allow herself a ‘wobble’ every now and again. She can recognise not to be so hard on herself when she does relapse and know we can just go back to the previous step. It also helps her to acknowledge how far she has already come and to feel proud and enthused. </w:t>
            </w:r>
          </w:p>
          <w:p w14:paraId="422800FD"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As this case has previously been on the child protection register it will need to be closely monitored and all professionals involved will need to meet regularly in order for the case to be reviewed. It will enable me as a practitioner to reflect on the current circumstances,  review the progress that has been made and what progress still needs to be made. It enables re-evaluation of the level of intervention that is currently in place. It will also allow me to determine if the support is adequate and if it needs to be increased or reduced. This of course needs to be completed in conjunction with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and his Mum in order to ensure that it is person centred and includes their thoughts, wishes and feelings. </w:t>
            </w:r>
          </w:p>
          <w:p w14:paraId="13BACBD8"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If the case had progressed down the safeguarding route there would have been a very strict process which would need to followed and adhered to. If there had been a significant cause for concern then the initial strategy would have needed to consider whether a medical examination was required. This needs to be considered whether there is an obvious sign of injury or not as this is not always visible on visiting and/ or maybe being concealed. This examination would have needed the consent of someone with parental responsibility and the child if possible. In this case the medical examination was not deemed to be required. </w:t>
            </w:r>
          </w:p>
          <w:p w14:paraId="002AE075"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If an initial case conference is called, and this would need to happen within 15 days of the first strategy meeting. This meeting would include any social services professionals involved with the case, family members, the child (where appropriate), education, health professionals, advocate (if required) and the police. During the meeting all of the evidence gathered will be presented, it will objectively analysed and a </w:t>
            </w:r>
            <w:r w:rsidRPr="0077170B">
              <w:rPr>
                <w:rFonts w:asciiTheme="minorHAnsi" w:hAnsiTheme="minorHAnsi" w:cs="Times New Roman"/>
                <w:bCs/>
                <w:color w:val="auto"/>
                <w:kern w:val="2"/>
                <w:sz w:val="22"/>
                <w:szCs w:val="22"/>
                <w:lang w:eastAsia="en-US"/>
              </w:rPr>
              <w:lastRenderedPageBreak/>
              <w:t>decision will be made on whether the child will be placed on the child protection register and under which category.</w:t>
            </w:r>
          </w:p>
          <w:p w14:paraId="07F1AAD2"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If the child is placed on the child protection register, it will need to be followed within 10 working days with an initial core group meeting. The purpose of this meeting would be to develop a plan outlined in the child protection conference into a detailed care and support protection plan. It will delegate and clarify roles and actions for those involved. Core groups will take place every 6 weeks in order for this care and protection plan to be reviewed and progress established. It will establish if the plan is working and if not, what needs to change in order to facilitate this change.  Further actions will also be decided. </w:t>
            </w:r>
          </w:p>
          <w:p w14:paraId="5D32E440"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Case conference meetings will be held every 6 months in order to fully review the protection plan, determine how much progress has been made and to establish if the child will remain on the register. If the child remains on the register and core groups will continue every 6 weeks. If sufficient progress is made before the next conference meeting a request can be made for it to be held early to consider if deregistration can be considered. If it is decided that the child can be deregistered, then they can be opened as care and support for further monitoring and support. </w:t>
            </w:r>
          </w:p>
          <w:p w14:paraId="046B48A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There are several legal documents that need to be considered when it comes to safeguarding. Firstly, practicing in Wales, we have the All Wales safeguarding procedures which I have already mentioned above. This is available on a mobile application, so staff are able to access it quickly and easily and it provides step by step processes. We also have the Social services and Well being Act (Wales)(2014) specifically looking at part 7 which is the safeguarding section and again gives clarification and guidance of the process. </w:t>
            </w:r>
          </w:p>
          <w:p w14:paraId="22CFF2CF"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Whilst working with this case I also had to have some knowledge of the legislation that is used in England, as a lot of the health professionals involved with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work in England and therefore follow a different legal framework and process. They are guided by the Children’s Act 1989 and use the Child in Need model, where as I am working in Wales I follow the Care and Support model. This does sometimes make collaborative working more complicated as we work with different documents and have different terms for different things. When first working with these professional it was decided that we would not use acronyms or abbreviations in order to alleviate the confusion. </w:t>
            </w:r>
          </w:p>
          <w:p w14:paraId="1EA2C080"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In Wales we also have a document called ‘More than just words’ and was formulated by the Care inspectorate Wales in 2016. This provides us with a </w:t>
            </w:r>
          </w:p>
          <w:p w14:paraId="64BFA50C"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“strategic framework for promoting Welsh language and culture, in Health, social services and social care in Wales” </w:t>
            </w:r>
          </w:p>
          <w:p w14:paraId="272BA031"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(Care inspectorate Wales)</w:t>
            </w:r>
          </w:p>
          <w:p w14:paraId="4FAD41A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This document also provides use with the expectation and relevant guidance for the ‘active offer’ which enabled service users to choose in what language they would like their services delivered. This enables us to promote culture and preference and helps us to provide the highest quality, person centred care. As I had no prior knowledge of the family or their history I felt that it was very important to explore during the first meeting so that I could ensure that their needs and wishes were met for any further intervention that was going to be required. This could have included involving a Welsh speaking social worker and having all documents translated in Welsh. Family stated that they did not speak Welsh and they would like all meetings and correspondence to be conducted in English. </w:t>
            </w:r>
          </w:p>
          <w:p w14:paraId="44BD8DCC"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lastRenderedPageBreak/>
              <w:t xml:space="preserve">Another piece of legislation that I needed to ensure that I was adhering to is the United Nations Convention of the rights of the child (1989) (UNCRC). This legislation does not only ensure that anyone under the age of 18 are having their basic human rights met, but gives them extra rights in order to protect them from harm and abuse. There are eight key areas highlighted with in the legislation which are as follows:- </w:t>
            </w:r>
          </w:p>
          <w:p w14:paraId="36F59FE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1. Relax and play (Article 31)</w:t>
            </w:r>
          </w:p>
          <w:p w14:paraId="0805389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2. Freedom of expression (Article 13)</w:t>
            </w:r>
          </w:p>
          <w:p w14:paraId="4B59BFF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3. Be safe from violence (Article 19)</w:t>
            </w:r>
          </w:p>
          <w:p w14:paraId="4D274EC3"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4. An education (Article 28)</w:t>
            </w:r>
          </w:p>
          <w:p w14:paraId="7805605C"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5. Protection of identity (Article 8)</w:t>
            </w:r>
          </w:p>
          <w:p w14:paraId="014E9B3E"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6. Sufficient standard of living (Article 27)</w:t>
            </w:r>
          </w:p>
          <w:p w14:paraId="3FA649B4"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7. Know their rights (Article 42)</w:t>
            </w:r>
          </w:p>
          <w:p w14:paraId="6966505C"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8. Health and health services (Article 24)</w:t>
            </w:r>
          </w:p>
          <w:p w14:paraId="1525DA27"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p>
          <w:p w14:paraId="682EBFE4"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When working with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I need to be very aware that I put his rights, thoughts, feelings and wishes at the heart of any planned intervention. However keeping in mind the safeguarding procedures that need to abide by this. Within the referral there was concerns regarding medical appointments, accessing education and home conditions. Therefore, I needed to explore all of these to ensure that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’s rights were being met. All of these concerns were incorporated into the care and support plan. I have taken my guidance for this from the Codes of professional practice for social work (Social care Wales 2017) as in section 1 it refers to respecting the thought, rights and wishes of the individual. In sections 3 states we need to consider choice, voice and control and section 4 is related to keeping individuals safe from harm. Considering all of these will enable me to formulate the best level of support for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and his family. </w:t>
            </w:r>
          </w:p>
          <w:p w14:paraId="648470BB" w14:textId="77777777"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is currently fed by a nasal gastric tube (NG tube) and is waiting for a ‘peg’ feeding tube, and this has an impact on is whole life. The NG tube reduces his ability to play and impacts on his access to education. In order to gather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’s thoughts and feelings, I applied for an advocate who did several pieces of work with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and during one of the visits to school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stated that he does not want the ‘peg’. Unfortunately, the NG tube is not a long term option. This will now involve some intense desensitisation work with his from a health professional in order to ensure that </w:t>
            </w:r>
            <w:r w:rsidRPr="0077170B">
              <w:rPr>
                <w:rFonts w:asciiTheme="minorHAnsi" w:hAnsiTheme="minorHAnsi" w:cs="Times New Roman"/>
                <w:b/>
                <w:color w:val="auto"/>
                <w:kern w:val="2"/>
                <w:sz w:val="22"/>
                <w:szCs w:val="22"/>
                <w:lang w:eastAsia="en-US"/>
              </w:rPr>
              <w:t xml:space="preserve">2 </w:t>
            </w:r>
            <w:r w:rsidRPr="0077170B">
              <w:rPr>
                <w:rFonts w:asciiTheme="minorHAnsi" w:hAnsiTheme="minorHAnsi" w:cs="Times New Roman"/>
                <w:bCs/>
                <w:color w:val="auto"/>
                <w:kern w:val="2"/>
                <w:sz w:val="22"/>
                <w:szCs w:val="22"/>
                <w:lang w:eastAsia="en-US"/>
              </w:rPr>
              <w:t xml:space="preserve">understands the need for the change and how it will work.  Having an advocate involved with this case enabled me to get his thoughts and feelings from an independent person who will just focus of the facts and has no conflict of interest. The advocate produced a brilliant report which was shared with all professionals so that they had a better understanding of how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was feeling about things. I think this helped us to further formulate a plan for what support was required. </w:t>
            </w:r>
          </w:p>
          <w:p w14:paraId="47E5AD25" w14:textId="77777777" w:rsid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sidRPr="0077170B">
              <w:rPr>
                <w:rFonts w:asciiTheme="minorHAnsi" w:hAnsiTheme="minorHAnsi" w:cs="Times New Roman"/>
                <w:bCs/>
                <w:color w:val="auto"/>
                <w:kern w:val="2"/>
                <w:sz w:val="22"/>
                <w:szCs w:val="22"/>
                <w:lang w:eastAsia="en-US"/>
              </w:rPr>
              <w:t xml:space="preserve">I am looking forward to seeing how this case progresses as I feel that the family does have the potential to thrive and meet their full potential. </w:t>
            </w:r>
            <w:r w:rsidRPr="0077170B">
              <w:rPr>
                <w:rFonts w:asciiTheme="minorHAnsi" w:hAnsiTheme="minorHAnsi" w:cs="Times New Roman"/>
                <w:b/>
                <w:color w:val="auto"/>
                <w:kern w:val="2"/>
                <w:sz w:val="22"/>
                <w:szCs w:val="22"/>
                <w:lang w:eastAsia="en-US"/>
              </w:rPr>
              <w:t>2</w:t>
            </w:r>
            <w:r w:rsidRPr="0077170B">
              <w:rPr>
                <w:rFonts w:asciiTheme="minorHAnsi" w:hAnsiTheme="minorHAnsi" w:cs="Times New Roman"/>
                <w:bCs/>
                <w:color w:val="auto"/>
                <w:kern w:val="2"/>
                <w:sz w:val="22"/>
                <w:szCs w:val="22"/>
                <w:lang w:eastAsia="en-US"/>
              </w:rPr>
              <w:t xml:space="preserve"> is a very capable and intelligent young man and I think with the correct support and when his main medical issues have been resolved he will flourish and will excel in all areas of his life. </w:t>
            </w:r>
          </w:p>
          <w:p w14:paraId="4D5F1AED" w14:textId="78144A9B" w:rsidR="0077170B" w:rsidRPr="0077170B" w:rsidRDefault="0077170B" w:rsidP="0077170B">
            <w:pPr>
              <w:overflowPunct/>
              <w:autoSpaceDE/>
              <w:autoSpaceDN/>
              <w:adjustRightInd/>
              <w:spacing w:after="160" w:line="259" w:lineRule="auto"/>
              <w:textAlignment w:val="auto"/>
              <w:rPr>
                <w:rFonts w:asciiTheme="minorHAnsi" w:hAnsiTheme="minorHAnsi" w:cs="Times New Roman"/>
                <w:bCs/>
                <w:color w:val="auto"/>
                <w:kern w:val="2"/>
                <w:sz w:val="22"/>
                <w:szCs w:val="22"/>
                <w:lang w:eastAsia="en-US"/>
              </w:rPr>
            </w:pPr>
            <w:r>
              <w:rPr>
                <w:rFonts w:asciiTheme="minorHAnsi" w:hAnsiTheme="minorHAnsi" w:cs="Times New Roman"/>
                <w:bCs/>
                <w:color w:val="auto"/>
                <w:kern w:val="2"/>
                <w:sz w:val="22"/>
                <w:szCs w:val="22"/>
                <w:lang w:eastAsia="en-US"/>
              </w:rPr>
              <w:lastRenderedPageBreak/>
              <w:t>Word count 3,684</w:t>
            </w:r>
          </w:p>
          <w:p w14:paraId="19D0C36D" w14:textId="01D0EF59" w:rsidR="0077170B" w:rsidRPr="0077170B" w:rsidRDefault="0077170B" w:rsidP="00FF7EBB">
            <w:pPr>
              <w:jc w:val="both"/>
              <w:rPr>
                <w:iCs/>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5AD1"/>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70B"/>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3892</Words>
  <Characters>18407</Characters>
  <Application>Microsoft Office Word</Application>
  <DocSecurity>0</DocSecurity>
  <Lines>153</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Lynsey Wilcock</cp:lastModifiedBy>
  <cp:revision>3</cp:revision>
  <cp:lastPrinted>2020-02-11T19:20:00Z</cp:lastPrinted>
  <dcterms:created xsi:type="dcterms:W3CDTF">2024-08-27T13:00:00Z</dcterms:created>
  <dcterms:modified xsi:type="dcterms:W3CDTF">2024-10-07T14:03:00Z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