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6726355" w14:textId="77777777" w:rsidR="009B6A60" w:rsidRDefault="009B6A60" w:rsidP="009B6A60">
      <w:pPr>
        <w:spacing w:before="200"/>
        <w:jc w:val="center"/>
        <w:rPr>
          <w:rFonts w:cs="Arial"/>
          <w:b/>
        </w:rPr>
      </w:pPr>
      <w:r>
        <w:rPr>
          <w:b/>
          <w:noProof/>
          <w:sz w:val="56"/>
        </w:rPr>
        <w:drawing>
          <wp:inline distT="0" distB="0" distL="0" distR="0" wp14:anchorId="787E9FC7" wp14:editId="2CC47F51">
            <wp:extent cx="3524324" cy="1404938"/>
            <wp:effectExtent l="0" t="0" r="0" b="5080"/>
            <wp:docPr id="726759203" name="Picture 726759203"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6759203" name="Picture 726759203" descr="A close-up of black text&#10;&#10;AI-generated content may be incorrect."/>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0D5986E7" w14:textId="77777777" w:rsidR="009B6A60" w:rsidRDefault="009B6A60" w:rsidP="009B6A60">
      <w:pPr>
        <w:spacing w:before="200"/>
        <w:ind w:firstLine="720"/>
        <w:jc w:val="center"/>
        <w:rPr>
          <w:rFonts w:cs="Arial"/>
          <w:b/>
        </w:rPr>
      </w:pPr>
    </w:p>
    <w:p w14:paraId="3E990949" w14:textId="77777777" w:rsidR="009B6A60" w:rsidRDefault="009B6A60" w:rsidP="009B6A60">
      <w:pPr>
        <w:tabs>
          <w:tab w:val="left" w:pos="7056"/>
        </w:tabs>
        <w:spacing w:before="212"/>
        <w:rPr>
          <w:b/>
          <w:sz w:val="48"/>
          <w:szCs w:val="48"/>
        </w:rPr>
      </w:pPr>
      <w:r w:rsidRPr="00DD5969">
        <w:rPr>
          <w:b/>
          <w:sz w:val="48"/>
          <w:szCs w:val="48"/>
        </w:rPr>
        <w:t xml:space="preserve">MODULE </w:t>
      </w:r>
      <w:proofErr w:type="gramStart"/>
      <w:r w:rsidRPr="00DD5969">
        <w:rPr>
          <w:b/>
          <w:sz w:val="48"/>
          <w:szCs w:val="48"/>
        </w:rPr>
        <w:t>CODE:</w:t>
      </w:r>
      <w:r>
        <w:rPr>
          <w:b/>
          <w:sz w:val="48"/>
          <w:szCs w:val="48"/>
        </w:rPr>
        <w:t>ECDE</w:t>
      </w:r>
      <w:proofErr w:type="gramEnd"/>
      <w:r>
        <w:rPr>
          <w:b/>
          <w:sz w:val="48"/>
          <w:szCs w:val="48"/>
        </w:rPr>
        <w:t>7017</w:t>
      </w:r>
      <w:r>
        <w:rPr>
          <w:b/>
          <w:sz w:val="48"/>
          <w:szCs w:val="48"/>
        </w:rPr>
        <w:tab/>
      </w:r>
    </w:p>
    <w:p w14:paraId="1006064C" w14:textId="77777777" w:rsidR="009B6A60" w:rsidRDefault="009B6A60" w:rsidP="009B6A60">
      <w:pPr>
        <w:spacing w:before="212"/>
        <w:rPr>
          <w:b/>
          <w:sz w:val="48"/>
          <w:szCs w:val="48"/>
        </w:rPr>
      </w:pPr>
    </w:p>
    <w:p w14:paraId="522C3DBE" w14:textId="77777777" w:rsidR="009B6A60" w:rsidRDefault="009B6A60" w:rsidP="009B6A60">
      <w:pPr>
        <w:spacing w:before="212"/>
        <w:rPr>
          <w:b/>
          <w:sz w:val="44"/>
        </w:rPr>
      </w:pPr>
      <w:r>
        <w:rPr>
          <w:b/>
          <w:sz w:val="48"/>
          <w:szCs w:val="48"/>
        </w:rPr>
        <w:t>ASSESSMENT COMPONENT: POLICY REPORT</w:t>
      </w:r>
    </w:p>
    <w:p w14:paraId="06497B58" w14:textId="77777777" w:rsidR="009B6A60" w:rsidRPr="00DD5969" w:rsidRDefault="009B6A60" w:rsidP="009B6A60">
      <w:pPr>
        <w:spacing w:before="3"/>
        <w:rPr>
          <w:b/>
          <w:sz w:val="48"/>
          <w:szCs w:val="48"/>
        </w:rPr>
      </w:pPr>
      <w:r w:rsidRPr="00DD5969">
        <w:rPr>
          <w:b/>
          <w:sz w:val="48"/>
          <w:szCs w:val="48"/>
        </w:rPr>
        <w:t>STUDENT NAME:</w:t>
      </w:r>
      <w:r>
        <w:rPr>
          <w:b/>
          <w:sz w:val="48"/>
          <w:szCs w:val="48"/>
        </w:rPr>
        <w:t xml:space="preserve"> Inam Alsalim</w:t>
      </w:r>
    </w:p>
    <w:p w14:paraId="4C0D7FDD" w14:textId="77777777" w:rsidR="009B6A60" w:rsidRPr="00DD5969" w:rsidRDefault="009B6A60" w:rsidP="009B6A60">
      <w:pPr>
        <w:spacing w:before="3"/>
        <w:rPr>
          <w:b/>
          <w:sz w:val="48"/>
          <w:szCs w:val="48"/>
        </w:rPr>
      </w:pPr>
    </w:p>
    <w:p w14:paraId="3CEF1129" w14:textId="77777777" w:rsidR="009B6A60" w:rsidRPr="00DD5969" w:rsidRDefault="009B6A60" w:rsidP="009B6A60">
      <w:pPr>
        <w:spacing w:before="3"/>
        <w:rPr>
          <w:b/>
          <w:sz w:val="48"/>
          <w:szCs w:val="48"/>
        </w:rPr>
      </w:pPr>
      <w:r w:rsidRPr="00DD5969">
        <w:rPr>
          <w:b/>
          <w:sz w:val="48"/>
          <w:szCs w:val="48"/>
        </w:rPr>
        <w:t xml:space="preserve">STUDENT </w:t>
      </w:r>
      <w:r>
        <w:rPr>
          <w:b/>
          <w:sz w:val="48"/>
          <w:szCs w:val="48"/>
        </w:rPr>
        <w:t>NUMBER</w:t>
      </w:r>
      <w:r w:rsidRPr="00DD5969">
        <w:rPr>
          <w:b/>
          <w:sz w:val="48"/>
          <w:szCs w:val="48"/>
        </w:rPr>
        <w:t>:</w:t>
      </w:r>
      <w:r>
        <w:rPr>
          <w:b/>
          <w:sz w:val="48"/>
          <w:szCs w:val="48"/>
        </w:rPr>
        <w:t>2502495</w:t>
      </w:r>
    </w:p>
    <w:p w14:paraId="3A721D7F" w14:textId="77777777" w:rsidR="009B6A60" w:rsidRPr="00E243A8" w:rsidRDefault="009B6A60" w:rsidP="009B6A60">
      <w:pPr>
        <w:rPr>
          <w:b/>
          <w:bCs/>
          <w:sz w:val="32"/>
          <w:szCs w:val="32"/>
          <w:u w:val="single"/>
        </w:rPr>
      </w:pPr>
      <w:r w:rsidRPr="00E243A8">
        <w:rPr>
          <w:b/>
          <w:bCs/>
          <w:sz w:val="32"/>
          <w:szCs w:val="32"/>
          <w:u w:val="single"/>
        </w:rPr>
        <w:t>AI Acknowledgement</w:t>
      </w:r>
    </w:p>
    <w:p w14:paraId="46E2758A" w14:textId="77777777" w:rsidR="009B6A60" w:rsidRDefault="009B6A60" w:rsidP="009B6A60"/>
    <w:p w14:paraId="78C41841" w14:textId="77777777" w:rsidR="009B6A60" w:rsidRDefault="009B6A60" w:rsidP="009B6A60">
      <w:r w:rsidRPr="00E243A8">
        <w:t xml:space="preserve">I confirm that I have not used any AI tools in the research and creation of this assignment. </w:t>
      </w:r>
    </w:p>
    <w:p w14:paraId="15E36FC0" w14:textId="77777777" w:rsidR="009B6A60" w:rsidRDefault="009B6A60" w:rsidP="009B6A60">
      <w:r w:rsidRPr="00E243A8">
        <w:t xml:space="preserve">I confirm that I have not presented any AI generated materials as my own work. </w:t>
      </w:r>
    </w:p>
    <w:p w14:paraId="5142CF13" w14:textId="77777777" w:rsidR="009B6A60" w:rsidRPr="00E243A8" w:rsidRDefault="009B6A60" w:rsidP="009B6A60">
      <w:r w:rsidRPr="00E243A8">
        <w:t xml:space="preserve">I confirm </w:t>
      </w:r>
      <w:r>
        <w:t xml:space="preserve">that </w:t>
      </w:r>
      <w:r w:rsidRPr="00E243A8">
        <w:t>I have copies of my drafts, notes, and other resources I used, which I may be asked to provide in evidence.</w:t>
      </w:r>
    </w:p>
    <w:p w14:paraId="0B0ED9D5" w14:textId="77777777" w:rsidR="009B6A60" w:rsidRPr="00C2550A" w:rsidRDefault="009B6A60" w:rsidP="009B6A60">
      <w:pPr>
        <w:rPr>
          <w:b/>
          <w:bCs/>
        </w:rPr>
      </w:pPr>
      <w:r w:rsidRPr="00C2550A">
        <w:rPr>
          <w:b/>
          <w:bCs/>
        </w:rPr>
        <w:t>OR:</w:t>
      </w:r>
    </w:p>
    <w:p w14:paraId="53C77042" w14:textId="77777777" w:rsidR="009B6A60" w:rsidRDefault="009B6A60" w:rsidP="009B6A60"/>
    <w:p w14:paraId="252A7071" w14:textId="77777777" w:rsidR="009B6A60" w:rsidRPr="00DD5969" w:rsidRDefault="009B6A60" w:rsidP="009B6A60">
      <w:r w:rsidRPr="00DD5969">
        <w:t xml:space="preserve">I acknowledge the use of [AI Tool] [(AI Tool </w:t>
      </w:r>
      <w:proofErr w:type="spellStart"/>
      <w:r w:rsidRPr="00DD5969">
        <w:t>url</w:t>
      </w:r>
      <w:proofErr w:type="spellEnd"/>
      <w:r w:rsidRPr="00DD5969">
        <w:t xml:space="preserve">)] on [Date] to [Purpose my work]. I used the prompt(s): </w:t>
      </w:r>
    </w:p>
    <w:p w14:paraId="68285812" w14:textId="77777777" w:rsidR="009B6A60" w:rsidRPr="00DD5969" w:rsidRDefault="009B6A60" w:rsidP="009B6A60">
      <w:r w:rsidRPr="00DD5969">
        <w:t>1. [</w:t>
      </w:r>
      <w:r>
        <w:t>Grammarly for proof reading and punctuation</w:t>
      </w:r>
      <w:r w:rsidRPr="00DD5969">
        <w:t xml:space="preserve">] </w:t>
      </w:r>
      <w:r>
        <w:t>24/11/2025</w:t>
      </w:r>
    </w:p>
    <w:p w14:paraId="6EC78D24" w14:textId="77777777" w:rsidR="009B6A60" w:rsidRDefault="009B6A60" w:rsidP="009B6A60">
      <w:r w:rsidRPr="00DD5969">
        <w:t>2. [</w:t>
      </w:r>
      <w:proofErr w:type="spellStart"/>
      <w:r>
        <w:t>quillbot</w:t>
      </w:r>
      <w:proofErr w:type="spellEnd"/>
      <w:r>
        <w:t xml:space="preserve"> to search for resources</w:t>
      </w:r>
      <w:r w:rsidRPr="00DD5969">
        <w:t xml:space="preserve">] </w:t>
      </w:r>
      <w:r>
        <w:t>2411/2025</w:t>
      </w:r>
      <w:r w:rsidRPr="00DD5969">
        <w:t>3. [</w:t>
      </w:r>
      <w:r>
        <w:t>CHAT GPT summarise some articles]</w:t>
      </w:r>
      <w:r w:rsidRPr="00DD5969">
        <w:t xml:space="preserve"> </w:t>
      </w:r>
      <w:r>
        <w:t>24/11/2025</w:t>
      </w:r>
      <w:r w:rsidRPr="00DD5969">
        <w:t xml:space="preserve">I confirm that I have not presented any AI generated text as my own work. I confirm </w:t>
      </w:r>
      <w:r>
        <w:t xml:space="preserve">that </w:t>
      </w:r>
      <w:r w:rsidRPr="00DD5969">
        <w:t xml:space="preserve">I have copies of my drafts, notes, and other resources I used before and after the use of AI tools which I may be asked to provide in evidence. </w:t>
      </w:r>
    </w:p>
    <w:p w14:paraId="0021BF53" w14:textId="77777777" w:rsidR="00833985" w:rsidRDefault="00833985" w:rsidP="00833985">
      <w:pPr>
        <w:spacing w:line="480" w:lineRule="auto"/>
        <w:jc w:val="center"/>
        <w:rPr>
          <w:rFonts w:ascii="Times New Roman" w:hAnsi="Times New Roman" w:cs="Times New Roman"/>
          <w:b/>
          <w:sz w:val="24"/>
          <w:szCs w:val="24"/>
        </w:rPr>
      </w:pPr>
    </w:p>
    <w:p w14:paraId="34E9356E" w14:textId="77777777" w:rsidR="00833985" w:rsidRDefault="00833985" w:rsidP="00833985">
      <w:pPr>
        <w:spacing w:line="480" w:lineRule="auto"/>
        <w:jc w:val="center"/>
        <w:rPr>
          <w:rFonts w:ascii="Times New Roman" w:hAnsi="Times New Roman" w:cs="Times New Roman"/>
          <w:b/>
          <w:sz w:val="24"/>
          <w:szCs w:val="24"/>
        </w:rPr>
      </w:pPr>
    </w:p>
    <w:p w14:paraId="0E7F8CBF" w14:textId="77777777" w:rsidR="00833985" w:rsidRDefault="00833985" w:rsidP="00833985">
      <w:pPr>
        <w:spacing w:line="480" w:lineRule="auto"/>
        <w:jc w:val="center"/>
        <w:rPr>
          <w:rFonts w:ascii="Times New Roman" w:hAnsi="Times New Roman" w:cs="Times New Roman"/>
          <w:b/>
          <w:sz w:val="24"/>
          <w:szCs w:val="24"/>
        </w:rPr>
      </w:pPr>
    </w:p>
    <w:p w14:paraId="26D714D0" w14:textId="71B38198" w:rsidR="00084957" w:rsidRPr="00ED2923" w:rsidRDefault="006B5417" w:rsidP="00833985">
      <w:pPr>
        <w:spacing w:line="480" w:lineRule="auto"/>
        <w:jc w:val="center"/>
        <w:rPr>
          <w:rFonts w:ascii="Times New Roman" w:hAnsi="Times New Roman" w:cs="Times New Roman"/>
          <w:b/>
          <w:sz w:val="24"/>
          <w:szCs w:val="24"/>
        </w:rPr>
      </w:pPr>
      <w:r w:rsidRPr="00ED2923">
        <w:rPr>
          <w:rFonts w:ascii="Times New Roman" w:hAnsi="Times New Roman" w:cs="Times New Roman"/>
          <w:b/>
          <w:sz w:val="24"/>
          <w:szCs w:val="24"/>
        </w:rPr>
        <w:t>ADDITIONAL LEARNING NEEDS (ALN) POLICY IN WALES, UK: A POLICY ANALYSIS REPORT</w:t>
      </w:r>
    </w:p>
    <w:p w14:paraId="24463972" w14:textId="77777777" w:rsidR="006B5417" w:rsidRPr="00ED2923" w:rsidRDefault="006B5417" w:rsidP="006B5417">
      <w:pPr>
        <w:spacing w:line="480" w:lineRule="auto"/>
        <w:rPr>
          <w:rFonts w:ascii="Times New Roman" w:hAnsi="Times New Roman" w:cs="Times New Roman"/>
          <w:sz w:val="24"/>
          <w:szCs w:val="24"/>
        </w:rPr>
      </w:pPr>
    </w:p>
    <w:p w14:paraId="351681A3" w14:textId="77777777" w:rsidR="006B5417" w:rsidRPr="00ED2923" w:rsidRDefault="006B5417" w:rsidP="006B5417">
      <w:pPr>
        <w:spacing w:line="480" w:lineRule="auto"/>
        <w:rPr>
          <w:rFonts w:ascii="Times New Roman" w:hAnsi="Times New Roman" w:cs="Times New Roman"/>
          <w:sz w:val="24"/>
          <w:szCs w:val="24"/>
        </w:rPr>
      </w:pPr>
    </w:p>
    <w:p w14:paraId="3B781F09" w14:textId="77777777" w:rsidR="006B5417" w:rsidRPr="00ED2923" w:rsidRDefault="006B5417" w:rsidP="006B5417">
      <w:pPr>
        <w:spacing w:line="480" w:lineRule="auto"/>
        <w:rPr>
          <w:rFonts w:ascii="Times New Roman" w:hAnsi="Times New Roman" w:cs="Times New Roman"/>
          <w:sz w:val="24"/>
          <w:szCs w:val="24"/>
        </w:rPr>
      </w:pPr>
    </w:p>
    <w:p w14:paraId="0A4B676D" w14:textId="77777777" w:rsidR="006B5417" w:rsidRPr="00ED2923" w:rsidRDefault="006B5417" w:rsidP="006B5417">
      <w:pPr>
        <w:spacing w:line="480" w:lineRule="auto"/>
        <w:rPr>
          <w:rFonts w:ascii="Times New Roman" w:hAnsi="Times New Roman" w:cs="Times New Roman"/>
          <w:sz w:val="24"/>
          <w:szCs w:val="24"/>
        </w:rPr>
      </w:pPr>
    </w:p>
    <w:p w14:paraId="09CB7B32" w14:textId="77777777" w:rsidR="006B5417" w:rsidRPr="00ED2923" w:rsidRDefault="006B5417" w:rsidP="006B5417">
      <w:pPr>
        <w:spacing w:line="480" w:lineRule="auto"/>
        <w:rPr>
          <w:rFonts w:ascii="Times New Roman" w:hAnsi="Times New Roman" w:cs="Times New Roman"/>
          <w:sz w:val="24"/>
          <w:szCs w:val="24"/>
        </w:rPr>
      </w:pPr>
    </w:p>
    <w:p w14:paraId="5E41E249" w14:textId="77777777" w:rsidR="006B5417" w:rsidRPr="00ED2923" w:rsidRDefault="006B5417" w:rsidP="006B5417">
      <w:pPr>
        <w:spacing w:line="480" w:lineRule="auto"/>
        <w:rPr>
          <w:rFonts w:ascii="Times New Roman" w:hAnsi="Times New Roman" w:cs="Times New Roman"/>
          <w:sz w:val="24"/>
          <w:szCs w:val="24"/>
        </w:rPr>
      </w:pPr>
    </w:p>
    <w:p w14:paraId="20930268" w14:textId="77777777" w:rsidR="006B5417" w:rsidRPr="00ED2923" w:rsidRDefault="006B5417" w:rsidP="006B5417">
      <w:pPr>
        <w:spacing w:line="480" w:lineRule="auto"/>
        <w:rPr>
          <w:rFonts w:ascii="Times New Roman" w:hAnsi="Times New Roman" w:cs="Times New Roman"/>
          <w:sz w:val="24"/>
          <w:szCs w:val="24"/>
        </w:rPr>
      </w:pPr>
    </w:p>
    <w:p w14:paraId="42D01B3C" w14:textId="77777777" w:rsidR="006B5417" w:rsidRPr="00ED2923" w:rsidRDefault="006B5417" w:rsidP="006B5417">
      <w:pPr>
        <w:spacing w:line="480" w:lineRule="auto"/>
        <w:rPr>
          <w:rFonts w:ascii="Times New Roman" w:hAnsi="Times New Roman" w:cs="Times New Roman"/>
          <w:sz w:val="24"/>
          <w:szCs w:val="24"/>
        </w:rPr>
      </w:pPr>
    </w:p>
    <w:p w14:paraId="44B1A344" w14:textId="77777777" w:rsidR="006B5417" w:rsidRPr="00ED2923" w:rsidRDefault="006B5417" w:rsidP="006B5417">
      <w:pPr>
        <w:spacing w:line="480" w:lineRule="auto"/>
        <w:rPr>
          <w:rFonts w:ascii="Times New Roman" w:hAnsi="Times New Roman" w:cs="Times New Roman"/>
          <w:sz w:val="24"/>
          <w:szCs w:val="24"/>
        </w:rPr>
      </w:pPr>
    </w:p>
    <w:p w14:paraId="6DD132B4" w14:textId="77777777" w:rsidR="006B5417" w:rsidRPr="00ED2923" w:rsidRDefault="006B5417" w:rsidP="006B5417">
      <w:pPr>
        <w:spacing w:line="480" w:lineRule="auto"/>
        <w:rPr>
          <w:rFonts w:ascii="Times New Roman" w:hAnsi="Times New Roman" w:cs="Times New Roman"/>
          <w:sz w:val="24"/>
          <w:szCs w:val="24"/>
        </w:rPr>
      </w:pPr>
    </w:p>
    <w:p w14:paraId="0D931CC7" w14:textId="77777777" w:rsidR="006B5417" w:rsidRPr="00ED2923" w:rsidRDefault="006B5417" w:rsidP="006B5417">
      <w:pPr>
        <w:spacing w:line="480" w:lineRule="auto"/>
        <w:rPr>
          <w:rFonts w:ascii="Times New Roman" w:hAnsi="Times New Roman" w:cs="Times New Roman"/>
          <w:sz w:val="24"/>
          <w:szCs w:val="24"/>
        </w:rPr>
      </w:pPr>
    </w:p>
    <w:p w14:paraId="5FC3BBA8" w14:textId="77777777" w:rsidR="006B5417" w:rsidRPr="00ED2923" w:rsidRDefault="006B5417" w:rsidP="006B5417">
      <w:pPr>
        <w:spacing w:line="480" w:lineRule="auto"/>
        <w:rPr>
          <w:rFonts w:ascii="Times New Roman" w:hAnsi="Times New Roman" w:cs="Times New Roman"/>
          <w:sz w:val="24"/>
          <w:szCs w:val="24"/>
        </w:rPr>
      </w:pPr>
    </w:p>
    <w:p w14:paraId="7303132A" w14:textId="77777777" w:rsidR="006B5417" w:rsidRPr="00ED2923" w:rsidRDefault="006B5417" w:rsidP="006B5417">
      <w:pPr>
        <w:spacing w:line="480" w:lineRule="auto"/>
        <w:rPr>
          <w:rFonts w:ascii="Times New Roman" w:hAnsi="Times New Roman" w:cs="Times New Roman"/>
          <w:sz w:val="24"/>
          <w:szCs w:val="24"/>
        </w:rPr>
      </w:pPr>
    </w:p>
    <w:p w14:paraId="1E1C8C18" w14:textId="77777777" w:rsidR="00833985" w:rsidRDefault="00833985" w:rsidP="00AF5E5D">
      <w:pPr>
        <w:spacing w:line="480" w:lineRule="auto"/>
        <w:rPr>
          <w:rFonts w:ascii="Times New Roman" w:hAnsi="Times New Roman" w:cs="Times New Roman"/>
          <w:sz w:val="24"/>
          <w:szCs w:val="24"/>
        </w:rPr>
      </w:pPr>
    </w:p>
    <w:p w14:paraId="57B7D913" w14:textId="09F37679" w:rsidR="00AF5E5D" w:rsidRPr="00ED2923" w:rsidRDefault="00AF5E5D" w:rsidP="00AF5E5D">
      <w:pPr>
        <w:spacing w:line="480" w:lineRule="auto"/>
        <w:rPr>
          <w:rFonts w:ascii="Times New Roman" w:hAnsi="Times New Roman" w:cs="Times New Roman"/>
          <w:sz w:val="24"/>
          <w:szCs w:val="24"/>
        </w:rPr>
      </w:pPr>
      <w:r w:rsidRPr="00ED2923">
        <w:rPr>
          <w:rFonts w:ascii="Times New Roman" w:hAnsi="Times New Roman" w:cs="Times New Roman"/>
          <w:sz w:val="24"/>
          <w:szCs w:val="24"/>
        </w:rPr>
        <w:lastRenderedPageBreak/>
        <w:t>The redesign of the identification and support of learners with AL</w:t>
      </w:r>
      <w:r w:rsidR="00833985">
        <w:rPr>
          <w:rFonts w:ascii="Times New Roman" w:hAnsi="Times New Roman" w:cs="Times New Roman"/>
          <w:sz w:val="24"/>
          <w:szCs w:val="24"/>
        </w:rPr>
        <w:t>N</w:t>
      </w:r>
      <w:r w:rsidRPr="00ED2923">
        <w:rPr>
          <w:rFonts w:ascii="Times New Roman" w:hAnsi="Times New Roman" w:cs="Times New Roman"/>
          <w:sz w:val="24"/>
          <w:szCs w:val="24"/>
        </w:rPr>
        <w:t xml:space="preserve"> (Additional Learning Needs) has now been one of the most influential in recent decades in educational reform in Wales. The change in the Special Educational Needs (SEN) framework to the new ALN system demonstrates the Welsh Government in its effort to introduce a more equal approach, transparent and unified to the support of children and young people who experience barriers to learning. The core of the reform is the Additional Learning Needs and Education Tribunal (Wales) Act 2018, which aims to introduce a lean and efficient process that will enhance the cases of early intervention, better collaboration and increased consistency across the local authorities and learning institutions (Additional Learning Needs and Education Tribunal (Wales) Act 2018).</w:t>
      </w:r>
    </w:p>
    <w:p w14:paraId="430F8EC9" w14:textId="4A2CD7F5" w:rsidR="00AF5E5D" w:rsidRPr="00ED2923" w:rsidRDefault="00AF5E5D" w:rsidP="00AF5E5D">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In this report, the author explores the objectives, functioning and effects of the ALN policy with focus on how it has been developed, implemented and received. The analysis takes into consideration the history and policy background, examines the frameworks which were behind the reform and </w:t>
      </w:r>
      <w:r w:rsidR="00A66A3D" w:rsidRPr="00ED2923">
        <w:rPr>
          <w:rFonts w:ascii="Times New Roman" w:hAnsi="Times New Roman" w:cs="Times New Roman"/>
          <w:sz w:val="24"/>
          <w:szCs w:val="24"/>
        </w:rPr>
        <w:t>analysis</w:t>
      </w:r>
      <w:r w:rsidRPr="00ED2923">
        <w:rPr>
          <w:rFonts w:ascii="Times New Roman" w:hAnsi="Times New Roman" w:cs="Times New Roman"/>
          <w:sz w:val="24"/>
          <w:szCs w:val="24"/>
        </w:rPr>
        <w:t xml:space="preserve"> the progress of the reform using the prism of research, inspection evidence and media discourse. </w:t>
      </w:r>
    </w:p>
    <w:p w14:paraId="46E5898A" w14:textId="77777777" w:rsidR="006B5417" w:rsidRPr="00ED2923" w:rsidRDefault="006B5417" w:rsidP="00AF5E5D">
      <w:pPr>
        <w:spacing w:line="480" w:lineRule="auto"/>
        <w:rPr>
          <w:rFonts w:ascii="Times New Roman" w:hAnsi="Times New Roman" w:cs="Times New Roman"/>
          <w:b/>
          <w:bCs/>
          <w:sz w:val="24"/>
          <w:szCs w:val="24"/>
        </w:rPr>
      </w:pPr>
      <w:r w:rsidRPr="00ED2923">
        <w:rPr>
          <w:rFonts w:ascii="Times New Roman" w:hAnsi="Times New Roman" w:cs="Times New Roman"/>
          <w:b/>
          <w:bCs/>
          <w:sz w:val="24"/>
          <w:szCs w:val="24"/>
        </w:rPr>
        <w:t xml:space="preserve">Context </w:t>
      </w:r>
    </w:p>
    <w:p w14:paraId="6EDA48C6" w14:textId="77777777" w:rsidR="00AF5E5D" w:rsidRPr="00ED2923" w:rsidRDefault="00AF5E5D" w:rsidP="00AF5E5D">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The shift between the framework of SEN and ALN came as a reaction to the general issue of inequality, the lack of consistency and delays in the discovery of the learners who needed another assistance. In the past, the SEN system was mainly based on statements of need which was mostly criticised on its bureaucratic nature and hard to access especially by the families living in the disadvantaged regions. Regional inspection revealed consistent problems with inconsistency in identifying practices and varying degrees of support in different regions, showing that provision was akin to a postcode lottery, and this </w:t>
      </w:r>
      <w:r w:rsidRPr="00ED2923">
        <w:rPr>
          <w:rFonts w:ascii="Times New Roman" w:hAnsi="Times New Roman" w:cs="Times New Roman"/>
          <w:sz w:val="24"/>
          <w:szCs w:val="24"/>
        </w:rPr>
        <w:lastRenderedPageBreak/>
        <w:t>disadvantaged many learners (Estyn, 2018). These inequalities inspired controversy and agitated policy makers to develop a framework that would provide equal access to aid.</w:t>
      </w:r>
    </w:p>
    <w:p w14:paraId="4726C55F" w14:textId="77777777" w:rsidR="00AF5E5D" w:rsidRPr="00ED2923" w:rsidRDefault="00AF5E5D" w:rsidP="00AF5E5D">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The process of ALN reforms was long and had to be based on a comprehensive policy development with involvement of a long consultation with practitioners, families and local authorities. The Additional Learning Needs and Education Tribunal (Wales) Act 2018 was a major legislative move that necessitated a new form of approach that is based on Individual Development Plans (IDPs) and focusing on inclusion, early evaluation and increased inter-agency cooperation. The use of such principles in practice was then given statutory guidance in the ALN Code for Wales </w:t>
      </w:r>
      <w:r w:rsidR="00BC1FB8" w:rsidRPr="00ED2923">
        <w:rPr>
          <w:rFonts w:ascii="Times New Roman" w:hAnsi="Times New Roman" w:cs="Times New Roman"/>
          <w:sz w:val="24"/>
          <w:szCs w:val="24"/>
        </w:rPr>
        <w:t>(Welsh</w:t>
      </w:r>
      <w:r w:rsidRPr="00ED2923">
        <w:rPr>
          <w:rFonts w:ascii="Times New Roman" w:hAnsi="Times New Roman" w:cs="Times New Roman"/>
          <w:sz w:val="24"/>
          <w:szCs w:val="24"/>
        </w:rPr>
        <w:t xml:space="preserve"> Government, 2019).</w:t>
      </w:r>
    </w:p>
    <w:p w14:paraId="356EA780" w14:textId="77777777" w:rsidR="00AF5E5D" w:rsidRPr="00ED2923" w:rsidRDefault="00AF5E5D" w:rsidP="00AF5E5D">
      <w:pPr>
        <w:spacing w:line="480" w:lineRule="auto"/>
        <w:rPr>
          <w:rFonts w:ascii="Times New Roman" w:hAnsi="Times New Roman" w:cs="Times New Roman"/>
          <w:sz w:val="24"/>
          <w:szCs w:val="24"/>
        </w:rPr>
      </w:pPr>
      <w:r w:rsidRPr="00ED2923">
        <w:rPr>
          <w:rFonts w:ascii="Times New Roman" w:hAnsi="Times New Roman" w:cs="Times New Roman"/>
          <w:sz w:val="24"/>
          <w:szCs w:val="24"/>
        </w:rPr>
        <w:t>The ALN changes were also influenced by the timing of the Welsh education reform agenda. Together with the reform of the curriculum, the Welsh government was interested in establishing a more coherent and learner-centred system that would facilitate the principle of education in everybody. The OECD reports supported the necessity to have transparent structures, robust system-wide governance and mechanisms that are responsive in the locality (OECD, 2021). Consequently, the ALN policy appeared not just as a reaction to old criticism, but also as the overall efforts of Wales to establish a progressive and fair system of education.</w:t>
      </w:r>
    </w:p>
    <w:p w14:paraId="711CB91B" w14:textId="77777777" w:rsidR="00AF5E5D" w:rsidRPr="00ED2923" w:rsidRDefault="00AF5E5D" w:rsidP="00AF5E5D">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Some of the key stakeholders in ALN system are learners, parents, teachers, school leaders, local authorities, health boards, support services and national policymakers. All of them have their own unique interests: families expect to obtain access to support fairly; schools want to be guided and have manageable workloads, and government wants to provide a stable and affordable system. Capacity and workload have frequently been discussed by practitioners, and the necessity of continuing professional development and proper resource distribution has been highlighted (Davies and Thomas, 2021). Meanwhile, some researchers of inclusive education like Ainscow (2020) suggest that changes should go beyond the legislation to </w:t>
      </w:r>
      <w:r w:rsidRPr="00ED2923">
        <w:rPr>
          <w:rFonts w:ascii="Times New Roman" w:hAnsi="Times New Roman" w:cs="Times New Roman"/>
          <w:sz w:val="24"/>
          <w:szCs w:val="24"/>
        </w:rPr>
        <w:lastRenderedPageBreak/>
        <w:t>tackle more structural imbalances and make schools able to respond</w:t>
      </w:r>
      <w:r w:rsidR="00BC1FB8" w:rsidRPr="00ED2923">
        <w:rPr>
          <w:rFonts w:ascii="Times New Roman" w:hAnsi="Times New Roman" w:cs="Times New Roman"/>
          <w:sz w:val="24"/>
          <w:szCs w:val="24"/>
        </w:rPr>
        <w:t xml:space="preserve"> to the diverse learning needs.</w:t>
      </w:r>
    </w:p>
    <w:p w14:paraId="75F63851" w14:textId="77777777" w:rsidR="00ED2923" w:rsidRPr="00ED2923" w:rsidRDefault="00ED2923" w:rsidP="00ED2923">
      <w:pPr>
        <w:pStyle w:val="Caption"/>
        <w:keepNext/>
        <w:rPr>
          <w:rFonts w:ascii="Times New Roman" w:hAnsi="Times New Roman" w:cs="Times New Roman"/>
          <w:sz w:val="24"/>
          <w:szCs w:val="24"/>
        </w:rPr>
      </w:pPr>
      <w:r w:rsidRPr="00ED2923">
        <w:rPr>
          <w:rFonts w:ascii="Times New Roman" w:hAnsi="Times New Roman" w:cs="Times New Roman"/>
          <w:sz w:val="24"/>
          <w:szCs w:val="24"/>
        </w:rPr>
        <w:t xml:space="preserve">Table </w:t>
      </w:r>
      <w:r w:rsidRPr="00ED2923">
        <w:rPr>
          <w:rFonts w:ascii="Times New Roman" w:hAnsi="Times New Roman" w:cs="Times New Roman"/>
          <w:sz w:val="24"/>
          <w:szCs w:val="24"/>
        </w:rPr>
        <w:fldChar w:fldCharType="begin"/>
      </w:r>
      <w:r w:rsidRPr="00ED2923">
        <w:rPr>
          <w:rFonts w:ascii="Times New Roman" w:hAnsi="Times New Roman" w:cs="Times New Roman"/>
          <w:sz w:val="24"/>
          <w:szCs w:val="24"/>
        </w:rPr>
        <w:instrText xml:space="preserve"> SEQ Table \* ARABIC </w:instrText>
      </w:r>
      <w:r w:rsidRPr="00ED2923">
        <w:rPr>
          <w:rFonts w:ascii="Times New Roman" w:hAnsi="Times New Roman" w:cs="Times New Roman"/>
          <w:sz w:val="24"/>
          <w:szCs w:val="24"/>
        </w:rPr>
        <w:fldChar w:fldCharType="separate"/>
      </w:r>
      <w:r w:rsidRPr="00ED2923">
        <w:rPr>
          <w:rFonts w:ascii="Times New Roman" w:hAnsi="Times New Roman" w:cs="Times New Roman"/>
          <w:noProof/>
          <w:sz w:val="24"/>
          <w:szCs w:val="24"/>
        </w:rPr>
        <w:t>1</w:t>
      </w:r>
      <w:r w:rsidRPr="00ED2923">
        <w:rPr>
          <w:rFonts w:ascii="Times New Roman" w:hAnsi="Times New Roman" w:cs="Times New Roman"/>
          <w:sz w:val="24"/>
          <w:szCs w:val="24"/>
        </w:rPr>
        <w:fldChar w:fldCharType="end"/>
      </w:r>
      <w:r w:rsidRPr="00ED2923">
        <w:rPr>
          <w:rFonts w:ascii="Times New Roman" w:hAnsi="Times New Roman" w:cs="Times New Roman"/>
          <w:sz w:val="24"/>
          <w:szCs w:val="24"/>
        </w:rPr>
        <w:t>. Comparison of Policy vs Media Priorities</w:t>
      </w:r>
    </w:p>
    <w:tbl>
      <w:tblPr>
        <w:tblStyle w:val="TableGridLight"/>
        <w:tblW w:w="0" w:type="auto"/>
        <w:tblLook w:val="04A0" w:firstRow="1" w:lastRow="0" w:firstColumn="1" w:lastColumn="0" w:noHBand="0" w:noVBand="1"/>
      </w:tblPr>
      <w:tblGrid>
        <w:gridCol w:w="2058"/>
        <w:gridCol w:w="3071"/>
        <w:gridCol w:w="3887"/>
      </w:tblGrid>
      <w:tr w:rsidR="00DD37A4" w:rsidRPr="00ED2923" w14:paraId="5D18D170" w14:textId="77777777" w:rsidTr="00DD37A4">
        <w:tc>
          <w:tcPr>
            <w:tcW w:w="0" w:type="auto"/>
            <w:hideMark/>
          </w:tcPr>
          <w:p w14:paraId="01DB70D8" w14:textId="77777777" w:rsidR="00DD37A4" w:rsidRPr="00ED2923" w:rsidRDefault="00DD37A4" w:rsidP="00DD37A4">
            <w:pPr>
              <w:spacing w:after="160" w:line="480" w:lineRule="auto"/>
              <w:rPr>
                <w:rFonts w:ascii="Times New Roman" w:hAnsi="Times New Roman" w:cs="Times New Roman"/>
                <w:b/>
                <w:bCs/>
                <w:sz w:val="24"/>
                <w:szCs w:val="24"/>
                <w:lang w:val="en-US"/>
              </w:rPr>
            </w:pPr>
            <w:r w:rsidRPr="00ED2923">
              <w:rPr>
                <w:rFonts w:ascii="Times New Roman" w:hAnsi="Times New Roman" w:cs="Times New Roman"/>
                <w:b/>
                <w:bCs/>
                <w:sz w:val="24"/>
                <w:szCs w:val="24"/>
                <w:lang w:val="en-US"/>
              </w:rPr>
              <w:t>Theme</w:t>
            </w:r>
          </w:p>
        </w:tc>
        <w:tc>
          <w:tcPr>
            <w:tcW w:w="0" w:type="auto"/>
            <w:hideMark/>
          </w:tcPr>
          <w:p w14:paraId="5A84B3DB" w14:textId="77777777" w:rsidR="00DD37A4" w:rsidRPr="00ED2923" w:rsidRDefault="00DD37A4" w:rsidP="00DD37A4">
            <w:pPr>
              <w:spacing w:after="160" w:line="480" w:lineRule="auto"/>
              <w:rPr>
                <w:rFonts w:ascii="Times New Roman" w:hAnsi="Times New Roman" w:cs="Times New Roman"/>
                <w:b/>
                <w:bCs/>
                <w:sz w:val="24"/>
                <w:szCs w:val="24"/>
                <w:lang w:val="en-US"/>
              </w:rPr>
            </w:pPr>
            <w:r w:rsidRPr="00ED2923">
              <w:rPr>
                <w:rFonts w:ascii="Times New Roman" w:hAnsi="Times New Roman" w:cs="Times New Roman"/>
                <w:b/>
                <w:bCs/>
                <w:sz w:val="24"/>
                <w:szCs w:val="24"/>
                <w:lang w:val="en-US"/>
              </w:rPr>
              <w:t>Policy Documents Emphasis</w:t>
            </w:r>
          </w:p>
        </w:tc>
        <w:tc>
          <w:tcPr>
            <w:tcW w:w="0" w:type="auto"/>
            <w:hideMark/>
          </w:tcPr>
          <w:p w14:paraId="2FF4CAE7" w14:textId="77777777" w:rsidR="00DD37A4" w:rsidRPr="00ED2923" w:rsidRDefault="00DD37A4" w:rsidP="00DD37A4">
            <w:pPr>
              <w:spacing w:after="160" w:line="480" w:lineRule="auto"/>
              <w:rPr>
                <w:rFonts w:ascii="Times New Roman" w:hAnsi="Times New Roman" w:cs="Times New Roman"/>
                <w:b/>
                <w:bCs/>
                <w:sz w:val="24"/>
                <w:szCs w:val="24"/>
                <w:lang w:val="en-US"/>
              </w:rPr>
            </w:pPr>
            <w:r w:rsidRPr="00ED2923">
              <w:rPr>
                <w:rFonts w:ascii="Times New Roman" w:hAnsi="Times New Roman" w:cs="Times New Roman"/>
                <w:b/>
                <w:bCs/>
                <w:sz w:val="24"/>
                <w:szCs w:val="24"/>
                <w:lang w:val="en-US"/>
              </w:rPr>
              <w:t>Media Coverage Emphasis</w:t>
            </w:r>
          </w:p>
        </w:tc>
      </w:tr>
      <w:tr w:rsidR="00DD37A4" w:rsidRPr="00ED2923" w14:paraId="0ABDC220" w14:textId="77777777" w:rsidTr="00DD37A4">
        <w:tc>
          <w:tcPr>
            <w:tcW w:w="0" w:type="auto"/>
            <w:hideMark/>
          </w:tcPr>
          <w:p w14:paraId="1C27A782" w14:textId="77777777" w:rsidR="00DD37A4" w:rsidRPr="00ED2923" w:rsidRDefault="00DD37A4" w:rsidP="00DD37A4">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Problem Definition</w:t>
            </w:r>
          </w:p>
        </w:tc>
        <w:tc>
          <w:tcPr>
            <w:tcW w:w="0" w:type="auto"/>
            <w:hideMark/>
          </w:tcPr>
          <w:p w14:paraId="3851D655" w14:textId="77777777" w:rsidR="00DD37A4" w:rsidRPr="00ED2923" w:rsidRDefault="00DD37A4" w:rsidP="00DD37A4">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Structural/systemic causes</w:t>
            </w:r>
          </w:p>
        </w:tc>
        <w:tc>
          <w:tcPr>
            <w:tcW w:w="0" w:type="auto"/>
            <w:hideMark/>
          </w:tcPr>
          <w:p w14:paraId="369845E2" w14:textId="77777777" w:rsidR="00DD37A4" w:rsidRPr="00ED2923" w:rsidRDefault="00DD37A4" w:rsidP="00DD37A4">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Human-impact stories</w:t>
            </w:r>
          </w:p>
        </w:tc>
      </w:tr>
      <w:tr w:rsidR="00DD37A4" w:rsidRPr="00ED2923" w14:paraId="1491C3E0" w14:textId="77777777" w:rsidTr="00DD37A4">
        <w:tc>
          <w:tcPr>
            <w:tcW w:w="0" w:type="auto"/>
            <w:hideMark/>
          </w:tcPr>
          <w:p w14:paraId="2CCD02FE" w14:textId="77777777" w:rsidR="00DD37A4" w:rsidRPr="00ED2923" w:rsidRDefault="00DD37A4" w:rsidP="00DD37A4">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Responsibility</w:t>
            </w:r>
          </w:p>
        </w:tc>
        <w:tc>
          <w:tcPr>
            <w:tcW w:w="0" w:type="auto"/>
            <w:hideMark/>
          </w:tcPr>
          <w:p w14:paraId="4FF89B0C" w14:textId="77777777" w:rsidR="00DD37A4" w:rsidRPr="00ED2923" w:rsidRDefault="00DD37A4" w:rsidP="00DD37A4">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Government agencies</w:t>
            </w:r>
          </w:p>
        </w:tc>
        <w:tc>
          <w:tcPr>
            <w:tcW w:w="0" w:type="auto"/>
            <w:hideMark/>
          </w:tcPr>
          <w:p w14:paraId="0F60EDDC" w14:textId="77777777" w:rsidR="00DD37A4" w:rsidRPr="00ED2923" w:rsidRDefault="00DD37A4" w:rsidP="00DD37A4">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Politicians / institutions</w:t>
            </w:r>
          </w:p>
        </w:tc>
      </w:tr>
      <w:tr w:rsidR="00DD37A4" w:rsidRPr="00ED2923" w14:paraId="32B4CC64" w14:textId="77777777" w:rsidTr="00DD37A4">
        <w:tc>
          <w:tcPr>
            <w:tcW w:w="0" w:type="auto"/>
            <w:hideMark/>
          </w:tcPr>
          <w:p w14:paraId="37142FA2" w14:textId="77777777" w:rsidR="00DD37A4" w:rsidRPr="00ED2923" w:rsidRDefault="00DD37A4" w:rsidP="00DD37A4">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Solutions</w:t>
            </w:r>
          </w:p>
        </w:tc>
        <w:tc>
          <w:tcPr>
            <w:tcW w:w="0" w:type="auto"/>
            <w:hideMark/>
          </w:tcPr>
          <w:p w14:paraId="1C7429BA" w14:textId="77777777" w:rsidR="00DD37A4" w:rsidRPr="00ED2923" w:rsidRDefault="00DD37A4" w:rsidP="00DD37A4">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Long-term reforms</w:t>
            </w:r>
          </w:p>
        </w:tc>
        <w:tc>
          <w:tcPr>
            <w:tcW w:w="0" w:type="auto"/>
            <w:hideMark/>
          </w:tcPr>
          <w:p w14:paraId="2F71902D" w14:textId="77777777" w:rsidR="00DD37A4" w:rsidRPr="00ED2923" w:rsidRDefault="00DD37A4" w:rsidP="00DD37A4">
            <w:pPr>
              <w:spacing w:after="160" w:line="480" w:lineRule="auto"/>
              <w:rPr>
                <w:rFonts w:ascii="Times New Roman" w:hAnsi="Times New Roman" w:cs="Times New Roman"/>
                <w:sz w:val="24"/>
                <w:szCs w:val="24"/>
                <w:lang w:val="en-US"/>
              </w:rPr>
            </w:pPr>
            <w:r w:rsidRPr="00ED2923">
              <w:rPr>
                <w:rFonts w:ascii="Times New Roman" w:hAnsi="Times New Roman" w:cs="Times New Roman"/>
                <w:sz w:val="24"/>
                <w:szCs w:val="24"/>
                <w:lang w:val="en-US"/>
              </w:rPr>
              <w:t>Immediate failures &amp; public frustration</w:t>
            </w:r>
          </w:p>
        </w:tc>
      </w:tr>
    </w:tbl>
    <w:p w14:paraId="5D11DB16" w14:textId="77777777" w:rsidR="00DD37A4" w:rsidRPr="00ED2923" w:rsidRDefault="00DD37A4" w:rsidP="00AF5E5D">
      <w:pPr>
        <w:spacing w:line="480" w:lineRule="auto"/>
        <w:rPr>
          <w:rFonts w:ascii="Times New Roman" w:hAnsi="Times New Roman" w:cs="Times New Roman"/>
          <w:sz w:val="24"/>
          <w:szCs w:val="24"/>
        </w:rPr>
      </w:pPr>
    </w:p>
    <w:p w14:paraId="110ED521" w14:textId="77777777" w:rsidR="006B5417" w:rsidRPr="00ED2923" w:rsidRDefault="006B5417" w:rsidP="00AF5E5D">
      <w:pPr>
        <w:spacing w:line="480" w:lineRule="auto"/>
        <w:rPr>
          <w:rFonts w:ascii="Times New Roman" w:hAnsi="Times New Roman" w:cs="Times New Roman"/>
          <w:b/>
          <w:bCs/>
          <w:sz w:val="24"/>
          <w:szCs w:val="24"/>
        </w:rPr>
      </w:pPr>
      <w:r w:rsidRPr="00ED2923">
        <w:rPr>
          <w:rFonts w:ascii="Times New Roman" w:hAnsi="Times New Roman" w:cs="Times New Roman"/>
          <w:b/>
          <w:bCs/>
          <w:sz w:val="24"/>
          <w:szCs w:val="24"/>
        </w:rPr>
        <w:t xml:space="preserve">Policy Analysis Framework </w:t>
      </w:r>
    </w:p>
    <w:p w14:paraId="01130951" w14:textId="77777777" w:rsidR="00AF5E5D" w:rsidRPr="00ED2923" w:rsidRDefault="00AF5E5D" w:rsidP="00AF5E5D">
      <w:pPr>
        <w:spacing w:line="480" w:lineRule="auto"/>
        <w:rPr>
          <w:rFonts w:ascii="Times New Roman" w:hAnsi="Times New Roman" w:cs="Times New Roman"/>
          <w:sz w:val="24"/>
          <w:szCs w:val="24"/>
        </w:rPr>
      </w:pPr>
      <w:r w:rsidRPr="00ED2923">
        <w:rPr>
          <w:rFonts w:ascii="Times New Roman" w:hAnsi="Times New Roman" w:cs="Times New Roman"/>
          <w:sz w:val="24"/>
          <w:szCs w:val="24"/>
        </w:rPr>
        <w:t>This report is based on various conceptual frameworks in order to analyse the ALN reforms. The first is inclusive education focus which puts a lot of emphasis on equity, participation and elimination of barriers to learning. The article by Ainscow (2020) on the inclusive school improvement is especially topical, and the proposed idea of continuous collaboration and systemic work is the key to the sustainable change. Through this approach, the devotion of the ALN system to early intervention, the entire school responsibility and learner-based planning can be analysed.</w:t>
      </w:r>
    </w:p>
    <w:p w14:paraId="52590FFD" w14:textId="77777777" w:rsidR="00AF5E5D" w:rsidRPr="00ED2923" w:rsidRDefault="00AF5E5D" w:rsidP="00AF5E5D">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A second theory is the policy implementation theory that looks at how policies are influenced by local capacity, organisational culture and practitioner interpretation. Such an outlook is critical since the ALN reforms are based on practitioner judgement and collaborating across agencies. Davies and Thomas (2021) highlight that research highlights the disparity between </w:t>
      </w:r>
      <w:r w:rsidRPr="00ED2923">
        <w:rPr>
          <w:rFonts w:ascii="Times New Roman" w:hAnsi="Times New Roman" w:cs="Times New Roman"/>
          <w:sz w:val="24"/>
          <w:szCs w:val="24"/>
        </w:rPr>
        <w:lastRenderedPageBreak/>
        <w:t>what is desired in policy and what can be practically provided by schools without significant backing.</w:t>
      </w:r>
    </w:p>
    <w:p w14:paraId="3DC73327" w14:textId="77777777" w:rsidR="00AF5E5D" w:rsidRPr="00ED2923" w:rsidRDefault="00AF5E5D" w:rsidP="00AF5E5D">
      <w:pPr>
        <w:spacing w:line="480" w:lineRule="auto"/>
        <w:rPr>
          <w:rFonts w:ascii="Times New Roman" w:hAnsi="Times New Roman" w:cs="Times New Roman"/>
          <w:sz w:val="24"/>
          <w:szCs w:val="24"/>
        </w:rPr>
      </w:pPr>
      <w:r w:rsidRPr="00ED2923">
        <w:rPr>
          <w:rFonts w:ascii="Times New Roman" w:hAnsi="Times New Roman" w:cs="Times New Roman"/>
          <w:sz w:val="24"/>
          <w:szCs w:val="24"/>
        </w:rPr>
        <w:t>The third component of the analytical framework is the criteria used by OECD (2021) to measure the level of public trust and confidence in the education systems. These are transparency, coherence, stakeholder engagement and ability of reforms to show measurable improvements. Using these principles, it will be possible to conduct a systematic evaluation of the perception of the ALN reforms by professionals, families, and the general population.</w:t>
      </w:r>
    </w:p>
    <w:p w14:paraId="1E024719" w14:textId="77777777" w:rsidR="00AF5E5D" w:rsidRPr="00ED2923" w:rsidRDefault="00AF5E5D" w:rsidP="00AF5E5D">
      <w:pPr>
        <w:spacing w:line="480" w:lineRule="auto"/>
        <w:rPr>
          <w:rFonts w:ascii="Times New Roman" w:hAnsi="Times New Roman" w:cs="Times New Roman"/>
          <w:sz w:val="24"/>
          <w:szCs w:val="24"/>
        </w:rPr>
      </w:pPr>
      <w:r w:rsidRPr="00ED2923">
        <w:rPr>
          <w:rFonts w:ascii="Times New Roman" w:hAnsi="Times New Roman" w:cs="Times New Roman"/>
          <w:sz w:val="24"/>
          <w:szCs w:val="24"/>
        </w:rPr>
        <w:t>In the analysis, such important terms as Additional Learning Needs, Individual Development Plans, inclusion, early intervention, and multi-agency collaboration are applied in reference to the definitions provided in the ALN Code (Welsh Government, 2019). Both of these structures and definitions, combined, allow conducting a systematic assessment of the ALN reforms, both in terms of their theoretical advantages and the difficulties they bring to reality.</w:t>
      </w:r>
    </w:p>
    <w:p w14:paraId="586E3B15" w14:textId="77777777" w:rsidR="006B5417" w:rsidRPr="00ED2923" w:rsidRDefault="00471129" w:rsidP="00AF5E5D">
      <w:pPr>
        <w:spacing w:line="480" w:lineRule="auto"/>
        <w:rPr>
          <w:rFonts w:ascii="Times New Roman" w:hAnsi="Times New Roman" w:cs="Times New Roman"/>
          <w:b/>
          <w:bCs/>
          <w:sz w:val="24"/>
          <w:szCs w:val="24"/>
        </w:rPr>
      </w:pPr>
      <w:r w:rsidRPr="00ED2923">
        <w:rPr>
          <w:rFonts w:ascii="Times New Roman" w:hAnsi="Times New Roman" w:cs="Times New Roman"/>
          <w:b/>
          <w:bCs/>
          <w:sz w:val="24"/>
          <w:szCs w:val="24"/>
        </w:rPr>
        <w:t>Policy Goals and Objectives</w:t>
      </w:r>
    </w:p>
    <w:p w14:paraId="17DD8CE4" w14:textId="77777777" w:rsidR="00CB0F7B"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t>The ALN system establishes a number of general objectives. The main goal of it is to establish an integrated 0-25 system where all learners with additional needs can receive timely, person-centred support provided by one statutory plan the Individual Development Plan (IDP). One of the key purposes is to promote equity based on the fact that eligibility to support will not be determined by the choices of particular local authorities as it was in the majority of cases under the SEN system (Welsh Government, 2019).</w:t>
      </w:r>
    </w:p>
    <w:p w14:paraId="2972CEC3" w14:textId="77777777" w:rsidR="00CB0F7B"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t>The other important objective is the early identification and intervention in order to provide support early enough before it becomes reactive. Enhancing the coordination of education, health and social services is another objective of the Act as it is known that learners may need the services of more than one agency (Additional Learning Needs and Education Tribunal (Wales) Act 2018).</w:t>
      </w:r>
    </w:p>
    <w:p w14:paraId="3472D0B4" w14:textId="77777777" w:rsidR="006B5417"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lastRenderedPageBreak/>
        <w:t>Although the objectives of the ALN system are usually coherent, there are certain tensions. As a case in point, the desire to offer an IDP to all learners with ALN will be a challenging goal to materialize unless the company invests heavily in human resources and development. As Davies and Thomas (2021) observe, conflicting priorities and scarcity of resources can hinder the consistent implementation, which introduces the possibility of a discrepancy between the ambition and the practical implementation of a policy.</w:t>
      </w:r>
      <w:r w:rsidR="00BB1B08">
        <w:rPr>
          <w:rFonts w:ascii="Times New Roman" w:hAnsi="Times New Roman" w:cs="Times New Roman"/>
          <w:sz w:val="24"/>
          <w:szCs w:val="24"/>
        </w:rPr>
        <w:t xml:space="preserve"> </w:t>
      </w:r>
      <w:r w:rsidR="00BB1B08" w:rsidRPr="00BB1B08">
        <w:rPr>
          <w:rFonts w:ascii="Times New Roman" w:hAnsi="Times New Roman" w:cs="Times New Roman"/>
          <w:sz w:val="24"/>
          <w:szCs w:val="24"/>
        </w:rPr>
        <w:t>These tensions not only shape how the policy is enacted in practice but are also reflected in the language, framing, and priorities embedded within the policy text itself.</w:t>
      </w:r>
    </w:p>
    <w:p w14:paraId="33BD5645" w14:textId="77777777" w:rsidR="00CB0F7B" w:rsidRPr="00ED2923" w:rsidRDefault="00DD37A4" w:rsidP="00CB0F7B">
      <w:pPr>
        <w:spacing w:line="480" w:lineRule="auto"/>
        <w:rPr>
          <w:rFonts w:ascii="Times New Roman" w:hAnsi="Times New Roman" w:cs="Times New Roman"/>
          <w:sz w:val="24"/>
          <w:szCs w:val="24"/>
        </w:rPr>
      </w:pPr>
      <w:r w:rsidRPr="00ED2923">
        <w:rPr>
          <w:rFonts w:ascii="Times New Roman" w:hAnsi="Times New Roman" w:cs="Times New Roman"/>
          <w:b/>
          <w:bCs/>
          <w:sz w:val="24"/>
          <w:szCs w:val="24"/>
        </w:rPr>
        <w:t>Textual Features and Discursive Patterns in the Policy Document</w:t>
      </w:r>
    </w:p>
    <w:p w14:paraId="01A3567C" w14:textId="77777777" w:rsidR="00CB0F7B"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t>Reform of Additional Learning Needs provision in Wales is inexplicable without considering the way the policy has been changing over time. In the past, the policy of special educational needs in Wales had a medical foundation, which focused on categorisation, assessment, and formal statements. This was very bureaucratic and time-consuming and this led to frustration by the families whose family would have to wait a long time to get an assessment or inconsistent decisions by the local authorities. The national reviews given by Estyn regularly revealed that the country had a great deal of disparity and one particular learner in a local authority was not necessarily treated in the same way as comparable learners in another local authority (Estyn, 2018). This enduring discrepancy was one of the most powerful change impetuses as it made the policymakers realize that the old model was out of use.</w:t>
      </w:r>
    </w:p>
    <w:p w14:paraId="7239761C" w14:textId="77777777" w:rsidR="00CB0F7B"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The ALN reforms attempted to surmount this tradition by introducing a more rights based and inclusion centred system. The single statutory plan, which was called the Individual Development Plan, was supposed to eliminate the hierarchy of statements, School Action and School Action Plus, and establish a single mechanism of identification and support of needs. This simplification was done to facilitate more transparency to the families and minimize on </w:t>
      </w:r>
      <w:r w:rsidRPr="00ED2923">
        <w:rPr>
          <w:rFonts w:ascii="Times New Roman" w:hAnsi="Times New Roman" w:cs="Times New Roman"/>
          <w:sz w:val="24"/>
          <w:szCs w:val="24"/>
        </w:rPr>
        <w:lastRenderedPageBreak/>
        <w:t>administrative pressures on schools. The Welsh Government would position the reform as a modernisation that is needed in line with the international expectations of inclusive education, and it reflects the broader trends elsewhere in Europe to unify services and thereby provide more individualised service (Welsh Government, 2019).</w:t>
      </w:r>
    </w:p>
    <w:p w14:paraId="217510AD" w14:textId="77777777" w:rsidR="00CB0F7B" w:rsidRPr="00ED2923" w:rsidRDefault="00BC1FB8"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t>T</w:t>
      </w:r>
      <w:r w:rsidR="00CB0F7B" w:rsidRPr="00ED2923">
        <w:rPr>
          <w:rFonts w:ascii="Times New Roman" w:hAnsi="Times New Roman" w:cs="Times New Roman"/>
          <w:sz w:val="24"/>
          <w:szCs w:val="24"/>
        </w:rPr>
        <w:t>he OECD (2021) offers more insight into the requirements of countries aiming to reform other support systems: the transparency of governance, as well as high public trust, are essential. This is especially applicable in Welsh example, because the change in ALN is consistent with other national changes, including new Curriculum for Wales. The reform story that was being marketed to the community was about fairness, transparency and early intervention- ideals that are generally shared by parents, teachers and advocacy groups. Yet, it is arguable to what degree these objectives have been achieved.</w:t>
      </w:r>
    </w:p>
    <w:p w14:paraId="230D8F7F" w14:textId="77777777" w:rsidR="00177D66"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Establishment and maintenance of the confidence of the population is a vital aspect of </w:t>
      </w:r>
      <w:r w:rsidR="00BC1FB8" w:rsidRPr="00ED2923">
        <w:rPr>
          <w:rFonts w:ascii="Times New Roman" w:hAnsi="Times New Roman" w:cs="Times New Roman"/>
          <w:sz w:val="24"/>
          <w:szCs w:val="24"/>
        </w:rPr>
        <w:t>the reform. OECD (2021) underscores the premise</w:t>
      </w:r>
      <w:r w:rsidRPr="00ED2923">
        <w:rPr>
          <w:rFonts w:ascii="Times New Roman" w:hAnsi="Times New Roman" w:cs="Times New Roman"/>
          <w:sz w:val="24"/>
          <w:szCs w:val="24"/>
        </w:rPr>
        <w:t xml:space="preserve"> that the trust in an education system should rely on transparent communication, appar</w:t>
      </w:r>
      <w:r w:rsidR="00BC1FB8" w:rsidRPr="00ED2923">
        <w:rPr>
          <w:rFonts w:ascii="Times New Roman" w:hAnsi="Times New Roman" w:cs="Times New Roman"/>
          <w:sz w:val="24"/>
          <w:szCs w:val="24"/>
        </w:rPr>
        <w:t>ent improvement, and the view</w:t>
      </w:r>
      <w:r w:rsidRPr="00ED2923">
        <w:rPr>
          <w:rFonts w:ascii="Times New Roman" w:hAnsi="Times New Roman" w:cs="Times New Roman"/>
          <w:sz w:val="24"/>
          <w:szCs w:val="24"/>
        </w:rPr>
        <w:t xml:space="preserve"> that changes can be made and they can be long-lasting. In the case of the ALN system, communication has been an asset and a weakness. On the one hand, the Welsh Gov</w:t>
      </w:r>
      <w:r w:rsidR="00BC1FB8" w:rsidRPr="00ED2923">
        <w:rPr>
          <w:rFonts w:ascii="Times New Roman" w:hAnsi="Times New Roman" w:cs="Times New Roman"/>
          <w:sz w:val="24"/>
          <w:szCs w:val="24"/>
        </w:rPr>
        <w:t>ernment spent on the creation of</w:t>
      </w:r>
      <w:r w:rsidRPr="00ED2923">
        <w:rPr>
          <w:rFonts w:ascii="Times New Roman" w:hAnsi="Times New Roman" w:cs="Times New Roman"/>
          <w:sz w:val="24"/>
          <w:szCs w:val="24"/>
        </w:rPr>
        <w:t xml:space="preserve"> public awareness, training materials, and the events</w:t>
      </w:r>
      <w:r w:rsidR="00177D66" w:rsidRPr="00ED2923">
        <w:rPr>
          <w:rFonts w:ascii="Times New Roman" w:hAnsi="Times New Roman" w:cs="Times New Roman"/>
          <w:sz w:val="24"/>
          <w:szCs w:val="24"/>
        </w:rPr>
        <w:t xml:space="preserve"> of the stakeholder engagement. </w:t>
      </w:r>
      <w:r w:rsidRPr="00ED2923">
        <w:rPr>
          <w:rFonts w:ascii="Times New Roman" w:hAnsi="Times New Roman" w:cs="Times New Roman"/>
          <w:sz w:val="24"/>
          <w:szCs w:val="24"/>
        </w:rPr>
        <w:t>Conversely, speculation has been raised on expectations in most schools especially on the time and expertise needed in the p</w:t>
      </w:r>
      <w:r w:rsidR="00177D66" w:rsidRPr="00ED2923">
        <w:rPr>
          <w:rFonts w:ascii="Times New Roman" w:hAnsi="Times New Roman" w:cs="Times New Roman"/>
          <w:sz w:val="24"/>
          <w:szCs w:val="24"/>
        </w:rPr>
        <w:t xml:space="preserve">roduction of high-quality IDPs </w:t>
      </w:r>
      <w:r w:rsidRPr="00ED2923">
        <w:rPr>
          <w:rFonts w:ascii="Times New Roman" w:hAnsi="Times New Roman" w:cs="Times New Roman"/>
          <w:sz w:val="24"/>
          <w:szCs w:val="24"/>
        </w:rPr>
        <w:t xml:space="preserve">(Estyn, 2022). </w:t>
      </w:r>
    </w:p>
    <w:p w14:paraId="5A46BC06" w14:textId="79DF3B88" w:rsidR="00177D66"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The perceptions of people were also influenced by media representations of the ALN reform. Local and national news media tend to focus on the issues expressed by families who believe that the system is still hard to </w:t>
      </w:r>
      <w:r w:rsidR="009B6A60" w:rsidRPr="00ED2923">
        <w:rPr>
          <w:rFonts w:ascii="Times New Roman" w:hAnsi="Times New Roman" w:cs="Times New Roman"/>
          <w:sz w:val="24"/>
          <w:szCs w:val="24"/>
        </w:rPr>
        <w:t>manoeuvre</w:t>
      </w:r>
      <w:r w:rsidRPr="00ED2923">
        <w:rPr>
          <w:rFonts w:ascii="Times New Roman" w:hAnsi="Times New Roman" w:cs="Times New Roman"/>
          <w:sz w:val="24"/>
          <w:szCs w:val="24"/>
        </w:rPr>
        <w:t xml:space="preserve">, particularly when dealing with complicated or </w:t>
      </w:r>
      <w:proofErr w:type="gramStart"/>
      <w:r w:rsidRPr="00ED2923">
        <w:rPr>
          <w:rFonts w:ascii="Times New Roman" w:hAnsi="Times New Roman" w:cs="Times New Roman"/>
          <w:sz w:val="24"/>
          <w:szCs w:val="24"/>
        </w:rPr>
        <w:t>medically-related</w:t>
      </w:r>
      <w:proofErr w:type="gramEnd"/>
      <w:r w:rsidRPr="00ED2923">
        <w:rPr>
          <w:rFonts w:ascii="Times New Roman" w:hAnsi="Times New Roman" w:cs="Times New Roman"/>
          <w:sz w:val="24"/>
          <w:szCs w:val="24"/>
        </w:rPr>
        <w:t xml:space="preserve"> needs</w:t>
      </w:r>
      <w:r w:rsidR="00177D66" w:rsidRPr="00ED2923">
        <w:rPr>
          <w:rFonts w:ascii="Times New Roman" w:hAnsi="Times New Roman" w:cs="Times New Roman"/>
          <w:sz w:val="24"/>
          <w:szCs w:val="24"/>
        </w:rPr>
        <w:t xml:space="preserve"> </w:t>
      </w:r>
      <w:r w:rsidRPr="00ED2923">
        <w:rPr>
          <w:rFonts w:ascii="Times New Roman" w:hAnsi="Times New Roman" w:cs="Times New Roman"/>
          <w:sz w:val="24"/>
          <w:szCs w:val="24"/>
        </w:rPr>
        <w:t xml:space="preserve">(Evans and Vincent, 2019). But more visibly critical coverage is more likely to be about resource constraints, slowness of evaluations or even inability of local </w:t>
      </w:r>
      <w:r w:rsidRPr="00ED2923">
        <w:rPr>
          <w:rFonts w:ascii="Times New Roman" w:hAnsi="Times New Roman" w:cs="Times New Roman"/>
          <w:sz w:val="24"/>
          <w:szCs w:val="24"/>
        </w:rPr>
        <w:lastRenderedPageBreak/>
        <w:t>governments to provide the betterments they promised with the legislation. These opposing accounts are indicative of the transformational essence of the reform as some stakeholders get to enjoy the fruits of the reform whereas others face strains that are pegged on the</w:t>
      </w:r>
      <w:r w:rsidR="00177D66" w:rsidRPr="00ED2923">
        <w:rPr>
          <w:rFonts w:ascii="Times New Roman" w:hAnsi="Times New Roman" w:cs="Times New Roman"/>
          <w:sz w:val="24"/>
          <w:szCs w:val="24"/>
        </w:rPr>
        <w:t xml:space="preserve"> issue of capacity limitations (Davies and Thomas, 2021). </w:t>
      </w:r>
    </w:p>
    <w:p w14:paraId="66A8178E" w14:textId="77777777" w:rsidR="00CB0F7B"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t>Critical insights on the ALN system are also found in the academic literature on the system. Ainscow (2020) believes that it is not sufficient to promote inclusive education with the help of policy change; rather, the improvement should be integrated into the school culture based on collaboration and reflective practice. This point of view is useful in that one of the points that the ALN model offers is that schools will have more responsibility in terms of identifying and fulfilling the needs-a requirement that would take a lot of professional confidence and training. Research has also demonstrated time and again that teachers should be afforded continuous chances to maximize on their competencies and formulate workable interventions that would ensure inclusion is not a vain pursuit (Hick and Thomas, 2008). Unless policy intentions are adequately invested in professional learning, they are prone to be interpreted in an uneven or shallow way, thus creating uneven results.</w:t>
      </w:r>
    </w:p>
    <w:p w14:paraId="599C9992" w14:textId="77777777" w:rsidR="00CB0F7B" w:rsidRPr="00ED2923" w:rsidRDefault="00CB0F7B" w:rsidP="006B5417">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The other theme that is shared by the academic commentary is that of workload. As the introduction of IDPs allows serving a broader group of learners than the previous experience of statements, the schools need to find time to review plans, meet with families during meetings and keep relevant records. Although the ALN code promotes the person-centred approach, such a method may be time-consuming when applied regularly. The studies indicate that the vision of holistic and learner-centred planning may not be easily maintained without the necessary staffing or modification of the teacher workload (Davies and Thomas, 2021). </w:t>
      </w:r>
    </w:p>
    <w:p w14:paraId="67BC60F6" w14:textId="77777777" w:rsidR="00C31741"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lastRenderedPageBreak/>
        <w:t>The second point of controversy is the place of multi-agency working. The ALN system focuses on the relevance of collaboration between education, health and social services, as it reflects the understanding that the needs of the children are often not limited to any of the domains. Nevertheless, it is complicated to have actual collaboration. Health services commonly exist with varying governance models and funding models, and this results in difficulty in the alignment of priorities and schedules (Terzi, 2014). Families report that there is often disproportional communication between sectors and that some schools have the difficulty of getting timely</w:t>
      </w:r>
      <w:r w:rsidR="00C31741" w:rsidRPr="00ED2923">
        <w:rPr>
          <w:rFonts w:ascii="Times New Roman" w:hAnsi="Times New Roman" w:cs="Times New Roman"/>
          <w:sz w:val="24"/>
          <w:szCs w:val="24"/>
        </w:rPr>
        <w:t xml:space="preserve"> input </w:t>
      </w:r>
      <w:r w:rsidR="000A0168" w:rsidRPr="00ED2923">
        <w:rPr>
          <w:rFonts w:ascii="Times New Roman" w:hAnsi="Times New Roman" w:cs="Times New Roman"/>
          <w:sz w:val="24"/>
          <w:szCs w:val="24"/>
        </w:rPr>
        <w:t xml:space="preserve">of health professionals (Estyn, </w:t>
      </w:r>
      <w:r w:rsidR="00C31741" w:rsidRPr="00ED2923">
        <w:rPr>
          <w:rFonts w:ascii="Times New Roman" w:hAnsi="Times New Roman" w:cs="Times New Roman"/>
          <w:sz w:val="24"/>
          <w:szCs w:val="24"/>
        </w:rPr>
        <w:t xml:space="preserve">2022). </w:t>
      </w:r>
    </w:p>
    <w:p w14:paraId="40E09EED" w14:textId="77777777" w:rsidR="00CB0F7B"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t>Even with these challenges, there are also strengths with the ALN reforms. The transition to a 0-25 system prolongs the support during further education, which otherwise has presented a major gap in the SEN framework since it has not been guaranteed to offer longer-term support beyond schools. Such continuity is especially significant to learners who have developmental issues or long-term health conditions that might necessitate continuous modifications (Florian, 2014). The extended range of age has been embraced by schools and colleges but they are aware that the post 16 environments demand extra funding and education in order to handle the extra burden.</w:t>
      </w:r>
    </w:p>
    <w:p w14:paraId="043DB09C" w14:textId="77777777" w:rsidR="00CB0F7B" w:rsidRPr="00ED2923" w:rsidRDefault="00D931D0"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t>Another beneficial aspect</w:t>
      </w:r>
      <w:r w:rsidR="00CB0F7B" w:rsidRPr="00ED2923">
        <w:rPr>
          <w:rFonts w:ascii="Times New Roman" w:hAnsi="Times New Roman" w:cs="Times New Roman"/>
          <w:sz w:val="24"/>
          <w:szCs w:val="24"/>
        </w:rPr>
        <w:t xml:space="preserve"> about the new system is the focus on early intervention. Studies always demonstrate that needs can be proactively addressed at an early age and stage to prevent the spiral and enhance educational outcomes in the long term (Slee, 2018). The early assessment requirement in the ALN Act facilitates proactive identification, but practitioners observe that this can only be achieved when schools have an adequate specialist contribution and can deal with manageable caseloads. Effectiveness of early intervention thus relies intensely on the regional capacity and harmonized networks of support.</w:t>
      </w:r>
      <w:r w:rsidR="00BB1B08">
        <w:rPr>
          <w:rFonts w:ascii="Times New Roman" w:hAnsi="Times New Roman" w:cs="Times New Roman"/>
          <w:sz w:val="24"/>
          <w:szCs w:val="24"/>
        </w:rPr>
        <w:t xml:space="preserve"> </w:t>
      </w:r>
      <w:r w:rsidR="00BB1B08" w:rsidRPr="00BB1B08">
        <w:rPr>
          <w:rFonts w:ascii="Times New Roman" w:hAnsi="Times New Roman" w:cs="Times New Roman"/>
          <w:sz w:val="24"/>
          <w:szCs w:val="24"/>
        </w:rPr>
        <w:t>These practical constraints surrounding early intervention point directly to the wider implementation challenges that continue to limit the system’s effectiveness.</w:t>
      </w:r>
    </w:p>
    <w:p w14:paraId="4DAD013A" w14:textId="77777777" w:rsidR="00DD37A4" w:rsidRPr="00ED2923" w:rsidRDefault="00DD37A4" w:rsidP="00CB0F7B">
      <w:pPr>
        <w:spacing w:line="480" w:lineRule="auto"/>
        <w:rPr>
          <w:rFonts w:ascii="Times New Roman" w:hAnsi="Times New Roman" w:cs="Times New Roman"/>
          <w:b/>
          <w:bCs/>
          <w:sz w:val="24"/>
          <w:szCs w:val="24"/>
        </w:rPr>
      </w:pPr>
      <w:r w:rsidRPr="00ED2923">
        <w:rPr>
          <w:rFonts w:ascii="Times New Roman" w:hAnsi="Times New Roman" w:cs="Times New Roman"/>
          <w:b/>
          <w:bCs/>
          <w:sz w:val="24"/>
          <w:szCs w:val="24"/>
        </w:rPr>
        <w:lastRenderedPageBreak/>
        <w:t>Challenges in the Implementation Process of the Policy</w:t>
      </w:r>
    </w:p>
    <w:p w14:paraId="0114DC86" w14:textId="77777777" w:rsidR="00CB0F7B"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t>The ALN reforms have been implemented in a gradual manner based on the fact that change needed in the education system is of a large scale and a complicated issue</w:t>
      </w:r>
      <w:r w:rsidR="00976425" w:rsidRPr="00ED2923">
        <w:rPr>
          <w:rFonts w:ascii="Times New Roman" w:hAnsi="Times New Roman" w:cs="Times New Roman"/>
          <w:sz w:val="24"/>
          <w:szCs w:val="24"/>
        </w:rPr>
        <w:t>. Schools, local authorities and higher</w:t>
      </w:r>
      <w:r w:rsidRPr="00ED2923">
        <w:rPr>
          <w:rFonts w:ascii="Times New Roman" w:hAnsi="Times New Roman" w:cs="Times New Roman"/>
          <w:sz w:val="24"/>
          <w:szCs w:val="24"/>
        </w:rPr>
        <w:t xml:space="preserve"> education were provided with a transition period over several years to shift to the new ALN framework out of the SEN framework. This protracted schedule recognised that a move to a rights-based model needs to be accompanied with major changes in the process of staffing, training and organisational processes.</w:t>
      </w:r>
    </w:p>
    <w:p w14:paraId="185CBAFA" w14:textId="77777777" w:rsidR="00CB0F7B"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t>As a matter of fact, this has been inconsistent in implementation in some of the local authorities in Wales with some making faster progress than others. The inspection evidence provided by Estyn shows that some of the areas have well-organized leadership and a clear strategic plan on board, and others cannot cope with staffing issues, lack specialists services, and have been underinvested (Estyn, 2022). These disparities have resulted in a variation in the effectiveness with which schools can generate IDPs, reach out to the family and liaise with other agencies.</w:t>
      </w:r>
    </w:p>
    <w:p w14:paraId="387DC870" w14:textId="77777777" w:rsidR="00CB0F7B"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t>The workforce capacity is one of the major challenges. The production and evaluation of IDPs need experienced personnel with knowledge of the needs of the learners and are able to collaborate with families. Most of the schools complain that they do not have adequate Additional Learning Needs Coordinators (ALNCOs) or specialist teachers to cope with the system requirements. The number of cases that ALNCOs handle is usually enormous, and they have little time to be strategic leaders or develop professionally. Davies and Thomas (2021) believe that any reform based on the leadership at the school level should be made in a way that the staff is sufficiently supported, they can otherwise place the responsibility on the individual practitioners unjustly.</w:t>
      </w:r>
    </w:p>
    <w:p w14:paraId="4C7F37D5" w14:textId="77777777" w:rsidR="00CB0F7B" w:rsidRPr="00ED2923" w:rsidRDefault="00CB0F7B" w:rsidP="00BE0C05">
      <w:pPr>
        <w:spacing w:line="480" w:lineRule="auto"/>
        <w:rPr>
          <w:rFonts w:ascii="Times New Roman" w:hAnsi="Times New Roman" w:cs="Times New Roman"/>
          <w:sz w:val="24"/>
          <w:szCs w:val="24"/>
        </w:rPr>
      </w:pPr>
      <w:r w:rsidRPr="00ED2923">
        <w:rPr>
          <w:rFonts w:ascii="Times New Roman" w:hAnsi="Times New Roman" w:cs="Times New Roman"/>
          <w:sz w:val="24"/>
          <w:szCs w:val="24"/>
        </w:rPr>
        <w:lastRenderedPageBreak/>
        <w:t xml:space="preserve">Another important implementation issue is multi-agency work. The ALN Act imposes new responsibilities on health services, where they are obligated to look at the role that their support plays in the IDP process. Health boards have been pledging to the principle, but still have operational challenges. Coordination can be sluggish or unreliable because of dissimilar data systems, resource limitations and unpredictable communication mediums. In some cases, families complain of inability to obtain assessments or other health-related contributions to IDPs in a timely manner and become frustrated and confused. Even though the Welsh Government foresaw such challenges and also outlined expectations in its transformation programme </w:t>
      </w:r>
      <w:r w:rsidR="00976425" w:rsidRPr="00ED2923">
        <w:rPr>
          <w:rFonts w:ascii="Times New Roman" w:hAnsi="Times New Roman" w:cs="Times New Roman"/>
          <w:sz w:val="24"/>
          <w:szCs w:val="24"/>
        </w:rPr>
        <w:t>(Welsh</w:t>
      </w:r>
      <w:r w:rsidRPr="00ED2923">
        <w:rPr>
          <w:rFonts w:ascii="Times New Roman" w:hAnsi="Times New Roman" w:cs="Times New Roman"/>
          <w:sz w:val="24"/>
          <w:szCs w:val="24"/>
        </w:rPr>
        <w:t xml:space="preserve"> Government, 2021), the pace at which this has been occurring has not been uniform.</w:t>
      </w:r>
      <w:r w:rsidR="00976425" w:rsidRPr="00ED2923">
        <w:rPr>
          <w:rFonts w:ascii="Times New Roman" w:hAnsi="Times New Roman" w:cs="Times New Roman"/>
          <w:sz w:val="24"/>
          <w:szCs w:val="24"/>
        </w:rPr>
        <w:tab/>
      </w:r>
    </w:p>
    <w:p w14:paraId="478DBF05" w14:textId="77777777" w:rsidR="00CB0F7B"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t>Another impediment is associated with finances. Any form of implementing a system that increases rights and broadens the eligibility is bound to be costly. Educational psychologists, speech and language therapists or behavioural support teams are services that schools often mention that they need access to, although their accessibility in different parts of the country varies significantly. This discrepancy between some expectations and resources may be a hindrance to the creation of strong IDPs, in addition to the inability of schools to provide comprehensive assistance. According to Estyn (2022), some local authorities have been strategic in providing specialists, but it is difficult to serve the demand.</w:t>
      </w:r>
    </w:p>
    <w:p w14:paraId="23E5F816" w14:textId="77777777" w:rsidR="00CB0F7B"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t>In spite of these challenges, there have been a number of strengths that have been experienced in the implementation process. According to many practitioners, the person-centred approach that the ALN system revolves around has enabled better conversations between families and schools. The voices of learners are more eminent in discussions of planning and schools are always embracing the idea of reflective programs that take into account the strengths of individuals as well as needs. This cultural change is in line with principals of inclusive education and is regarded as a positive impact of reform.</w:t>
      </w:r>
    </w:p>
    <w:p w14:paraId="486B3297" w14:textId="77777777" w:rsidR="00CB0F7B" w:rsidRPr="00ED2923" w:rsidRDefault="00CB0F7B" w:rsidP="00CB0F7B">
      <w:pPr>
        <w:spacing w:line="480" w:lineRule="auto"/>
        <w:rPr>
          <w:rFonts w:ascii="Times New Roman" w:hAnsi="Times New Roman" w:cs="Times New Roman"/>
          <w:sz w:val="24"/>
          <w:szCs w:val="24"/>
        </w:rPr>
      </w:pPr>
      <w:r w:rsidRPr="00ED2923">
        <w:rPr>
          <w:rFonts w:ascii="Times New Roman" w:hAnsi="Times New Roman" w:cs="Times New Roman"/>
          <w:sz w:val="24"/>
          <w:szCs w:val="24"/>
        </w:rPr>
        <w:lastRenderedPageBreak/>
        <w:t>Also, the 0-25 age gap has been extended thus improving continuity of support of those students who are transitioning to higher education. To determine ALN and develop IDPs, colleges have devised new methods, though they observe that in practice, schools must be able to share information effectively. The convergence between the school and college models has been getting better over time, yet there has been a problem of balancing the needs of the learners to be met uniformly across all the environments (Norwich, 2014).</w:t>
      </w:r>
    </w:p>
    <w:p w14:paraId="5380B973" w14:textId="77777777" w:rsidR="00CB0F7B" w:rsidRPr="00ED2923" w:rsidRDefault="00CB0F7B" w:rsidP="006B5417">
      <w:pPr>
        <w:spacing w:line="480" w:lineRule="auto"/>
        <w:rPr>
          <w:rFonts w:ascii="Times New Roman" w:hAnsi="Times New Roman" w:cs="Times New Roman"/>
          <w:sz w:val="24"/>
          <w:szCs w:val="24"/>
        </w:rPr>
      </w:pPr>
      <w:r w:rsidRPr="00ED2923">
        <w:rPr>
          <w:rFonts w:ascii="Times New Roman" w:hAnsi="Times New Roman" w:cs="Times New Roman"/>
          <w:sz w:val="24"/>
          <w:szCs w:val="24"/>
        </w:rPr>
        <w:t>The implementation is gradual, which complicates the assessment of the results of the ALN reforms. There has been early evidence that although things have begun to improve in certain aspects such as more transparent decision-making and more learner involvement, the system is yet to attain the level of consistency as was initially envisioned. The local disparity between authorities continues to exist especially with regard to access of specialist services and schedules in developing IDPs. Such imbalance replicates the already existing disparities and represents the wider strains on the public services (Hodkinson, 2022).</w:t>
      </w:r>
    </w:p>
    <w:p w14:paraId="0C574E84" w14:textId="77777777" w:rsidR="00BC1FB8" w:rsidRPr="00ED2923" w:rsidRDefault="00BC1FB8" w:rsidP="00BC1FB8">
      <w:pPr>
        <w:spacing w:line="480" w:lineRule="auto"/>
        <w:rPr>
          <w:rFonts w:ascii="Times New Roman" w:hAnsi="Times New Roman" w:cs="Times New Roman"/>
          <w:sz w:val="24"/>
          <w:szCs w:val="24"/>
        </w:rPr>
      </w:pPr>
      <w:r w:rsidRPr="00ED2923">
        <w:rPr>
          <w:rFonts w:ascii="Times New Roman" w:hAnsi="Times New Roman" w:cs="Times New Roman"/>
          <w:sz w:val="24"/>
          <w:szCs w:val="24"/>
        </w:rPr>
        <w:t>There have also appeared unintended consequences. Other schools have cited that the task of generating IDPs to serve a larger number of learners has caused workload pressures which decrease</w:t>
      </w:r>
      <w:r w:rsidR="00976425" w:rsidRPr="00ED2923">
        <w:rPr>
          <w:rFonts w:ascii="Times New Roman" w:hAnsi="Times New Roman" w:cs="Times New Roman"/>
          <w:sz w:val="24"/>
          <w:szCs w:val="24"/>
        </w:rPr>
        <w:t xml:space="preserve">s time needed for </w:t>
      </w:r>
      <w:r w:rsidRPr="00ED2923">
        <w:rPr>
          <w:rFonts w:ascii="Times New Roman" w:hAnsi="Times New Roman" w:cs="Times New Roman"/>
          <w:sz w:val="24"/>
          <w:szCs w:val="24"/>
        </w:rPr>
        <w:t>teaching or other duties. In different instances, families feel that there are delays in the development of IDP because of the handling of large caseloads in schools, which may adversely affect relationships and trust. Cases of families that believe the system has not been able to deliver promised improvements are occasionally mentioned in the media, which supports the capacity concerns (</w:t>
      </w:r>
      <w:proofErr w:type="spellStart"/>
      <w:r w:rsidRPr="00ED2923">
        <w:rPr>
          <w:rFonts w:ascii="Times New Roman" w:hAnsi="Times New Roman" w:cs="Times New Roman"/>
          <w:sz w:val="24"/>
          <w:szCs w:val="24"/>
        </w:rPr>
        <w:t>Gorard</w:t>
      </w:r>
      <w:proofErr w:type="spellEnd"/>
      <w:r w:rsidRPr="00ED2923">
        <w:rPr>
          <w:rFonts w:ascii="Times New Roman" w:hAnsi="Times New Roman" w:cs="Times New Roman"/>
          <w:sz w:val="24"/>
          <w:szCs w:val="24"/>
        </w:rPr>
        <w:t>, See, and Siddiqui, 2017).</w:t>
      </w:r>
    </w:p>
    <w:p w14:paraId="0C6BDA59" w14:textId="77777777" w:rsidR="00BC1FB8" w:rsidRPr="00ED2923" w:rsidRDefault="00BC1FB8" w:rsidP="00BC1FB8">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However, the principles supporting the ALN reforms are still popular. There is general agreement among the practitioners, the researchers and the policymakers that the system can help resolve the long-standing issues and help in achieving a more equitable support. The dilemma is how to make sure that the resources, training, and inter-agency structures which </w:t>
      </w:r>
      <w:r w:rsidRPr="00ED2923">
        <w:rPr>
          <w:rFonts w:ascii="Times New Roman" w:hAnsi="Times New Roman" w:cs="Times New Roman"/>
          <w:sz w:val="24"/>
          <w:szCs w:val="24"/>
        </w:rPr>
        <w:lastRenderedPageBreak/>
        <w:t>would be needed in making the implementation successful are completely in place. The absence of these factors is a threat that the aspirations of the</w:t>
      </w:r>
      <w:r w:rsidR="00976425" w:rsidRPr="00ED2923">
        <w:rPr>
          <w:rFonts w:ascii="Times New Roman" w:hAnsi="Times New Roman" w:cs="Times New Roman"/>
          <w:sz w:val="24"/>
          <w:szCs w:val="24"/>
        </w:rPr>
        <w:t xml:space="preserve"> Act can be realised partially.</w:t>
      </w:r>
      <w:r w:rsidR="00861198" w:rsidRPr="00ED2923">
        <w:rPr>
          <w:rFonts w:ascii="Times New Roman" w:hAnsi="Times New Roman" w:cs="Times New Roman"/>
          <w:sz w:val="24"/>
          <w:szCs w:val="24"/>
        </w:rPr>
        <w:t xml:space="preserve"> </w:t>
      </w:r>
      <w:r w:rsidR="00BB1B08" w:rsidRPr="00BB1B08">
        <w:rPr>
          <w:rFonts w:ascii="Times New Roman" w:hAnsi="Times New Roman" w:cs="Times New Roman"/>
          <w:sz w:val="24"/>
          <w:szCs w:val="24"/>
        </w:rPr>
        <w:t>These implementation gaps therefore provide a crucial foundation for developing targeted recommendations that address both the structural and practical barriers identified.</w:t>
      </w:r>
    </w:p>
    <w:p w14:paraId="20A44B3F" w14:textId="77777777" w:rsidR="00BC1FB8" w:rsidRPr="00ED2923" w:rsidRDefault="00BC1FB8" w:rsidP="00BC1FB8">
      <w:pPr>
        <w:spacing w:line="480" w:lineRule="auto"/>
        <w:rPr>
          <w:rFonts w:ascii="Times New Roman" w:hAnsi="Times New Roman" w:cs="Times New Roman"/>
          <w:b/>
          <w:sz w:val="24"/>
          <w:szCs w:val="24"/>
        </w:rPr>
      </w:pPr>
      <w:r w:rsidRPr="00ED2923">
        <w:rPr>
          <w:rFonts w:ascii="Times New Roman" w:hAnsi="Times New Roman" w:cs="Times New Roman"/>
          <w:b/>
          <w:sz w:val="24"/>
          <w:szCs w:val="24"/>
        </w:rPr>
        <w:t xml:space="preserve">Recommendations </w:t>
      </w:r>
    </w:p>
    <w:p w14:paraId="59E76B3B" w14:textId="77777777" w:rsidR="00BC1FB8" w:rsidRPr="00ED2923" w:rsidRDefault="00BC1FB8" w:rsidP="00BC1FB8">
      <w:pPr>
        <w:spacing w:line="480" w:lineRule="auto"/>
        <w:rPr>
          <w:rFonts w:ascii="Times New Roman" w:hAnsi="Times New Roman" w:cs="Times New Roman"/>
          <w:sz w:val="24"/>
          <w:szCs w:val="24"/>
        </w:rPr>
      </w:pPr>
      <w:r w:rsidRPr="00ED2923">
        <w:rPr>
          <w:rFonts w:ascii="Times New Roman" w:hAnsi="Times New Roman" w:cs="Times New Roman"/>
          <w:sz w:val="24"/>
          <w:szCs w:val="24"/>
        </w:rPr>
        <w:t>According to the assessment, the ALN system can be fortified through a number of measures that can enhance its sustainability in the long-term perspective. On the one hand, it is necessary to continue to invest in the development of the workforce. This involves increasing the number of ALNCOs, more guaranteed time on their strategic duties and high-quality professional learning amongst the teachers. Qualified personnel play the key role in the provision of strong IDPs and the consistency in the settings (Farrell, 2017).</w:t>
      </w:r>
    </w:p>
    <w:p w14:paraId="1E098AE1" w14:textId="77777777" w:rsidR="00BC1FB8" w:rsidRPr="00ED2923" w:rsidRDefault="00BC1FB8" w:rsidP="00BC1FB8">
      <w:pPr>
        <w:spacing w:line="480" w:lineRule="auto"/>
        <w:rPr>
          <w:rFonts w:ascii="Times New Roman" w:hAnsi="Times New Roman" w:cs="Times New Roman"/>
          <w:sz w:val="24"/>
          <w:szCs w:val="24"/>
        </w:rPr>
      </w:pPr>
      <w:r w:rsidRPr="00ED2923">
        <w:rPr>
          <w:rFonts w:ascii="Times New Roman" w:hAnsi="Times New Roman" w:cs="Times New Roman"/>
          <w:sz w:val="24"/>
          <w:szCs w:val="24"/>
        </w:rPr>
        <w:t>Second, there is a need to enhance the working of multi-agencies. Defining more precise communication guidelines between education, health and social services may minimize the time loss and enhance the consistency of support planning. Electronic networks or standardised referral procedures can assist in facilitating cooperation and make sure that input to IDPs is prompt and valuable (Hick &amp; Thomas, 2008).</w:t>
      </w:r>
    </w:p>
    <w:p w14:paraId="6F21A869" w14:textId="77777777" w:rsidR="00BC1FB8" w:rsidRPr="00ED2923" w:rsidRDefault="00BC1FB8" w:rsidP="00BC1FB8">
      <w:pPr>
        <w:spacing w:line="480" w:lineRule="auto"/>
        <w:rPr>
          <w:rFonts w:ascii="Times New Roman" w:hAnsi="Times New Roman" w:cs="Times New Roman"/>
          <w:sz w:val="24"/>
          <w:szCs w:val="24"/>
        </w:rPr>
      </w:pPr>
      <w:r w:rsidRPr="00ED2923">
        <w:rPr>
          <w:rFonts w:ascii="Times New Roman" w:hAnsi="Times New Roman" w:cs="Times New Roman"/>
          <w:sz w:val="24"/>
          <w:szCs w:val="24"/>
        </w:rPr>
        <w:t>Thirdly, local government and the Welsh Government ought to solve the imbalance in resources that lead to unequal provision. Funding of under-resourced areas, enhancing access to specialist services and investing in early intervention programmes strategically would contribute to developing a less unequal system (</w:t>
      </w:r>
      <w:proofErr w:type="spellStart"/>
      <w:r w:rsidRPr="00ED2923">
        <w:rPr>
          <w:rFonts w:ascii="Times New Roman" w:hAnsi="Times New Roman" w:cs="Times New Roman"/>
          <w:sz w:val="24"/>
          <w:szCs w:val="24"/>
        </w:rPr>
        <w:t>Gorard</w:t>
      </w:r>
      <w:proofErr w:type="spellEnd"/>
      <w:r w:rsidRPr="00ED2923">
        <w:rPr>
          <w:rFonts w:ascii="Times New Roman" w:hAnsi="Times New Roman" w:cs="Times New Roman"/>
          <w:sz w:val="24"/>
          <w:szCs w:val="24"/>
        </w:rPr>
        <w:t>, See, &amp; Siddiqui, 2017).</w:t>
      </w:r>
    </w:p>
    <w:p w14:paraId="7946B9B4" w14:textId="77777777" w:rsidR="00BC1FB8" w:rsidRPr="00ED2923" w:rsidRDefault="00BC1FB8" w:rsidP="00BC1FB8">
      <w:pPr>
        <w:spacing w:line="480" w:lineRule="auto"/>
        <w:rPr>
          <w:rFonts w:ascii="Times New Roman" w:hAnsi="Times New Roman" w:cs="Times New Roman"/>
          <w:sz w:val="24"/>
          <w:szCs w:val="24"/>
        </w:rPr>
      </w:pPr>
      <w:r w:rsidRPr="00ED2923">
        <w:rPr>
          <w:rFonts w:ascii="Times New Roman" w:hAnsi="Times New Roman" w:cs="Times New Roman"/>
          <w:sz w:val="24"/>
          <w:szCs w:val="24"/>
        </w:rPr>
        <w:t xml:space="preserve">Lastly, it will be important to reinforce accountability and monitoring systems to ensure the confidence of the people. Reporting on the implementation progress regularly, including the information on regional consistency and learner outcomes, would enhance transparency and inform the decision-making process. The success of the ALN reforms is pegged on long term </w:t>
      </w:r>
      <w:r w:rsidRPr="00ED2923">
        <w:rPr>
          <w:rFonts w:ascii="Times New Roman" w:hAnsi="Times New Roman" w:cs="Times New Roman"/>
          <w:sz w:val="24"/>
          <w:szCs w:val="24"/>
        </w:rPr>
        <w:lastRenderedPageBreak/>
        <w:t xml:space="preserve">commitment, proper resource allocation and responsive leadership in all levels of education system (Armstrong, Armstrong, and </w:t>
      </w:r>
      <w:proofErr w:type="spellStart"/>
      <w:r w:rsidRPr="00ED2923">
        <w:rPr>
          <w:rFonts w:ascii="Times New Roman" w:hAnsi="Times New Roman" w:cs="Times New Roman"/>
          <w:sz w:val="24"/>
          <w:szCs w:val="24"/>
        </w:rPr>
        <w:t>Spandagou</w:t>
      </w:r>
      <w:proofErr w:type="spellEnd"/>
      <w:r w:rsidR="008E4A26" w:rsidRPr="00ED2923">
        <w:rPr>
          <w:rFonts w:ascii="Times New Roman" w:hAnsi="Times New Roman" w:cs="Times New Roman"/>
          <w:sz w:val="24"/>
          <w:szCs w:val="24"/>
        </w:rPr>
        <w:t>, 2011</w:t>
      </w:r>
      <w:r w:rsidRPr="00ED2923">
        <w:rPr>
          <w:rFonts w:ascii="Times New Roman" w:hAnsi="Times New Roman" w:cs="Times New Roman"/>
          <w:sz w:val="24"/>
          <w:szCs w:val="24"/>
        </w:rPr>
        <w:t xml:space="preserve">). </w:t>
      </w:r>
    </w:p>
    <w:p w14:paraId="294F2E72" w14:textId="77777777" w:rsidR="00491BFB" w:rsidRPr="00ED2923" w:rsidRDefault="00491BFB" w:rsidP="00BC1FB8">
      <w:pPr>
        <w:spacing w:line="480" w:lineRule="auto"/>
        <w:rPr>
          <w:rFonts w:ascii="Times New Roman" w:hAnsi="Times New Roman" w:cs="Times New Roman"/>
          <w:sz w:val="24"/>
          <w:szCs w:val="24"/>
        </w:rPr>
      </w:pPr>
      <w:r w:rsidRPr="00ED2923">
        <w:rPr>
          <w:rFonts w:ascii="Times New Roman" w:hAnsi="Times New Roman" w:cs="Times New Roman"/>
          <w:sz w:val="24"/>
          <w:szCs w:val="24"/>
        </w:rPr>
        <w:t>Policy → Resource Allocation → Institutional Capacity → Local Implementation → Community Response</w:t>
      </w:r>
    </w:p>
    <w:p w14:paraId="5DB58F39" w14:textId="77777777" w:rsidR="00491BFB" w:rsidRPr="00ED2923" w:rsidRDefault="00491BFB" w:rsidP="00491BFB">
      <w:pPr>
        <w:keepNext/>
        <w:spacing w:line="480" w:lineRule="auto"/>
        <w:rPr>
          <w:rFonts w:ascii="Times New Roman" w:hAnsi="Times New Roman" w:cs="Times New Roman"/>
          <w:sz w:val="24"/>
          <w:szCs w:val="24"/>
        </w:rPr>
      </w:pPr>
      <w:r w:rsidRPr="00ED2923">
        <w:rPr>
          <w:rFonts w:ascii="Times New Roman" w:hAnsi="Times New Roman" w:cs="Times New Roman"/>
          <w:noProof/>
          <w:sz w:val="24"/>
          <w:szCs w:val="24"/>
          <w:lang w:val="en-US"/>
        </w:rPr>
        <w:drawing>
          <wp:inline distT="0" distB="0" distL="0" distR="0" wp14:anchorId="597A2B9F" wp14:editId="3EE84EC6">
            <wp:extent cx="5486400" cy="3200400"/>
            <wp:effectExtent l="0" t="0" r="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7" r:lo="rId8" r:qs="rId9" r:cs="rId10"/>
              </a:graphicData>
            </a:graphic>
          </wp:inline>
        </w:drawing>
      </w:r>
    </w:p>
    <w:p w14:paraId="1944664F" w14:textId="77777777" w:rsidR="00491BFB" w:rsidRPr="00ED2923" w:rsidRDefault="00491BFB" w:rsidP="00491BFB">
      <w:pPr>
        <w:pStyle w:val="Caption"/>
        <w:rPr>
          <w:rFonts w:ascii="Times New Roman" w:hAnsi="Times New Roman" w:cs="Times New Roman"/>
          <w:sz w:val="24"/>
          <w:szCs w:val="24"/>
        </w:rPr>
      </w:pPr>
      <w:r w:rsidRPr="00ED2923">
        <w:rPr>
          <w:rFonts w:ascii="Times New Roman" w:hAnsi="Times New Roman" w:cs="Times New Roman"/>
          <w:sz w:val="24"/>
          <w:szCs w:val="24"/>
        </w:rPr>
        <w:t xml:space="preserve">Figure </w:t>
      </w:r>
      <w:r w:rsidRPr="00ED2923">
        <w:rPr>
          <w:rFonts w:ascii="Times New Roman" w:hAnsi="Times New Roman" w:cs="Times New Roman"/>
          <w:sz w:val="24"/>
          <w:szCs w:val="24"/>
        </w:rPr>
        <w:fldChar w:fldCharType="begin"/>
      </w:r>
      <w:r w:rsidRPr="00ED2923">
        <w:rPr>
          <w:rFonts w:ascii="Times New Roman" w:hAnsi="Times New Roman" w:cs="Times New Roman"/>
          <w:sz w:val="24"/>
          <w:szCs w:val="24"/>
        </w:rPr>
        <w:instrText xml:space="preserve"> SEQ Figure \* ARABIC </w:instrText>
      </w:r>
      <w:r w:rsidRPr="00ED2923">
        <w:rPr>
          <w:rFonts w:ascii="Times New Roman" w:hAnsi="Times New Roman" w:cs="Times New Roman"/>
          <w:sz w:val="24"/>
          <w:szCs w:val="24"/>
        </w:rPr>
        <w:fldChar w:fldCharType="separate"/>
      </w:r>
      <w:r w:rsidRPr="00ED2923">
        <w:rPr>
          <w:rFonts w:ascii="Times New Roman" w:hAnsi="Times New Roman" w:cs="Times New Roman"/>
          <w:noProof/>
          <w:sz w:val="24"/>
          <w:szCs w:val="24"/>
        </w:rPr>
        <w:t>1</w:t>
      </w:r>
      <w:r w:rsidRPr="00ED2923">
        <w:rPr>
          <w:rFonts w:ascii="Times New Roman" w:hAnsi="Times New Roman" w:cs="Times New Roman"/>
          <w:sz w:val="24"/>
          <w:szCs w:val="24"/>
        </w:rPr>
        <w:fldChar w:fldCharType="end"/>
      </w:r>
      <w:r w:rsidRPr="00ED2923">
        <w:rPr>
          <w:rFonts w:ascii="Times New Roman" w:hAnsi="Times New Roman" w:cs="Times New Roman"/>
          <w:sz w:val="24"/>
          <w:szCs w:val="24"/>
        </w:rPr>
        <w:t>. Policy Implementation Breakdown</w:t>
      </w:r>
    </w:p>
    <w:p w14:paraId="7015AE0D" w14:textId="77777777" w:rsidR="00BC1FB8" w:rsidRPr="00ED2923" w:rsidRDefault="00BC1FB8" w:rsidP="00BC1FB8">
      <w:pPr>
        <w:spacing w:line="480" w:lineRule="auto"/>
        <w:rPr>
          <w:rFonts w:ascii="Times New Roman" w:hAnsi="Times New Roman" w:cs="Times New Roman"/>
          <w:b/>
          <w:sz w:val="24"/>
          <w:szCs w:val="24"/>
        </w:rPr>
      </w:pPr>
      <w:r w:rsidRPr="00ED2923">
        <w:rPr>
          <w:rFonts w:ascii="Times New Roman" w:hAnsi="Times New Roman" w:cs="Times New Roman"/>
          <w:b/>
          <w:sz w:val="24"/>
          <w:szCs w:val="24"/>
        </w:rPr>
        <w:t xml:space="preserve">Conclusion </w:t>
      </w:r>
    </w:p>
    <w:p w14:paraId="0AC32243" w14:textId="77777777" w:rsidR="00BC1FB8" w:rsidRPr="00ED2923" w:rsidRDefault="00BC1FB8" w:rsidP="00BC1FB8">
      <w:pPr>
        <w:spacing w:line="480" w:lineRule="auto"/>
        <w:rPr>
          <w:rFonts w:ascii="Times New Roman" w:hAnsi="Times New Roman" w:cs="Times New Roman"/>
          <w:sz w:val="24"/>
          <w:szCs w:val="24"/>
        </w:rPr>
      </w:pPr>
      <w:r w:rsidRPr="00ED2923">
        <w:rPr>
          <w:rFonts w:ascii="Times New Roman" w:hAnsi="Times New Roman" w:cs="Times New Roman"/>
          <w:sz w:val="24"/>
          <w:szCs w:val="24"/>
        </w:rPr>
        <w:t>The reforms of the Additional Learning Needs in Wales can be seen as one of the most recent changes in educational policies. The ALN system will provide a more inclusive, transparent and learner-centred solution to the SEN system based on the concern of inequality, inconsistency and bureaucracy in the system, to guarantee early and equitable support of the learners. Despite the broad acceptance of the principles that the reforms are based on, the analysis reveals that the implementation has been rather uneven and influenced by the difference in local authority capability and the difference in the access to specialist services and other systemic pressures in the sphere of education.</w:t>
      </w:r>
    </w:p>
    <w:p w14:paraId="7B060947" w14:textId="77777777" w:rsidR="00BC1FB8" w:rsidRPr="00ED2923" w:rsidRDefault="00BC1FB8" w:rsidP="00BC1FB8">
      <w:pPr>
        <w:spacing w:line="480" w:lineRule="auto"/>
        <w:rPr>
          <w:rFonts w:ascii="Times New Roman" w:hAnsi="Times New Roman" w:cs="Times New Roman"/>
          <w:sz w:val="24"/>
          <w:szCs w:val="24"/>
        </w:rPr>
      </w:pPr>
      <w:r w:rsidRPr="00ED2923">
        <w:rPr>
          <w:rFonts w:ascii="Times New Roman" w:hAnsi="Times New Roman" w:cs="Times New Roman"/>
          <w:sz w:val="24"/>
          <w:szCs w:val="24"/>
        </w:rPr>
        <w:lastRenderedPageBreak/>
        <w:t xml:space="preserve">Although some positive aspects have been witnessed, including better person-centred planning and provision of a longer support to learners between the age of 0-25, the system is yet to realise its potentials. The current difficulties associated with the workforce capacity, multi-agency cooperation and provision of the resources pose the threat of a loss of trust in the people. Nevertheless, the ALN system can help mitigate the existing problems and establish a fairer environment </w:t>
      </w:r>
      <w:r w:rsidR="008E4A26" w:rsidRPr="00ED2923">
        <w:rPr>
          <w:rFonts w:ascii="Times New Roman" w:hAnsi="Times New Roman" w:cs="Times New Roman"/>
          <w:sz w:val="24"/>
          <w:szCs w:val="24"/>
        </w:rPr>
        <w:t xml:space="preserve">among learners throughout Wales. </w:t>
      </w:r>
    </w:p>
    <w:p w14:paraId="319ED7B0" w14:textId="77777777" w:rsidR="008E4A26" w:rsidRPr="00ED2923" w:rsidRDefault="008E4A26" w:rsidP="00BC1FB8">
      <w:pPr>
        <w:spacing w:line="480" w:lineRule="auto"/>
        <w:rPr>
          <w:rFonts w:ascii="Times New Roman" w:hAnsi="Times New Roman" w:cs="Times New Roman"/>
          <w:sz w:val="24"/>
          <w:szCs w:val="24"/>
        </w:rPr>
      </w:pPr>
    </w:p>
    <w:p w14:paraId="35C54E2F" w14:textId="77777777" w:rsidR="008E4A26" w:rsidRPr="00ED2923" w:rsidRDefault="008E4A26" w:rsidP="00BC1FB8">
      <w:pPr>
        <w:spacing w:line="480" w:lineRule="auto"/>
        <w:rPr>
          <w:rFonts w:ascii="Times New Roman" w:hAnsi="Times New Roman" w:cs="Times New Roman"/>
          <w:sz w:val="24"/>
          <w:szCs w:val="24"/>
        </w:rPr>
      </w:pPr>
    </w:p>
    <w:p w14:paraId="6D553358" w14:textId="77777777" w:rsidR="008E4A26" w:rsidRPr="00ED2923" w:rsidRDefault="008E4A26" w:rsidP="00BC1FB8">
      <w:pPr>
        <w:spacing w:line="480" w:lineRule="auto"/>
        <w:rPr>
          <w:rFonts w:ascii="Times New Roman" w:hAnsi="Times New Roman" w:cs="Times New Roman"/>
          <w:sz w:val="24"/>
          <w:szCs w:val="24"/>
        </w:rPr>
      </w:pPr>
    </w:p>
    <w:p w14:paraId="789FA1BD" w14:textId="77777777" w:rsidR="008E4A26" w:rsidRPr="00ED2923" w:rsidRDefault="008E4A26" w:rsidP="00BC1FB8">
      <w:pPr>
        <w:spacing w:line="480" w:lineRule="auto"/>
        <w:rPr>
          <w:rFonts w:ascii="Times New Roman" w:hAnsi="Times New Roman" w:cs="Times New Roman"/>
          <w:sz w:val="24"/>
          <w:szCs w:val="24"/>
        </w:rPr>
      </w:pPr>
    </w:p>
    <w:p w14:paraId="1F0CC9B8" w14:textId="77777777" w:rsidR="008E4A26" w:rsidRPr="00ED2923" w:rsidRDefault="008E4A26" w:rsidP="00BC1FB8">
      <w:pPr>
        <w:spacing w:line="480" w:lineRule="auto"/>
        <w:rPr>
          <w:rFonts w:ascii="Times New Roman" w:hAnsi="Times New Roman" w:cs="Times New Roman"/>
          <w:sz w:val="24"/>
          <w:szCs w:val="24"/>
        </w:rPr>
      </w:pPr>
    </w:p>
    <w:p w14:paraId="48A36DA3" w14:textId="77777777" w:rsidR="008E4A26" w:rsidRPr="00ED2923" w:rsidRDefault="008E4A26" w:rsidP="00BC1FB8">
      <w:pPr>
        <w:spacing w:line="480" w:lineRule="auto"/>
        <w:rPr>
          <w:rFonts w:ascii="Times New Roman" w:hAnsi="Times New Roman" w:cs="Times New Roman"/>
          <w:sz w:val="24"/>
          <w:szCs w:val="24"/>
        </w:rPr>
      </w:pPr>
    </w:p>
    <w:p w14:paraId="40B1DF3B" w14:textId="77777777" w:rsidR="008E4A26" w:rsidRPr="00ED2923" w:rsidRDefault="008E4A26" w:rsidP="00BC1FB8">
      <w:pPr>
        <w:spacing w:line="480" w:lineRule="auto"/>
        <w:rPr>
          <w:rFonts w:ascii="Times New Roman" w:hAnsi="Times New Roman" w:cs="Times New Roman"/>
          <w:sz w:val="24"/>
          <w:szCs w:val="24"/>
        </w:rPr>
      </w:pPr>
    </w:p>
    <w:p w14:paraId="02CDAC2F" w14:textId="77777777" w:rsidR="006B5417" w:rsidRPr="00ED2923" w:rsidRDefault="006B5417" w:rsidP="006B5417">
      <w:pPr>
        <w:spacing w:line="480" w:lineRule="auto"/>
        <w:rPr>
          <w:rFonts w:ascii="Times New Roman" w:hAnsi="Times New Roman" w:cs="Times New Roman"/>
          <w:b/>
          <w:bCs/>
          <w:sz w:val="24"/>
          <w:szCs w:val="24"/>
        </w:rPr>
      </w:pPr>
    </w:p>
    <w:p w14:paraId="27534112" w14:textId="77777777" w:rsidR="006B5417" w:rsidRPr="00ED2923" w:rsidRDefault="006B5417" w:rsidP="006B5417">
      <w:pPr>
        <w:spacing w:line="480" w:lineRule="auto"/>
        <w:rPr>
          <w:rFonts w:ascii="Times New Roman" w:hAnsi="Times New Roman" w:cs="Times New Roman"/>
          <w:b/>
          <w:bCs/>
          <w:sz w:val="24"/>
          <w:szCs w:val="24"/>
        </w:rPr>
      </w:pPr>
      <w:r w:rsidRPr="00ED2923">
        <w:rPr>
          <w:rFonts w:ascii="Times New Roman" w:hAnsi="Times New Roman" w:cs="Times New Roman"/>
          <w:b/>
          <w:bCs/>
          <w:sz w:val="24"/>
          <w:szCs w:val="24"/>
        </w:rPr>
        <w:t xml:space="preserve">References </w:t>
      </w:r>
    </w:p>
    <w:p w14:paraId="3FF419A5" w14:textId="77777777" w:rsidR="00BD79BC" w:rsidRPr="00ED2923" w:rsidRDefault="00BD79BC" w:rsidP="006B5417">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t>Additional Learning Needs and Education Tribunal (Wales) Act 2018. (2018) Cardiff: Welsh Government.</w:t>
      </w:r>
    </w:p>
    <w:p w14:paraId="1288B213" w14:textId="77777777" w:rsidR="00BD79BC" w:rsidRPr="00ED2923" w:rsidRDefault="00BD79BC" w:rsidP="006B5417">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t xml:space="preserve">Ainscow, M. (2020) </w:t>
      </w:r>
      <w:r w:rsidRPr="00ED2923">
        <w:rPr>
          <w:rFonts w:ascii="Times New Roman" w:hAnsi="Times New Roman" w:cs="Times New Roman"/>
          <w:bCs/>
          <w:sz w:val="24"/>
          <w:szCs w:val="24"/>
        </w:rPr>
        <w:t>Promoting inclusion and equity in education: lessons from international experiences.</w:t>
      </w:r>
      <w:r w:rsidRPr="00ED2923">
        <w:rPr>
          <w:rFonts w:ascii="Times New Roman" w:hAnsi="Times New Roman" w:cs="Times New Roman"/>
          <w:sz w:val="24"/>
          <w:szCs w:val="24"/>
        </w:rPr>
        <w:t xml:space="preserve"> </w:t>
      </w:r>
      <w:r w:rsidRPr="00ED2923">
        <w:rPr>
          <w:rFonts w:ascii="Times New Roman" w:hAnsi="Times New Roman" w:cs="Times New Roman"/>
          <w:i/>
          <w:iCs/>
          <w:sz w:val="24"/>
          <w:szCs w:val="24"/>
        </w:rPr>
        <w:t>Nordic Journal of Studies in Educational Policy</w:t>
      </w:r>
      <w:r w:rsidRPr="00ED2923">
        <w:rPr>
          <w:rFonts w:ascii="Times New Roman" w:hAnsi="Times New Roman" w:cs="Times New Roman"/>
          <w:sz w:val="24"/>
          <w:szCs w:val="24"/>
        </w:rPr>
        <w:t>, 6(1), pp. 7–16.</w:t>
      </w:r>
    </w:p>
    <w:p w14:paraId="2124424B" w14:textId="77777777" w:rsidR="00BD79BC" w:rsidRPr="00ED2923" w:rsidRDefault="00BD79BC" w:rsidP="00BD79BC">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t xml:space="preserve">Armstrong, D., Armstrong, A.C. &amp; </w:t>
      </w:r>
      <w:proofErr w:type="spellStart"/>
      <w:r w:rsidRPr="00ED2923">
        <w:rPr>
          <w:rFonts w:ascii="Times New Roman" w:hAnsi="Times New Roman" w:cs="Times New Roman"/>
          <w:sz w:val="24"/>
          <w:szCs w:val="24"/>
        </w:rPr>
        <w:t>Spandagou</w:t>
      </w:r>
      <w:proofErr w:type="spellEnd"/>
      <w:r w:rsidRPr="00ED2923">
        <w:rPr>
          <w:rFonts w:ascii="Times New Roman" w:hAnsi="Times New Roman" w:cs="Times New Roman"/>
          <w:sz w:val="24"/>
          <w:szCs w:val="24"/>
        </w:rPr>
        <w:t xml:space="preserve">, I., 2011. Inclusion: By choice or by chance? </w:t>
      </w:r>
      <w:r w:rsidRPr="00ED2923">
        <w:rPr>
          <w:rFonts w:ascii="Times New Roman" w:hAnsi="Times New Roman" w:cs="Times New Roman"/>
          <w:i/>
          <w:iCs/>
          <w:sz w:val="24"/>
          <w:szCs w:val="24"/>
        </w:rPr>
        <w:t>International Journal of Inclusive Education</w:t>
      </w:r>
      <w:r w:rsidRPr="00ED2923">
        <w:rPr>
          <w:rFonts w:ascii="Times New Roman" w:hAnsi="Times New Roman" w:cs="Times New Roman"/>
          <w:sz w:val="24"/>
          <w:szCs w:val="24"/>
        </w:rPr>
        <w:t>, 15(1), pp.29–39.</w:t>
      </w:r>
    </w:p>
    <w:p w14:paraId="0710045A" w14:textId="77777777" w:rsidR="00BD79BC" w:rsidRPr="00ED2923" w:rsidRDefault="00BD79BC" w:rsidP="00BD79BC">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lastRenderedPageBreak/>
        <w:t xml:space="preserve">Davies, S. &amp; Thomas, G., 2021. Reforming Additional Learning Needs policy in Wales: aspirations and realities. </w:t>
      </w:r>
      <w:r w:rsidRPr="00ED2923">
        <w:rPr>
          <w:rFonts w:ascii="Times New Roman" w:hAnsi="Times New Roman" w:cs="Times New Roman"/>
          <w:i/>
          <w:iCs/>
          <w:sz w:val="24"/>
          <w:szCs w:val="24"/>
        </w:rPr>
        <w:t>British Journal of Special Education</w:t>
      </w:r>
      <w:r w:rsidRPr="00ED2923">
        <w:rPr>
          <w:rFonts w:ascii="Times New Roman" w:hAnsi="Times New Roman" w:cs="Times New Roman"/>
          <w:sz w:val="24"/>
          <w:szCs w:val="24"/>
        </w:rPr>
        <w:t>, 48(3), pp.287–304.</w:t>
      </w:r>
    </w:p>
    <w:p w14:paraId="0C83A0A7" w14:textId="77777777" w:rsidR="00BD79BC" w:rsidRPr="00ED2923" w:rsidRDefault="00E7526A" w:rsidP="006B5417">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t>Estyn, 2018.</w:t>
      </w:r>
      <w:r w:rsidR="00BD79BC" w:rsidRPr="00ED2923">
        <w:rPr>
          <w:rFonts w:ascii="Times New Roman" w:hAnsi="Times New Roman" w:cs="Times New Roman"/>
          <w:sz w:val="24"/>
          <w:szCs w:val="24"/>
        </w:rPr>
        <w:t xml:space="preserve"> </w:t>
      </w:r>
      <w:r w:rsidR="00BD79BC" w:rsidRPr="00ED2923">
        <w:rPr>
          <w:rFonts w:ascii="Times New Roman" w:hAnsi="Times New Roman" w:cs="Times New Roman"/>
          <w:bCs/>
          <w:sz w:val="24"/>
          <w:szCs w:val="24"/>
        </w:rPr>
        <w:t>Meeting the needs of learners with additional learning needs in mainstream schools.</w:t>
      </w:r>
      <w:r w:rsidR="00BD79BC" w:rsidRPr="00ED2923">
        <w:rPr>
          <w:rFonts w:ascii="Times New Roman" w:hAnsi="Times New Roman" w:cs="Times New Roman"/>
          <w:sz w:val="24"/>
          <w:szCs w:val="24"/>
        </w:rPr>
        <w:t xml:space="preserve"> Cardiff: Estyn.</w:t>
      </w:r>
    </w:p>
    <w:p w14:paraId="30B6E3BC" w14:textId="77777777" w:rsidR="00BD79BC" w:rsidRPr="00ED2923" w:rsidRDefault="00E7526A" w:rsidP="006B5417">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t>Estyn, 2022.</w:t>
      </w:r>
      <w:r w:rsidR="00BD79BC" w:rsidRPr="00ED2923">
        <w:rPr>
          <w:rFonts w:ascii="Times New Roman" w:hAnsi="Times New Roman" w:cs="Times New Roman"/>
          <w:sz w:val="24"/>
          <w:szCs w:val="24"/>
        </w:rPr>
        <w:t xml:space="preserve"> </w:t>
      </w:r>
      <w:r w:rsidR="00BD79BC" w:rsidRPr="00ED2923">
        <w:rPr>
          <w:rFonts w:ascii="Times New Roman" w:hAnsi="Times New Roman" w:cs="Times New Roman"/>
          <w:bCs/>
          <w:sz w:val="24"/>
          <w:szCs w:val="24"/>
        </w:rPr>
        <w:t>Implementation of the Additional Learning Needs and Education Tribunal (Wales) Act 2018: A review.</w:t>
      </w:r>
      <w:r w:rsidR="00BD79BC" w:rsidRPr="00ED2923">
        <w:rPr>
          <w:rFonts w:ascii="Times New Roman" w:hAnsi="Times New Roman" w:cs="Times New Roman"/>
          <w:sz w:val="24"/>
          <w:szCs w:val="24"/>
        </w:rPr>
        <w:t xml:space="preserve"> Cardiff: Estyn.</w:t>
      </w:r>
    </w:p>
    <w:p w14:paraId="734B7E8F" w14:textId="77777777" w:rsidR="00BD79BC" w:rsidRPr="00ED2923" w:rsidRDefault="00BD79BC" w:rsidP="00BD79BC">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t xml:space="preserve">Evans, J. &amp; Vincent, K., 2019. Policy and practice in inclusive education in Wales: challenges for schools. </w:t>
      </w:r>
      <w:r w:rsidRPr="00ED2923">
        <w:rPr>
          <w:rFonts w:ascii="Times New Roman" w:hAnsi="Times New Roman" w:cs="Times New Roman"/>
          <w:i/>
          <w:iCs/>
          <w:sz w:val="24"/>
          <w:szCs w:val="24"/>
        </w:rPr>
        <w:t>Support for Learning</w:t>
      </w:r>
      <w:r w:rsidRPr="00ED2923">
        <w:rPr>
          <w:rFonts w:ascii="Times New Roman" w:hAnsi="Times New Roman" w:cs="Times New Roman"/>
          <w:sz w:val="24"/>
          <w:szCs w:val="24"/>
        </w:rPr>
        <w:t>, 34(4), pp.428–447.</w:t>
      </w:r>
    </w:p>
    <w:p w14:paraId="324316EE" w14:textId="77777777" w:rsidR="00BD79BC" w:rsidRPr="00ED2923" w:rsidRDefault="00BD79BC" w:rsidP="00BD79BC">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t xml:space="preserve">Farrell, P., 2017. The evolution of special education: evidence from the UK. </w:t>
      </w:r>
      <w:r w:rsidRPr="00ED2923">
        <w:rPr>
          <w:rFonts w:ascii="Times New Roman" w:hAnsi="Times New Roman" w:cs="Times New Roman"/>
          <w:i/>
          <w:iCs/>
          <w:sz w:val="24"/>
          <w:szCs w:val="24"/>
        </w:rPr>
        <w:t>British Journal of Special Education</w:t>
      </w:r>
      <w:r w:rsidRPr="00ED2923">
        <w:rPr>
          <w:rFonts w:ascii="Times New Roman" w:hAnsi="Times New Roman" w:cs="Times New Roman"/>
          <w:sz w:val="24"/>
          <w:szCs w:val="24"/>
        </w:rPr>
        <w:t>, 44(2), pp.159–175.</w:t>
      </w:r>
    </w:p>
    <w:p w14:paraId="52D3805A" w14:textId="77777777" w:rsidR="00BD79BC" w:rsidRPr="00ED2923" w:rsidRDefault="00BD79BC" w:rsidP="00BD79BC">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t xml:space="preserve">Florian, L., 2014. </w:t>
      </w:r>
      <w:r w:rsidRPr="00ED2923">
        <w:rPr>
          <w:rFonts w:ascii="Times New Roman" w:hAnsi="Times New Roman" w:cs="Times New Roman"/>
          <w:i/>
          <w:iCs/>
          <w:sz w:val="24"/>
          <w:szCs w:val="24"/>
        </w:rPr>
        <w:t>What counts as evidence of inclusive education?</w:t>
      </w:r>
      <w:r w:rsidRPr="00ED2923">
        <w:rPr>
          <w:rFonts w:ascii="Times New Roman" w:hAnsi="Times New Roman" w:cs="Times New Roman"/>
          <w:sz w:val="24"/>
          <w:szCs w:val="24"/>
        </w:rPr>
        <w:t xml:space="preserve"> European Journal of Special Needs Education, 29(3), pp.286–294.</w:t>
      </w:r>
    </w:p>
    <w:p w14:paraId="16EFD903" w14:textId="77777777" w:rsidR="00BD79BC" w:rsidRPr="00ED2923" w:rsidRDefault="00BD79BC" w:rsidP="00BD79BC">
      <w:pPr>
        <w:spacing w:line="480" w:lineRule="auto"/>
        <w:ind w:left="720" w:hanging="720"/>
        <w:rPr>
          <w:rFonts w:ascii="Times New Roman" w:hAnsi="Times New Roman" w:cs="Times New Roman"/>
          <w:sz w:val="24"/>
          <w:szCs w:val="24"/>
        </w:rPr>
      </w:pPr>
      <w:proofErr w:type="spellStart"/>
      <w:r w:rsidRPr="00ED2923">
        <w:rPr>
          <w:rFonts w:ascii="Times New Roman" w:hAnsi="Times New Roman" w:cs="Times New Roman"/>
          <w:sz w:val="24"/>
          <w:szCs w:val="24"/>
        </w:rPr>
        <w:t>Gorard</w:t>
      </w:r>
      <w:proofErr w:type="spellEnd"/>
      <w:r w:rsidRPr="00ED2923">
        <w:rPr>
          <w:rFonts w:ascii="Times New Roman" w:hAnsi="Times New Roman" w:cs="Times New Roman"/>
          <w:sz w:val="24"/>
          <w:szCs w:val="24"/>
        </w:rPr>
        <w:t xml:space="preserve">, S., See, B.H. &amp; Siddiqui, N., 2017. </w:t>
      </w:r>
      <w:r w:rsidRPr="00ED2923">
        <w:rPr>
          <w:rFonts w:ascii="Times New Roman" w:hAnsi="Times New Roman" w:cs="Times New Roman"/>
          <w:i/>
          <w:iCs/>
          <w:sz w:val="24"/>
          <w:szCs w:val="24"/>
        </w:rPr>
        <w:t>The trials of evidence-based education: The promises, opportunities and problems of trials in education</w:t>
      </w:r>
      <w:r w:rsidRPr="00ED2923">
        <w:rPr>
          <w:rFonts w:ascii="Times New Roman" w:hAnsi="Times New Roman" w:cs="Times New Roman"/>
          <w:sz w:val="24"/>
          <w:szCs w:val="24"/>
        </w:rPr>
        <w:t>. London: Routledge.</w:t>
      </w:r>
    </w:p>
    <w:p w14:paraId="0A64F32D" w14:textId="77777777" w:rsidR="00BD79BC" w:rsidRPr="00ED2923" w:rsidRDefault="00BD79BC" w:rsidP="00BD79BC">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t xml:space="preserve">Hick, P. &amp; Thomas, G., 2008. Inclusion and Diversity in Education: Theory, Policy and Practice. </w:t>
      </w:r>
      <w:r w:rsidRPr="00ED2923">
        <w:rPr>
          <w:rFonts w:ascii="Times New Roman" w:hAnsi="Times New Roman" w:cs="Times New Roman"/>
          <w:i/>
          <w:iCs/>
          <w:sz w:val="24"/>
          <w:szCs w:val="24"/>
        </w:rPr>
        <w:t>European Journal of Special Needs Education</w:t>
      </w:r>
      <w:r w:rsidRPr="00ED2923">
        <w:rPr>
          <w:rFonts w:ascii="Times New Roman" w:hAnsi="Times New Roman" w:cs="Times New Roman"/>
          <w:sz w:val="24"/>
          <w:szCs w:val="24"/>
        </w:rPr>
        <w:t>, 23(2), pp.209–213.</w:t>
      </w:r>
    </w:p>
    <w:p w14:paraId="5DD1C9D5" w14:textId="77777777" w:rsidR="00BD79BC" w:rsidRPr="00ED2923" w:rsidRDefault="00BD79BC" w:rsidP="00BD79BC">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t xml:space="preserve">Hodkinson, A., 2022. </w:t>
      </w:r>
      <w:r w:rsidRPr="00ED2923">
        <w:rPr>
          <w:rFonts w:ascii="Times New Roman" w:hAnsi="Times New Roman" w:cs="Times New Roman"/>
          <w:i/>
          <w:iCs/>
          <w:sz w:val="24"/>
          <w:szCs w:val="24"/>
        </w:rPr>
        <w:t>Key Issues in Special Educational Needs, Disability and Inclusion</w:t>
      </w:r>
      <w:r w:rsidRPr="00ED2923">
        <w:rPr>
          <w:rFonts w:ascii="Times New Roman" w:hAnsi="Times New Roman" w:cs="Times New Roman"/>
          <w:sz w:val="24"/>
          <w:szCs w:val="24"/>
        </w:rPr>
        <w:t>. 3rd ed. London: Sage.</w:t>
      </w:r>
    </w:p>
    <w:p w14:paraId="5438CAF7" w14:textId="77777777" w:rsidR="00BD79BC" w:rsidRPr="00ED2923" w:rsidRDefault="00BD79BC" w:rsidP="00BD79BC">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t xml:space="preserve">Norwich, B., 2014. </w:t>
      </w:r>
      <w:r w:rsidRPr="00ED2923">
        <w:rPr>
          <w:rFonts w:ascii="Times New Roman" w:hAnsi="Times New Roman" w:cs="Times New Roman"/>
          <w:i/>
          <w:iCs/>
          <w:sz w:val="24"/>
          <w:szCs w:val="24"/>
        </w:rPr>
        <w:t>Recognising Value Differences: The Challenge of Inclusive Education</w:t>
      </w:r>
      <w:r w:rsidRPr="00ED2923">
        <w:rPr>
          <w:rFonts w:ascii="Times New Roman" w:hAnsi="Times New Roman" w:cs="Times New Roman"/>
          <w:sz w:val="24"/>
          <w:szCs w:val="24"/>
        </w:rPr>
        <w:t xml:space="preserve">. </w:t>
      </w:r>
      <w:r w:rsidRPr="00ED2923">
        <w:rPr>
          <w:rFonts w:ascii="Times New Roman" w:hAnsi="Times New Roman" w:cs="Times New Roman"/>
          <w:i/>
          <w:iCs/>
          <w:sz w:val="24"/>
          <w:szCs w:val="24"/>
        </w:rPr>
        <w:t>Oxford Review of Education</w:t>
      </w:r>
      <w:r w:rsidRPr="00ED2923">
        <w:rPr>
          <w:rFonts w:ascii="Times New Roman" w:hAnsi="Times New Roman" w:cs="Times New Roman"/>
          <w:sz w:val="24"/>
          <w:szCs w:val="24"/>
        </w:rPr>
        <w:t>, 40(4), pp.521–540.</w:t>
      </w:r>
    </w:p>
    <w:p w14:paraId="21CF56B9" w14:textId="77777777" w:rsidR="00BD79BC" w:rsidRPr="00ED2923" w:rsidRDefault="00E7526A" w:rsidP="006B5417">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t>OECD, 2021.</w:t>
      </w:r>
      <w:r w:rsidR="00BD79BC" w:rsidRPr="00ED2923">
        <w:rPr>
          <w:rFonts w:ascii="Times New Roman" w:hAnsi="Times New Roman" w:cs="Times New Roman"/>
          <w:sz w:val="24"/>
          <w:szCs w:val="24"/>
        </w:rPr>
        <w:t xml:space="preserve"> </w:t>
      </w:r>
      <w:r w:rsidR="00BD79BC" w:rsidRPr="00ED2923">
        <w:rPr>
          <w:rFonts w:ascii="Times New Roman" w:hAnsi="Times New Roman" w:cs="Times New Roman"/>
          <w:bCs/>
          <w:sz w:val="24"/>
          <w:szCs w:val="24"/>
        </w:rPr>
        <w:t>Education Policy Outlook: Wales.</w:t>
      </w:r>
      <w:r w:rsidR="00BD79BC" w:rsidRPr="00ED2923">
        <w:rPr>
          <w:rFonts w:ascii="Times New Roman" w:hAnsi="Times New Roman" w:cs="Times New Roman"/>
          <w:sz w:val="24"/>
          <w:szCs w:val="24"/>
        </w:rPr>
        <w:t xml:space="preserve"> Paris: OECD Publishing.</w:t>
      </w:r>
    </w:p>
    <w:p w14:paraId="2A3ECDC0" w14:textId="77777777" w:rsidR="00BD79BC" w:rsidRPr="00ED2923" w:rsidRDefault="00BD79BC" w:rsidP="00BD79BC">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lastRenderedPageBreak/>
        <w:t xml:space="preserve">Slee, R., 2018. </w:t>
      </w:r>
      <w:r w:rsidRPr="00ED2923">
        <w:rPr>
          <w:rFonts w:ascii="Times New Roman" w:hAnsi="Times New Roman" w:cs="Times New Roman"/>
          <w:i/>
          <w:iCs/>
          <w:sz w:val="24"/>
          <w:szCs w:val="24"/>
        </w:rPr>
        <w:t>Defining the Scope of Inclusive Education: The UN Convention on the Rights of Persons with Disabilities</w:t>
      </w:r>
      <w:r w:rsidRPr="00ED2923">
        <w:rPr>
          <w:rFonts w:ascii="Times New Roman" w:hAnsi="Times New Roman" w:cs="Times New Roman"/>
          <w:sz w:val="24"/>
          <w:szCs w:val="24"/>
        </w:rPr>
        <w:t xml:space="preserve">. </w:t>
      </w:r>
      <w:r w:rsidRPr="00ED2923">
        <w:rPr>
          <w:rFonts w:ascii="Times New Roman" w:hAnsi="Times New Roman" w:cs="Times New Roman"/>
          <w:i/>
          <w:iCs/>
          <w:sz w:val="24"/>
          <w:szCs w:val="24"/>
        </w:rPr>
        <w:t>International Journal of Inclusive Education</w:t>
      </w:r>
      <w:r w:rsidRPr="00ED2923">
        <w:rPr>
          <w:rFonts w:ascii="Times New Roman" w:hAnsi="Times New Roman" w:cs="Times New Roman"/>
          <w:sz w:val="24"/>
          <w:szCs w:val="24"/>
        </w:rPr>
        <w:t>, 22(1), pp.1–15.</w:t>
      </w:r>
    </w:p>
    <w:p w14:paraId="466810B9" w14:textId="77777777" w:rsidR="00BD79BC" w:rsidRPr="00ED2923" w:rsidRDefault="00BD79BC" w:rsidP="00BD79BC">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t xml:space="preserve">Terzi, L., 2014. </w:t>
      </w:r>
      <w:r w:rsidRPr="00ED2923">
        <w:rPr>
          <w:rFonts w:ascii="Times New Roman" w:hAnsi="Times New Roman" w:cs="Times New Roman"/>
          <w:i/>
          <w:iCs/>
          <w:sz w:val="24"/>
          <w:szCs w:val="24"/>
        </w:rPr>
        <w:t>Reframing inclusive education: Educational equality as capability equality</w:t>
      </w:r>
      <w:r w:rsidRPr="00ED2923">
        <w:rPr>
          <w:rFonts w:ascii="Times New Roman" w:hAnsi="Times New Roman" w:cs="Times New Roman"/>
          <w:sz w:val="24"/>
          <w:szCs w:val="24"/>
        </w:rPr>
        <w:t xml:space="preserve">. </w:t>
      </w:r>
      <w:r w:rsidRPr="00ED2923">
        <w:rPr>
          <w:rFonts w:ascii="Times New Roman" w:hAnsi="Times New Roman" w:cs="Times New Roman"/>
          <w:i/>
          <w:iCs/>
          <w:sz w:val="24"/>
          <w:szCs w:val="24"/>
        </w:rPr>
        <w:t>Cambridge Journal of Education</w:t>
      </w:r>
      <w:r w:rsidRPr="00ED2923">
        <w:rPr>
          <w:rFonts w:ascii="Times New Roman" w:hAnsi="Times New Roman" w:cs="Times New Roman"/>
          <w:sz w:val="24"/>
          <w:szCs w:val="24"/>
        </w:rPr>
        <w:t>, 44(4), pp.479–493.</w:t>
      </w:r>
    </w:p>
    <w:p w14:paraId="2156581C" w14:textId="77777777" w:rsidR="00BD79BC" w:rsidRPr="00ED2923" w:rsidRDefault="00E7526A" w:rsidP="006B5417">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t xml:space="preserve">Welsh Government, 2019. </w:t>
      </w:r>
      <w:r w:rsidR="00BD79BC" w:rsidRPr="00ED2923">
        <w:rPr>
          <w:rFonts w:ascii="Times New Roman" w:hAnsi="Times New Roman" w:cs="Times New Roman"/>
          <w:bCs/>
          <w:sz w:val="24"/>
          <w:szCs w:val="24"/>
        </w:rPr>
        <w:t>Additional Learning Needs Code for Wales 2021.</w:t>
      </w:r>
      <w:r w:rsidR="00BD79BC" w:rsidRPr="00ED2923">
        <w:rPr>
          <w:rFonts w:ascii="Times New Roman" w:hAnsi="Times New Roman" w:cs="Times New Roman"/>
          <w:sz w:val="24"/>
          <w:szCs w:val="24"/>
        </w:rPr>
        <w:t xml:space="preserve"> Cardiff: Welsh Government.</w:t>
      </w:r>
    </w:p>
    <w:p w14:paraId="087EE7EB" w14:textId="77777777" w:rsidR="00BD79BC" w:rsidRPr="00ED2923" w:rsidRDefault="00E7526A" w:rsidP="006B5417">
      <w:pPr>
        <w:spacing w:line="480" w:lineRule="auto"/>
        <w:ind w:left="720" w:hanging="720"/>
        <w:rPr>
          <w:rFonts w:ascii="Times New Roman" w:hAnsi="Times New Roman" w:cs="Times New Roman"/>
          <w:sz w:val="24"/>
          <w:szCs w:val="24"/>
        </w:rPr>
      </w:pPr>
      <w:r w:rsidRPr="00ED2923">
        <w:rPr>
          <w:rFonts w:ascii="Times New Roman" w:hAnsi="Times New Roman" w:cs="Times New Roman"/>
          <w:sz w:val="24"/>
          <w:szCs w:val="24"/>
        </w:rPr>
        <w:t>Welsh Government, 2021.</w:t>
      </w:r>
      <w:r w:rsidR="00BD79BC" w:rsidRPr="00ED2923">
        <w:rPr>
          <w:rFonts w:ascii="Times New Roman" w:hAnsi="Times New Roman" w:cs="Times New Roman"/>
          <w:sz w:val="24"/>
          <w:szCs w:val="24"/>
        </w:rPr>
        <w:t xml:space="preserve"> </w:t>
      </w:r>
      <w:r w:rsidR="00BD79BC" w:rsidRPr="00ED2923">
        <w:rPr>
          <w:rFonts w:ascii="Times New Roman" w:hAnsi="Times New Roman" w:cs="Times New Roman"/>
          <w:bCs/>
          <w:sz w:val="24"/>
          <w:szCs w:val="24"/>
        </w:rPr>
        <w:t>ALN Transformation Programme: Progress Update.</w:t>
      </w:r>
      <w:r w:rsidR="00BD79BC" w:rsidRPr="00ED2923">
        <w:rPr>
          <w:rFonts w:ascii="Times New Roman" w:hAnsi="Times New Roman" w:cs="Times New Roman"/>
          <w:sz w:val="24"/>
          <w:szCs w:val="24"/>
        </w:rPr>
        <w:t xml:space="preserve"> Cardiff: Welsh Government.</w:t>
      </w:r>
    </w:p>
    <w:p w14:paraId="0793C943" w14:textId="77777777" w:rsidR="00BD79BC" w:rsidRPr="00ED2923" w:rsidRDefault="00BD79BC" w:rsidP="006B5417">
      <w:pPr>
        <w:spacing w:line="480" w:lineRule="auto"/>
        <w:ind w:left="720" w:hanging="720"/>
        <w:rPr>
          <w:rFonts w:ascii="Times New Roman" w:hAnsi="Times New Roman" w:cs="Times New Roman"/>
          <w:sz w:val="24"/>
          <w:szCs w:val="24"/>
        </w:rPr>
      </w:pPr>
    </w:p>
    <w:p w14:paraId="4B9CCD3B" w14:textId="77777777" w:rsidR="006B5417" w:rsidRPr="00ED2923" w:rsidRDefault="006B5417" w:rsidP="006B5417">
      <w:pPr>
        <w:spacing w:line="480" w:lineRule="auto"/>
        <w:rPr>
          <w:rFonts w:ascii="Times New Roman" w:hAnsi="Times New Roman" w:cs="Times New Roman"/>
          <w:sz w:val="24"/>
          <w:szCs w:val="24"/>
        </w:rPr>
      </w:pPr>
    </w:p>
    <w:sectPr w:rsidR="006B5417" w:rsidRPr="00ED2923">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025DF4" w14:textId="77777777" w:rsidR="00DF0C2E" w:rsidRDefault="00DF0C2E" w:rsidP="00A0238F">
      <w:pPr>
        <w:spacing w:after="0" w:line="240" w:lineRule="auto"/>
      </w:pPr>
      <w:r>
        <w:separator/>
      </w:r>
    </w:p>
  </w:endnote>
  <w:endnote w:type="continuationSeparator" w:id="0">
    <w:p w14:paraId="2375C856" w14:textId="77777777" w:rsidR="00DF0C2E" w:rsidRDefault="00DF0C2E" w:rsidP="00A023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50617917"/>
      <w:docPartObj>
        <w:docPartGallery w:val="Page Numbers (Bottom of Page)"/>
        <w:docPartUnique/>
      </w:docPartObj>
    </w:sdtPr>
    <w:sdtEndPr>
      <w:rPr>
        <w:noProof/>
      </w:rPr>
    </w:sdtEndPr>
    <w:sdtContent>
      <w:p w14:paraId="2166276E" w14:textId="77777777" w:rsidR="00A0238F" w:rsidRDefault="00A0238F">
        <w:pPr>
          <w:pStyle w:val="Footer"/>
          <w:jc w:val="right"/>
        </w:pPr>
        <w:r>
          <w:fldChar w:fldCharType="begin"/>
        </w:r>
        <w:r>
          <w:instrText xml:space="preserve"> PAGE   \* MERGEFORMAT </w:instrText>
        </w:r>
        <w:r>
          <w:fldChar w:fldCharType="separate"/>
        </w:r>
        <w:r w:rsidR="00BB1B08">
          <w:rPr>
            <w:noProof/>
          </w:rPr>
          <w:t>17</w:t>
        </w:r>
        <w:r>
          <w:rPr>
            <w:noProof/>
          </w:rPr>
          <w:fldChar w:fldCharType="end"/>
        </w:r>
      </w:p>
    </w:sdtContent>
  </w:sdt>
  <w:p w14:paraId="67037017" w14:textId="77777777" w:rsidR="00A0238F" w:rsidRDefault="00A023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C40856" w14:textId="77777777" w:rsidR="00DF0C2E" w:rsidRDefault="00DF0C2E" w:rsidP="00A0238F">
      <w:pPr>
        <w:spacing w:after="0" w:line="240" w:lineRule="auto"/>
      </w:pPr>
      <w:r>
        <w:separator/>
      </w:r>
    </w:p>
  </w:footnote>
  <w:footnote w:type="continuationSeparator" w:id="0">
    <w:p w14:paraId="4E8B0044" w14:textId="77777777" w:rsidR="00DF0C2E" w:rsidRDefault="00DF0C2E" w:rsidP="00A023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B5417"/>
    <w:rsid w:val="00084957"/>
    <w:rsid w:val="000A0168"/>
    <w:rsid w:val="00164F92"/>
    <w:rsid w:val="00177D66"/>
    <w:rsid w:val="00186FBD"/>
    <w:rsid w:val="002022BB"/>
    <w:rsid w:val="002A1722"/>
    <w:rsid w:val="0034092D"/>
    <w:rsid w:val="003B6BFC"/>
    <w:rsid w:val="00452E4C"/>
    <w:rsid w:val="00471129"/>
    <w:rsid w:val="00491BFB"/>
    <w:rsid w:val="005E5952"/>
    <w:rsid w:val="005F72B4"/>
    <w:rsid w:val="006B5417"/>
    <w:rsid w:val="006F06F3"/>
    <w:rsid w:val="008247B4"/>
    <w:rsid w:val="00833985"/>
    <w:rsid w:val="00851F00"/>
    <w:rsid w:val="00861198"/>
    <w:rsid w:val="008E4A26"/>
    <w:rsid w:val="00976425"/>
    <w:rsid w:val="009B6A60"/>
    <w:rsid w:val="00A0238F"/>
    <w:rsid w:val="00A66A3D"/>
    <w:rsid w:val="00AF5E5D"/>
    <w:rsid w:val="00BB1B08"/>
    <w:rsid w:val="00BC1FB8"/>
    <w:rsid w:val="00BD79BC"/>
    <w:rsid w:val="00BE0C05"/>
    <w:rsid w:val="00BF79DA"/>
    <w:rsid w:val="00C31741"/>
    <w:rsid w:val="00CB0F7B"/>
    <w:rsid w:val="00CD1809"/>
    <w:rsid w:val="00D67C9B"/>
    <w:rsid w:val="00D931D0"/>
    <w:rsid w:val="00DD37A4"/>
    <w:rsid w:val="00DF0C2E"/>
    <w:rsid w:val="00E7526A"/>
    <w:rsid w:val="00ED2923"/>
    <w:rsid w:val="00F30134"/>
    <w:rsid w:val="00F70E07"/>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E83F06"/>
  <w15:chartTrackingRefBased/>
  <w15:docId w15:val="{4917FC26-0F88-421A-BF40-98D928B972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023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238F"/>
    <w:rPr>
      <w:lang w:val="en-GB"/>
    </w:rPr>
  </w:style>
  <w:style w:type="paragraph" w:styleId="Footer">
    <w:name w:val="footer"/>
    <w:basedOn w:val="Normal"/>
    <w:link w:val="FooterChar"/>
    <w:uiPriority w:val="99"/>
    <w:unhideWhenUsed/>
    <w:rsid w:val="00A023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238F"/>
    <w:rPr>
      <w:lang w:val="en-GB"/>
    </w:rPr>
  </w:style>
  <w:style w:type="table" w:styleId="TableGridLight">
    <w:name w:val="Grid Table Light"/>
    <w:basedOn w:val="TableNormal"/>
    <w:uiPriority w:val="40"/>
    <w:rsid w:val="00DD37A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Caption">
    <w:name w:val="caption"/>
    <w:basedOn w:val="Normal"/>
    <w:next w:val="Normal"/>
    <w:uiPriority w:val="35"/>
    <w:unhideWhenUsed/>
    <w:qFormat/>
    <w:rsid w:val="00491BFB"/>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2651667">
      <w:bodyDiv w:val="1"/>
      <w:marLeft w:val="0"/>
      <w:marRight w:val="0"/>
      <w:marTop w:val="0"/>
      <w:marBottom w:val="0"/>
      <w:divBdr>
        <w:top w:val="none" w:sz="0" w:space="0" w:color="auto"/>
        <w:left w:val="none" w:sz="0" w:space="0" w:color="auto"/>
        <w:bottom w:val="none" w:sz="0" w:space="0" w:color="auto"/>
        <w:right w:val="none" w:sz="0" w:space="0" w:color="auto"/>
      </w:divBdr>
    </w:div>
    <w:div w:id="325524138">
      <w:bodyDiv w:val="1"/>
      <w:marLeft w:val="0"/>
      <w:marRight w:val="0"/>
      <w:marTop w:val="0"/>
      <w:marBottom w:val="0"/>
      <w:divBdr>
        <w:top w:val="none" w:sz="0" w:space="0" w:color="auto"/>
        <w:left w:val="none" w:sz="0" w:space="0" w:color="auto"/>
        <w:bottom w:val="none" w:sz="0" w:space="0" w:color="auto"/>
        <w:right w:val="none" w:sz="0" w:space="0" w:color="auto"/>
      </w:divBdr>
    </w:div>
    <w:div w:id="755133775">
      <w:bodyDiv w:val="1"/>
      <w:marLeft w:val="0"/>
      <w:marRight w:val="0"/>
      <w:marTop w:val="0"/>
      <w:marBottom w:val="0"/>
      <w:divBdr>
        <w:top w:val="none" w:sz="0" w:space="0" w:color="auto"/>
        <w:left w:val="none" w:sz="0" w:space="0" w:color="auto"/>
        <w:bottom w:val="none" w:sz="0" w:space="0" w:color="auto"/>
        <w:right w:val="none" w:sz="0" w:space="0" w:color="auto"/>
      </w:divBdr>
    </w:div>
    <w:div w:id="932670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Layout" Target="diagrams/layout1.xm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diagramData" Target="diagrams/data1.xml"/><Relationship Id="rId12"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microsoft.com/office/2007/relationships/diagramDrawing" Target="diagrams/drawing1.xml"/><Relationship Id="rId5" Type="http://schemas.openxmlformats.org/officeDocument/2006/relationships/endnotes" Target="endnotes.xml"/><Relationship Id="rId10" Type="http://schemas.openxmlformats.org/officeDocument/2006/relationships/diagramColors" Target="diagrams/colors1.xml"/><Relationship Id="rId4" Type="http://schemas.openxmlformats.org/officeDocument/2006/relationships/footnotes" Target="footnotes.xml"/><Relationship Id="rId9" Type="http://schemas.openxmlformats.org/officeDocument/2006/relationships/diagramQuickStyle" Target="diagrams/quickStyle1.xml"/><Relationship Id="rId14" Type="http://schemas.openxmlformats.org/officeDocument/2006/relationships/theme" Target="theme/theme1.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70C220F-A13F-44D4-BF55-803A36E803CC}" type="doc">
      <dgm:prSet loTypeId="urn:microsoft.com/office/officeart/2005/8/layout/StepDownProcess" loCatId="process" qsTypeId="urn:microsoft.com/office/officeart/2005/8/quickstyle/simple1" qsCatId="simple" csTypeId="urn:microsoft.com/office/officeart/2005/8/colors/accent1_2" csCatId="accent1" phldr="1"/>
      <dgm:spPr/>
      <dgm:t>
        <a:bodyPr/>
        <a:lstStyle/>
        <a:p>
          <a:endParaRPr lang="en-US"/>
        </a:p>
      </dgm:t>
    </dgm:pt>
    <dgm:pt modelId="{21964D8B-DEE7-4019-B498-377E70E06A55}">
      <dgm:prSet phldrT="[Text]"/>
      <dgm:spPr/>
      <dgm:t>
        <a:bodyPr/>
        <a:lstStyle/>
        <a:p>
          <a:r>
            <a:rPr lang="en-US"/>
            <a:t>Policy</a:t>
          </a:r>
        </a:p>
      </dgm:t>
    </dgm:pt>
    <dgm:pt modelId="{819333C7-BAFC-49D9-ABEC-3FBAA81D9E01}" type="parTrans" cxnId="{39AEBC3C-FB20-4E0D-93E3-374B86024040}">
      <dgm:prSet/>
      <dgm:spPr/>
      <dgm:t>
        <a:bodyPr/>
        <a:lstStyle/>
        <a:p>
          <a:endParaRPr lang="en-US"/>
        </a:p>
      </dgm:t>
    </dgm:pt>
    <dgm:pt modelId="{52F34AD4-A621-49F2-9CA2-85F37B9E7106}" type="sibTrans" cxnId="{39AEBC3C-FB20-4E0D-93E3-374B86024040}">
      <dgm:prSet/>
      <dgm:spPr/>
      <dgm:t>
        <a:bodyPr/>
        <a:lstStyle/>
        <a:p>
          <a:endParaRPr lang="en-US"/>
        </a:p>
      </dgm:t>
    </dgm:pt>
    <dgm:pt modelId="{31153BE6-1707-4A03-BC42-CF84E93D070A}">
      <dgm:prSet phldrT="[Text]" phldr="1"/>
      <dgm:spPr/>
      <dgm:t>
        <a:bodyPr/>
        <a:lstStyle/>
        <a:p>
          <a:endParaRPr lang="en-US"/>
        </a:p>
      </dgm:t>
    </dgm:pt>
    <dgm:pt modelId="{7917C853-45A2-498F-8871-2C7C5E1B1D7E}" type="parTrans" cxnId="{9173B271-CBB2-4D3F-9988-52F2755F619B}">
      <dgm:prSet/>
      <dgm:spPr/>
      <dgm:t>
        <a:bodyPr/>
        <a:lstStyle/>
        <a:p>
          <a:endParaRPr lang="en-US"/>
        </a:p>
      </dgm:t>
    </dgm:pt>
    <dgm:pt modelId="{D70F014A-BC00-4AAA-BF9B-579FC5DFA53A}" type="sibTrans" cxnId="{9173B271-CBB2-4D3F-9988-52F2755F619B}">
      <dgm:prSet/>
      <dgm:spPr/>
      <dgm:t>
        <a:bodyPr/>
        <a:lstStyle/>
        <a:p>
          <a:endParaRPr lang="en-US"/>
        </a:p>
      </dgm:t>
    </dgm:pt>
    <dgm:pt modelId="{28F52146-2D45-4942-A040-DFCC5F814037}">
      <dgm:prSet phldrT="[Text]"/>
      <dgm:spPr/>
      <dgm:t>
        <a:bodyPr/>
        <a:lstStyle/>
        <a:p>
          <a:r>
            <a:rPr lang="en-US"/>
            <a:t>Resource Allocation </a:t>
          </a:r>
        </a:p>
      </dgm:t>
    </dgm:pt>
    <dgm:pt modelId="{B5925D7F-B1EB-44ED-BC45-0A2C1ABBA658}" type="parTrans" cxnId="{0D4CA29B-7470-4769-B6AB-40CD0C232510}">
      <dgm:prSet/>
      <dgm:spPr/>
      <dgm:t>
        <a:bodyPr/>
        <a:lstStyle/>
        <a:p>
          <a:endParaRPr lang="en-US"/>
        </a:p>
      </dgm:t>
    </dgm:pt>
    <dgm:pt modelId="{543141D2-F449-496A-A234-0E7E700F7768}" type="sibTrans" cxnId="{0D4CA29B-7470-4769-B6AB-40CD0C232510}">
      <dgm:prSet/>
      <dgm:spPr/>
      <dgm:t>
        <a:bodyPr/>
        <a:lstStyle/>
        <a:p>
          <a:endParaRPr lang="en-US"/>
        </a:p>
      </dgm:t>
    </dgm:pt>
    <dgm:pt modelId="{9975EE4C-FF62-4B9E-9A1B-20D9D2C23D6F}">
      <dgm:prSet phldrT="[Text]" phldr="1"/>
      <dgm:spPr/>
      <dgm:t>
        <a:bodyPr/>
        <a:lstStyle/>
        <a:p>
          <a:endParaRPr lang="en-US"/>
        </a:p>
      </dgm:t>
    </dgm:pt>
    <dgm:pt modelId="{8DA7B7C3-F289-4F86-B586-6D90D7D3B63A}" type="parTrans" cxnId="{AB4A2E5A-B4B8-4EAB-8CAE-46787833D8A9}">
      <dgm:prSet/>
      <dgm:spPr/>
      <dgm:t>
        <a:bodyPr/>
        <a:lstStyle/>
        <a:p>
          <a:endParaRPr lang="en-US"/>
        </a:p>
      </dgm:t>
    </dgm:pt>
    <dgm:pt modelId="{A5CFA0CC-B659-4047-AC7F-97D415CA9094}" type="sibTrans" cxnId="{AB4A2E5A-B4B8-4EAB-8CAE-46787833D8A9}">
      <dgm:prSet/>
      <dgm:spPr/>
      <dgm:t>
        <a:bodyPr/>
        <a:lstStyle/>
        <a:p>
          <a:endParaRPr lang="en-US"/>
        </a:p>
      </dgm:t>
    </dgm:pt>
    <dgm:pt modelId="{2B482378-B32F-4D0E-AF42-880E3BB940F2}">
      <dgm:prSet/>
      <dgm:spPr/>
      <dgm:t>
        <a:bodyPr/>
        <a:lstStyle/>
        <a:p>
          <a:r>
            <a:rPr lang="en-US"/>
            <a:t>Institutional Capacity </a:t>
          </a:r>
        </a:p>
      </dgm:t>
    </dgm:pt>
    <dgm:pt modelId="{B195E515-C9F5-4834-9E96-3E7E06643FEA}" type="parTrans" cxnId="{206C1506-16B7-4556-92A1-53D9560405A4}">
      <dgm:prSet/>
      <dgm:spPr/>
      <dgm:t>
        <a:bodyPr/>
        <a:lstStyle/>
        <a:p>
          <a:endParaRPr lang="en-US"/>
        </a:p>
      </dgm:t>
    </dgm:pt>
    <dgm:pt modelId="{AEB00746-4A3D-41CC-8D35-08109F298482}" type="sibTrans" cxnId="{206C1506-16B7-4556-92A1-53D9560405A4}">
      <dgm:prSet/>
      <dgm:spPr/>
      <dgm:t>
        <a:bodyPr/>
        <a:lstStyle/>
        <a:p>
          <a:endParaRPr lang="en-US"/>
        </a:p>
      </dgm:t>
    </dgm:pt>
    <dgm:pt modelId="{041F2204-7BBE-42ED-97BD-4631FF682590}">
      <dgm:prSet/>
      <dgm:spPr/>
      <dgm:t>
        <a:bodyPr/>
        <a:lstStyle/>
        <a:p>
          <a:r>
            <a:rPr lang="en-US"/>
            <a:t>Local Implementation </a:t>
          </a:r>
        </a:p>
      </dgm:t>
    </dgm:pt>
    <dgm:pt modelId="{96C3F65C-A59D-4657-9D38-9F4DA2F995D2}" type="parTrans" cxnId="{A4AFB79A-D2E4-4727-B827-FDAB1D4EE306}">
      <dgm:prSet/>
      <dgm:spPr/>
      <dgm:t>
        <a:bodyPr/>
        <a:lstStyle/>
        <a:p>
          <a:endParaRPr lang="en-US"/>
        </a:p>
      </dgm:t>
    </dgm:pt>
    <dgm:pt modelId="{BBC16178-D931-4A83-A900-64A53CDA89CF}" type="sibTrans" cxnId="{A4AFB79A-D2E4-4727-B827-FDAB1D4EE306}">
      <dgm:prSet/>
      <dgm:spPr/>
      <dgm:t>
        <a:bodyPr/>
        <a:lstStyle/>
        <a:p>
          <a:endParaRPr lang="en-US"/>
        </a:p>
      </dgm:t>
    </dgm:pt>
    <dgm:pt modelId="{32B840B0-E982-469A-ACEB-1121D62AE8B5}">
      <dgm:prSet/>
      <dgm:spPr/>
      <dgm:t>
        <a:bodyPr/>
        <a:lstStyle/>
        <a:p>
          <a:r>
            <a:rPr lang="en-US"/>
            <a:t>Community Response</a:t>
          </a:r>
        </a:p>
      </dgm:t>
    </dgm:pt>
    <dgm:pt modelId="{D8AF247D-1EE3-454B-8F65-C19F393E1B6C}" type="parTrans" cxnId="{E4E7448F-7785-483B-96DA-449C4B3B6CD4}">
      <dgm:prSet/>
      <dgm:spPr/>
      <dgm:t>
        <a:bodyPr/>
        <a:lstStyle/>
        <a:p>
          <a:endParaRPr lang="en-US"/>
        </a:p>
      </dgm:t>
    </dgm:pt>
    <dgm:pt modelId="{DB6CDC31-AA15-4CDA-A9A5-69EB370C01DC}" type="sibTrans" cxnId="{E4E7448F-7785-483B-96DA-449C4B3B6CD4}">
      <dgm:prSet/>
      <dgm:spPr/>
      <dgm:t>
        <a:bodyPr/>
        <a:lstStyle/>
        <a:p>
          <a:endParaRPr lang="en-US"/>
        </a:p>
      </dgm:t>
    </dgm:pt>
    <dgm:pt modelId="{EF4681C2-3223-4DF6-BEE8-A11899370D80}" type="pres">
      <dgm:prSet presAssocID="{D70C220F-A13F-44D4-BF55-803A36E803CC}" presName="rootnode" presStyleCnt="0">
        <dgm:presLayoutVars>
          <dgm:chMax/>
          <dgm:chPref/>
          <dgm:dir/>
          <dgm:animLvl val="lvl"/>
        </dgm:presLayoutVars>
      </dgm:prSet>
      <dgm:spPr/>
    </dgm:pt>
    <dgm:pt modelId="{01E2DD86-9500-4356-948D-60263E11A8E2}" type="pres">
      <dgm:prSet presAssocID="{21964D8B-DEE7-4019-B498-377E70E06A55}" presName="composite" presStyleCnt="0"/>
      <dgm:spPr/>
    </dgm:pt>
    <dgm:pt modelId="{BDE815AB-BC90-4A46-970C-B16C6D9B2BD9}" type="pres">
      <dgm:prSet presAssocID="{21964D8B-DEE7-4019-B498-377E70E06A55}" presName="bentUpArrow1" presStyleLbl="alignImgPlace1" presStyleIdx="0" presStyleCnt="4"/>
      <dgm:spPr/>
    </dgm:pt>
    <dgm:pt modelId="{5635065E-0838-41FF-AD7A-5CE73578391B}" type="pres">
      <dgm:prSet presAssocID="{21964D8B-DEE7-4019-B498-377E70E06A55}" presName="ParentText" presStyleLbl="node1" presStyleIdx="0" presStyleCnt="5">
        <dgm:presLayoutVars>
          <dgm:chMax val="1"/>
          <dgm:chPref val="1"/>
          <dgm:bulletEnabled val="1"/>
        </dgm:presLayoutVars>
      </dgm:prSet>
      <dgm:spPr/>
    </dgm:pt>
    <dgm:pt modelId="{9D99FB9A-6F15-4EFE-AE8A-DBB45CAD44DC}" type="pres">
      <dgm:prSet presAssocID="{21964D8B-DEE7-4019-B498-377E70E06A55}" presName="ChildText" presStyleLbl="revTx" presStyleIdx="0" presStyleCnt="4">
        <dgm:presLayoutVars>
          <dgm:chMax val="0"/>
          <dgm:chPref val="0"/>
          <dgm:bulletEnabled val="1"/>
        </dgm:presLayoutVars>
      </dgm:prSet>
      <dgm:spPr/>
    </dgm:pt>
    <dgm:pt modelId="{93F30A10-58AE-43B4-914D-5418257C1DDF}" type="pres">
      <dgm:prSet presAssocID="{52F34AD4-A621-49F2-9CA2-85F37B9E7106}" presName="sibTrans" presStyleCnt="0"/>
      <dgm:spPr/>
    </dgm:pt>
    <dgm:pt modelId="{538F5854-B3C1-4DF0-9F70-8E570D8DFE55}" type="pres">
      <dgm:prSet presAssocID="{28F52146-2D45-4942-A040-DFCC5F814037}" presName="composite" presStyleCnt="0"/>
      <dgm:spPr/>
    </dgm:pt>
    <dgm:pt modelId="{F1B81398-63F4-4C33-A317-D6C94E0D3FCF}" type="pres">
      <dgm:prSet presAssocID="{28F52146-2D45-4942-A040-DFCC5F814037}" presName="bentUpArrow1" presStyleLbl="alignImgPlace1" presStyleIdx="1" presStyleCnt="4"/>
      <dgm:spPr/>
    </dgm:pt>
    <dgm:pt modelId="{4631F3B6-B133-4E8F-8CD9-ED339394B47D}" type="pres">
      <dgm:prSet presAssocID="{28F52146-2D45-4942-A040-DFCC5F814037}" presName="ParentText" presStyleLbl="node1" presStyleIdx="1" presStyleCnt="5">
        <dgm:presLayoutVars>
          <dgm:chMax val="1"/>
          <dgm:chPref val="1"/>
          <dgm:bulletEnabled val="1"/>
        </dgm:presLayoutVars>
      </dgm:prSet>
      <dgm:spPr/>
    </dgm:pt>
    <dgm:pt modelId="{F68BDC98-6AFC-4B69-B72F-7CD08998A0EA}" type="pres">
      <dgm:prSet presAssocID="{28F52146-2D45-4942-A040-DFCC5F814037}" presName="ChildText" presStyleLbl="revTx" presStyleIdx="1" presStyleCnt="4">
        <dgm:presLayoutVars>
          <dgm:chMax val="0"/>
          <dgm:chPref val="0"/>
          <dgm:bulletEnabled val="1"/>
        </dgm:presLayoutVars>
      </dgm:prSet>
      <dgm:spPr/>
    </dgm:pt>
    <dgm:pt modelId="{54F1CEEB-3EBA-40B8-8DAF-37351D3CBD3F}" type="pres">
      <dgm:prSet presAssocID="{543141D2-F449-496A-A234-0E7E700F7768}" presName="sibTrans" presStyleCnt="0"/>
      <dgm:spPr/>
    </dgm:pt>
    <dgm:pt modelId="{54EEB873-EDBF-4EF3-895A-95EE3BC114CD}" type="pres">
      <dgm:prSet presAssocID="{2B482378-B32F-4D0E-AF42-880E3BB940F2}" presName="composite" presStyleCnt="0"/>
      <dgm:spPr/>
    </dgm:pt>
    <dgm:pt modelId="{611ED002-5034-489E-8815-86BAB0836286}" type="pres">
      <dgm:prSet presAssocID="{2B482378-B32F-4D0E-AF42-880E3BB940F2}" presName="bentUpArrow1" presStyleLbl="alignImgPlace1" presStyleIdx="2" presStyleCnt="4"/>
      <dgm:spPr/>
    </dgm:pt>
    <dgm:pt modelId="{B5435ABF-AD5D-464B-874E-905CF39DF011}" type="pres">
      <dgm:prSet presAssocID="{2B482378-B32F-4D0E-AF42-880E3BB940F2}" presName="ParentText" presStyleLbl="node1" presStyleIdx="2" presStyleCnt="5">
        <dgm:presLayoutVars>
          <dgm:chMax val="1"/>
          <dgm:chPref val="1"/>
          <dgm:bulletEnabled val="1"/>
        </dgm:presLayoutVars>
      </dgm:prSet>
      <dgm:spPr/>
    </dgm:pt>
    <dgm:pt modelId="{5B9B4CB0-A87E-46BB-9865-DB1D961B2598}" type="pres">
      <dgm:prSet presAssocID="{2B482378-B32F-4D0E-AF42-880E3BB940F2}" presName="ChildText" presStyleLbl="revTx" presStyleIdx="2" presStyleCnt="4">
        <dgm:presLayoutVars>
          <dgm:chMax val="0"/>
          <dgm:chPref val="0"/>
          <dgm:bulletEnabled val="1"/>
        </dgm:presLayoutVars>
      </dgm:prSet>
      <dgm:spPr/>
    </dgm:pt>
    <dgm:pt modelId="{C1E4398F-302E-4032-9ED2-41F13A7415D0}" type="pres">
      <dgm:prSet presAssocID="{AEB00746-4A3D-41CC-8D35-08109F298482}" presName="sibTrans" presStyleCnt="0"/>
      <dgm:spPr/>
    </dgm:pt>
    <dgm:pt modelId="{F0446C40-0091-4FA6-A264-1AC755AE97B4}" type="pres">
      <dgm:prSet presAssocID="{041F2204-7BBE-42ED-97BD-4631FF682590}" presName="composite" presStyleCnt="0"/>
      <dgm:spPr/>
    </dgm:pt>
    <dgm:pt modelId="{F796D172-0AA7-4EB3-AC75-5601013278FE}" type="pres">
      <dgm:prSet presAssocID="{041F2204-7BBE-42ED-97BD-4631FF682590}" presName="bentUpArrow1" presStyleLbl="alignImgPlace1" presStyleIdx="3" presStyleCnt="4"/>
      <dgm:spPr/>
    </dgm:pt>
    <dgm:pt modelId="{57BA6402-E29B-4FC5-9EFB-F561B9E31C69}" type="pres">
      <dgm:prSet presAssocID="{041F2204-7BBE-42ED-97BD-4631FF682590}" presName="ParentText" presStyleLbl="node1" presStyleIdx="3" presStyleCnt="5">
        <dgm:presLayoutVars>
          <dgm:chMax val="1"/>
          <dgm:chPref val="1"/>
          <dgm:bulletEnabled val="1"/>
        </dgm:presLayoutVars>
      </dgm:prSet>
      <dgm:spPr/>
    </dgm:pt>
    <dgm:pt modelId="{70DFD8B4-45E8-454D-8ED2-378069FFCDF6}" type="pres">
      <dgm:prSet presAssocID="{041F2204-7BBE-42ED-97BD-4631FF682590}" presName="ChildText" presStyleLbl="revTx" presStyleIdx="3" presStyleCnt="4">
        <dgm:presLayoutVars>
          <dgm:chMax val="0"/>
          <dgm:chPref val="0"/>
          <dgm:bulletEnabled val="1"/>
        </dgm:presLayoutVars>
      </dgm:prSet>
      <dgm:spPr/>
    </dgm:pt>
    <dgm:pt modelId="{EED63D62-0DAE-4BA0-9302-82D24A44D576}" type="pres">
      <dgm:prSet presAssocID="{BBC16178-D931-4A83-A900-64A53CDA89CF}" presName="sibTrans" presStyleCnt="0"/>
      <dgm:spPr/>
    </dgm:pt>
    <dgm:pt modelId="{72BBAF74-C419-48CF-8178-C96E25D4633E}" type="pres">
      <dgm:prSet presAssocID="{32B840B0-E982-469A-ACEB-1121D62AE8B5}" presName="composite" presStyleCnt="0"/>
      <dgm:spPr/>
    </dgm:pt>
    <dgm:pt modelId="{863E5296-155A-41C8-BC36-7405050CB472}" type="pres">
      <dgm:prSet presAssocID="{32B840B0-E982-469A-ACEB-1121D62AE8B5}" presName="ParentText" presStyleLbl="node1" presStyleIdx="4" presStyleCnt="5">
        <dgm:presLayoutVars>
          <dgm:chMax val="1"/>
          <dgm:chPref val="1"/>
          <dgm:bulletEnabled val="1"/>
        </dgm:presLayoutVars>
      </dgm:prSet>
      <dgm:spPr/>
    </dgm:pt>
  </dgm:ptLst>
  <dgm:cxnLst>
    <dgm:cxn modelId="{206C1506-16B7-4556-92A1-53D9560405A4}" srcId="{D70C220F-A13F-44D4-BF55-803A36E803CC}" destId="{2B482378-B32F-4D0E-AF42-880E3BB940F2}" srcOrd="2" destOrd="0" parTransId="{B195E515-C9F5-4834-9E96-3E7E06643FEA}" sibTransId="{AEB00746-4A3D-41CC-8D35-08109F298482}"/>
    <dgm:cxn modelId="{33E0FD22-7234-40DE-B9BC-2CCAD0225419}" type="presOf" srcId="{041F2204-7BBE-42ED-97BD-4631FF682590}" destId="{57BA6402-E29B-4FC5-9EFB-F561B9E31C69}" srcOrd="0" destOrd="0" presId="urn:microsoft.com/office/officeart/2005/8/layout/StepDownProcess"/>
    <dgm:cxn modelId="{62AACC2C-5CCE-471D-AACD-929C518ECB5E}" type="presOf" srcId="{9975EE4C-FF62-4B9E-9A1B-20D9D2C23D6F}" destId="{F68BDC98-6AFC-4B69-B72F-7CD08998A0EA}" srcOrd="0" destOrd="0" presId="urn:microsoft.com/office/officeart/2005/8/layout/StepDownProcess"/>
    <dgm:cxn modelId="{4B3B3139-CED8-490D-BF68-FF01D3CCF03E}" type="presOf" srcId="{32B840B0-E982-469A-ACEB-1121D62AE8B5}" destId="{863E5296-155A-41C8-BC36-7405050CB472}" srcOrd="0" destOrd="0" presId="urn:microsoft.com/office/officeart/2005/8/layout/StepDownProcess"/>
    <dgm:cxn modelId="{39AEBC3C-FB20-4E0D-93E3-374B86024040}" srcId="{D70C220F-A13F-44D4-BF55-803A36E803CC}" destId="{21964D8B-DEE7-4019-B498-377E70E06A55}" srcOrd="0" destOrd="0" parTransId="{819333C7-BAFC-49D9-ABEC-3FBAA81D9E01}" sibTransId="{52F34AD4-A621-49F2-9CA2-85F37B9E7106}"/>
    <dgm:cxn modelId="{27DD3340-9CB6-4CCA-B53F-46157ABB14D7}" type="presOf" srcId="{28F52146-2D45-4942-A040-DFCC5F814037}" destId="{4631F3B6-B133-4E8F-8CD9-ED339394B47D}" srcOrd="0" destOrd="0" presId="urn:microsoft.com/office/officeart/2005/8/layout/StepDownProcess"/>
    <dgm:cxn modelId="{AB4A2E5A-B4B8-4EAB-8CAE-46787833D8A9}" srcId="{28F52146-2D45-4942-A040-DFCC5F814037}" destId="{9975EE4C-FF62-4B9E-9A1B-20D9D2C23D6F}" srcOrd="0" destOrd="0" parTransId="{8DA7B7C3-F289-4F86-B586-6D90D7D3B63A}" sibTransId="{A5CFA0CC-B659-4047-AC7F-97D415CA9094}"/>
    <dgm:cxn modelId="{4C64F15C-0B07-484B-B448-C15F0A6F7A7D}" type="presOf" srcId="{2B482378-B32F-4D0E-AF42-880E3BB940F2}" destId="{B5435ABF-AD5D-464B-874E-905CF39DF011}" srcOrd="0" destOrd="0" presId="urn:microsoft.com/office/officeart/2005/8/layout/StepDownProcess"/>
    <dgm:cxn modelId="{9173B271-CBB2-4D3F-9988-52F2755F619B}" srcId="{21964D8B-DEE7-4019-B498-377E70E06A55}" destId="{31153BE6-1707-4A03-BC42-CF84E93D070A}" srcOrd="0" destOrd="0" parTransId="{7917C853-45A2-498F-8871-2C7C5E1B1D7E}" sibTransId="{D70F014A-BC00-4AAA-BF9B-579FC5DFA53A}"/>
    <dgm:cxn modelId="{D14CFB79-D3FA-4896-ADC4-96C8A44D91ED}" type="presOf" srcId="{31153BE6-1707-4A03-BC42-CF84E93D070A}" destId="{9D99FB9A-6F15-4EFE-AE8A-DBB45CAD44DC}" srcOrd="0" destOrd="0" presId="urn:microsoft.com/office/officeart/2005/8/layout/StepDownProcess"/>
    <dgm:cxn modelId="{9D7A218B-7932-4E28-948B-20527ED294E8}" type="presOf" srcId="{D70C220F-A13F-44D4-BF55-803A36E803CC}" destId="{EF4681C2-3223-4DF6-BEE8-A11899370D80}" srcOrd="0" destOrd="0" presId="urn:microsoft.com/office/officeart/2005/8/layout/StepDownProcess"/>
    <dgm:cxn modelId="{E4E7448F-7785-483B-96DA-449C4B3B6CD4}" srcId="{D70C220F-A13F-44D4-BF55-803A36E803CC}" destId="{32B840B0-E982-469A-ACEB-1121D62AE8B5}" srcOrd="4" destOrd="0" parTransId="{D8AF247D-1EE3-454B-8F65-C19F393E1B6C}" sibTransId="{DB6CDC31-AA15-4CDA-A9A5-69EB370C01DC}"/>
    <dgm:cxn modelId="{A4AFB79A-D2E4-4727-B827-FDAB1D4EE306}" srcId="{D70C220F-A13F-44D4-BF55-803A36E803CC}" destId="{041F2204-7BBE-42ED-97BD-4631FF682590}" srcOrd="3" destOrd="0" parTransId="{96C3F65C-A59D-4657-9D38-9F4DA2F995D2}" sibTransId="{BBC16178-D931-4A83-A900-64A53CDA89CF}"/>
    <dgm:cxn modelId="{0D4CA29B-7470-4769-B6AB-40CD0C232510}" srcId="{D70C220F-A13F-44D4-BF55-803A36E803CC}" destId="{28F52146-2D45-4942-A040-DFCC5F814037}" srcOrd="1" destOrd="0" parTransId="{B5925D7F-B1EB-44ED-BC45-0A2C1ABBA658}" sibTransId="{543141D2-F449-496A-A234-0E7E700F7768}"/>
    <dgm:cxn modelId="{938FE8D4-0331-4100-9355-CFF05467C294}" type="presOf" srcId="{21964D8B-DEE7-4019-B498-377E70E06A55}" destId="{5635065E-0838-41FF-AD7A-5CE73578391B}" srcOrd="0" destOrd="0" presId="urn:microsoft.com/office/officeart/2005/8/layout/StepDownProcess"/>
    <dgm:cxn modelId="{44861BE7-40C4-4269-A9FC-EB663E78451A}" type="presParOf" srcId="{EF4681C2-3223-4DF6-BEE8-A11899370D80}" destId="{01E2DD86-9500-4356-948D-60263E11A8E2}" srcOrd="0" destOrd="0" presId="urn:microsoft.com/office/officeart/2005/8/layout/StepDownProcess"/>
    <dgm:cxn modelId="{0A728794-0255-402D-819C-B5F314D03DCF}" type="presParOf" srcId="{01E2DD86-9500-4356-948D-60263E11A8E2}" destId="{BDE815AB-BC90-4A46-970C-B16C6D9B2BD9}" srcOrd="0" destOrd="0" presId="urn:microsoft.com/office/officeart/2005/8/layout/StepDownProcess"/>
    <dgm:cxn modelId="{07BF76DD-2441-4538-91A1-00659D581CA6}" type="presParOf" srcId="{01E2DD86-9500-4356-948D-60263E11A8E2}" destId="{5635065E-0838-41FF-AD7A-5CE73578391B}" srcOrd="1" destOrd="0" presId="urn:microsoft.com/office/officeart/2005/8/layout/StepDownProcess"/>
    <dgm:cxn modelId="{359C0C02-3676-4AD7-823F-429DE1815899}" type="presParOf" srcId="{01E2DD86-9500-4356-948D-60263E11A8E2}" destId="{9D99FB9A-6F15-4EFE-AE8A-DBB45CAD44DC}" srcOrd="2" destOrd="0" presId="urn:microsoft.com/office/officeart/2005/8/layout/StepDownProcess"/>
    <dgm:cxn modelId="{B0AA4E70-E3A3-42B6-908E-8575EA8F29C3}" type="presParOf" srcId="{EF4681C2-3223-4DF6-BEE8-A11899370D80}" destId="{93F30A10-58AE-43B4-914D-5418257C1DDF}" srcOrd="1" destOrd="0" presId="urn:microsoft.com/office/officeart/2005/8/layout/StepDownProcess"/>
    <dgm:cxn modelId="{C60FC5E0-3C1A-407D-AEA1-2E5C19A8CF0E}" type="presParOf" srcId="{EF4681C2-3223-4DF6-BEE8-A11899370D80}" destId="{538F5854-B3C1-4DF0-9F70-8E570D8DFE55}" srcOrd="2" destOrd="0" presId="urn:microsoft.com/office/officeart/2005/8/layout/StepDownProcess"/>
    <dgm:cxn modelId="{7A3A8180-D32D-4C3D-8046-92B22D7727A4}" type="presParOf" srcId="{538F5854-B3C1-4DF0-9F70-8E570D8DFE55}" destId="{F1B81398-63F4-4C33-A317-D6C94E0D3FCF}" srcOrd="0" destOrd="0" presId="urn:microsoft.com/office/officeart/2005/8/layout/StepDownProcess"/>
    <dgm:cxn modelId="{400502A8-F735-4FB5-A821-00FF3DF8D26F}" type="presParOf" srcId="{538F5854-B3C1-4DF0-9F70-8E570D8DFE55}" destId="{4631F3B6-B133-4E8F-8CD9-ED339394B47D}" srcOrd="1" destOrd="0" presId="urn:microsoft.com/office/officeart/2005/8/layout/StepDownProcess"/>
    <dgm:cxn modelId="{A951C24E-4F16-4ED0-9968-5AFC4E4CE0AD}" type="presParOf" srcId="{538F5854-B3C1-4DF0-9F70-8E570D8DFE55}" destId="{F68BDC98-6AFC-4B69-B72F-7CD08998A0EA}" srcOrd="2" destOrd="0" presId="urn:microsoft.com/office/officeart/2005/8/layout/StepDownProcess"/>
    <dgm:cxn modelId="{8DE3AA11-2504-488B-908B-83884CB85A88}" type="presParOf" srcId="{EF4681C2-3223-4DF6-BEE8-A11899370D80}" destId="{54F1CEEB-3EBA-40B8-8DAF-37351D3CBD3F}" srcOrd="3" destOrd="0" presId="urn:microsoft.com/office/officeart/2005/8/layout/StepDownProcess"/>
    <dgm:cxn modelId="{C87EE730-5A82-4CF6-AE45-73CF98BAE734}" type="presParOf" srcId="{EF4681C2-3223-4DF6-BEE8-A11899370D80}" destId="{54EEB873-EDBF-4EF3-895A-95EE3BC114CD}" srcOrd="4" destOrd="0" presId="urn:microsoft.com/office/officeart/2005/8/layout/StepDownProcess"/>
    <dgm:cxn modelId="{460ED919-9F08-445F-A043-6F601B23ACEF}" type="presParOf" srcId="{54EEB873-EDBF-4EF3-895A-95EE3BC114CD}" destId="{611ED002-5034-489E-8815-86BAB0836286}" srcOrd="0" destOrd="0" presId="urn:microsoft.com/office/officeart/2005/8/layout/StepDownProcess"/>
    <dgm:cxn modelId="{322A5669-F209-4887-A383-55B0C49BBFA1}" type="presParOf" srcId="{54EEB873-EDBF-4EF3-895A-95EE3BC114CD}" destId="{B5435ABF-AD5D-464B-874E-905CF39DF011}" srcOrd="1" destOrd="0" presId="urn:microsoft.com/office/officeart/2005/8/layout/StepDownProcess"/>
    <dgm:cxn modelId="{CCC937C8-B6E3-4939-9701-2C4451E61E3C}" type="presParOf" srcId="{54EEB873-EDBF-4EF3-895A-95EE3BC114CD}" destId="{5B9B4CB0-A87E-46BB-9865-DB1D961B2598}" srcOrd="2" destOrd="0" presId="urn:microsoft.com/office/officeart/2005/8/layout/StepDownProcess"/>
    <dgm:cxn modelId="{4BDAD9D9-C45D-4D55-8DDE-968B5FCBA972}" type="presParOf" srcId="{EF4681C2-3223-4DF6-BEE8-A11899370D80}" destId="{C1E4398F-302E-4032-9ED2-41F13A7415D0}" srcOrd="5" destOrd="0" presId="urn:microsoft.com/office/officeart/2005/8/layout/StepDownProcess"/>
    <dgm:cxn modelId="{7D09BA81-2BA9-475F-A9C4-BEB74432359F}" type="presParOf" srcId="{EF4681C2-3223-4DF6-BEE8-A11899370D80}" destId="{F0446C40-0091-4FA6-A264-1AC755AE97B4}" srcOrd="6" destOrd="0" presId="urn:microsoft.com/office/officeart/2005/8/layout/StepDownProcess"/>
    <dgm:cxn modelId="{83AF80FD-501B-4D46-82FA-885D6E7E6770}" type="presParOf" srcId="{F0446C40-0091-4FA6-A264-1AC755AE97B4}" destId="{F796D172-0AA7-4EB3-AC75-5601013278FE}" srcOrd="0" destOrd="0" presId="urn:microsoft.com/office/officeart/2005/8/layout/StepDownProcess"/>
    <dgm:cxn modelId="{2C22ACEE-4365-456B-B953-196CB7419484}" type="presParOf" srcId="{F0446C40-0091-4FA6-A264-1AC755AE97B4}" destId="{57BA6402-E29B-4FC5-9EFB-F561B9E31C69}" srcOrd="1" destOrd="0" presId="urn:microsoft.com/office/officeart/2005/8/layout/StepDownProcess"/>
    <dgm:cxn modelId="{D81ADFDE-DC81-4234-BE19-A3A47258F18F}" type="presParOf" srcId="{F0446C40-0091-4FA6-A264-1AC755AE97B4}" destId="{70DFD8B4-45E8-454D-8ED2-378069FFCDF6}" srcOrd="2" destOrd="0" presId="urn:microsoft.com/office/officeart/2005/8/layout/StepDownProcess"/>
    <dgm:cxn modelId="{D41DC6EB-907C-4455-82F4-03538C3C95B3}" type="presParOf" srcId="{EF4681C2-3223-4DF6-BEE8-A11899370D80}" destId="{EED63D62-0DAE-4BA0-9302-82D24A44D576}" srcOrd="7" destOrd="0" presId="urn:microsoft.com/office/officeart/2005/8/layout/StepDownProcess"/>
    <dgm:cxn modelId="{E046E7F0-2C3A-4847-AF1C-83F1A36BE768}" type="presParOf" srcId="{EF4681C2-3223-4DF6-BEE8-A11899370D80}" destId="{72BBAF74-C419-48CF-8178-C96E25D4633E}" srcOrd="8" destOrd="0" presId="urn:microsoft.com/office/officeart/2005/8/layout/StepDownProcess"/>
    <dgm:cxn modelId="{D0EF2D36-13AC-4D1E-A388-0F358844A898}" type="presParOf" srcId="{72BBAF74-C419-48CF-8178-C96E25D4633E}" destId="{863E5296-155A-41C8-BC36-7405050CB472}" srcOrd="0" destOrd="0" presId="urn:microsoft.com/office/officeart/2005/8/layout/StepDownProcess"/>
  </dgm:cxnLst>
  <dgm:bg/>
  <dgm:whole/>
  <dgm:extLst>
    <a:ext uri="http://schemas.microsoft.com/office/drawing/2008/diagram">
      <dsp:dataModelExt xmlns:dsp="http://schemas.microsoft.com/office/drawing/2008/diagram" relId="rId11"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E815AB-BC90-4A46-970C-B16C6D9B2BD9}">
      <dsp:nvSpPr>
        <dsp:cNvPr id="0" name=""/>
        <dsp:cNvSpPr/>
      </dsp:nvSpPr>
      <dsp:spPr>
        <a:xfrm rot="5400000">
          <a:off x="1098460" y="561093"/>
          <a:ext cx="488311" cy="55592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635065E-0838-41FF-AD7A-5CE73578391B}">
      <dsp:nvSpPr>
        <dsp:cNvPr id="0" name=""/>
        <dsp:cNvSpPr/>
      </dsp:nvSpPr>
      <dsp:spPr>
        <a:xfrm>
          <a:off x="969088" y="19790"/>
          <a:ext cx="822028" cy="57539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Policy</a:t>
          </a:r>
        </a:p>
      </dsp:txBody>
      <dsp:txXfrm>
        <a:off x="997181" y="47883"/>
        <a:ext cx="765842" cy="519207"/>
      </dsp:txXfrm>
    </dsp:sp>
    <dsp:sp modelId="{9D99FB9A-6F15-4EFE-AE8A-DBB45CAD44DC}">
      <dsp:nvSpPr>
        <dsp:cNvPr id="0" name=""/>
        <dsp:cNvSpPr/>
      </dsp:nvSpPr>
      <dsp:spPr>
        <a:xfrm>
          <a:off x="1791116" y="74667"/>
          <a:ext cx="597865" cy="4650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57150" lvl="1" indent="-57150" algn="l" defTabSz="266700">
            <a:lnSpc>
              <a:spcPct val="90000"/>
            </a:lnSpc>
            <a:spcBef>
              <a:spcPct val="0"/>
            </a:spcBef>
            <a:spcAft>
              <a:spcPct val="15000"/>
            </a:spcAft>
            <a:buChar char="•"/>
          </a:pPr>
          <a:endParaRPr lang="en-US" sz="600" kern="1200"/>
        </a:p>
      </dsp:txBody>
      <dsp:txXfrm>
        <a:off x="1791116" y="74667"/>
        <a:ext cx="597865" cy="465058"/>
      </dsp:txXfrm>
    </dsp:sp>
    <dsp:sp modelId="{F1B81398-63F4-4C33-A317-D6C94E0D3FCF}">
      <dsp:nvSpPr>
        <dsp:cNvPr id="0" name=""/>
        <dsp:cNvSpPr/>
      </dsp:nvSpPr>
      <dsp:spPr>
        <a:xfrm rot="5400000">
          <a:off x="1780009" y="1207449"/>
          <a:ext cx="488311" cy="55592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4631F3B6-B133-4E8F-8CD9-ED339394B47D}">
      <dsp:nvSpPr>
        <dsp:cNvPr id="0" name=""/>
        <dsp:cNvSpPr/>
      </dsp:nvSpPr>
      <dsp:spPr>
        <a:xfrm>
          <a:off x="1650637" y="666147"/>
          <a:ext cx="822028" cy="57539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Resource Allocation </a:t>
          </a:r>
        </a:p>
      </dsp:txBody>
      <dsp:txXfrm>
        <a:off x="1678730" y="694240"/>
        <a:ext cx="765842" cy="519207"/>
      </dsp:txXfrm>
    </dsp:sp>
    <dsp:sp modelId="{F68BDC98-6AFC-4B69-B72F-7CD08998A0EA}">
      <dsp:nvSpPr>
        <dsp:cNvPr id="0" name=""/>
        <dsp:cNvSpPr/>
      </dsp:nvSpPr>
      <dsp:spPr>
        <a:xfrm>
          <a:off x="2472665" y="721023"/>
          <a:ext cx="597865" cy="465058"/>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30480" tIns="30480" rIns="30480" bIns="30480" numCol="1" spcCol="1270" anchor="ctr" anchorCtr="0">
          <a:noAutofit/>
        </a:bodyPr>
        <a:lstStyle/>
        <a:p>
          <a:pPr marL="57150" lvl="1" indent="-57150" algn="l" defTabSz="266700">
            <a:lnSpc>
              <a:spcPct val="90000"/>
            </a:lnSpc>
            <a:spcBef>
              <a:spcPct val="0"/>
            </a:spcBef>
            <a:spcAft>
              <a:spcPct val="15000"/>
            </a:spcAft>
            <a:buChar char="•"/>
          </a:pPr>
          <a:endParaRPr lang="en-US" sz="600" kern="1200"/>
        </a:p>
      </dsp:txBody>
      <dsp:txXfrm>
        <a:off x="2472665" y="721023"/>
        <a:ext cx="597865" cy="465058"/>
      </dsp:txXfrm>
    </dsp:sp>
    <dsp:sp modelId="{611ED002-5034-489E-8815-86BAB0836286}">
      <dsp:nvSpPr>
        <dsp:cNvPr id="0" name=""/>
        <dsp:cNvSpPr/>
      </dsp:nvSpPr>
      <dsp:spPr>
        <a:xfrm rot="5400000">
          <a:off x="2461558" y="1853805"/>
          <a:ext cx="488311" cy="55592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B5435ABF-AD5D-464B-874E-905CF39DF011}">
      <dsp:nvSpPr>
        <dsp:cNvPr id="0" name=""/>
        <dsp:cNvSpPr/>
      </dsp:nvSpPr>
      <dsp:spPr>
        <a:xfrm>
          <a:off x="2332185" y="1312503"/>
          <a:ext cx="822028" cy="57539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Institutional Capacity </a:t>
          </a:r>
        </a:p>
      </dsp:txBody>
      <dsp:txXfrm>
        <a:off x="2360278" y="1340596"/>
        <a:ext cx="765842" cy="519207"/>
      </dsp:txXfrm>
    </dsp:sp>
    <dsp:sp modelId="{5B9B4CB0-A87E-46BB-9865-DB1D961B2598}">
      <dsp:nvSpPr>
        <dsp:cNvPr id="0" name=""/>
        <dsp:cNvSpPr/>
      </dsp:nvSpPr>
      <dsp:spPr>
        <a:xfrm>
          <a:off x="3154214" y="1367380"/>
          <a:ext cx="597865" cy="465058"/>
        </a:xfrm>
        <a:prstGeom prst="rect">
          <a:avLst/>
        </a:prstGeom>
        <a:noFill/>
        <a:ln>
          <a:noFill/>
        </a:ln>
        <a:effectLst/>
      </dsp:spPr>
      <dsp:style>
        <a:lnRef idx="0">
          <a:scrgbClr r="0" g="0" b="0"/>
        </a:lnRef>
        <a:fillRef idx="0">
          <a:scrgbClr r="0" g="0" b="0"/>
        </a:fillRef>
        <a:effectRef idx="0">
          <a:scrgbClr r="0" g="0" b="0"/>
        </a:effectRef>
        <a:fontRef idx="minor"/>
      </dsp:style>
    </dsp:sp>
    <dsp:sp modelId="{F796D172-0AA7-4EB3-AC75-5601013278FE}">
      <dsp:nvSpPr>
        <dsp:cNvPr id="0" name=""/>
        <dsp:cNvSpPr/>
      </dsp:nvSpPr>
      <dsp:spPr>
        <a:xfrm rot="5400000">
          <a:off x="3143107" y="2500162"/>
          <a:ext cx="488311" cy="555924"/>
        </a:xfrm>
        <a:prstGeom prst="bentUpArrow">
          <a:avLst>
            <a:gd name="adj1" fmla="val 32840"/>
            <a:gd name="adj2" fmla="val 25000"/>
            <a:gd name="adj3" fmla="val 35780"/>
          </a:avLst>
        </a:prstGeom>
        <a:solidFill>
          <a:schemeClr val="accent1">
            <a:tint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7BA6402-E29B-4FC5-9EFB-F561B9E31C69}">
      <dsp:nvSpPr>
        <dsp:cNvPr id="0" name=""/>
        <dsp:cNvSpPr/>
      </dsp:nvSpPr>
      <dsp:spPr>
        <a:xfrm>
          <a:off x="3013734" y="1958859"/>
          <a:ext cx="822028" cy="57539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Local Implementation </a:t>
          </a:r>
        </a:p>
      </dsp:txBody>
      <dsp:txXfrm>
        <a:off x="3041827" y="1986952"/>
        <a:ext cx="765842" cy="519207"/>
      </dsp:txXfrm>
    </dsp:sp>
    <dsp:sp modelId="{70DFD8B4-45E8-454D-8ED2-378069FFCDF6}">
      <dsp:nvSpPr>
        <dsp:cNvPr id="0" name=""/>
        <dsp:cNvSpPr/>
      </dsp:nvSpPr>
      <dsp:spPr>
        <a:xfrm>
          <a:off x="3835762" y="2013736"/>
          <a:ext cx="597865" cy="465058"/>
        </a:xfrm>
        <a:prstGeom prst="rect">
          <a:avLst/>
        </a:prstGeom>
        <a:noFill/>
        <a:ln>
          <a:noFill/>
        </a:ln>
        <a:effectLst/>
      </dsp:spPr>
      <dsp:style>
        <a:lnRef idx="0">
          <a:scrgbClr r="0" g="0" b="0"/>
        </a:lnRef>
        <a:fillRef idx="0">
          <a:scrgbClr r="0" g="0" b="0"/>
        </a:fillRef>
        <a:effectRef idx="0">
          <a:scrgbClr r="0" g="0" b="0"/>
        </a:effectRef>
        <a:fontRef idx="minor"/>
      </dsp:style>
    </dsp:sp>
    <dsp:sp modelId="{863E5296-155A-41C8-BC36-7405050CB472}">
      <dsp:nvSpPr>
        <dsp:cNvPr id="0" name=""/>
        <dsp:cNvSpPr/>
      </dsp:nvSpPr>
      <dsp:spPr>
        <a:xfrm>
          <a:off x="3695283" y="2605216"/>
          <a:ext cx="822028" cy="575393"/>
        </a:xfrm>
        <a:prstGeom prst="roundRect">
          <a:avLst>
            <a:gd name="adj" fmla="val 1667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355600">
            <a:lnSpc>
              <a:spcPct val="90000"/>
            </a:lnSpc>
            <a:spcBef>
              <a:spcPct val="0"/>
            </a:spcBef>
            <a:spcAft>
              <a:spcPct val="35000"/>
            </a:spcAft>
            <a:buNone/>
          </a:pPr>
          <a:r>
            <a:rPr lang="en-US" sz="800" kern="1200"/>
            <a:t>Community Response</a:t>
          </a:r>
        </a:p>
      </dsp:txBody>
      <dsp:txXfrm>
        <a:off x="3723376" y="2633309"/>
        <a:ext cx="765842" cy="519207"/>
      </dsp:txXfrm>
    </dsp:sp>
  </dsp:spTree>
</dsp:drawing>
</file>

<file path=word/diagrams/layout1.xml><?xml version="1.0" encoding="utf-8"?>
<dgm:layoutDef xmlns:dgm="http://schemas.openxmlformats.org/drawingml/2006/diagram" xmlns:a="http://schemas.openxmlformats.org/drawingml/2006/main" uniqueId="urn:microsoft.com/office/officeart/2005/8/layout/StepDownProcess">
  <dgm:title val=""/>
  <dgm:desc val=""/>
  <dgm:catLst>
    <dgm:cat type="process" pri="1600"/>
  </dgm:catLst>
  <dgm:sampData>
    <dgm:dataModel>
      <dgm:ptLst>
        <dgm:pt modelId="0" type="doc"/>
        <dgm:pt modelId="10">
          <dgm:prSet phldr="1"/>
        </dgm:pt>
        <dgm:pt modelId="11">
          <dgm:prSet phldr="1"/>
        </dgm:pt>
        <dgm:pt modelId="20">
          <dgm:prSet phldr="1"/>
        </dgm:pt>
        <dgm:pt modelId="21">
          <dgm:prSet phldr="1"/>
        </dgm:pt>
        <dgm:pt modelId="30">
          <dgm:prSet phldr="1"/>
        </dgm:pt>
        <dgm:pt modelId="31">
          <dgm:prSet phldr="1"/>
        </dgm:pt>
      </dgm:ptLst>
      <dgm:cxnLst>
        <dgm:cxn modelId="60" srcId="0" destId="10" srcOrd="0" destOrd="0"/>
        <dgm:cxn modelId="12" srcId="10" destId="11" srcOrd="0" destOrd="0"/>
        <dgm:cxn modelId="70" srcId="0" destId="20" srcOrd="1" destOrd="0"/>
        <dgm:cxn modelId="22" srcId="20" destId="21" srcOrd="0" destOrd="0"/>
        <dgm:cxn modelId="80" srcId="0" destId="30" srcOrd="2" destOrd="0"/>
        <dgm:cxn modelId="32" srcId="30" destId="31" srcOrd="0" destOrd="0"/>
      </dgm:cxnLst>
      <dgm:bg/>
      <dgm:whole/>
    </dgm:dataModel>
  </dgm:sampData>
  <dgm:styleData>
    <dgm:dataModel>
      <dgm:ptLst>
        <dgm:pt modelId="0" type="doc"/>
        <dgm:pt modelId="10">
          <dgm:prSet phldr="1"/>
        </dgm:pt>
        <dgm:pt modelId="20">
          <dgm:prSet phldr="1"/>
        </dgm:pt>
      </dgm:ptLst>
      <dgm:cxnLst>
        <dgm:cxn modelId="60" srcId="0" destId="10" srcOrd="0" destOrd="0"/>
        <dgm:cxn modelId="7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60" srcId="0" destId="10" srcOrd="0" destOrd="0"/>
        <dgm:cxn modelId="70" srcId="0" destId="20" srcOrd="1" destOrd="0"/>
        <dgm:cxn modelId="80" srcId="0" destId="30" srcOrd="2" destOrd="0"/>
        <dgm:cxn modelId="90" srcId="0" destId="40" srcOrd="3" destOrd="0"/>
      </dgm:cxnLst>
      <dgm:bg/>
      <dgm:whole/>
    </dgm:dataModel>
  </dgm:clrData>
  <dgm:layoutNode name="rootnode">
    <dgm:varLst>
      <dgm:chMax/>
      <dgm:chPref/>
      <dgm:dir/>
      <dgm:animLvl val="lvl"/>
    </dgm:varLst>
    <dgm:choose name="Name0">
      <dgm:if name="Name1" func="var" arg="dir" op="equ" val="norm">
        <dgm:alg type="snake">
          <dgm:param type="grDir" val="tL"/>
          <dgm:param type="flowDir" val="row"/>
          <dgm:param type="off" val="off"/>
          <dgm:param type="bkpt" val="fixed"/>
          <dgm:param type="bkPtFixedVal" val="1"/>
        </dgm:alg>
      </dgm:if>
      <dgm:else name="Name2">
        <dgm:alg type="snake">
          <dgm:param type="grDir" val="tR"/>
          <dgm:param type="flowDir" val="row"/>
          <dgm:param type="off" val="off"/>
          <dgm:param type="bkpt" val="fixed"/>
          <dgm:param type="bkPtFixedVal" val="1"/>
        </dgm:alg>
      </dgm:else>
    </dgm:choose>
    <dgm:shape xmlns:r="http://schemas.openxmlformats.org/officeDocument/2006/relationships" r:blip="">
      <dgm:adjLst/>
    </dgm:shape>
    <dgm:choose name="Name3">
      <dgm:if name="Name4" func="var" arg="dir" op="equ" val="norm">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if>
      <dgm:else name="Name5">
        <dgm:constrLst>
          <dgm:constr type="alignOff" forName="rootnode" val="0.48"/>
          <dgm:constr type="primFontSz" for="des" forName="ParentText" val="65"/>
          <dgm:constr type="primFontSz" for="des" forName="ChildText" refType="primFontSz" refFor="des" refForName="ParentText" op="lte"/>
          <dgm:constr type="w" for="ch" forName="composite" refType="w"/>
          <dgm:constr type="h" for="ch" forName="composite" refType="h"/>
          <dgm:constr type="sp" refType="h" refFor="ch" refForName="composite" op="equ" fact="-0.38"/>
        </dgm:constrLst>
      </dgm:else>
    </dgm:choose>
    <dgm:forEach name="nodesForEach" axis="ch" ptType="node">
      <dgm:layoutNode name="composite">
        <dgm:alg type="composite">
          <dgm:param type="ar" val="1.2439"/>
        </dgm:alg>
        <dgm:shape xmlns:r="http://schemas.openxmlformats.org/officeDocument/2006/relationships" r:blip="">
          <dgm:adjLst/>
        </dgm:shape>
        <dgm:choose name="Name6">
          <dgm:if name="Name7" func="var" arg="dir" op="equ" val="norm">
            <dgm:constrLst>
              <dgm:constr type="l" for="ch" forName="bentUpArrow1" refType="w" fact="0.07"/>
              <dgm:constr type="t" for="ch" forName="bentUpArrow1" refType="h" fact="0.524"/>
              <dgm:constr type="w" for="ch" forName="bentUpArrow1" refType="w" fact="0.3844"/>
              <dgm:constr type="h" for="ch" forName="bentUpArrow1" refType="h" fact="0.42"/>
              <dgm:constr type="l" for="ch" forName="ParentText" refType="w" fact="0"/>
              <dgm:constr type="t" for="ch" forName="ParentText" refType="h" fact="0"/>
              <dgm:constr type="w" for="ch" forName="ParentText" refType="w" fact="0.5684"/>
              <dgm:constr type="h" for="ch" forName="ParentText" refType="h" fact="0.4949"/>
              <dgm:constr type="l" for="ch" forName="ChildText" refType="w" refFor="ch" refForName="ParentText"/>
              <dgm:constr type="t" for="ch" forName="ChildText" refType="h" fact="0.05"/>
              <dgm:constr type="w" for="ch" forName="ChildText" refType="w" fact="0.4134"/>
              <dgm:constr type="h" for="ch" forName="ChildText" refType="h" fact="0.4"/>
              <dgm:constr type="l" for="ch" forName="FinalChildText" refType="w" refFor="ch" refForName="ParentText"/>
              <dgm:constr type="t" for="ch" forName="FinalChildText" refType="h" fact="0.05"/>
              <dgm:constr type="w" for="ch" forName="FinalChildText" refType="w" fact="0.4134"/>
              <dgm:constr type="h" for="ch" forName="FinalChildText" refType="h" fact="0.4"/>
            </dgm:constrLst>
          </dgm:if>
          <dgm:else name="Name8">
            <dgm:constrLst>
              <dgm:constr type="r" for="ch" forName="bentUpArrow1" refType="w" fact="0.97"/>
              <dgm:constr type="t" for="ch" forName="bentUpArrow1" refType="h" fact="0.524"/>
              <dgm:constr type="w" for="ch" forName="bentUpArrow1" refType="w" fact="0.3844"/>
              <dgm:constr type="h" for="ch" forName="bentUpArrow1" refType="h" fact="0.42"/>
              <dgm:constr type="l" for="ch" forName="ParentText" refType="w" fact="0.4316"/>
              <dgm:constr type="t" for="ch" forName="ParentText" refType="h" fact="0"/>
              <dgm:constr type="w" for="ch" forName="ParentText" refType="w" fact="0.5684"/>
              <dgm:constr type="h" for="ch" forName="ParentText" refType="h" fact="0.4949"/>
              <dgm:constr type="l" for="ch" forName="ChildText" refType="w" fact="0"/>
              <dgm:constr type="t" for="ch" forName="ChildText" refType="h" fact="0.05"/>
              <dgm:constr type="w" for="ch" forName="ChildText" refType="w" fact="0.4134"/>
              <dgm:constr type="h" for="ch" forName="ChildText" refType="h" fact="0.4"/>
              <dgm:constr type="l" for="ch" forName="FinalChildText" refType="w" fact="0"/>
              <dgm:constr type="t" for="ch" forName="FinalChildText" refType="h" fact="0.05"/>
              <dgm:constr type="w" for="ch" forName="FinalChildText" refType="w" fact="0.4134"/>
              <dgm:constr type="h" for="ch" forName="FinalChildText" refType="h" fact="0.4"/>
            </dgm:constrLst>
          </dgm:else>
        </dgm:choose>
        <dgm:choose name="Name9">
          <dgm:if name="Name10" axis="followSib" ptType="node" func="cnt" op="gte" val="1">
            <dgm:layoutNode name="bentUpArrow1" styleLbl="alignImgPlace1">
              <dgm:alg type="sp"/>
              <dgm:choose name="Name11">
                <dgm:if name="Name12" func="var" arg="dir" op="equ" val="norm">
                  <dgm:shape xmlns:r="http://schemas.openxmlformats.org/officeDocument/2006/relationships" rot="90" type="bentUpArrow" r:blip="">
                    <dgm:adjLst>
                      <dgm:adj idx="1" val="0.3284"/>
                      <dgm:adj idx="2" val="0.25"/>
                      <dgm:adj idx="3" val="0.3578"/>
                    </dgm:adjLst>
                  </dgm:shape>
                </dgm:if>
                <dgm:else name="Name13">
                  <dgm:shape xmlns:r="http://schemas.openxmlformats.org/officeDocument/2006/relationships" rot="180" type="bentArrow" r:blip="">
                    <dgm:adjLst>
                      <dgm:adj idx="1" val="0.3284"/>
                      <dgm:adj idx="2" val="0.25"/>
                      <dgm:adj idx="3" val="0.3578"/>
                      <dgm:adj idx="4" val="0"/>
                    </dgm:adjLst>
                  </dgm:shape>
                </dgm:else>
              </dgm:choose>
              <dgm:presOf/>
            </dgm:layoutNode>
          </dgm:if>
          <dgm:else name="Name14"/>
        </dgm:choose>
        <dgm:layoutNode name="ParentText" styleLbl="node1">
          <dgm:varLst>
            <dgm:chMax val="1"/>
            <dgm:chPref val="1"/>
            <dgm:bulletEnabled val="1"/>
          </dgm:varLst>
          <dgm:alg type="tx"/>
          <dgm:shape xmlns:r="http://schemas.openxmlformats.org/officeDocument/2006/relationships" type="roundRect" r:blip="">
            <dgm:adjLst>
              <dgm:adj idx="1" val="0.1667"/>
            </dgm:adjLst>
          </dgm:shape>
          <dgm:presOf axis="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choose name="Name15">
          <dgm:if name="Name16" axis="followSib" ptType="node" func="cnt" op="equ" val="0">
            <dgm:choose name="Name17">
              <dgm:if name="Name18" axis="ch" ptType="node" func="cnt" op="gte" val="1">
                <dgm:layoutNode name="Final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9"/>
            </dgm:choose>
          </dgm:if>
          <dgm:else name="Name20">
            <dgm:layoutNode name="ChildText" styleLbl="revTx">
              <dgm:varLst>
                <dgm:chMax val="0"/>
                <dgm:chPref val="0"/>
                <dgm:bulletEnabled val="1"/>
              </dgm:varLst>
              <dgm:alg type="tx">
                <dgm:param type="stBulletLvl" val="1"/>
                <dgm:param type="txAnchorVertCh" val="mid"/>
                <dgm:param type="parTxLTRAlign" val="l"/>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else>
        </dgm:choose>
      </dgm:layoutNode>
      <dgm:forEach name="sibTransForEach" axis="followSib" ptType="sibTrans" cnt="1">
        <dgm:layoutNode name="sibTrans">
          <dgm:alg type="sp"/>
          <dgm:shape xmlns:r="http://schemas.openxmlformats.org/officeDocument/2006/relationships" r:blip="">
            <dgm:adjLst/>
          </dgm:shap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TotalTime>
  <Pages>18</Pages>
  <Words>4301</Words>
  <Characters>24521</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Inam Alsalim (2502495)</cp:lastModifiedBy>
  <cp:revision>5</cp:revision>
  <dcterms:created xsi:type="dcterms:W3CDTF">2025-11-26T12:31:00Z</dcterms:created>
  <dcterms:modified xsi:type="dcterms:W3CDTF">2025-11-26T12:39:00Z</dcterms:modified>
</cp:coreProperties>
</file>