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9E09B0" w:rsidP="00FD4EA8" w:rsidRDefault="009E09B0" w14:paraId="7DA984B8" w14:textId="417D9655">
      <w:pPr>
        <w:pStyle w:val="Title"/>
        <w:jc w:val="center"/>
        <w:rPr>
          <w:color w:val="0E2841" w:themeColor="text2"/>
          <w:sz w:val="96"/>
          <w:szCs w:val="96"/>
        </w:rPr>
      </w:pPr>
      <w:r w:rsidRPr="00793BC9">
        <w:rPr>
          <w:color w:val="0E2841" w:themeColor="text2"/>
          <w:sz w:val="96"/>
          <w:szCs w:val="96"/>
        </w:rPr>
        <w:t>LEA</w:t>
      </w:r>
      <w:r w:rsidRPr="00793BC9" w:rsidR="00F34812">
        <w:rPr>
          <w:color w:val="0E2841" w:themeColor="text2"/>
          <w:sz w:val="96"/>
          <w:szCs w:val="96"/>
        </w:rPr>
        <w:t>DING &amp; DEVELOPING PEOPLE</w:t>
      </w:r>
    </w:p>
    <w:p w:rsidRPr="006A2BA5" w:rsidR="006A2BA5" w:rsidP="006A2BA5" w:rsidRDefault="006A2BA5" w14:paraId="6CA83D39" w14:textId="77777777"/>
    <w:p w:rsidR="006A2BA5" w:rsidP="643B07CA" w:rsidRDefault="006A2BA5" w14:paraId="2AF2FA2C" w14:textId="0377BFF4">
      <w:pPr>
        <w:pStyle w:val="Subtitle"/>
        <w:jc w:val="center"/>
        <w:rPr>
          <w:sz w:val="48"/>
          <w:szCs w:val="48"/>
        </w:rPr>
      </w:pPr>
      <w:r w:rsidRPr="643B07CA" w:rsidR="00ED5E1B">
        <w:rPr>
          <w:sz w:val="48"/>
          <w:szCs w:val="48"/>
        </w:rPr>
        <w:t xml:space="preserve">Call Centre in a </w:t>
      </w:r>
      <w:r w:rsidRPr="643B07CA" w:rsidR="795E6835">
        <w:rPr>
          <w:sz w:val="48"/>
          <w:szCs w:val="48"/>
        </w:rPr>
        <w:t>C</w:t>
      </w:r>
      <w:r w:rsidRPr="643B07CA" w:rsidR="00ED5E1B">
        <w:rPr>
          <w:sz w:val="48"/>
          <w:szCs w:val="48"/>
        </w:rPr>
        <w:t>risis</w:t>
      </w:r>
      <w:r w:rsidRPr="643B07CA" w:rsidR="001E51D9">
        <w:rPr>
          <w:sz w:val="48"/>
          <w:szCs w:val="48"/>
        </w:rPr>
        <w:t xml:space="preserve">. </w:t>
      </w:r>
    </w:p>
    <w:p w:rsidR="006A2BA5" w:rsidP="643B07CA" w:rsidRDefault="006A2BA5" w14:paraId="298CA6FD" w14:textId="2A83334F">
      <w:pPr>
        <w:pStyle w:val="Subtitle"/>
        <w:jc w:val="center"/>
        <w:rPr>
          <w:sz w:val="48"/>
          <w:szCs w:val="48"/>
        </w:rPr>
      </w:pPr>
      <w:r w:rsidRPr="643B07CA" w:rsidR="001E51D9">
        <w:rPr>
          <w:sz w:val="48"/>
          <w:szCs w:val="48"/>
        </w:rPr>
        <w:t>The</w:t>
      </w:r>
      <w:r w:rsidRPr="643B07CA" w:rsidR="00ED5E1B">
        <w:rPr>
          <w:sz w:val="48"/>
          <w:szCs w:val="48"/>
        </w:rPr>
        <w:t xml:space="preserve"> </w:t>
      </w:r>
      <w:r w:rsidRPr="643B07CA" w:rsidR="36804A16">
        <w:rPr>
          <w:sz w:val="48"/>
          <w:szCs w:val="48"/>
        </w:rPr>
        <w:t>R</w:t>
      </w:r>
      <w:r w:rsidRPr="643B07CA" w:rsidR="00ED5E1B">
        <w:rPr>
          <w:sz w:val="48"/>
          <w:szCs w:val="48"/>
        </w:rPr>
        <w:t xml:space="preserve">ole of </w:t>
      </w:r>
      <w:r w:rsidRPr="643B07CA" w:rsidR="6456E733">
        <w:rPr>
          <w:sz w:val="48"/>
          <w:szCs w:val="48"/>
        </w:rPr>
        <w:t>W</w:t>
      </w:r>
      <w:r w:rsidRPr="643B07CA" w:rsidR="00ED5E1B">
        <w:rPr>
          <w:sz w:val="48"/>
          <w:szCs w:val="48"/>
        </w:rPr>
        <w:t xml:space="preserve">ellbeing </w:t>
      </w:r>
      <w:r w:rsidRPr="643B07CA" w:rsidR="47CF58C8">
        <w:rPr>
          <w:sz w:val="48"/>
          <w:szCs w:val="48"/>
        </w:rPr>
        <w:t>S</w:t>
      </w:r>
      <w:r w:rsidRPr="643B07CA" w:rsidR="00ED5E1B">
        <w:rPr>
          <w:sz w:val="48"/>
          <w:szCs w:val="48"/>
        </w:rPr>
        <w:t xml:space="preserve">trategies in </w:t>
      </w:r>
      <w:r w:rsidRPr="643B07CA" w:rsidR="4E74B01A">
        <w:rPr>
          <w:sz w:val="48"/>
          <w:szCs w:val="48"/>
        </w:rPr>
        <w:t>S</w:t>
      </w:r>
      <w:r w:rsidRPr="643B07CA" w:rsidR="00ED5E1B">
        <w:rPr>
          <w:sz w:val="48"/>
          <w:szCs w:val="48"/>
        </w:rPr>
        <w:t xml:space="preserve">upporting </w:t>
      </w:r>
      <w:r w:rsidRPr="643B07CA" w:rsidR="173E656B">
        <w:rPr>
          <w:sz w:val="48"/>
          <w:szCs w:val="48"/>
        </w:rPr>
        <w:t>P</w:t>
      </w:r>
      <w:r w:rsidRPr="643B07CA" w:rsidR="00ED5E1B">
        <w:rPr>
          <w:sz w:val="48"/>
          <w:szCs w:val="48"/>
        </w:rPr>
        <w:t>eople</w:t>
      </w:r>
      <w:r w:rsidRPr="643B07CA" w:rsidR="001E51D9">
        <w:rPr>
          <w:sz w:val="48"/>
          <w:szCs w:val="48"/>
        </w:rPr>
        <w:t>.</w:t>
      </w:r>
    </w:p>
    <w:p w:rsidRPr="006A2BA5" w:rsidR="006A2BA5" w:rsidP="006A2BA5" w:rsidRDefault="006A2BA5" w14:paraId="43889785" w14:textId="77777777"/>
    <w:p w:rsidRPr="00FD4EA8" w:rsidR="001E51D9" w:rsidP="00FD4EA8" w:rsidRDefault="00297C15" w14:paraId="5F57A0DE" w14:textId="073F2958">
      <w:pPr>
        <w:jc w:val="center"/>
        <w:rPr>
          <w:rStyle w:val="SubtleEmphasis"/>
          <w:sz w:val="36"/>
          <w:szCs w:val="36"/>
        </w:rPr>
      </w:pPr>
      <w:r w:rsidRPr="00FD4EA8">
        <w:rPr>
          <w:rStyle w:val="SubtleEmphasis"/>
          <w:sz w:val="36"/>
          <w:szCs w:val="36"/>
        </w:rPr>
        <w:t>BMBM6023</w:t>
      </w:r>
    </w:p>
    <w:p w:rsidR="006A2BA5" w:rsidP="00FD4EA8" w:rsidRDefault="006651E3" w14:paraId="324D6385" w14:textId="39B8C559">
      <w:pPr>
        <w:jc w:val="center"/>
        <w:rPr>
          <w:rStyle w:val="SubtleEmphasis"/>
          <w:sz w:val="36"/>
          <w:szCs w:val="36"/>
        </w:rPr>
      </w:pPr>
      <w:r w:rsidRPr="643B07CA" w:rsidR="006651E3">
        <w:rPr>
          <w:rStyle w:val="SubtleEmphasis"/>
          <w:sz w:val="36"/>
          <w:szCs w:val="36"/>
        </w:rPr>
        <w:t>FABIANA ANGHEL (2203518)</w:t>
      </w:r>
    </w:p>
    <w:p w:rsidR="006A2BA5" w:rsidP="00FD4EA8" w:rsidRDefault="00CE5EC2" w14:paraId="0EF57BB3" w14:textId="138C6AE6">
      <w:pPr>
        <w:jc w:val="center"/>
        <w:rPr>
          <w:rStyle w:val="SubtleEmphasis"/>
          <w:sz w:val="36"/>
          <w:szCs w:val="36"/>
        </w:rPr>
      </w:pPr>
      <w:r>
        <w:rPr>
          <w:i/>
          <w:iCs/>
          <w:noProof/>
          <w:color w:val="404040" w:themeColor="text1" w:themeTint="BF"/>
          <w:sz w:val="36"/>
          <w:szCs w:val="36"/>
        </w:rPr>
        <w:drawing>
          <wp:anchor distT="0" distB="0" distL="114300" distR="114300" simplePos="0" relativeHeight="251660288" behindDoc="0" locked="0" layoutInCell="1" allowOverlap="1" wp14:anchorId="0CEDAE15" wp14:editId="1BA8A4DD">
            <wp:simplePos x="0" y="0"/>
            <wp:positionH relativeFrom="column">
              <wp:posOffset>0</wp:posOffset>
            </wp:positionH>
            <wp:positionV relativeFrom="paragraph">
              <wp:posOffset>425450</wp:posOffset>
            </wp:positionV>
            <wp:extent cx="5943600" cy="2482215"/>
            <wp:effectExtent l="0" t="0" r="0" b="0"/>
            <wp:wrapTopAndBottom/>
            <wp:docPr id="17370864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086411" name="Picture 1737086411"/>
                    <pic:cNvPicPr/>
                  </pic:nvPicPr>
                  <pic:blipFill>
                    <a:blip r:embed="rId6" cstate="print">
                      <a:extLst>
                        <a:ext uri="{28A0092B-C50C-407E-A947-70E740481C1C}">
                          <a14:useLocalDpi xmlns:a14="http://schemas.microsoft.com/office/drawing/2010/main" val="0"/>
                        </a:ext>
                      </a:extLst>
                    </a:blip>
                    <a:stretch>
                      <a:fillRect/>
                    </a:stretch>
                  </pic:blipFill>
                  <pic:spPr>
                    <a:xfrm>
                      <a:off x="0" y="0"/>
                      <a:ext cx="5943600" cy="2482215"/>
                    </a:xfrm>
                    <a:prstGeom prst="rect">
                      <a:avLst/>
                    </a:prstGeom>
                  </pic:spPr>
                </pic:pic>
              </a:graphicData>
            </a:graphic>
          </wp:anchor>
        </w:drawing>
      </w:r>
    </w:p>
    <w:p w:rsidR="00793BC9" w:rsidP="006A2BA5" w:rsidRDefault="006A2BA5" w14:paraId="0B1B67CB" w14:textId="5D634ED9">
      <w:pPr>
        <w:rPr>
          <w:rStyle w:val="SubtleEmphasis"/>
          <w:sz w:val="36"/>
          <w:szCs w:val="36"/>
        </w:rPr>
      </w:pPr>
      <w:r w:rsidRPr="643B07CA">
        <w:rPr>
          <w:rStyle w:val="SubtleEmphasis"/>
          <w:sz w:val="36"/>
          <w:szCs w:val="36"/>
        </w:rPr>
        <w:br w:type="page"/>
      </w:r>
    </w:p>
    <w:p w:rsidR="3AB39FB5" w:rsidP="643B07CA" w:rsidRDefault="3AB39FB5" w14:paraId="23FF837D" w14:textId="73A088F3">
      <w:pPr>
        <w:bidi w:val="0"/>
        <w:rPr>
          <w:rFonts w:ascii="Aptos" w:hAnsi="Aptos" w:eastAsia="Aptos" w:cs="Aptos"/>
          <w:b w:val="0"/>
          <w:bCs w:val="0"/>
          <w:i w:val="0"/>
          <w:iCs w:val="0"/>
          <w:caps w:val="0"/>
          <w:smallCaps w:val="0"/>
          <w:noProof/>
          <w:color w:val="000000" w:themeColor="text1" w:themeTint="FF" w:themeShade="FF"/>
          <w:sz w:val="24"/>
          <w:szCs w:val="24"/>
          <w:lang w:val="en-GB"/>
        </w:rPr>
      </w:pPr>
      <w:r w:rsidRPr="643B07CA" w:rsidR="3AB39FB5">
        <w:rPr>
          <w:rFonts w:ascii="Aptos" w:hAnsi="Aptos" w:eastAsia="Aptos" w:cs="Aptos"/>
          <w:b w:val="0"/>
          <w:bCs w:val="0"/>
          <w:i w:val="0"/>
          <w:iCs w:val="0"/>
          <w:caps w:val="0"/>
          <w:smallCaps w:val="0"/>
          <w:noProof/>
          <w:color w:val="000000" w:themeColor="text1" w:themeTint="FF" w:themeShade="FF"/>
          <w:sz w:val="24"/>
          <w:szCs w:val="24"/>
          <w:lang w:val="en-GB"/>
        </w:rPr>
        <w:t>The following essay has been created with the purpose of assisting Heavencares Insurance in the Cardiff branch with the surfacing issues that have been reported over the past few months, which have been consistent with the decline in performance and well-being of the organisation in the said site. The issues reported consist of high turnovers, increase in absences due to mental health and unseasonal colds and flu, as well as a decrease in performance from the longer serving employees due to long term illness. In order to assist with these issues, a well-being strategy will be discussed, which will explore the link between well-being and performance, as well as how employee development will provide a positive impact on their overall wellbeing. It is also of importance to take into account the environment and location of the branch within this strategic formulation, as these external factors do play a role within the discussion of well-being.</w:t>
      </w:r>
    </w:p>
    <w:p w:rsidR="3AB39FB5" w:rsidP="643B07CA" w:rsidRDefault="3AB39FB5" w14:paraId="1555FA4C" w14:textId="188E866B">
      <w:pPr>
        <w:bidi w:val="0"/>
        <w:rPr>
          <w:rFonts w:ascii="Aptos" w:hAnsi="Aptos" w:eastAsia="Aptos" w:cs="Aptos"/>
          <w:b w:val="0"/>
          <w:bCs w:val="0"/>
          <w:i w:val="0"/>
          <w:iCs w:val="0"/>
          <w:caps w:val="0"/>
          <w:smallCaps w:val="0"/>
          <w:noProof/>
          <w:color w:val="000000" w:themeColor="text1" w:themeTint="FF" w:themeShade="FF"/>
          <w:sz w:val="24"/>
          <w:szCs w:val="24"/>
          <w:lang w:val="en-GB"/>
        </w:rPr>
      </w:pPr>
      <w:r w:rsidRPr="643B07CA" w:rsidR="3AB39FB5">
        <w:rPr>
          <w:rFonts w:ascii="Aptos" w:hAnsi="Aptos" w:eastAsia="Aptos" w:cs="Aptos"/>
          <w:b w:val="0"/>
          <w:bCs w:val="0"/>
          <w:i w:val="0"/>
          <w:iCs w:val="0"/>
          <w:caps w:val="0"/>
          <w:smallCaps w:val="0"/>
          <w:noProof/>
          <w:color w:val="000000" w:themeColor="text1" w:themeTint="FF" w:themeShade="FF"/>
          <w:sz w:val="24"/>
          <w:szCs w:val="24"/>
          <w:lang w:val="en-GB"/>
        </w:rPr>
        <w:t xml:space="preserve">Cardiff is described as a “thoroughly modern capital” (Palfery, 2024). Cardiff has been subject to a variety of changes throughout the decades, ranging from its infrastructure to an increase in population, which has now seen an increase of almost 100,000 people since the year 2000 (World Population Review, 2024), which for a developing capital, is an extremely high number. From an economic perspective, this is amazing news, since the growth in population will contribute to the improving of tax revenues for the economy, however, from a citizen perspective, it leaves a lot to desire. The growth in population has left a heavy burden on Cardiff’s infrastructure and it has deepened the issue of housing crisis which the whole United Kingdom is suffering from (Pettinger, 2017). However, this is not caused only due to the growth in population of those who reside there, but it must also be mentioned how Cardiff, as a modern capital is subject to constant commuting into it, where only in 2017 was reported to receive around 90,000 commuters daily from over 13 localities (Cardiff Economy, 2023). This has impacted heavily the already the unpleasant pressure upon the cities transport infrastructure. </w:t>
      </w:r>
    </w:p>
    <w:p w:rsidR="3AB39FB5" w:rsidP="643B07CA" w:rsidRDefault="3AB39FB5" w14:paraId="59FD18B4" w14:textId="70AACE90">
      <w:pPr>
        <w:bidi w:val="0"/>
        <w:rPr>
          <w:rFonts w:ascii="Aptos" w:hAnsi="Aptos" w:eastAsia="Aptos" w:cs="Aptos"/>
          <w:b w:val="0"/>
          <w:bCs w:val="0"/>
          <w:i w:val="0"/>
          <w:iCs w:val="0"/>
          <w:caps w:val="0"/>
          <w:smallCaps w:val="0"/>
          <w:noProof/>
          <w:color w:val="000000" w:themeColor="text1" w:themeTint="FF" w:themeShade="FF"/>
          <w:sz w:val="24"/>
          <w:szCs w:val="24"/>
          <w:lang w:val="en-GB"/>
        </w:rPr>
      </w:pPr>
      <w:r w:rsidRPr="643B07CA" w:rsidR="3AB39FB5">
        <w:rPr>
          <w:rFonts w:ascii="Aptos" w:hAnsi="Aptos" w:eastAsia="Aptos" w:cs="Aptos"/>
          <w:b w:val="0"/>
          <w:bCs w:val="0"/>
          <w:i w:val="0"/>
          <w:iCs w:val="0"/>
          <w:caps w:val="0"/>
          <w:smallCaps w:val="0"/>
          <w:noProof/>
          <w:color w:val="000000" w:themeColor="text1" w:themeTint="FF" w:themeShade="FF"/>
          <w:sz w:val="24"/>
          <w:szCs w:val="24"/>
          <w:lang w:val="en-GB"/>
        </w:rPr>
        <w:t xml:space="preserve">This information is extremely relevant in order to understand some of the current issues which the organisation is experiencing, especially regarding high absences. It must be taken into account how the organisation currently holds 300 people into employment, some of which live in the area and some of which commute to the city. Now, having a deeper understanding of the factor of travel to work while being informed about the cities’ infrastructure, will allow the organisation to become much lenient regarding things such as tardiness, which could have caused some of the employees to unconsciously develop time anxiety and see the absenteeism as a preferable alternative to tardiness. Time anxiety as the name states, refers to the emotional instability caused by things such as arriving late, which many professionals have discovered to actually affect the mood and performance of an individual within the workplace (Raypole, 2020). </w:t>
      </w:r>
    </w:p>
    <w:p w:rsidR="3AB39FB5" w:rsidP="643B07CA" w:rsidRDefault="3AB39FB5" w14:paraId="5D2E77AE" w14:textId="084B5A63">
      <w:pPr>
        <w:bidi w:val="0"/>
        <w:rPr>
          <w:rFonts w:ascii="Aptos" w:hAnsi="Aptos" w:eastAsia="Aptos" w:cs="Aptos"/>
          <w:b w:val="0"/>
          <w:bCs w:val="0"/>
          <w:i w:val="0"/>
          <w:iCs w:val="0"/>
          <w:caps w:val="0"/>
          <w:smallCaps w:val="0"/>
          <w:noProof/>
          <w:color w:val="000000" w:themeColor="text1" w:themeTint="FF" w:themeShade="FF"/>
          <w:sz w:val="24"/>
          <w:szCs w:val="24"/>
          <w:lang w:val="en-GB"/>
        </w:rPr>
      </w:pPr>
      <w:r w:rsidRPr="643B07CA" w:rsidR="3AB39FB5">
        <w:rPr>
          <w:rFonts w:ascii="Aptos" w:hAnsi="Aptos" w:eastAsia="Aptos" w:cs="Aptos"/>
          <w:b w:val="0"/>
          <w:bCs w:val="0"/>
          <w:i w:val="0"/>
          <w:iCs w:val="0"/>
          <w:caps w:val="0"/>
          <w:smallCaps w:val="0"/>
          <w:noProof/>
          <w:color w:val="000000" w:themeColor="text1" w:themeTint="FF" w:themeShade="FF"/>
          <w:sz w:val="24"/>
          <w:szCs w:val="24"/>
          <w:lang w:val="en-GB"/>
        </w:rPr>
        <w:t xml:space="preserve">This is just one of the many repercussions of not taking employee well-being into account when managing and leading them. </w:t>
      </w:r>
      <w:r>
        <w:tab/>
      </w:r>
      <w:r w:rsidRPr="643B07CA" w:rsidR="3AB39FB5">
        <w:rPr>
          <w:rFonts w:ascii="Aptos" w:hAnsi="Aptos" w:eastAsia="Aptos" w:cs="Aptos"/>
          <w:b w:val="0"/>
          <w:bCs w:val="0"/>
          <w:i w:val="0"/>
          <w:iCs w:val="0"/>
          <w:caps w:val="0"/>
          <w:smallCaps w:val="0"/>
          <w:noProof/>
          <w:color w:val="000000" w:themeColor="text1" w:themeTint="FF" w:themeShade="FF"/>
          <w:sz w:val="24"/>
          <w:szCs w:val="24"/>
          <w:lang w:val="en-GB"/>
        </w:rPr>
        <w:t>However, it makes one wonder where to start to implement efficient well-being strategies in order to tackle these issues. Well, for once it shall start by learning about the concept of well-being. The common definition of well-being focuses upon reaching a state of happiness (Bautista et al., 2023). However, according to the Mental Health Foundation (2015), well-being is much more complex than just being happy and they choose to describe it as</w:t>
      </w:r>
      <w:r w:rsidRPr="643B07CA" w:rsidR="3AB39FB5">
        <w:rPr>
          <w:rFonts w:ascii="Aptos" w:hAnsi="Aptos" w:eastAsia="Aptos" w:cs="Aptos"/>
          <w:b w:val="0"/>
          <w:bCs w:val="0"/>
          <w:i w:val="1"/>
          <w:iCs w:val="1"/>
          <w:caps w:val="0"/>
          <w:smallCaps w:val="0"/>
          <w:noProof/>
          <w:color w:val="000000" w:themeColor="text1" w:themeTint="FF" w:themeShade="FF"/>
          <w:sz w:val="24"/>
          <w:szCs w:val="24"/>
          <w:lang w:val="en-GB"/>
        </w:rPr>
        <w:t xml:space="preserve"> “how satisfied people are with their life a whole, their sense of purpose, and how in control they feel.” </w:t>
      </w:r>
      <w:r w:rsidRPr="643B07CA" w:rsidR="3AB39FB5">
        <w:rPr>
          <w:rFonts w:ascii="Aptos" w:hAnsi="Aptos" w:eastAsia="Aptos" w:cs="Aptos"/>
          <w:b w:val="0"/>
          <w:bCs w:val="0"/>
          <w:i w:val="0"/>
          <w:iCs w:val="0"/>
          <w:caps w:val="0"/>
          <w:smallCaps w:val="0"/>
          <w:noProof/>
          <w:color w:val="000000" w:themeColor="text1" w:themeTint="FF" w:themeShade="FF"/>
          <w:sz w:val="24"/>
          <w:szCs w:val="24"/>
          <w:lang w:val="en-GB"/>
        </w:rPr>
        <w:t xml:space="preserve">(Mental Health Foundation, 2015). It has been shown that successful implementation and sustaining of wellbeing strategies in the workplace has contributed to the increase of motivation, engagement and efficiency of employees within organisations (IGPP, 2024). However, when discussing well-being, individuals tend to assume that it only implies taking care of the mental aspect, which is where many organisations are inclined to fail in the implementation of these strategies. Well-being is a holistic concept which combines physical, financial, social and mental aspects as a few to mention (NHS, 2021). Within Heavenscare Insurance in Cardiff, it seems like the physical aspect of the concept is being more affected, thus it provides a starting point for the organisation to look at, as according to Hill (2025) </w:t>
      </w:r>
      <w:r w:rsidRPr="643B07CA" w:rsidR="3AB39FB5">
        <w:rPr>
          <w:rFonts w:ascii="Aptos" w:hAnsi="Aptos" w:eastAsia="Aptos" w:cs="Aptos"/>
          <w:b w:val="0"/>
          <w:bCs w:val="0"/>
          <w:i w:val="1"/>
          <w:iCs w:val="1"/>
          <w:caps w:val="0"/>
          <w:smallCaps w:val="0"/>
          <w:noProof/>
          <w:color w:val="000000" w:themeColor="text1" w:themeTint="FF" w:themeShade="FF"/>
          <w:sz w:val="24"/>
          <w:szCs w:val="24"/>
          <w:lang w:val="en-GB"/>
        </w:rPr>
        <w:t xml:space="preserve">“Long hours spent at a desk without movement can lead to musculoskeletal issues, poor posture and cardiovascular risks.” </w:t>
      </w:r>
      <w:r w:rsidRPr="643B07CA" w:rsidR="3AB39FB5">
        <w:rPr>
          <w:rFonts w:ascii="Aptos" w:hAnsi="Aptos" w:eastAsia="Aptos" w:cs="Aptos"/>
          <w:b w:val="0"/>
          <w:bCs w:val="0"/>
          <w:i w:val="0"/>
          <w:iCs w:val="0"/>
          <w:caps w:val="0"/>
          <w:smallCaps w:val="0"/>
          <w:noProof/>
          <w:color w:val="000000" w:themeColor="text1" w:themeTint="FF" w:themeShade="FF"/>
          <w:sz w:val="24"/>
          <w:szCs w:val="24"/>
          <w:lang w:val="en-GB"/>
        </w:rPr>
        <w:t xml:space="preserve">(Hill, 2025), which correlates to the organisations decrease in performance from the longer serving employees due to long term illness. However, sitting for long hours isn’t the only factor which needs to be looked at in order to understand where the issue stands, it is very important to look at it from a broader perspective in order to identify the issues which are not as obvious. Apart from long working hours, it has been researched how things such as job security, workplace relationships, monetary worries and insufficient rest as a few of the most important to mention are one of the major contributors of impacting well-being in the workplace, however these factors can reach the hundreds in numbers easily (Rachel Suff, 2024). </w:t>
      </w:r>
    </w:p>
    <w:p w:rsidR="3AB39FB5" w:rsidP="643B07CA" w:rsidRDefault="3AB39FB5" w14:paraId="50593F6A" w14:textId="45BDF47F">
      <w:pPr>
        <w:bidi w:val="0"/>
        <w:rPr>
          <w:rFonts w:ascii="Aptos" w:hAnsi="Aptos" w:eastAsia="Aptos" w:cs="Aptos"/>
          <w:b w:val="0"/>
          <w:bCs w:val="0"/>
          <w:i w:val="0"/>
          <w:iCs w:val="0"/>
          <w:caps w:val="0"/>
          <w:smallCaps w:val="0"/>
          <w:noProof/>
          <w:color w:val="000000" w:themeColor="text1" w:themeTint="FF" w:themeShade="FF"/>
          <w:sz w:val="24"/>
          <w:szCs w:val="24"/>
          <w:lang w:val="en-GB"/>
        </w:rPr>
      </w:pPr>
      <w:r w:rsidRPr="643B07CA" w:rsidR="3AB39FB5">
        <w:rPr>
          <w:rFonts w:ascii="Aptos" w:hAnsi="Aptos" w:eastAsia="Aptos" w:cs="Aptos"/>
          <w:b w:val="0"/>
          <w:bCs w:val="0"/>
          <w:i w:val="0"/>
          <w:iCs w:val="0"/>
          <w:caps w:val="0"/>
          <w:smallCaps w:val="0"/>
          <w:noProof/>
          <w:color w:val="000000" w:themeColor="text1" w:themeTint="FF" w:themeShade="FF"/>
          <w:sz w:val="24"/>
          <w:szCs w:val="24"/>
          <w:lang w:val="en-GB"/>
        </w:rPr>
        <w:t xml:space="preserve">Be that as it may, unless the importance of well-being is distributed accordingly and applied, the previous information will present itself worthless. Thus, it reaches the first important step within a well-being strategy, which concerns itself with the leaders and managers of the employees that must be protected. The managers and leader within an organisation have got a major role to play within the well-being strategies, as they are the pillars which shape an organisations culture. Through actions such as demonstrating a role model behaviour which incites taking care of oneself and manging the implementation of well-being strategies and policies, these individuals are able to create an environment which from a well-being perspective could be considered psychologically safe (Kilo, 2019). Within Heavencares Insurance, although there are 300 people employed, there are small number of team leaders and senior managers. For the organisation this can have many benefits but also many disadvantages. From a positive perspective, the organisation would have very few individuals in need of training on the importance of well-being, which implies less training costs, however, on the other hand, it must be taken into consideration that they also form part of the employees which the well-being strategy is trying to protect and support and which might actually have the opposite effect on them as they might feel oversaturated with the training if not implemented accordingly in accordance with their current responsibilities from managing the large amount of workforce. It is of extreme importance to make the managers and leader subject to these training, as it has been demonstrated that the biggest and major factor which causes stress and affects well-being in the workplace, relates to poor management (acas, 2023).  Thus, the organisation shall initially provide individual well-being support to these individuals, which upon completion they shall distribute and reflect those trainings within their everyday performances and guidance's. </w:t>
      </w:r>
    </w:p>
    <w:p w:rsidR="3AB39FB5" w:rsidP="643B07CA" w:rsidRDefault="3AB39FB5" w14:paraId="4C790098" w14:textId="4C1CF886">
      <w:pPr>
        <w:bidi w:val="0"/>
        <w:rPr>
          <w:rFonts w:ascii="Aptos" w:hAnsi="Aptos" w:eastAsia="Aptos" w:cs="Aptos"/>
          <w:b w:val="0"/>
          <w:bCs w:val="0"/>
          <w:i w:val="0"/>
          <w:iCs w:val="0"/>
          <w:caps w:val="0"/>
          <w:smallCaps w:val="0"/>
          <w:noProof/>
          <w:color w:val="000000" w:themeColor="text1" w:themeTint="FF" w:themeShade="FF"/>
          <w:sz w:val="24"/>
          <w:szCs w:val="24"/>
          <w:lang w:val="en-GB"/>
        </w:rPr>
      </w:pPr>
      <w:r w:rsidRPr="643B07CA" w:rsidR="3AB39FB5">
        <w:rPr>
          <w:rFonts w:ascii="Aptos" w:hAnsi="Aptos" w:eastAsia="Aptos" w:cs="Aptos"/>
          <w:b w:val="0"/>
          <w:bCs w:val="0"/>
          <w:i w:val="0"/>
          <w:iCs w:val="0"/>
          <w:caps w:val="0"/>
          <w:smallCaps w:val="0"/>
          <w:noProof/>
          <w:color w:val="000000" w:themeColor="text1" w:themeTint="FF" w:themeShade="FF"/>
          <w:sz w:val="24"/>
          <w:szCs w:val="24"/>
          <w:lang w:val="en-GB"/>
        </w:rPr>
        <w:t xml:space="preserve">This type of training could be considered an implementation of employee development. Employee development is described as a strategy where organisations make investments towards the boosting of their workforce regarding skills, knowledge and abilities with the hopes of enhancing the link between their employees and the organisations goals and visions (Long, 2026). This is another major factor within a well-being strategy which holds a lot of value, as it has been shown how organisations which supports employee development have experienced an increase in employee productivity and employee retention as the implementation creates an environment where learning is encouraged and where progression is sustained, enhancing employee morale, thus improving things such as mental health (Culture Amp, 2024). Heavenscare in Cardiff shall consider this in their strategy as one of the issues concerning high turnovers might have been impacted due to their lack of possibilities for learning and progression which furthermore might have impacted the high absence due to mental health. Not only will the branch in Cardiff benefit from an increase in morale and a decrease in the high turnover which they are experiencing, but it will show the employees that they are valued as individuals of the organisation and not considered just a number easy to discard and replace and  it won’t improve only individual emotional stability but also overall environment ambiance within the workplace (Cumberland Lodge, 2024). </w:t>
      </w:r>
    </w:p>
    <w:p w:rsidR="3AB39FB5" w:rsidP="643B07CA" w:rsidRDefault="3AB39FB5" w14:paraId="2960AD09" w14:textId="4EEF8465">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color w:val="000000" w:themeColor="text1" w:themeTint="FF" w:themeShade="FF"/>
          <w:sz w:val="24"/>
          <w:szCs w:val="24"/>
          <w:lang w:val="en-GB"/>
        </w:rPr>
      </w:pPr>
      <w:r w:rsidRPr="643B07CA" w:rsidR="3AB39FB5">
        <w:rPr>
          <w:rFonts w:ascii="Aptos" w:hAnsi="Aptos" w:eastAsia="Aptos" w:cs="Aptos"/>
          <w:b w:val="0"/>
          <w:bCs w:val="0"/>
          <w:i w:val="0"/>
          <w:iCs w:val="0"/>
          <w:caps w:val="0"/>
          <w:smallCaps w:val="0"/>
          <w:noProof/>
          <w:color w:val="000000" w:themeColor="text1" w:themeTint="FF" w:themeShade="FF"/>
          <w:sz w:val="24"/>
          <w:szCs w:val="24"/>
          <w:lang w:val="en-GB"/>
        </w:rPr>
        <w:t xml:space="preserve">This development strategy, as previously mentioned, interlinks with the well-being of the employees. However, many organisations lack the funds or the budget to provide their employees with these opportunities, but they must not fret, as there are other solutions in which an organisation may implement low-cost assorted strategies. One of the ways in which this can be done is through manager and employee regular ones to ones. This will aid in the building of a healthy well-being culture, as this action will construct trust within the organisation and it will create an environment well employees feel supported and listened to, which will further develop their positive sentiments. Another particular way in which well-being can be implemented at a low cost and which from a personal perspective is found very relevant to HeavensCare Insurance in Cardiff, is the encouragement of screen free breaks (Millett, 2025) as it must be taken into consideration the environment of the call centre. Within a call centre, employees are expected to work long hours in front of screens, sitting down, in an indoor space where they are subject to constant noise from equipment which might cause them distraction and where working space can also be very limited (Illinois Work, 2025). From the sounds of it, this leaves quite a lot to desire from a working environment. This can also correlate to some of the issues which the Cardiff branch has been experiencing, such as unseasonal colds and flues which has contribute to high absences. Thus, although taking screen free breaks might seem insignificant, for the employees which spend countless hours in such working conditions, encouraging this well-being tactic will definitely benefit them by reducing things such as burn outs, improving performance and protecting the physical health of the employees (Gardiner, 2025). However, this solution might not be as efficient for some of the   long serving employees, which as previously mentioned has been reported a decrease in performance and long-term illness amongst them. For these specific individuals, a more sophisticated approach is needed, and which involve reviewing some organisational policies regarding paid time off work or working from home. By changing some of these policies in order to allocate the needs of these employees it will allow them to recharge and improve their overall performance as well as evading being uncomfortable in the workplace due to the illness suffered. </w:t>
      </w:r>
    </w:p>
    <w:p w:rsidR="3AB39FB5" w:rsidP="643B07CA" w:rsidRDefault="3AB39FB5" w14:paraId="4C3C1871" w14:textId="3521213B">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color w:val="000000" w:themeColor="text1" w:themeTint="FF" w:themeShade="FF"/>
          <w:sz w:val="24"/>
          <w:szCs w:val="24"/>
          <w:lang w:val="en-GB"/>
        </w:rPr>
      </w:pPr>
      <w:r w:rsidRPr="643B07CA" w:rsidR="3AB39FB5">
        <w:rPr>
          <w:rFonts w:ascii="Aptos" w:hAnsi="Aptos" w:eastAsia="Aptos" w:cs="Aptos"/>
          <w:b w:val="0"/>
          <w:bCs w:val="0"/>
          <w:i w:val="0"/>
          <w:iCs w:val="0"/>
          <w:caps w:val="0"/>
          <w:smallCaps w:val="0"/>
          <w:noProof/>
          <w:color w:val="000000" w:themeColor="text1" w:themeTint="FF" w:themeShade="FF"/>
          <w:sz w:val="24"/>
          <w:szCs w:val="24"/>
          <w:lang w:val="en-GB"/>
        </w:rPr>
        <w:t xml:space="preserve">Now, upon completion of this essay, a few conclusions can be drawn. HeavensCare Insurance in Cardiff has been experiencing a variety of issues such as high turnovers, increase in absences due to mental health and unseasonal colds and flu, as well as a decrease in performance from the longer serving employees due to long term illness. These issues correlate to a lack of well-being strategy within the workplace. High turnovers might have been caused by a lack of developmental opportunities within the workplace. Implementation of things such as career progression could resolve this and increase employee retention to counterattack the issue as well as improve overall well-being in the workplace. High absences due to mental health and colds/flue, interlink to the organisations working environment and location of the organisation, which by enforcing well-being tactics such as time away from the screen during breaks and by modifying some of the policies regarding working hours and allowing more flexibility to arrive to work, will improve overall performance of the employees and their overall disposition in work. And to finalise, allocating possibilities such as working from home and paid time of work, will allow long serving employees to recharge and work in an environment which assists with their long-term illness. Thus, it can be concluded how the performance of the organisation is dependant in the integration and application of well-being and how developing the employees within the organisation is the main step </w:t>
      </w:r>
      <w:r w:rsidRPr="643B07CA" w:rsidR="3AB39FB5">
        <w:rPr>
          <w:rFonts w:ascii="Aptos" w:hAnsi="Aptos" w:eastAsia="Aptos" w:cs="Aptos"/>
          <w:b w:val="0"/>
          <w:bCs w:val="0"/>
          <w:i w:val="0"/>
          <w:iCs w:val="0"/>
          <w:caps w:val="0"/>
          <w:smallCaps w:val="0"/>
          <w:noProof/>
          <w:color w:val="000000" w:themeColor="text1" w:themeTint="FF" w:themeShade="FF"/>
          <w:sz w:val="24"/>
          <w:szCs w:val="24"/>
          <w:lang w:val="en-GB"/>
        </w:rPr>
        <w:t>towards the success of it.</w:t>
      </w:r>
    </w:p>
    <w:p w:rsidR="643B07CA" w:rsidP="643B07CA" w:rsidRDefault="643B07CA" w14:paraId="5539CAD2" w14:textId="1AAAEB5D">
      <w:pPr>
        <w:pStyle w:val="Normal"/>
        <w:numPr>
          <w:ilvl w:val="0"/>
          <w:numId w:val="0"/>
        </w:numPr>
        <w:suppressLineNumbers w:val="0"/>
        <w:bidi w:val="0"/>
        <w:spacing w:before="0" w:beforeAutospacing="off" w:after="160" w:afterAutospacing="off" w:line="278" w:lineRule="auto"/>
        <w:ind w:left="0" w:right="0"/>
        <w:jc w:val="left"/>
        <w:rPr>
          <w:i w:val="0"/>
          <w:iCs w:val="0"/>
          <w:noProof/>
          <w:color w:val="000000" w:themeColor="text1" w:themeTint="FF" w:themeShade="FF"/>
        </w:rPr>
      </w:pPr>
    </w:p>
    <w:p w:rsidR="643B07CA" w:rsidP="643B07CA" w:rsidRDefault="643B07CA" w14:paraId="5B1214C6" w14:textId="1E8F5DD8">
      <w:pPr>
        <w:bidi w:val="0"/>
        <w:rPr>
          <w:color w:val="000000" w:themeColor="text1" w:themeTint="FF" w:themeShade="FF"/>
        </w:rPr>
      </w:pPr>
      <w:r w:rsidRPr="643B07CA">
        <w:rPr>
          <w:color w:val="000000" w:themeColor="text1" w:themeTint="FF" w:themeShade="FF"/>
        </w:rPr>
        <w:br w:type="page"/>
      </w:r>
    </w:p>
    <w:p w:rsidR="332C4AE8" w:rsidP="643B07CA" w:rsidRDefault="332C4AE8" w14:paraId="64FD8639" w14:textId="627CAAAD">
      <w:pPr>
        <w:pStyle w:val="Normal"/>
        <w:numPr>
          <w:ilvl w:val="0"/>
          <w:numId w:val="0"/>
        </w:numPr>
        <w:suppressLineNumbers w:val="0"/>
        <w:bidi w:val="0"/>
        <w:spacing w:before="0" w:beforeAutospacing="off" w:after="160" w:afterAutospacing="off" w:line="278" w:lineRule="auto"/>
        <w:ind w:left="0" w:right="0"/>
        <w:jc w:val="left"/>
        <w:rPr>
          <w:rStyle w:val="Strong"/>
          <w:noProof/>
          <w:color w:val="000000" w:themeColor="text1" w:themeTint="FF" w:themeShade="FF"/>
        </w:rPr>
      </w:pPr>
      <w:r w:rsidRPr="643B07CA" w:rsidR="332C4AE8">
        <w:rPr>
          <w:rStyle w:val="Strong"/>
          <w:noProof/>
          <w:color w:val="000000" w:themeColor="text1" w:themeTint="FF" w:themeShade="FF"/>
        </w:rPr>
        <w:t>REFERENCES</w:t>
      </w:r>
    </w:p>
    <w:p w:rsidR="332C4AE8" w:rsidP="643B07CA" w:rsidRDefault="332C4AE8" w14:paraId="1027A83F" w14:textId="6FA7A5F7">
      <w:pPr>
        <w:pStyle w:val="ListParagraph"/>
        <w:numPr>
          <w:ilvl w:val="0"/>
          <w:numId w:val="1"/>
        </w:numPr>
        <w:rPr>
          <w:i w:val="0"/>
          <w:iCs w:val="0"/>
          <w:noProof/>
          <w:color w:val="000000" w:themeColor="text1" w:themeTint="FF" w:themeShade="FF"/>
        </w:rPr>
      </w:pPr>
      <w:r w:rsidRPr="643B07CA" w:rsidR="332C4AE8">
        <w:rPr>
          <w:i w:val="0"/>
          <w:iCs w:val="0"/>
          <w:noProof/>
          <w:color w:val="000000" w:themeColor="text1" w:themeTint="FF" w:themeShade="FF"/>
        </w:rPr>
        <w:t>acas (2023). Causes and Signs of stress: Managing work-related Stress. [online] Acas. Available at: https://www.acas.org.uk/managing-work-related-stress [Accessed 1 May 2026].</w:t>
      </w:r>
    </w:p>
    <w:p w:rsidR="332C4AE8" w:rsidP="643B07CA" w:rsidRDefault="332C4AE8" w14:paraId="48CE12D3" w14:textId="33B12260">
      <w:pPr>
        <w:pStyle w:val="ListParagraph"/>
        <w:numPr>
          <w:ilvl w:val="0"/>
          <w:numId w:val="1"/>
        </w:numPr>
        <w:rPr>
          <w:i w:val="0"/>
          <w:iCs w:val="0"/>
          <w:noProof/>
          <w:color w:val="000000" w:themeColor="text1" w:themeTint="FF" w:themeShade="FF"/>
        </w:rPr>
      </w:pPr>
      <w:r w:rsidRPr="643B07CA" w:rsidR="332C4AE8">
        <w:rPr>
          <w:i w:val="0"/>
          <w:iCs w:val="0"/>
          <w:noProof/>
          <w:color w:val="000000" w:themeColor="text1" w:themeTint="FF" w:themeShade="FF"/>
        </w:rPr>
        <w:t>Bautista, T.G., Roman, G., Khan, M.R., Lee, M., Sahbaz, S., Duthely, L., Knippenberg, A., Macias-Burgos, M.A., Davidson, A., Scaramutti, C., Gabrilove, J., Pusek, S.N., Mehta, D. and Bredella, M.A. (2023). What is Well-Being? A Scoping Review of the Conceptual and Operational Definitions of Well-Being. Journal of clinical and translational science, [online] 7(1). doi:https://doi.org/10.1017/cts.2023.648.</w:t>
      </w:r>
    </w:p>
    <w:p w:rsidR="332C4AE8" w:rsidP="643B07CA" w:rsidRDefault="332C4AE8" w14:paraId="42EE900E" w14:textId="6F6B9CE0">
      <w:pPr>
        <w:pStyle w:val="ListParagraph"/>
        <w:numPr>
          <w:ilvl w:val="0"/>
          <w:numId w:val="1"/>
        </w:numPr>
        <w:rPr>
          <w:i w:val="0"/>
          <w:iCs w:val="0"/>
          <w:noProof/>
          <w:color w:val="000000" w:themeColor="text1" w:themeTint="FF" w:themeShade="FF"/>
        </w:rPr>
      </w:pPr>
      <w:r w:rsidRPr="643B07CA" w:rsidR="332C4AE8">
        <w:rPr>
          <w:i w:val="0"/>
          <w:iCs w:val="0"/>
          <w:noProof/>
          <w:color w:val="000000" w:themeColor="text1" w:themeTint="FF" w:themeShade="FF"/>
        </w:rPr>
        <w:t>Cardiff Economy (2023). Councillors and Meetings. [online] cardiff.moderngov.co.uk. Available at: https://cardiff.moderngov.co.uk/ [Accessed 30 Apr. 2026].</w:t>
      </w:r>
    </w:p>
    <w:p w:rsidR="332C4AE8" w:rsidP="643B07CA" w:rsidRDefault="332C4AE8" w14:paraId="54B9CE96" w14:textId="26ACD2A5">
      <w:pPr>
        <w:pStyle w:val="ListParagraph"/>
        <w:numPr>
          <w:ilvl w:val="0"/>
          <w:numId w:val="1"/>
        </w:numPr>
        <w:rPr>
          <w:i w:val="0"/>
          <w:iCs w:val="0"/>
          <w:noProof/>
          <w:color w:val="000000" w:themeColor="text1" w:themeTint="FF" w:themeShade="FF"/>
        </w:rPr>
      </w:pPr>
      <w:r w:rsidRPr="643B07CA" w:rsidR="332C4AE8">
        <w:rPr>
          <w:i w:val="0"/>
          <w:iCs w:val="0"/>
          <w:noProof/>
          <w:color w:val="000000" w:themeColor="text1" w:themeTint="FF" w:themeShade="FF"/>
        </w:rPr>
        <w:t>Culture Amp (2024). The Importance of Employee Development in the Modern Workplace. [online] Culture Amp. Available at: https://www.cultureamp.com/blog/importance-of-employee-development [Accessed 1 May 2026].</w:t>
      </w:r>
    </w:p>
    <w:p w:rsidR="332C4AE8" w:rsidP="643B07CA" w:rsidRDefault="332C4AE8" w14:paraId="458CC945" w14:textId="3E439AC1">
      <w:pPr>
        <w:pStyle w:val="ListParagraph"/>
        <w:numPr>
          <w:ilvl w:val="0"/>
          <w:numId w:val="1"/>
        </w:numPr>
        <w:rPr>
          <w:i w:val="0"/>
          <w:iCs w:val="0"/>
          <w:noProof/>
          <w:color w:val="000000" w:themeColor="text1" w:themeTint="FF" w:themeShade="FF"/>
        </w:rPr>
      </w:pPr>
      <w:r w:rsidRPr="643B07CA" w:rsidR="332C4AE8">
        <w:rPr>
          <w:i w:val="0"/>
          <w:iCs w:val="0"/>
          <w:noProof/>
          <w:color w:val="000000" w:themeColor="text1" w:themeTint="FF" w:themeShade="FF"/>
        </w:rPr>
        <w:t>Cumberland Lodge (2024). The Benefits of Employee Development Workshops  - Cumberland Lodge. [online] Cumberland Lodge. Available at: https://www.cumberlandlodge.ac.uk/blog/the-benefits-of-employee-development-workshops/ [Accessed 1 May 2026].</w:t>
      </w:r>
    </w:p>
    <w:p w:rsidR="332C4AE8" w:rsidP="643B07CA" w:rsidRDefault="332C4AE8" w14:paraId="6B553FE2" w14:textId="1859001A">
      <w:pPr>
        <w:pStyle w:val="ListParagraph"/>
        <w:numPr>
          <w:ilvl w:val="0"/>
          <w:numId w:val="1"/>
        </w:numPr>
        <w:rPr>
          <w:i w:val="0"/>
          <w:iCs w:val="0"/>
          <w:noProof/>
          <w:color w:val="000000" w:themeColor="text1" w:themeTint="FF" w:themeShade="FF"/>
        </w:rPr>
      </w:pPr>
      <w:r w:rsidRPr="643B07CA" w:rsidR="332C4AE8">
        <w:rPr>
          <w:i w:val="0"/>
          <w:iCs w:val="0"/>
          <w:noProof/>
          <w:color w:val="000000" w:themeColor="text1" w:themeTint="FF" w:themeShade="FF"/>
        </w:rPr>
        <w:t>Gardiner, B. (2025). The Importance of Taking a Break from Your Screen. [online] Wellbeing Therapy Solutions. Available at: https://wellbeingtherapysolutions.co.uk/the-importance-of-taking-a-break-from-your-screen/ [Accessed 1 May 2026].</w:t>
      </w:r>
    </w:p>
    <w:p w:rsidR="332C4AE8" w:rsidP="643B07CA" w:rsidRDefault="332C4AE8" w14:paraId="45A97A28" w14:textId="2895CCD6">
      <w:pPr>
        <w:pStyle w:val="ListParagraph"/>
        <w:numPr>
          <w:ilvl w:val="0"/>
          <w:numId w:val="1"/>
        </w:numPr>
        <w:rPr>
          <w:i w:val="0"/>
          <w:iCs w:val="0"/>
          <w:noProof/>
          <w:color w:val="000000" w:themeColor="text1" w:themeTint="FF" w:themeShade="FF"/>
        </w:rPr>
      </w:pPr>
      <w:r w:rsidRPr="643B07CA" w:rsidR="332C4AE8">
        <w:rPr>
          <w:i w:val="0"/>
          <w:iCs w:val="0"/>
          <w:noProof/>
          <w:color w:val="000000" w:themeColor="text1" w:themeTint="FF" w:themeShade="FF"/>
        </w:rPr>
        <w:t>Hill, T. (2025). Workplace Habits That Could Be Harming Employee Wellbeing. [online] Bluecrestwellness.com. Available at: https://www.bluecrestwellness.com/business/article/workplace-habits-harming-employee-wellbeing [Accessed 30 Apr. 2026].</w:t>
      </w:r>
    </w:p>
    <w:p w:rsidR="332C4AE8" w:rsidP="643B07CA" w:rsidRDefault="332C4AE8" w14:paraId="237A4BAD" w14:textId="092AA10C">
      <w:pPr>
        <w:pStyle w:val="ListParagraph"/>
        <w:numPr>
          <w:ilvl w:val="0"/>
          <w:numId w:val="1"/>
        </w:numPr>
        <w:rPr>
          <w:i w:val="0"/>
          <w:iCs w:val="0"/>
          <w:noProof/>
          <w:color w:val="000000" w:themeColor="text1" w:themeTint="FF" w:themeShade="FF"/>
        </w:rPr>
      </w:pPr>
      <w:r w:rsidRPr="643B07CA" w:rsidR="332C4AE8">
        <w:rPr>
          <w:i w:val="0"/>
          <w:iCs w:val="0"/>
          <w:noProof/>
          <w:color w:val="000000" w:themeColor="text1" w:themeTint="FF" w:themeShade="FF"/>
        </w:rPr>
        <w:t>IGPP (2024). The Growing Importance of Health and Wellbeing in the Workpl... | IGPP. [online] igpp.org.uk. Available at: https://igpp.org.uk/blog/article/growing-importance-health-and-wellbeing-workplace [Accessed 30 Apr. 2026].</w:t>
      </w:r>
    </w:p>
    <w:p w:rsidR="332C4AE8" w:rsidP="643B07CA" w:rsidRDefault="332C4AE8" w14:paraId="5312976E" w14:textId="3B95E21C">
      <w:pPr>
        <w:pStyle w:val="ListParagraph"/>
        <w:numPr>
          <w:ilvl w:val="0"/>
          <w:numId w:val="1"/>
        </w:numPr>
        <w:rPr>
          <w:i w:val="0"/>
          <w:iCs w:val="0"/>
          <w:noProof/>
          <w:color w:val="000000" w:themeColor="text1" w:themeTint="FF" w:themeShade="FF"/>
        </w:rPr>
      </w:pPr>
      <w:r w:rsidRPr="643B07CA" w:rsidR="332C4AE8">
        <w:rPr>
          <w:i w:val="0"/>
          <w:iCs w:val="0"/>
          <w:noProof/>
          <w:color w:val="000000" w:themeColor="text1" w:themeTint="FF" w:themeShade="FF"/>
        </w:rPr>
        <w:t>Illinois Work (2025). Call Center Agents - Working Conditions. [online] Illinoisworknet.com. Available at: https://apps.illinoisworknet.com/cis/clusters/OccupationDetails/100563?parentId=111400§ion=conditions&amp;sectionTitle=Working%20Conditions [Accessed 1 May 2026].</w:t>
      </w:r>
    </w:p>
    <w:p w:rsidR="332C4AE8" w:rsidP="643B07CA" w:rsidRDefault="332C4AE8" w14:paraId="613B4675" w14:textId="01854B6E">
      <w:pPr>
        <w:pStyle w:val="ListParagraph"/>
        <w:numPr>
          <w:ilvl w:val="0"/>
          <w:numId w:val="1"/>
        </w:numPr>
        <w:rPr>
          <w:i w:val="0"/>
          <w:iCs w:val="0"/>
          <w:noProof/>
          <w:color w:val="000000" w:themeColor="text1" w:themeTint="FF" w:themeShade="FF"/>
        </w:rPr>
      </w:pPr>
      <w:r w:rsidRPr="643B07CA" w:rsidR="332C4AE8">
        <w:rPr>
          <w:i w:val="0"/>
          <w:iCs w:val="0"/>
          <w:noProof/>
          <w:color w:val="000000" w:themeColor="text1" w:themeTint="FF" w:themeShade="FF"/>
        </w:rPr>
        <w:t>KCM (2020). Why Are We Proposing These changes? - Keeping Cardiff Moving. [online] Keeping Cardiff Moving. Available at: https://keepingcardiffmoving.co.uk/city-centre-west/our-proposals/why-are-we-proposing-these-changes/ [Accessed 30 Apr. 2026].</w:t>
      </w:r>
    </w:p>
    <w:p w:rsidR="332C4AE8" w:rsidP="643B07CA" w:rsidRDefault="332C4AE8" w14:paraId="2DEC51C8" w14:textId="6208DBC6">
      <w:pPr>
        <w:pStyle w:val="ListParagraph"/>
        <w:numPr>
          <w:ilvl w:val="0"/>
          <w:numId w:val="1"/>
        </w:numPr>
        <w:rPr>
          <w:i w:val="0"/>
          <w:iCs w:val="0"/>
          <w:noProof/>
          <w:color w:val="000000" w:themeColor="text1" w:themeTint="FF" w:themeShade="FF"/>
        </w:rPr>
      </w:pPr>
      <w:r w:rsidRPr="643B07CA" w:rsidR="332C4AE8">
        <w:rPr>
          <w:i w:val="0"/>
          <w:iCs w:val="0"/>
          <w:noProof/>
          <w:color w:val="000000" w:themeColor="text1" w:themeTint="FF" w:themeShade="FF"/>
        </w:rPr>
        <w:t>Kilo, O. (2019). Managers Hold the Key to Wellbeing at Work | Oscar Kilo. [online] Oscar Kilo. Available at: https://www.oscarkilo.org.uk/news/managers-hold-key-wellbeing-work [Accessed 1 May 2026].</w:t>
      </w:r>
    </w:p>
    <w:p w:rsidR="332C4AE8" w:rsidP="643B07CA" w:rsidRDefault="332C4AE8" w14:paraId="1B981C54" w14:textId="2710CFB1">
      <w:pPr>
        <w:pStyle w:val="ListParagraph"/>
        <w:numPr>
          <w:ilvl w:val="0"/>
          <w:numId w:val="1"/>
        </w:numPr>
        <w:rPr>
          <w:i w:val="0"/>
          <w:iCs w:val="0"/>
          <w:noProof/>
          <w:color w:val="000000" w:themeColor="text1" w:themeTint="FF" w:themeShade="FF"/>
        </w:rPr>
      </w:pPr>
      <w:r w:rsidRPr="643B07CA" w:rsidR="332C4AE8">
        <w:rPr>
          <w:i w:val="0"/>
          <w:iCs w:val="0"/>
          <w:noProof/>
          <w:color w:val="000000" w:themeColor="text1" w:themeTint="FF" w:themeShade="FF"/>
        </w:rPr>
        <w:t>Long, M.C. (2026). Employee Development. [online] Simpplr. Available at: https://www.simpplr.com/glossary/employee-development/ [Accessed 1 May 2026].</w:t>
      </w:r>
    </w:p>
    <w:p w:rsidR="332C4AE8" w:rsidP="643B07CA" w:rsidRDefault="332C4AE8" w14:paraId="6A9793E3" w14:textId="0309ED9C">
      <w:pPr>
        <w:pStyle w:val="ListParagraph"/>
        <w:numPr>
          <w:ilvl w:val="0"/>
          <w:numId w:val="1"/>
        </w:numPr>
        <w:rPr>
          <w:i w:val="0"/>
          <w:iCs w:val="0"/>
          <w:noProof/>
          <w:color w:val="000000" w:themeColor="text1" w:themeTint="FF" w:themeShade="FF"/>
        </w:rPr>
      </w:pPr>
      <w:r w:rsidRPr="643B07CA" w:rsidR="332C4AE8">
        <w:rPr>
          <w:i w:val="0"/>
          <w:iCs w:val="0"/>
          <w:noProof/>
          <w:color w:val="000000" w:themeColor="text1" w:themeTint="FF" w:themeShade="FF"/>
        </w:rPr>
        <w:t>Mental Health Foundation (2015). What Is well-being, How Can We Measure It and How Can We Support People to Improve it? [online] www.mentalhealth.org.uk. Available at: https://www.mentalhealth.org.uk/explore-mental-health/blogs/what-well-being-how-can-we-measure-it-and-how-can-we-support-people-improve-it [Accessed 30 Apr. 2026].</w:t>
      </w:r>
    </w:p>
    <w:p w:rsidR="332C4AE8" w:rsidP="643B07CA" w:rsidRDefault="332C4AE8" w14:paraId="4C630991" w14:textId="6A673F8D">
      <w:pPr>
        <w:pStyle w:val="ListParagraph"/>
        <w:numPr>
          <w:ilvl w:val="0"/>
          <w:numId w:val="1"/>
        </w:numPr>
        <w:rPr>
          <w:i w:val="0"/>
          <w:iCs w:val="0"/>
          <w:noProof/>
          <w:color w:val="000000" w:themeColor="text1" w:themeTint="FF" w:themeShade="FF"/>
        </w:rPr>
      </w:pPr>
      <w:r w:rsidRPr="643B07CA" w:rsidR="332C4AE8">
        <w:rPr>
          <w:i w:val="0"/>
          <w:iCs w:val="0"/>
          <w:noProof/>
          <w:color w:val="000000" w:themeColor="text1" w:themeTint="FF" w:themeShade="FF"/>
        </w:rPr>
        <w:t>Millett, P. (2025). 10 No or Low-Cost Employee Wellbeing Initiatives | Luminate. [online] Luminate. Available at: https://weareluminate.co/10-no-or-low-cost-employee-wellbeing-initiatives/ [Accessed 1 May 2026].</w:t>
      </w:r>
    </w:p>
    <w:p w:rsidR="332C4AE8" w:rsidP="643B07CA" w:rsidRDefault="332C4AE8" w14:paraId="4188D02B" w14:textId="70FD942A">
      <w:pPr>
        <w:pStyle w:val="ListParagraph"/>
        <w:numPr>
          <w:ilvl w:val="0"/>
          <w:numId w:val="1"/>
        </w:numPr>
        <w:rPr>
          <w:i w:val="0"/>
          <w:iCs w:val="0"/>
          <w:noProof/>
          <w:color w:val="000000" w:themeColor="text1" w:themeTint="FF" w:themeShade="FF"/>
        </w:rPr>
      </w:pPr>
      <w:r w:rsidRPr="643B07CA" w:rsidR="332C4AE8">
        <w:rPr>
          <w:i w:val="0"/>
          <w:iCs w:val="0"/>
          <w:noProof/>
          <w:color w:val="000000" w:themeColor="text1" w:themeTint="FF" w:themeShade="FF"/>
        </w:rPr>
        <w:t>NHS (2021). Health Issues - Every Mind Matters. [online] nhs.uk. Available at: https://www.nhs.uk/every-mind-matters/lifes-challenges/health-issues/ [Accessed 30 Apr. 2026].</w:t>
      </w:r>
    </w:p>
    <w:p w:rsidR="332C4AE8" w:rsidP="643B07CA" w:rsidRDefault="332C4AE8" w14:paraId="2511F81B" w14:textId="0B1A981E">
      <w:pPr>
        <w:pStyle w:val="ListParagraph"/>
        <w:numPr>
          <w:ilvl w:val="0"/>
          <w:numId w:val="1"/>
        </w:numPr>
        <w:rPr>
          <w:i w:val="0"/>
          <w:iCs w:val="0"/>
          <w:noProof/>
          <w:color w:val="000000" w:themeColor="text1" w:themeTint="FF" w:themeShade="FF"/>
        </w:rPr>
      </w:pPr>
      <w:r w:rsidRPr="643B07CA" w:rsidR="332C4AE8">
        <w:rPr>
          <w:i w:val="0"/>
          <w:iCs w:val="0"/>
          <w:noProof/>
          <w:color w:val="000000" w:themeColor="text1" w:themeTint="FF" w:themeShade="FF"/>
        </w:rPr>
        <w:t>Palfery, J. (2024). Cardiff: a Thoroughly Modern Capital. [online] Wales. Available at: https://www.wales.com/about/cities-and-regions/cardiff-thoroughly-modern-capital [Accessed 30 Apr. 2026].</w:t>
      </w:r>
    </w:p>
    <w:p w:rsidR="332C4AE8" w:rsidP="643B07CA" w:rsidRDefault="332C4AE8" w14:paraId="10E30005" w14:textId="534382D9">
      <w:pPr>
        <w:pStyle w:val="ListParagraph"/>
        <w:numPr>
          <w:ilvl w:val="0"/>
          <w:numId w:val="1"/>
        </w:numPr>
        <w:rPr>
          <w:i w:val="0"/>
          <w:iCs w:val="0"/>
          <w:noProof/>
          <w:color w:val="000000" w:themeColor="text1" w:themeTint="FF" w:themeShade="FF"/>
        </w:rPr>
      </w:pPr>
      <w:r w:rsidRPr="643B07CA" w:rsidR="332C4AE8">
        <w:rPr>
          <w:i w:val="0"/>
          <w:iCs w:val="0"/>
          <w:noProof/>
          <w:color w:val="000000" w:themeColor="text1" w:themeTint="FF" w:themeShade="FF"/>
        </w:rPr>
        <w:t>Pettinger, T. (2017). Impact of Rising Population in the UK. [online] Economics Help. Available at: https://www.economicshelp.org/blog/11031/uk-economy/impact-of-rising-population-in-the-uk/ [Accessed 30 Apr. 2026].</w:t>
      </w:r>
    </w:p>
    <w:p w:rsidR="332C4AE8" w:rsidP="643B07CA" w:rsidRDefault="332C4AE8" w14:paraId="38182CC7" w14:textId="1209B928">
      <w:pPr>
        <w:pStyle w:val="ListParagraph"/>
        <w:numPr>
          <w:ilvl w:val="0"/>
          <w:numId w:val="1"/>
        </w:numPr>
        <w:rPr>
          <w:i w:val="0"/>
          <w:iCs w:val="0"/>
          <w:noProof/>
          <w:color w:val="000000" w:themeColor="text1" w:themeTint="FF" w:themeShade="FF"/>
        </w:rPr>
      </w:pPr>
      <w:r w:rsidRPr="643B07CA" w:rsidR="332C4AE8">
        <w:rPr>
          <w:i w:val="0"/>
          <w:iCs w:val="0"/>
          <w:noProof/>
          <w:color w:val="000000" w:themeColor="text1" w:themeTint="FF" w:themeShade="FF"/>
        </w:rPr>
        <w:t>Rachel Suff (2024). CIPD | Wellbeing at Work. [online] CIPD. Available at: https://www.cipd.org/uk/knowledge/factsheets/well-being-factsheet/#what-is-wellbeing-at-work [Accessed 1 May 2026].</w:t>
      </w:r>
    </w:p>
    <w:p w:rsidR="332C4AE8" w:rsidP="643B07CA" w:rsidRDefault="332C4AE8" w14:paraId="3F02C0AE" w14:textId="575D9BBA">
      <w:pPr>
        <w:pStyle w:val="ListParagraph"/>
        <w:numPr>
          <w:ilvl w:val="0"/>
          <w:numId w:val="1"/>
        </w:numPr>
        <w:rPr>
          <w:i w:val="0"/>
          <w:iCs w:val="0"/>
          <w:noProof/>
          <w:color w:val="000000" w:themeColor="text1" w:themeTint="FF" w:themeShade="FF"/>
        </w:rPr>
      </w:pPr>
      <w:r w:rsidRPr="643B07CA" w:rsidR="332C4AE8">
        <w:rPr>
          <w:i w:val="0"/>
          <w:iCs w:val="0"/>
          <w:noProof/>
          <w:color w:val="000000" w:themeColor="text1" w:themeTint="FF" w:themeShade="FF"/>
        </w:rPr>
        <w:t>Raypole, C. (2020). Time Anxiety: Signs, Causes, and How to Cope. [online] Healthline. Available at: https://www.healthline.com/health/mental-health/time-anxiety#symptoms [Accessed 30 Apr. 2026].</w:t>
      </w:r>
    </w:p>
    <w:p w:rsidR="332C4AE8" w:rsidP="643B07CA" w:rsidRDefault="332C4AE8" w14:paraId="3EFD1479" w14:textId="0B5474A6">
      <w:pPr>
        <w:pStyle w:val="ListParagraph"/>
        <w:numPr>
          <w:ilvl w:val="0"/>
          <w:numId w:val="1"/>
        </w:numPr>
        <w:rPr>
          <w:i w:val="0"/>
          <w:iCs w:val="0"/>
          <w:noProof/>
          <w:color w:val="000000" w:themeColor="text1" w:themeTint="FF" w:themeShade="FF"/>
        </w:rPr>
      </w:pPr>
      <w:r w:rsidRPr="643B07CA" w:rsidR="332C4AE8">
        <w:rPr>
          <w:i w:val="0"/>
          <w:iCs w:val="0"/>
          <w:noProof/>
          <w:color w:val="000000" w:themeColor="text1" w:themeTint="FF" w:themeShade="FF"/>
        </w:rPr>
        <w:t>World Population Review (2024). Cardiff, United Kingdom Population 2024. [online] Worldpopulationreview.com. Available at: https://worldpopulationreview.com/cities/united-kingdom/cardiff [Accessed 30 Apr. 2026].</w:t>
      </w:r>
    </w:p>
    <w:p w:rsidR="643B07CA" w:rsidP="643B07CA" w:rsidRDefault="643B07CA" w14:paraId="34CE8D88" w14:textId="2CAF9F76">
      <w:pPr>
        <w:rPr>
          <w:i w:val="0"/>
          <w:iCs w:val="0"/>
          <w:noProof/>
          <w:color w:val="404040" w:themeColor="text1" w:themeTint="BF" w:themeShade="FF"/>
        </w:rPr>
      </w:pPr>
    </w:p>
    <w:sectPr w:rsidRPr="003A4BBF" w:rsidR="00493237">
      <w:pgSz w:w="12240" w:h="15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35670" w:rsidP="000D0D7B" w:rsidRDefault="00C35670" w14:paraId="1D9C9D58" w14:textId="77777777">
      <w:pPr>
        <w:spacing w:after="0" w:line="240" w:lineRule="auto"/>
      </w:pPr>
      <w:r>
        <w:separator/>
      </w:r>
    </w:p>
  </w:endnote>
  <w:endnote w:type="continuationSeparator" w:id="0">
    <w:p w:rsidR="00C35670" w:rsidP="000D0D7B" w:rsidRDefault="00C35670" w14:paraId="5319A96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35670" w:rsidP="000D0D7B" w:rsidRDefault="00C35670" w14:paraId="4400FA7D" w14:textId="77777777">
      <w:pPr>
        <w:spacing w:after="0" w:line="240" w:lineRule="auto"/>
      </w:pPr>
      <w:r>
        <w:separator/>
      </w:r>
    </w:p>
  </w:footnote>
  <w:footnote w:type="continuationSeparator" w:id="0">
    <w:p w:rsidR="00C35670" w:rsidP="000D0D7B" w:rsidRDefault="00C35670" w14:paraId="4B8A96D3" w14:textId="77777777">
      <w:pPr>
        <w:spacing w:after="0" w:line="240" w:lineRule="auto"/>
      </w:pPr>
      <w:r>
        <w:continuationSeparator/>
      </w:r>
    </w:p>
  </w:footnote>
</w:footnotes>
</file>

<file path=word/numbering.xml><?xml version="1.0" encoding="utf-8"?>
<w:numbering xmlns:w="http://schemas.openxmlformats.org/wordprocessingml/2006/main">
  <w:abstractNum xmlns:w="http://schemas.openxmlformats.org/wordprocessingml/2006/main" w:abstractNumId="1">
    <w:nsid w:val="6dd86cc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6"/>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9B0"/>
    <w:rsid w:val="000D0D7B"/>
    <w:rsid w:val="00141741"/>
    <w:rsid w:val="001B3456"/>
    <w:rsid w:val="001E51D9"/>
    <w:rsid w:val="00271780"/>
    <w:rsid w:val="00297C15"/>
    <w:rsid w:val="003A4BBF"/>
    <w:rsid w:val="004342F6"/>
    <w:rsid w:val="00446390"/>
    <w:rsid w:val="00493237"/>
    <w:rsid w:val="005A2780"/>
    <w:rsid w:val="006651E3"/>
    <w:rsid w:val="006A2BA5"/>
    <w:rsid w:val="007449A6"/>
    <w:rsid w:val="007624FB"/>
    <w:rsid w:val="00793BC9"/>
    <w:rsid w:val="009B5BEF"/>
    <w:rsid w:val="009E09B0"/>
    <w:rsid w:val="00A82CAD"/>
    <w:rsid w:val="00AE58D5"/>
    <w:rsid w:val="00C35670"/>
    <w:rsid w:val="00CE5EC2"/>
    <w:rsid w:val="00CF7A36"/>
    <w:rsid w:val="00DF08F1"/>
    <w:rsid w:val="00DF3319"/>
    <w:rsid w:val="00E160F4"/>
    <w:rsid w:val="00ED5E1B"/>
    <w:rsid w:val="00F34812"/>
    <w:rsid w:val="00FD4EA8"/>
    <w:rsid w:val="02C06A05"/>
    <w:rsid w:val="043CEC7B"/>
    <w:rsid w:val="04FD0D8C"/>
    <w:rsid w:val="073415D1"/>
    <w:rsid w:val="076E1746"/>
    <w:rsid w:val="0794C29B"/>
    <w:rsid w:val="07B46831"/>
    <w:rsid w:val="09851F41"/>
    <w:rsid w:val="0C1C57A4"/>
    <w:rsid w:val="0C1D5114"/>
    <w:rsid w:val="0CCA7914"/>
    <w:rsid w:val="0F5427EB"/>
    <w:rsid w:val="108B40DC"/>
    <w:rsid w:val="10B5763F"/>
    <w:rsid w:val="1175593F"/>
    <w:rsid w:val="13D05206"/>
    <w:rsid w:val="1507E877"/>
    <w:rsid w:val="16A9427E"/>
    <w:rsid w:val="173E656B"/>
    <w:rsid w:val="1878F15F"/>
    <w:rsid w:val="18C718AF"/>
    <w:rsid w:val="192F50D8"/>
    <w:rsid w:val="1A9B6111"/>
    <w:rsid w:val="1AD34A94"/>
    <w:rsid w:val="1AE10272"/>
    <w:rsid w:val="1B5C259E"/>
    <w:rsid w:val="1C4CA3AD"/>
    <w:rsid w:val="1C67021F"/>
    <w:rsid w:val="1C84091A"/>
    <w:rsid w:val="1D5432CF"/>
    <w:rsid w:val="1DD8609C"/>
    <w:rsid w:val="1E783700"/>
    <w:rsid w:val="1E84D024"/>
    <w:rsid w:val="1F240AAF"/>
    <w:rsid w:val="1F73685A"/>
    <w:rsid w:val="214ADB2E"/>
    <w:rsid w:val="21BD1055"/>
    <w:rsid w:val="21C91310"/>
    <w:rsid w:val="25C531F8"/>
    <w:rsid w:val="26221472"/>
    <w:rsid w:val="267125C4"/>
    <w:rsid w:val="27E9B694"/>
    <w:rsid w:val="28C3CF21"/>
    <w:rsid w:val="2A8649C7"/>
    <w:rsid w:val="2CF0DD20"/>
    <w:rsid w:val="2D40F854"/>
    <w:rsid w:val="2D4B8630"/>
    <w:rsid w:val="2E272BB3"/>
    <w:rsid w:val="2E2CDAF0"/>
    <w:rsid w:val="2ECD762D"/>
    <w:rsid w:val="2F0E805F"/>
    <w:rsid w:val="30824812"/>
    <w:rsid w:val="309945AE"/>
    <w:rsid w:val="31040374"/>
    <w:rsid w:val="3182DE7B"/>
    <w:rsid w:val="327F726D"/>
    <w:rsid w:val="330F7766"/>
    <w:rsid w:val="332AE59B"/>
    <w:rsid w:val="332C4AE8"/>
    <w:rsid w:val="3390332B"/>
    <w:rsid w:val="34EDC4E6"/>
    <w:rsid w:val="35311EF3"/>
    <w:rsid w:val="3582DD6C"/>
    <w:rsid w:val="36804A16"/>
    <w:rsid w:val="36F48B2F"/>
    <w:rsid w:val="3845CBEE"/>
    <w:rsid w:val="385F4A34"/>
    <w:rsid w:val="38F1DD8A"/>
    <w:rsid w:val="3968F828"/>
    <w:rsid w:val="396BE341"/>
    <w:rsid w:val="3AB39FB5"/>
    <w:rsid w:val="3B16079B"/>
    <w:rsid w:val="3BDAD9E7"/>
    <w:rsid w:val="3EC4366D"/>
    <w:rsid w:val="3F7076C5"/>
    <w:rsid w:val="3FB7DF7D"/>
    <w:rsid w:val="3FFCE2B1"/>
    <w:rsid w:val="40273908"/>
    <w:rsid w:val="40DEB2C2"/>
    <w:rsid w:val="419BDDCB"/>
    <w:rsid w:val="42312E6B"/>
    <w:rsid w:val="4257984E"/>
    <w:rsid w:val="4338C7B1"/>
    <w:rsid w:val="4499497C"/>
    <w:rsid w:val="44C63022"/>
    <w:rsid w:val="46942B1B"/>
    <w:rsid w:val="46D6BF8B"/>
    <w:rsid w:val="472F2A6A"/>
    <w:rsid w:val="47CF58C8"/>
    <w:rsid w:val="47F16FAB"/>
    <w:rsid w:val="49423D6F"/>
    <w:rsid w:val="4A26E3D9"/>
    <w:rsid w:val="4C054D50"/>
    <w:rsid w:val="4D52D33A"/>
    <w:rsid w:val="4DA9C44A"/>
    <w:rsid w:val="4E74B01A"/>
    <w:rsid w:val="4F0FA9FE"/>
    <w:rsid w:val="4F7950E4"/>
    <w:rsid w:val="508BA064"/>
    <w:rsid w:val="5235005D"/>
    <w:rsid w:val="52B55FFF"/>
    <w:rsid w:val="52CC9A86"/>
    <w:rsid w:val="543F5AD7"/>
    <w:rsid w:val="54A25E30"/>
    <w:rsid w:val="550677FE"/>
    <w:rsid w:val="586AE8C2"/>
    <w:rsid w:val="596B5733"/>
    <w:rsid w:val="5989A3CC"/>
    <w:rsid w:val="5A81DE2B"/>
    <w:rsid w:val="5AF8D70A"/>
    <w:rsid w:val="5B466C39"/>
    <w:rsid w:val="5D8690BE"/>
    <w:rsid w:val="5D9F8A1C"/>
    <w:rsid w:val="5DEF181A"/>
    <w:rsid w:val="5ED36076"/>
    <w:rsid w:val="5F69573B"/>
    <w:rsid w:val="602DC3E2"/>
    <w:rsid w:val="60698E1F"/>
    <w:rsid w:val="60DFE208"/>
    <w:rsid w:val="61D2D790"/>
    <w:rsid w:val="62162C46"/>
    <w:rsid w:val="6253ED94"/>
    <w:rsid w:val="6275D863"/>
    <w:rsid w:val="62B2D628"/>
    <w:rsid w:val="63159609"/>
    <w:rsid w:val="6379F70C"/>
    <w:rsid w:val="643B07CA"/>
    <w:rsid w:val="6456E733"/>
    <w:rsid w:val="6686E7E7"/>
    <w:rsid w:val="6890B4C4"/>
    <w:rsid w:val="691A90ED"/>
    <w:rsid w:val="6A05A212"/>
    <w:rsid w:val="6A6B44D1"/>
    <w:rsid w:val="6AE7ED2D"/>
    <w:rsid w:val="6BEACACA"/>
    <w:rsid w:val="6C580CE6"/>
    <w:rsid w:val="6C7FC6BB"/>
    <w:rsid w:val="6FBFB357"/>
    <w:rsid w:val="70BC9C6E"/>
    <w:rsid w:val="71A00C2D"/>
    <w:rsid w:val="733CC2BE"/>
    <w:rsid w:val="7390D648"/>
    <w:rsid w:val="73B4405F"/>
    <w:rsid w:val="73D7D768"/>
    <w:rsid w:val="74695819"/>
    <w:rsid w:val="74B9210D"/>
    <w:rsid w:val="74CF813F"/>
    <w:rsid w:val="7628DBEF"/>
    <w:rsid w:val="78E00770"/>
    <w:rsid w:val="79263CB3"/>
    <w:rsid w:val="79474CEF"/>
    <w:rsid w:val="7957917B"/>
    <w:rsid w:val="795E6835"/>
    <w:rsid w:val="79A74757"/>
    <w:rsid w:val="7B331F31"/>
    <w:rsid w:val="7B4EB238"/>
    <w:rsid w:val="7B72B1A6"/>
    <w:rsid w:val="7CD159F9"/>
    <w:rsid w:val="7EB692E9"/>
    <w:rsid w:val="7F0EDED2"/>
    <w:rsid w:val="7FF3DA84"/>
    <w:rsid w:val="7FF3DA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DA623A"/>
  <w15:chartTrackingRefBased/>
  <w15:docId w15:val="{8CA1BCFB-10B8-EF4E-B2B0-6408F0659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9E09B0"/>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09B0"/>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09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09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09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09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09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09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09B0"/>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E09B0"/>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9E09B0"/>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9E09B0"/>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9E09B0"/>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9E09B0"/>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9E09B0"/>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9E09B0"/>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9E09B0"/>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9E09B0"/>
    <w:rPr>
      <w:rFonts w:eastAsiaTheme="majorEastAsia" w:cstheme="majorBidi"/>
      <w:color w:val="272727" w:themeColor="text1" w:themeTint="D8"/>
    </w:rPr>
  </w:style>
  <w:style w:type="paragraph" w:styleId="Title">
    <w:name w:val="Title"/>
    <w:basedOn w:val="Normal"/>
    <w:next w:val="Normal"/>
    <w:link w:val="TitleChar"/>
    <w:uiPriority w:val="10"/>
    <w:qFormat/>
    <w:rsid w:val="009E09B0"/>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9E09B0"/>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9E09B0"/>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9E09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09B0"/>
    <w:pPr>
      <w:spacing w:before="160"/>
      <w:jc w:val="center"/>
    </w:pPr>
    <w:rPr>
      <w:i/>
      <w:iCs/>
      <w:color w:val="404040" w:themeColor="text1" w:themeTint="BF"/>
    </w:rPr>
  </w:style>
  <w:style w:type="character" w:styleId="QuoteChar" w:customStyle="1">
    <w:name w:val="Quote Char"/>
    <w:basedOn w:val="DefaultParagraphFont"/>
    <w:link w:val="Quote"/>
    <w:uiPriority w:val="29"/>
    <w:rsid w:val="009E09B0"/>
    <w:rPr>
      <w:i/>
      <w:iCs/>
      <w:color w:val="404040" w:themeColor="text1" w:themeTint="BF"/>
    </w:rPr>
  </w:style>
  <w:style w:type="paragraph" w:styleId="ListParagraph">
    <w:name w:val="List Paragraph"/>
    <w:basedOn w:val="Normal"/>
    <w:uiPriority w:val="34"/>
    <w:qFormat/>
    <w:rsid w:val="009E09B0"/>
    <w:pPr>
      <w:ind w:left="720"/>
      <w:contextualSpacing/>
    </w:pPr>
  </w:style>
  <w:style w:type="character" w:styleId="IntenseEmphasis">
    <w:name w:val="Intense Emphasis"/>
    <w:basedOn w:val="DefaultParagraphFont"/>
    <w:uiPriority w:val="21"/>
    <w:qFormat/>
    <w:rsid w:val="009E09B0"/>
    <w:rPr>
      <w:i/>
      <w:iCs/>
      <w:color w:val="0F4761" w:themeColor="accent1" w:themeShade="BF"/>
    </w:rPr>
  </w:style>
  <w:style w:type="paragraph" w:styleId="IntenseQuote">
    <w:name w:val="Intense Quote"/>
    <w:basedOn w:val="Normal"/>
    <w:next w:val="Normal"/>
    <w:link w:val="IntenseQuoteChar"/>
    <w:uiPriority w:val="30"/>
    <w:qFormat/>
    <w:rsid w:val="009E09B0"/>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9E09B0"/>
    <w:rPr>
      <w:i/>
      <w:iCs/>
      <w:color w:val="0F4761" w:themeColor="accent1" w:themeShade="BF"/>
    </w:rPr>
  </w:style>
  <w:style w:type="character" w:styleId="IntenseReference">
    <w:name w:val="Intense Reference"/>
    <w:basedOn w:val="DefaultParagraphFont"/>
    <w:uiPriority w:val="32"/>
    <w:qFormat/>
    <w:rsid w:val="009E09B0"/>
    <w:rPr>
      <w:b/>
      <w:bCs/>
      <w:smallCaps/>
      <w:color w:val="0F4761" w:themeColor="accent1" w:themeShade="BF"/>
      <w:spacing w:val="5"/>
    </w:rPr>
  </w:style>
  <w:style w:type="character" w:styleId="SubtleEmphasis">
    <w:name w:val="Subtle Emphasis"/>
    <w:basedOn w:val="DefaultParagraphFont"/>
    <w:uiPriority w:val="19"/>
    <w:qFormat/>
    <w:rsid w:val="001B3456"/>
    <w:rPr>
      <w:i/>
      <w:iCs/>
      <w:color w:val="404040" w:themeColor="text1" w:themeTint="BF"/>
    </w:rPr>
  </w:style>
  <w:style w:type="paragraph" w:styleId="Header">
    <w:name w:val="header"/>
    <w:basedOn w:val="Normal"/>
    <w:link w:val="HeaderChar"/>
    <w:uiPriority w:val="99"/>
    <w:unhideWhenUsed/>
    <w:rsid w:val="000D0D7B"/>
    <w:pPr>
      <w:tabs>
        <w:tab w:val="center" w:pos="4680"/>
        <w:tab w:val="right" w:pos="9360"/>
      </w:tabs>
      <w:spacing w:after="0" w:line="240" w:lineRule="auto"/>
    </w:pPr>
  </w:style>
  <w:style w:type="character" w:styleId="HeaderChar" w:customStyle="1">
    <w:name w:val="Header Char"/>
    <w:basedOn w:val="DefaultParagraphFont"/>
    <w:link w:val="Header"/>
    <w:uiPriority w:val="99"/>
    <w:rsid w:val="000D0D7B"/>
  </w:style>
  <w:style w:type="paragraph" w:styleId="Footer">
    <w:name w:val="footer"/>
    <w:basedOn w:val="Normal"/>
    <w:link w:val="FooterChar"/>
    <w:uiPriority w:val="99"/>
    <w:unhideWhenUsed/>
    <w:rsid w:val="000D0D7B"/>
    <w:pPr>
      <w:tabs>
        <w:tab w:val="center" w:pos="4680"/>
        <w:tab w:val="right" w:pos="9360"/>
      </w:tabs>
      <w:spacing w:after="0" w:line="240" w:lineRule="auto"/>
    </w:pPr>
  </w:style>
  <w:style w:type="character" w:styleId="FooterChar" w:customStyle="1">
    <w:name w:val="Footer Char"/>
    <w:basedOn w:val="DefaultParagraphFont"/>
    <w:link w:val="Footer"/>
    <w:uiPriority w:val="99"/>
    <w:rsid w:val="000D0D7B"/>
  </w:style>
  <w:style w:type="character" w:styleId="Strong">
    <w:uiPriority w:val="22"/>
    <w:name w:val="Strong"/>
    <w:basedOn w:val="DefaultParagraphFont"/>
    <w:qFormat/>
    <w:rsid w:val="643B07CA"/>
    <w:rPr>
      <w:b w:val="1"/>
      <w:bCs w:val="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1.jpeg"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numbering" Target="numbering.xml" Id="Rf252ee4777db4b9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Fabiana Anghel (2203518)</dc:creator>
  <keywords/>
  <dc:description/>
  <lastModifiedBy>Fabiana Anghel (2203518)</lastModifiedBy>
  <revision>28</revision>
  <dcterms:created xsi:type="dcterms:W3CDTF">2026-04-06T20:27:00.0000000Z</dcterms:created>
  <dcterms:modified xsi:type="dcterms:W3CDTF">2026-05-01T10:53:52.4755990Z</dcterms:modified>
</coreProperties>
</file>