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t>MBA Financial Assignment 20190723</w:t>
      </w:r>
    </w:p>
    <w:p/>
    <w:p>
      <w:r>
        <w:t>Chapter 1</w:t>
      </w:r>
    </w:p>
    <w:p>
      <w:r>
        <w:t>Company background</w:t>
      </w:r>
    </w:p>
    <w:p>
      <w:r>
        <w:t>China Mengniu Dairy Company Limited distribute and manufacture dairy products in Mainland China, with MENGNIU as its core brand. Its year of establishment was year 1995. It has diversified products include cheese, plant-based protein beverage, milk formula, ice cream and liquid milk such as yogurt, milk beverages and UHT milk. In year 2018, Mengniu annual production dairy products capacity reached 9.75 million tons.</w:t>
      </w:r>
    </w:p>
    <w:p>
      <w:r>
        <w:t>On Tuesday, 8 June 2004, China Mengniu Dairy Company Limited successfully Listed on The Main Board of the Stock Exchange of Hong Kong Limited, with Offer Price HK$3.925 per Share, with global offering of 350,000,000 Shares .The stock code was 2319. The current value of share is HK$32.050 (closing stock price on 29 July, 2019). In March 2014, Mengniu became a Hang Seng Index constituent, making it the first blue chip Chinese dairy product enterprise.</w:t>
      </w:r>
    </w:p>
    <w:p>
      <w:r>
        <w:t>The revenue generated by product mix, liquid milk generated most of the revenue (59388.6 million RMB), the second revenue generating product is milk formula (6017.4 million RMB), then ice cream (2723.4 million RMB), the other products represent the rest of the revenue (847.7 million RMB).</w:t>
      </w:r>
    </w:p>
    <w:p>
      <w:r>
        <w:t>For market distribution, Mengniu continued to optimize global deployment. Their dairy products factory mainly situated in different area of Mainland China. They sold dairy products all over the world, and by setting up new factories in other countries (The New Zealand factory commenced production in November 2015 and the Indonesia factory commenced production in November 2018), the company wanted to enhance the competitiveness of Mengniu in Southeast Asian markets.</w:t>
      </w:r>
    </w:p>
    <w:p>
      <w:r>
        <w:t>For shareholding and organization structure, the company chairman is Mr. Chen Lang, with 4 main  substantial shareholders (Farwill Limited &amp; Prominent Achiever Limited (31.41%), FIL Limited (6.06%), JP Morgan Chase &amp; Co (5.01%) and Commonwealth Bank of Australia (5.01%). Mengniu held two Listed Companies as well, with 21.49% share capital of China Modern Dairy Holdings Limited (stock code: 1117) and 51.04% share capital of Yashili International Holdings Limited (stock code: 1230)  The Market Capitalization is HK$xxxxxx (on xx August, 2019)</w:t>
      </w:r>
    </w:p>
    <w:p>
      <w:r>
        <w:t>The values of this company are focusing on core product categories and premium products, drawing on its core competitiveness, enhancing its ability to innovate, continuing to exert on research and development of innovate products, targeting at healthy, nutritious and premium products.</w:t>
      </w:r>
    </w:p>
    <w:p>
      <w:r>
        <w:t>((</w:t>
      </w:r>
      <w:r>
        <w:fldChar w:fldCharType="begin"/>
      </w:r>
      <w:r>
        <w:instrText xml:space="preserve"> HYPERLINK "http://www.aastocks.com/en/stocks/analysis/company-fundamental/company-information?symbol=02319" </w:instrText>
      </w:r>
      <w:r>
        <w:fldChar w:fldCharType="separate"/>
      </w:r>
      <w:r>
        <w:rPr>
          <w:rStyle w:val="5"/>
        </w:rPr>
        <w:t>http://www.aastocks.com/en/stocks/analysis/company-fundamental/company-information?symbol=02319</w:t>
      </w:r>
      <w:r>
        <w:rPr>
          <w:rStyle w:val="5"/>
        </w:rPr>
        <w:fldChar w:fldCharType="end"/>
      </w:r>
      <w:r>
        <w:t>))</w:t>
      </w:r>
    </w:p>
    <w:p>
      <w:r>
        <w:t>IPO offering document ((</w:t>
      </w:r>
      <w:r>
        <w:fldChar w:fldCharType="begin"/>
      </w:r>
      <w:r>
        <w:instrText xml:space="preserve"> HYPERLINK "https://www1.hkexnews.hk/listedco/listconews/sehk/2004/0608/ltn20040608021.pdf" </w:instrText>
      </w:r>
      <w:r>
        <w:fldChar w:fldCharType="separate"/>
      </w:r>
      <w:r>
        <w:rPr>
          <w:rStyle w:val="5"/>
        </w:rPr>
        <w:t>https://www1.hkexnews.hk/listedco/listconews/sehk/2004/0608/ltn20040608021.pdf</w:t>
      </w:r>
      <w:r>
        <w:rPr>
          <w:rStyle w:val="5"/>
        </w:rPr>
        <w:fldChar w:fldCharType="end"/>
      </w:r>
      <w:r>
        <w:t>))</w:t>
      </w:r>
    </w:p>
    <w:p>
      <w:r>
        <w:t>Industry review</w:t>
      </w:r>
    </w:p>
    <w:p>
      <w:r>
        <w:t>In year 2018, the overall economy of China continued to grow with consumption remaining steady. The country’s GDP for the year amounted to 90 trillion RMB, representing an increase of 6.6% year on year. Total retail Sales of Consumer Goods were approximately 38 trillion RMB, up by 9.0% year on year. As for the dairy industry, it maintained healthy development due to supportive government policies. There were drastic changes in dairy product industry in year 2018. In June 2018, the State Council of the PRC issued a circular to further revive the milk industry and improve the quality and safety of domestic dairy products, aiming to, with green development, safety and quality as ultimate goals, facilitate supply side structural reform to brands building, quality improvement, industry structure optimization and lower cost. The new policy wants to modernize the dairy industry, increase their competitiveness and efficacy, boost up the quality. Furthermore, the individual income tax reform in China taking effect in year 2019 is expected to increase residents’ disposable income, which support the steady growth of consumption expenditure.</w:t>
      </w:r>
    </w:p>
    <w:p>
      <w:r>
        <w:t>Business overview</w:t>
      </w:r>
    </w:p>
    <w:p>
      <w:r>
        <w:t>Liquid Milk business</w:t>
      </w:r>
    </w:p>
    <w:p>
      <w:r>
        <w:t>For chilled product business, Mengniu  managed to maintain the leading share in the chilled product market for thirteen consecutive year and achieved double-digit revenue growth. For room temperature product business, Mengniu enjoyed a significant boost in brand influence and the sales volume of products in year 2018.</w:t>
      </w:r>
    </w:p>
    <w:p>
      <w:r>
        <w:t>Milk formula business</w:t>
      </w:r>
    </w:p>
    <w:p>
      <w:r>
        <w:t>Mengniu holds 51% share of Yashili International Holding Limited (stock code: 1230), which owns 5 brands including Arla Baby &amp; Me, Doraler, Reeborne, Dumex and Yashily. They had turned around to profit, had sales climbing during the year, managing significant growth.</w:t>
      </w:r>
    </w:p>
    <w:p>
      <w:r>
        <w:t>Ice cream business</w:t>
      </w:r>
    </w:p>
    <w:p>
      <w:r>
        <w:t>During the year, Mengniu launched 28 new ice cream products, and this division achieved sales that had grown at a high single-digit rate</w:t>
      </w:r>
    </w:p>
    <w:p>
      <w:r>
        <w:t xml:space="preserve">Awards and Recognitions achieved </w:t>
      </w:r>
    </w:p>
    <w:p>
      <w:r>
        <w:t>Ranked among Brand Finance’s list of the top 500 most valuable brands in the world.</w:t>
      </w:r>
    </w:p>
    <w:p>
      <w:r>
        <w:t>Mengniu was ranked second on the list of ‘Most Chosen Brands in China’ in the consumer research statistics of Kantar Worldpanel.</w:t>
      </w:r>
    </w:p>
    <w:p>
      <w:pPr>
        <w:rPr>
          <w:rFonts w:ascii="Times New Roman" w:hAnsi="Times New Roman" w:cs="Times New Roman"/>
        </w:rPr>
      </w:pPr>
      <w:r>
        <w:rPr>
          <w:rFonts w:ascii="Times New Roman" w:hAnsi="Times New Roman" w:cs="Times New Roman"/>
        </w:rPr>
        <w:t>Chapter 2</w:t>
      </w:r>
    </w:p>
    <w:p>
      <w:pPr>
        <w:rPr>
          <w:rFonts w:ascii="Times New Roman" w:hAnsi="Times New Roman" w:cs="Times New Roman"/>
        </w:rPr>
      </w:pPr>
      <w:r>
        <w:rPr>
          <w:rFonts w:ascii="Times New Roman" w:hAnsi="Times New Roman" w:cs="Times New Roman"/>
        </w:rPr>
        <w:t>Mengniu financial analysis.</w:t>
      </w:r>
    </w:p>
    <w:p>
      <w:pPr>
        <w:rPr>
          <w:rFonts w:ascii="Times New Roman" w:hAnsi="Times New Roman" w:cs="Times New Roman"/>
        </w:rPr>
      </w:pPr>
      <w:r>
        <w:rPr>
          <w:rFonts w:ascii="Times New Roman" w:hAnsi="Times New Roman" w:cs="Times New Roman"/>
        </w:rPr>
        <w:t>This chapter we will use Mengniu and two other same industry companies to perform the financial analysis. There are six areas we are going to compare: their financial structure, the realized and repayment capacity, the capacity of operation, the capacity of profit, the capacity of growth, market value and shares returns. Table XXX shows the data of our findings:</w:t>
      </w:r>
    </w:p>
    <w:p>
      <w:pPr>
        <w:rPr>
          <w:rFonts w:ascii="Times New Roman" w:hAnsi="Times New Roman" w:cs="Times New Roman"/>
        </w:rPr>
      </w:pPr>
    </w:p>
    <w:p>
      <w:pPr>
        <w:pStyle w:val="9"/>
        <w:numPr>
          <w:ilvl w:val="0"/>
          <w:numId w:val="1"/>
        </w:numPr>
        <w:rPr>
          <w:rFonts w:ascii="Times New Roman" w:hAnsi="Times New Roman" w:cs="Times New Roman"/>
        </w:rPr>
      </w:pPr>
      <w:r>
        <w:rPr>
          <w:rFonts w:ascii="Times New Roman" w:hAnsi="Times New Roman" w:cs="Times New Roman"/>
        </w:rPr>
        <w:t>Listed companies of bankruptcy index (Z-Score analysis)</w:t>
      </w:r>
    </w:p>
    <w:tbl>
      <w:tblPr>
        <w:tblStyle w:val="6"/>
        <w:tblW w:w="9561" w:type="dxa"/>
        <w:tblInd w:w="93" w:type="dxa"/>
        <w:tblLayout w:type="fixed"/>
        <w:tblCellMar>
          <w:top w:w="0" w:type="dxa"/>
          <w:left w:w="108" w:type="dxa"/>
          <w:bottom w:w="0" w:type="dxa"/>
          <w:right w:w="108" w:type="dxa"/>
        </w:tblCellMar>
      </w:tblPr>
      <w:tblGrid>
        <w:gridCol w:w="2600"/>
        <w:gridCol w:w="1120"/>
        <w:gridCol w:w="981"/>
        <w:gridCol w:w="1120"/>
        <w:gridCol w:w="1240"/>
        <w:gridCol w:w="1300"/>
        <w:gridCol w:w="1200"/>
      </w:tblGrid>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auto" w:fill="auto"/>
            <w:noWrap/>
            <w:vAlign w:val="bottom"/>
          </w:tcPr>
          <w:p>
            <w:pPr>
              <w:spacing w:after="0" w:line="240" w:lineRule="auto"/>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(Company Name)</w:t>
            </w:r>
          </w:p>
        </w:tc>
        <w:tc>
          <w:tcPr>
            <w:tcW w:w="4461" w:type="dxa"/>
            <w:gridSpan w:val="4"/>
            <w:tcBorders>
              <w:top w:val="nil"/>
              <w:left w:val="nil"/>
              <w:bottom w:val="nil"/>
              <w:right w:val="nil"/>
            </w:tcBorders>
            <w:shd w:val="clear" w:color="auto" w:fill="auto"/>
            <w:noWrap/>
          </w:tcPr>
          <w:p>
            <w:pPr>
              <w:spacing w:after="0" w:line="240" w:lineRule="auto"/>
              <w:jc w:val="center"/>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Mengniu</w:t>
            </w:r>
          </w:p>
        </w:tc>
        <w:tc>
          <w:tcPr>
            <w:tcW w:w="1300" w:type="dxa"/>
            <w:tcBorders>
              <w:top w:val="nil"/>
              <w:left w:val="nil"/>
              <w:bottom w:val="nil"/>
              <w:right w:val="nil"/>
            </w:tcBorders>
            <w:shd w:val="clear" w:color="auto" w:fill="auto"/>
            <w:noWrap/>
            <w:vAlign w:val="bottom"/>
          </w:tcPr>
          <w:p>
            <w:pPr>
              <w:spacing w:after="0" w:line="240" w:lineRule="auto"/>
              <w:jc w:val="center"/>
              <w:rPr>
                <w:rFonts w:ascii="Times New Roman" w:hAnsi="Times New Roman" w:eastAsia="Times New Roman" w:cs="Times New Roman"/>
                <w:b/>
                <w:bCs/>
                <w:color w:val="545454"/>
                <w:sz w:val="18"/>
                <w:szCs w:val="18"/>
              </w:rPr>
            </w:pPr>
            <w:r>
              <w:rPr>
                <w:rFonts w:ascii="Times New Roman" w:hAnsi="Times New Roman" w:eastAsia="Times New Roman" w:cs="Times New Roman"/>
                <w:b/>
                <w:bCs/>
                <w:color w:val="545454"/>
                <w:sz w:val="18"/>
                <w:szCs w:val="18"/>
              </w:rPr>
              <w:t xml:space="preserve">Ausnutria </w:t>
            </w:r>
          </w:p>
        </w:tc>
        <w:tc>
          <w:tcPr>
            <w:tcW w:w="1200" w:type="dxa"/>
            <w:tcBorders>
              <w:top w:val="nil"/>
              <w:left w:val="nil"/>
              <w:bottom w:val="nil"/>
              <w:right w:val="nil"/>
            </w:tcBorders>
            <w:shd w:val="clear" w:color="auto" w:fill="auto"/>
            <w:noWrap/>
            <w:vAlign w:val="bottom"/>
          </w:tcPr>
          <w:p>
            <w:pPr>
              <w:spacing w:after="0" w:line="240" w:lineRule="auto"/>
              <w:jc w:val="center"/>
              <w:rPr>
                <w:rFonts w:ascii="Times New Roman" w:hAnsi="Times New Roman" w:eastAsia="Times New Roman" w:cs="Times New Roman"/>
                <w:b/>
                <w:bCs/>
                <w:color w:val="545454"/>
                <w:sz w:val="18"/>
                <w:szCs w:val="18"/>
              </w:rPr>
            </w:pPr>
            <w:r>
              <w:rPr>
                <w:rFonts w:ascii="Times New Roman" w:hAnsi="Times New Roman" w:eastAsia="Times New Roman" w:cs="Times New Roman"/>
                <w:b/>
                <w:bCs/>
                <w:color w:val="545454"/>
                <w:sz w:val="18"/>
                <w:szCs w:val="18"/>
              </w:rPr>
              <w:t xml:space="preserve">Yashili </w:t>
            </w:r>
          </w:p>
        </w:tc>
      </w:tr>
      <w:tr>
        <w:tblPrEx>
          <w:tblLayout w:type="fixed"/>
          <w:tblCellMar>
            <w:top w:w="0" w:type="dxa"/>
            <w:left w:w="108" w:type="dxa"/>
            <w:bottom w:w="0" w:type="dxa"/>
            <w:right w:w="108" w:type="dxa"/>
          </w:tblCellMar>
        </w:tblPrEx>
        <w:trPr>
          <w:trHeight w:val="315" w:hRule="atLeast"/>
        </w:trPr>
        <w:tc>
          <w:tcPr>
            <w:tcW w:w="2600"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In RMB 1 million RMB (Year)</w:t>
            </w:r>
          </w:p>
        </w:tc>
        <w:tc>
          <w:tcPr>
            <w:tcW w:w="112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981"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112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24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3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Net Current Assets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4632.26</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3451.413</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4632.26</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4238.644</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883.232</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1990.264</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Total Assets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49124.427</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58138.731</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66457</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57906.719</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5457.927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7706.261</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Retained earnings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7901.126</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9793.487</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12622.549</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10105.721</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2035.750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5184.103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EBIT</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-167.686</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3024.833</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4403.384</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2420.177</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532.667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w:t>
            </w:r>
            <w:r>
              <w:rPr>
                <w:rFonts w:hint="eastAsia" w:ascii="Times New Roman" w:hAnsi="Times New Roman" w:eastAsia="PMingLiU" w:cs="Times New Roman"/>
                <w:sz w:val="18"/>
                <w:szCs w:val="18"/>
                <w:lang w:val="en-US" w:eastAsia="zh-TW"/>
              </w:rPr>
              <w:t>58.042</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 xml:space="preserve">Stock value (HKD) </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14.659</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22.959</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24.232</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20.617</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5.445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1.463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 xml:space="preserve">RMB/HKD currency exchange rate </w:t>
            </w:r>
          </w:p>
        </w:tc>
        <w:tc>
          <w:tcPr>
            <w:tcW w:w="112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1.117</w:t>
            </w:r>
          </w:p>
        </w:tc>
        <w:tc>
          <w:tcPr>
            <w:tcW w:w="98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1.201</w:t>
            </w:r>
          </w:p>
        </w:tc>
        <w:tc>
          <w:tcPr>
            <w:tcW w:w="112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1.138</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1.152</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1.152</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1.152</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No of stock (Million Shares)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3925.027</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3927.361</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3927.708</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3926.699</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1361.982</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4745.560</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Total liabilities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31031.608</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31031.608</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35992.978</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32685.398</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3147.511</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2122.806</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Sales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53779.339</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60155.622</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68977.066</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60970.676</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4018.765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2489.744</w:t>
            </w:r>
          </w:p>
        </w:tc>
      </w:tr>
    </w:tbl>
    <w:p>
      <w:pPr>
        <w:rPr>
          <w:rFonts w:ascii="Times New Roman" w:hAnsi="Times New Roman" w:cs="Times New Roman"/>
        </w:rPr>
      </w:pPr>
      <w:r>
        <w:rPr>
          <w:rFonts w:ascii="Times New Roman" w:hAnsi="Times New Roman" w:cs="Times New Roman"/>
        </w:rPr>
        <w:t>Note 1:</w:t>
      </w:r>
      <w:r>
        <w:rPr>
          <w:rFonts w:ascii="Times New Roman" w:hAnsi="Times New Roman" w:cs="Times New Roman"/>
        </w:rPr>
        <w:tab/>
      </w:r>
      <w:r>
        <w:rPr>
          <w:rFonts w:ascii="Times New Roman" w:hAnsi="Times New Roman" w:cs="Times New Roman"/>
        </w:rPr>
        <w:t>The stock value (HKD) is using Dec 31 closing value by dividend and stock split adjustment, the RMB/HKD currency exchange rate value is using Dec 31 closing value</w:t>
      </w:r>
    </w:p>
    <w:p>
      <w:pPr>
        <w:rPr>
          <w:rFonts w:ascii="Times New Roman" w:hAnsi="Times New Roman" w:cs="Times New Roman"/>
        </w:rPr>
      </w:pPr>
      <w:r>
        <w:rPr>
          <w:rFonts w:ascii="Times New Roman" w:hAnsi="Times New Roman" w:cs="Times New Roman"/>
        </w:rPr>
        <w:t>Z score =1.2A+1.4B+3.3C+0.6D+0.999E</w:t>
      </w:r>
    </w:p>
    <w:p>
      <w:pPr>
        <w:rPr>
          <w:rFonts w:ascii="Times New Roman" w:hAnsi="Times New Roman" w:cs="Times New Roman"/>
        </w:rPr>
      </w:pPr>
      <w:r>
        <w:rPr>
          <w:rFonts w:ascii="Times New Roman" w:hAnsi="Times New Roman" w:cs="Times New Roman"/>
        </w:rPr>
        <w:t>A= Working Capital/Total Assets</w:t>
      </w:r>
    </w:p>
    <w:p>
      <w:pPr>
        <w:rPr>
          <w:rFonts w:ascii="Times New Roman" w:hAnsi="Times New Roman" w:cs="Times New Roman"/>
        </w:rPr>
      </w:pPr>
      <w:r>
        <w:rPr>
          <w:rFonts w:ascii="Times New Roman" w:hAnsi="Times New Roman" w:cs="Times New Roman"/>
        </w:rPr>
        <w:t>B=Retained Earnings/Total Assets</w:t>
      </w:r>
    </w:p>
    <w:p>
      <w:pPr>
        <w:rPr>
          <w:rFonts w:ascii="Times New Roman" w:hAnsi="Times New Roman" w:cs="Times New Roman"/>
        </w:rPr>
      </w:pPr>
      <w:r>
        <w:rPr>
          <w:rFonts w:ascii="Times New Roman" w:hAnsi="Times New Roman" w:cs="Times New Roman"/>
        </w:rPr>
        <w:t>C=EBIT/Total Assets</w:t>
      </w:r>
    </w:p>
    <w:p>
      <w:pPr>
        <w:rPr>
          <w:rFonts w:ascii="Times New Roman" w:hAnsi="Times New Roman" w:cs="Times New Roman"/>
        </w:rPr>
      </w:pPr>
      <w:r>
        <w:rPr>
          <w:rFonts w:ascii="Times New Roman" w:hAnsi="Times New Roman" w:cs="Times New Roman"/>
        </w:rPr>
        <w:t>D=[(Stock value x total number of stocks)/RMB&amp;HKD exchange rate]/Total Liabilities</w:t>
      </w:r>
    </w:p>
    <w:p>
      <w:pPr>
        <w:rPr>
          <w:rFonts w:ascii="Times New Roman" w:hAnsi="Times New Roman" w:cs="Times New Roman"/>
        </w:rPr>
      </w:pPr>
      <w:r>
        <w:rPr>
          <w:rFonts w:ascii="Times New Roman" w:hAnsi="Times New Roman" w:cs="Times New Roman"/>
        </w:rPr>
        <w:t>E=Sales/Total Assets</w:t>
      </w:r>
    </w:p>
    <w:tbl>
      <w:tblPr>
        <w:tblStyle w:val="6"/>
        <w:tblW w:w="9060" w:type="dxa"/>
        <w:tblInd w:w="93" w:type="dxa"/>
        <w:tblLayout w:type="fixed"/>
        <w:tblCellMar>
          <w:top w:w="0" w:type="dxa"/>
          <w:left w:w="108" w:type="dxa"/>
          <w:bottom w:w="0" w:type="dxa"/>
          <w:right w:w="108" w:type="dxa"/>
        </w:tblCellMar>
      </w:tblPr>
      <w:tblGrid>
        <w:gridCol w:w="2600"/>
        <w:gridCol w:w="787"/>
        <w:gridCol w:w="692"/>
        <w:gridCol w:w="692"/>
        <w:gridCol w:w="1829"/>
        <w:gridCol w:w="1260"/>
        <w:gridCol w:w="1200"/>
      </w:tblGrid>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000" w:type="dxa"/>
            <w:gridSpan w:val="4"/>
            <w:tcBorders>
              <w:top w:val="nil"/>
              <w:left w:val="nil"/>
              <w:bottom w:val="nil"/>
              <w:right w:val="nil"/>
            </w:tcBorders>
            <w:shd w:val="clear" w:color="000000" w:fill="FFFFFF"/>
            <w:noWrap/>
          </w:tcPr>
          <w:p>
            <w:pPr>
              <w:spacing w:after="0" w:line="24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Mengniu</w:t>
            </w:r>
          </w:p>
        </w:tc>
        <w:tc>
          <w:tcPr>
            <w:tcW w:w="126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12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r>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787"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692"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692"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829"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6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0"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A</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0.094</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0.059</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0.070</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0.074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0.160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0.259</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B</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0.161</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0.168</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0.190</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0.173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0.364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0.673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C</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-0.003</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0.052</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0.066</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0.038</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0.094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w:t>
            </w:r>
            <w:r>
              <w:rPr>
                <w:rFonts w:hint="eastAsia" w:ascii="Times New Roman" w:hAnsi="Times New Roman" w:eastAsia="PMingLiU" w:cs="Times New Roman"/>
                <w:sz w:val="18"/>
                <w:szCs w:val="18"/>
                <w:lang w:val="en-US" w:eastAsia="zh-TW"/>
              </w:rPr>
              <w:t>20</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D</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1.660</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2.419</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2.324</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2.134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2.094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2.8</w:t>
            </w:r>
            <w:r>
              <w:rPr>
                <w:rFonts w:hint="eastAsia" w:ascii="Times New Roman" w:hAnsi="Times New Roman" w:eastAsia="PMingLiU" w:cs="Times New Roman"/>
                <w:sz w:val="18"/>
                <w:szCs w:val="18"/>
                <w:lang w:val="en-US" w:eastAsia="zh-TW"/>
              </w:rPr>
              <w:t>49</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E</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1.095</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1.035</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1.038</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1.056</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0.729</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0.323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 xml:space="preserve">Z score </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2.417</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2.964</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2.999</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2.793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2.997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hint="default" w:ascii="Times New Roman" w:hAnsi="Times New Roman" w:eastAsia="PMingLiU" w:cs="Times New Roman"/>
                <w:sz w:val="18"/>
                <w:szCs w:val="18"/>
                <w:lang w:val="en-US" w:eastAsia="zh-TW"/>
              </w:rPr>
            </w:pPr>
            <w:r>
              <w:rPr>
                <w:rFonts w:ascii="Times New Roman" w:hAnsi="Times New Roman" w:eastAsia="Times New Roman" w:cs="Times New Roman"/>
                <w:sz w:val="18"/>
                <w:szCs w:val="18"/>
              </w:rPr>
              <w:t>3.2</w:t>
            </w:r>
            <w:r>
              <w:rPr>
                <w:rFonts w:hint="eastAsia" w:ascii="Times New Roman" w:hAnsi="Times New Roman" w:eastAsia="PMingLiU" w:cs="Times New Roman"/>
                <w:sz w:val="18"/>
                <w:szCs w:val="18"/>
                <w:lang w:val="en-US" w:eastAsia="zh-TW"/>
              </w:rPr>
              <w:t>18</w:t>
            </w:r>
          </w:p>
        </w:tc>
      </w:tr>
    </w:tbl>
    <w:p>
      <w:pPr>
        <w:rPr>
          <w:rFonts w:ascii="Times New Roman" w:hAnsi="Times New Roman" w:cs="Times New Roman"/>
        </w:rPr>
      </w:pPr>
    </w:p>
    <w:p>
      <w:pPr>
        <w:rPr>
          <w:rFonts w:ascii="Times New Roman" w:hAnsi="Times New Roman" w:cs="Times New Roman"/>
        </w:rPr>
      </w:pPr>
      <w:r>
        <w:rPr>
          <w:rFonts w:ascii="Times New Roman" w:hAnsi="Times New Roman" w:cs="Times New Roman"/>
        </w:rPr>
        <w:t>Z-Score mainly used to examine bankruptcy rate, when Z-Score is of smaller value, insolvency is more likely, the financial ratios is less sound.When the Z-Score is equal to or bigger than 2.99, the company is located at the security zone; when the Z-Score is located in between 1.8 to 2.99, the company is located in gray area; when the Z-Score is smaller than 1.8, the company is of a high chance of bankruptcy.</w:t>
      </w:r>
    </w:p>
    <w:p>
      <w:pPr>
        <w:rPr>
          <w:rFonts w:ascii="Times New Roman" w:hAnsi="Times New Roman" w:cs="Times New Roman"/>
        </w:rPr>
      </w:pPr>
      <w:r>
        <w:rPr>
          <w:rFonts w:ascii="Times New Roman" w:hAnsi="Times New Roman" w:cs="Times New Roman"/>
        </w:rPr>
        <w:t>By analyzing the Z score of the three comparable companies, our main company Mengniu Z score is located in gray area in three consecutive years (year 2016-2018), while another two compared companies (Ausnutria and Yashili) three years average Z score are also located in gray area. All three companies are not in bankruptcy area nor at the security zone. Nevertheless, Mengniu’s  Z-score is among the lowest when compared to the other two companies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2.2 Financial structure</w:t>
      </w:r>
    </w:p>
    <w:tbl>
      <w:tblPr>
        <w:tblStyle w:val="6"/>
        <w:tblW w:w="10275" w:type="dxa"/>
        <w:tblInd w:w="93" w:type="dxa"/>
        <w:tblLayout w:type="fixed"/>
        <w:tblCellMar>
          <w:top w:w="0" w:type="dxa"/>
          <w:left w:w="108" w:type="dxa"/>
          <w:bottom w:w="0" w:type="dxa"/>
          <w:right w:w="108" w:type="dxa"/>
        </w:tblCellMar>
      </w:tblPr>
      <w:tblGrid>
        <w:gridCol w:w="2600"/>
        <w:gridCol w:w="709"/>
        <w:gridCol w:w="709"/>
        <w:gridCol w:w="709"/>
        <w:gridCol w:w="1874"/>
        <w:gridCol w:w="1260"/>
        <w:gridCol w:w="1200"/>
        <w:gridCol w:w="1214"/>
      </w:tblGrid>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001" w:type="dxa"/>
            <w:gridSpan w:val="4"/>
            <w:tcBorders>
              <w:top w:val="nil"/>
              <w:left w:val="nil"/>
              <w:bottom w:val="nil"/>
              <w:right w:val="nil"/>
            </w:tcBorders>
            <w:shd w:val="clear" w:color="000000" w:fill="FFFFFF"/>
            <w:noWrap/>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126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12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1214" w:type="dxa"/>
            <w:tcBorders>
              <w:top w:val="nil"/>
              <w:left w:val="nil"/>
              <w:bottom w:val="nil"/>
              <w:right w:val="nil"/>
            </w:tcBorders>
            <w:shd w:val="clear" w:color="auto" w:fill="auto"/>
            <w:noWrap/>
            <w:vAlign w:val="bottom"/>
          </w:tcPr>
          <w:p>
            <w:pPr>
              <w:spacing w:after="0" w:line="240" w:lineRule="auto"/>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3 companies</w:t>
            </w:r>
          </w:p>
        </w:tc>
      </w:tr>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709"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709"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709"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874"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6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14"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0"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4"/>
                <w:szCs w:val="14"/>
              </w:rPr>
            </w:pPr>
            <w:r>
              <w:rPr>
                <w:rFonts w:ascii="Times New Roman" w:hAnsi="Times New Roman" w:eastAsia="Times New Roman" w:cs="Times New Roman"/>
                <w:sz w:val="14"/>
                <w:szCs w:val="14"/>
              </w:rPr>
              <w:t>Fixed Asset to Long term Liability Ratio</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2.710</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2.526</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2.209</w:t>
            </w:r>
          </w:p>
        </w:tc>
        <w:tc>
          <w:tcPr>
            <w:tcW w:w="187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2.482</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1.787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0.2</w:t>
            </w:r>
            <w:r>
              <w:rPr>
                <w:rFonts w:hint="eastAsia" w:ascii="Times New Roman" w:hAnsi="Times New Roman" w:eastAsia="PMingLiU" w:cs="Times New Roman"/>
                <w:sz w:val="18"/>
                <w:szCs w:val="18"/>
                <w:lang w:val="en-US" w:eastAsia="zh-TW"/>
              </w:rPr>
              <w:t>92</w:t>
            </w:r>
          </w:p>
        </w:tc>
        <w:tc>
          <w:tcPr>
            <w:tcW w:w="1214"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1.5</w:t>
            </w:r>
            <w:r>
              <w:rPr>
                <w:rFonts w:hint="eastAsia" w:ascii="Times New Roman" w:hAnsi="Times New Roman" w:eastAsia="PMingLiU" w:cs="Times New Roman"/>
                <w:color w:val="000000"/>
                <w:sz w:val="24"/>
                <w:szCs w:val="24"/>
                <w:lang w:val="en-US" w:eastAsia="zh-TW"/>
              </w:rPr>
              <w:t>2</w:t>
            </w:r>
            <w:r>
              <w:rPr>
                <w:rFonts w:ascii="Times New Roman" w:hAnsi="Times New Roman" w:eastAsia="Times New Roman" w:cs="Times New Roman"/>
                <w:color w:val="000000"/>
                <w:sz w:val="24"/>
                <w:szCs w:val="24"/>
              </w:rPr>
              <w:t>0</w:t>
            </w:r>
          </w:p>
        </w:tc>
      </w:tr>
      <w:tr>
        <w:tblPrEx>
          <w:tblLayout w:type="fixed"/>
          <w:tblCellMar>
            <w:top w:w="0" w:type="dxa"/>
            <w:left w:w="108" w:type="dxa"/>
            <w:bottom w:w="0" w:type="dxa"/>
            <w:right w:w="108" w:type="dxa"/>
          </w:tblCellMar>
        </w:tblPrEx>
        <w:trPr>
          <w:trHeight w:val="90"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4"/>
                <w:szCs w:val="14"/>
              </w:rPr>
            </w:pPr>
            <w:r>
              <w:rPr>
                <w:rFonts w:ascii="Times New Roman" w:hAnsi="Times New Roman" w:eastAsia="Times New Roman" w:cs="Times New Roman"/>
                <w:sz w:val="14"/>
                <w:szCs w:val="14"/>
              </w:rPr>
              <w:t>Current Liabilities to Net Asset Ratio</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0.600</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0.832</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0.824</w:t>
            </w:r>
          </w:p>
        </w:tc>
        <w:tc>
          <w:tcPr>
            <w:tcW w:w="187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0.752</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1.117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0.377</w:t>
            </w:r>
          </w:p>
        </w:tc>
        <w:tc>
          <w:tcPr>
            <w:tcW w:w="1214"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0.749</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4"/>
                <w:szCs w:val="14"/>
              </w:rPr>
            </w:pPr>
            <w:r>
              <w:rPr>
                <w:rFonts w:ascii="Times New Roman" w:hAnsi="Times New Roman" w:eastAsia="Times New Roman" w:cs="Times New Roman"/>
                <w:sz w:val="14"/>
                <w:szCs w:val="14"/>
              </w:rPr>
              <w:t>Current Liabilities to Stock Ratio</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4.617</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6.429</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5.864</w:t>
            </w:r>
          </w:p>
        </w:tc>
        <w:tc>
          <w:tcPr>
            <w:tcW w:w="187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5.637</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2.185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2.971</w:t>
            </w:r>
          </w:p>
        </w:tc>
        <w:tc>
          <w:tcPr>
            <w:tcW w:w="1214"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3.598</w:t>
            </w:r>
          </w:p>
        </w:tc>
      </w:tr>
    </w:tbl>
    <w:p>
      <w:pPr>
        <w:rPr>
          <w:rFonts w:ascii="Times New Roman" w:hAnsi="Times New Roman" w:cs="Times New Roman"/>
        </w:rPr>
      </w:pPr>
    </w:p>
    <w:p>
      <w:pPr>
        <w:rPr>
          <w:rFonts w:ascii="Times New Roman" w:hAnsi="Times New Roman" w:cs="Times New Roman"/>
          <w:b/>
        </w:rPr>
      </w:pPr>
      <w:r>
        <w:rPr>
          <w:rFonts w:ascii="Times New Roman" w:hAnsi="Times New Roman" w:cs="Times New Roman"/>
          <w:b/>
        </w:rPr>
        <w:t>Fixed asset to long term liability ratio</w:t>
      </w:r>
    </w:p>
    <w:p>
      <w:pPr>
        <w:rPr>
          <w:rFonts w:ascii="Times New Roman" w:hAnsi="Times New Roman" w:cs="Times New Roman"/>
        </w:rPr>
      </w:pPr>
      <w:r>
        <w:rPr>
          <w:rFonts w:ascii="Times New Roman" w:hAnsi="Times New Roman" w:cs="Times New Roman"/>
        </w:rPr>
        <w:t>If the ratio is high, the source of funds is less stable, which means when the fixed asset to long term liability ratio has a higher value, the financial crises of that company is in a higher chance (Zhou and Lo, 2007). Meng</w:t>
      </w:r>
      <w:r>
        <w:rPr>
          <w:rFonts w:hint="eastAsia" w:ascii="Times New Roman" w:hAnsi="Times New Roman" w:cs="Times New Roman"/>
          <w:lang w:val="en-US" w:eastAsia="zh-TW"/>
        </w:rPr>
        <w:t>n</w:t>
      </w:r>
      <w:r>
        <w:rPr>
          <w:rFonts w:ascii="Times New Roman" w:hAnsi="Times New Roman" w:cs="Times New Roman"/>
        </w:rPr>
        <w:t>iu’s fixed asset to long term liability ratio continuously decreased from 2.710 in year 2016 to</w:t>
      </w:r>
      <w:r>
        <w:rPr>
          <w:rFonts w:hint="eastAsia" w:ascii="Times New Roman" w:hAnsi="Times New Roman" w:cs="Times New Roman"/>
          <w:lang w:val="en-US" w:eastAsia="zh-TW"/>
        </w:rPr>
        <w:t xml:space="preserve"> </w:t>
      </w:r>
      <w:r>
        <w:rPr>
          <w:rFonts w:ascii="Times New Roman" w:hAnsi="Times New Roman" w:cs="Times New Roman"/>
        </w:rPr>
        <w:t>2.209 in year 2018, which means the probability of Mengniu having financial crises is lowering from year 2016 to year 2018. Mengniu’s 3</w:t>
      </w:r>
      <w:r>
        <w:rPr>
          <w:rFonts w:hint="eastAsia" w:ascii="Times New Roman" w:hAnsi="Times New Roman" w:cs="Times New Roman"/>
          <w:lang w:val="en-US" w:eastAsia="zh-TW"/>
        </w:rPr>
        <w:t xml:space="preserve"> </w:t>
      </w:r>
      <w:r>
        <w:rPr>
          <w:rFonts w:ascii="Times New Roman" w:hAnsi="Times New Roman" w:cs="Times New Roman"/>
        </w:rPr>
        <w:t>years average fixed asset to long term liability ratio (2</w:t>
      </w:r>
      <w:r>
        <w:rPr>
          <w:rFonts w:hint="eastAsia" w:ascii="Times New Roman" w:hAnsi="Times New Roman" w:cs="Times New Roman"/>
          <w:lang w:val="en-US" w:eastAsia="zh-TW"/>
        </w:rPr>
        <w:t>.</w:t>
      </w:r>
      <w:r>
        <w:rPr>
          <w:rFonts w:ascii="Times New Roman" w:hAnsi="Times New Roman" w:cs="Times New Roman"/>
        </w:rPr>
        <w:t>482)is higher than the industrial average level (1.510), which indicates Mengniu is having higher risk to have financial crises compared to the other two companies.</w:t>
      </w:r>
    </w:p>
    <w:p>
      <w:pPr>
        <w:rPr>
          <w:rFonts w:ascii="Times New Roman" w:hAnsi="Times New Roman" w:cs="Times New Roman"/>
          <w:b/>
        </w:rPr>
      </w:pPr>
      <w:r>
        <w:rPr>
          <w:rFonts w:ascii="Times New Roman" w:hAnsi="Times New Roman" w:cs="Times New Roman"/>
          <w:b/>
        </w:rPr>
        <w:t xml:space="preserve"> Current Liabilities to Net Asset Ratio</w:t>
      </w:r>
    </w:p>
    <w:p>
      <w:pPr>
        <w:rPr>
          <w:rFonts w:ascii="Times New Roman" w:hAnsi="Times New Roman" w:cs="Times New Roman"/>
        </w:rPr>
      </w:pPr>
      <w:r>
        <w:rPr>
          <w:rFonts w:ascii="Times New Roman" w:hAnsi="Times New Roman" w:cs="Times New Roman"/>
        </w:rPr>
        <w:t>This ratio indicates debt payment relied on the equity. Lower percentages mean less pressure on future cash flows..Mengniu’s ratio increased from 0.600 in year 2016 to 0.824 in year 2018, which means this company is increasing its debt when compared to its equity. The ratio of the three compared companies three years average is 0.749, and the 3 years average ratio of Mengniu is 0.752, It has higher ratio than Yashili (0.377) but lower ratio than Ausnutria (1.117).</w:t>
      </w:r>
    </w:p>
    <w:p>
      <w:pPr>
        <w:rPr>
          <w:rFonts w:ascii="Times New Roman" w:hAnsi="Times New Roman" w:cs="Times New Roman"/>
          <w:b/>
        </w:rPr>
      </w:pPr>
      <w:r>
        <w:rPr>
          <w:rFonts w:ascii="Times New Roman" w:hAnsi="Times New Roman" w:cs="Times New Roman"/>
          <w:b/>
        </w:rPr>
        <w:t xml:space="preserve"> Current Liabilities to Stock Ratio</w:t>
      </w:r>
    </w:p>
    <w:p>
      <w:pPr>
        <w:rPr>
          <w:rFonts w:ascii="Times New Roman" w:hAnsi="Times New Roman" w:cs="Times New Roman"/>
          <w:shd w:val="clear" w:color="auto" w:fill="FFFFFF"/>
        </w:rPr>
      </w:pPr>
      <w:r>
        <w:rPr>
          <w:rFonts w:ascii="Times New Roman" w:hAnsi="Times New Roman" w:cs="Times New Roman"/>
        </w:rPr>
        <w:t>It is also named current liabilities to inventory ratio, which indicates payment of debt relied on the available inventory.</w:t>
      </w:r>
      <w:r>
        <w:rPr>
          <w:rFonts w:ascii="Times New Roman" w:hAnsi="Times New Roman" w:cs="Times New Roman"/>
          <w:shd w:val="clear" w:color="auto" w:fill="FFFFFF"/>
        </w:rPr>
        <w:t xml:space="preserve"> A high ratio, relative to industry norms, suggests over-reliance on unsold goods to finance operations. Mengniu’s 3 years average ratio is 5.637, compared to Ausnutria’s 3 years average ratio (2.185) and Yashili’s 3 years average ratio (2.971), which indicates Mengniu has over reliance on unsold goods to finance operations compared to the other two companies.</w:t>
      </w:r>
    </w:p>
    <w:p>
      <w:pPr>
        <w:rPr>
          <w:rFonts w:ascii="Times New Roman" w:hAnsi="Times New Roman" w:cs="Times New Roman"/>
          <w:shd w:val="clear" w:color="auto" w:fill="FFFFFF"/>
        </w:rPr>
      </w:pPr>
      <w:r>
        <w:rPr>
          <w:rFonts w:ascii="Times New Roman" w:hAnsi="Times New Roman" w:cs="Times New Roman"/>
          <w:shd w:val="clear" w:color="auto" w:fill="FFFFFF"/>
        </w:rPr>
        <w:t xml:space="preserve">In conclusion, after analyzing the three measures of the solvency of the three compared company  (Mengniu, Ausnutria and Yashili), Mengniu is performing lower than the industrial standard level. </w:t>
      </w:r>
    </w:p>
    <w:p>
      <w:pPr>
        <w:rPr>
          <w:rFonts w:ascii="Times New Roman" w:hAnsi="Times New Roman" w:cs="Times New Roman"/>
          <w:shd w:val="clear" w:color="auto" w:fill="FFFFFF"/>
        </w:rPr>
      </w:pPr>
      <w:r>
        <w:rPr>
          <w:rFonts w:ascii="Times New Roman" w:hAnsi="Times New Roman" w:cs="Times New Roman"/>
          <w:shd w:val="clear" w:color="auto" w:fill="FFFFFF"/>
        </w:rPr>
        <w:t>2.3 Paying debt ability</w:t>
      </w:r>
    </w:p>
    <w:tbl>
      <w:tblPr>
        <w:tblStyle w:val="6"/>
        <w:tblW w:w="10402" w:type="dxa"/>
        <w:tblInd w:w="93" w:type="dxa"/>
        <w:tblLayout w:type="fixed"/>
        <w:tblCellMar>
          <w:top w:w="0" w:type="dxa"/>
          <w:left w:w="108" w:type="dxa"/>
          <w:bottom w:w="0" w:type="dxa"/>
          <w:right w:w="108" w:type="dxa"/>
        </w:tblCellMar>
      </w:tblPr>
      <w:tblGrid>
        <w:gridCol w:w="2622"/>
        <w:gridCol w:w="941"/>
        <w:gridCol w:w="941"/>
        <w:gridCol w:w="941"/>
        <w:gridCol w:w="1347"/>
        <w:gridCol w:w="1260"/>
        <w:gridCol w:w="1200"/>
        <w:gridCol w:w="1150"/>
      </w:tblGrid>
      <w:tr>
        <w:tblPrEx>
          <w:tblLayout w:type="fixed"/>
          <w:tblCellMar>
            <w:top w:w="0" w:type="dxa"/>
            <w:left w:w="108" w:type="dxa"/>
            <w:bottom w:w="0" w:type="dxa"/>
            <w:right w:w="108" w:type="dxa"/>
          </w:tblCellMar>
        </w:tblPrEx>
        <w:trPr>
          <w:trHeight w:val="315" w:hRule="atLeast"/>
        </w:trPr>
        <w:tc>
          <w:tcPr>
            <w:tcW w:w="2622"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170" w:type="dxa"/>
            <w:gridSpan w:val="4"/>
            <w:tcBorders>
              <w:top w:val="nil"/>
              <w:left w:val="nil"/>
              <w:bottom w:val="nil"/>
              <w:right w:val="nil"/>
            </w:tcBorders>
            <w:shd w:val="clear" w:color="000000" w:fill="FFFFFF"/>
            <w:noWrap/>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126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12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1150" w:type="dxa"/>
            <w:tcBorders>
              <w:top w:val="nil"/>
              <w:left w:val="nil"/>
              <w:bottom w:val="nil"/>
              <w:right w:val="nil"/>
            </w:tcBorders>
            <w:shd w:val="clear" w:color="000000" w:fill="FFFFFF"/>
            <w:noWrap/>
            <w:vAlign w:val="bottom"/>
          </w:tcPr>
          <w:p>
            <w:pPr>
              <w:spacing w:after="0" w:line="240" w:lineRule="auto"/>
              <w:jc w:val="center"/>
              <w:rPr>
                <w:rFonts w:ascii="Calibri" w:hAnsi="Calibri" w:eastAsia="Times New Roman" w:cs="Calibri"/>
                <w:b/>
                <w:bCs/>
                <w:sz w:val="18"/>
                <w:szCs w:val="18"/>
              </w:rPr>
            </w:pPr>
            <w:r>
              <w:rPr>
                <w:rFonts w:ascii="Calibri" w:hAnsi="Calibri" w:eastAsia="Times New Roman" w:cs="Calibri"/>
                <w:b/>
                <w:bCs/>
                <w:sz w:val="18"/>
                <w:szCs w:val="18"/>
              </w:rPr>
              <w:t>3 companies</w:t>
            </w:r>
          </w:p>
        </w:tc>
      </w:tr>
      <w:tr>
        <w:tblPrEx>
          <w:tblLayout w:type="fixed"/>
          <w:tblCellMar>
            <w:top w:w="0" w:type="dxa"/>
            <w:left w:w="108" w:type="dxa"/>
            <w:bottom w:w="0" w:type="dxa"/>
            <w:right w:w="108" w:type="dxa"/>
          </w:tblCellMar>
        </w:tblPrEx>
        <w:trPr>
          <w:trHeight w:val="315" w:hRule="atLeast"/>
        </w:trPr>
        <w:tc>
          <w:tcPr>
            <w:tcW w:w="2622"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941"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941"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941"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347"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6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15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22"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Current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129.633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115.295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118.449</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121.125</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137.100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195.200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151.142 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Quick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107.975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99.739</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101.395</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103.036</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90.000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160.600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117.879</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Stock Credit Index</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-0.368</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0.017</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-0.082</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-0.144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0.244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-0.454 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-0.118</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Cash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39.667</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26.406</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29.065</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31.713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35.800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85.900 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51.138 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Total Debt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48.083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53.375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54.160</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51.873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58.400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27.500 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45.924 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Debt/Equity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0.926</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1.145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1.181</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1.084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1.456</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0.380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0.973</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Long Term Debt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0.113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0.103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0.124</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0.113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0.241</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0.0</w:t>
            </w:r>
            <w:r>
              <w:rPr>
                <w:rFonts w:hint="eastAsia" w:ascii="Calibri" w:hAnsi="Calibri" w:eastAsia="PMingLiU" w:cs="Calibri"/>
                <w:sz w:val="24"/>
                <w:szCs w:val="24"/>
                <w:lang w:val="en-US" w:eastAsia="zh-TW"/>
              </w:rPr>
              <w:t>0</w:t>
            </w:r>
            <w:r>
              <w:rPr>
                <w:rFonts w:ascii="Calibri" w:hAnsi="Calibri" w:eastAsia="Times New Roman" w:cs="Calibri"/>
                <w:sz w:val="24"/>
                <w:szCs w:val="24"/>
              </w:rPr>
              <w:t>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0.1</w:t>
            </w:r>
            <w:r>
              <w:rPr>
                <w:rFonts w:hint="eastAsia" w:ascii="Calibri" w:hAnsi="Calibri" w:eastAsia="PMingLiU" w:cs="Calibri"/>
                <w:sz w:val="24"/>
                <w:szCs w:val="24"/>
                <w:lang w:val="en-US" w:eastAsia="zh-TW"/>
              </w:rPr>
              <w:t>1</w:t>
            </w:r>
            <w:r>
              <w:rPr>
                <w:rFonts w:ascii="Calibri" w:hAnsi="Calibri" w:eastAsia="Times New Roman" w:cs="Calibri"/>
                <w:sz w:val="24"/>
                <w:szCs w:val="24"/>
              </w:rPr>
              <w:t>8</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Total Debt/Fixed Asset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0.807</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0.966</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0.980</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0.918</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2.400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1.303</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1.540 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Time Interest Cover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-0.571</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7.565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7.997</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4.997</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22.045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w:t>
            </w:r>
            <w:r>
              <w:rPr>
                <w:rFonts w:hint="eastAsia" w:ascii="Calibri" w:hAnsi="Calibri" w:eastAsia="PMingLiU" w:cs="Calibri"/>
                <w:sz w:val="24"/>
                <w:szCs w:val="24"/>
                <w:lang w:val="en-US" w:eastAsia="zh-TW"/>
              </w:rPr>
              <w:t>8.391</w:t>
            </w:r>
            <w:r>
              <w:rPr>
                <w:rFonts w:ascii="Calibri" w:hAnsi="Calibri" w:eastAsia="Times New Roman" w:cs="Calibri"/>
                <w:sz w:val="24"/>
                <w:szCs w:val="24"/>
              </w:rPr>
              <w:t>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hint="eastAsia" w:ascii="Calibri" w:hAnsi="Calibri" w:eastAsia="PMingLiU" w:cs="Calibri"/>
                <w:sz w:val="24"/>
                <w:szCs w:val="24"/>
                <w:lang w:val="en-US" w:eastAsia="zh-TW"/>
              </w:rPr>
              <w:t>6.217</w:t>
            </w:r>
            <w:r>
              <w:rPr>
                <w:rFonts w:ascii="Calibri" w:hAnsi="Calibri" w:eastAsia="Times New Roman" w:cs="Calibri"/>
                <w:sz w:val="24"/>
                <w:szCs w:val="24"/>
              </w:rPr>
              <w:t>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Cash Coverage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4.882</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11.825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11.335</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9.348</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27.456</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hint="eastAsia" w:ascii="Calibri" w:hAnsi="Calibri" w:eastAsia="PMingLiU" w:cs="Calibri"/>
                <w:sz w:val="24"/>
                <w:szCs w:val="24"/>
                <w:lang w:val="en-US" w:eastAsia="zh-TW"/>
              </w:rPr>
              <w:t>12.680</w:t>
            </w:r>
            <w:r>
              <w:rPr>
                <w:rFonts w:ascii="Calibri" w:hAnsi="Calibri" w:eastAsia="Times New Roman" w:cs="Calibri"/>
                <w:sz w:val="24"/>
                <w:szCs w:val="24"/>
              </w:rPr>
              <w:t>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1</w:t>
            </w:r>
            <w:r>
              <w:rPr>
                <w:rFonts w:hint="eastAsia" w:ascii="Calibri" w:hAnsi="Calibri" w:eastAsia="PMingLiU" w:cs="Calibri"/>
                <w:sz w:val="24"/>
                <w:szCs w:val="24"/>
                <w:lang w:val="en-US" w:eastAsia="zh-TW"/>
              </w:rPr>
              <w:t>6.495</w:t>
            </w:r>
            <w:r>
              <w:rPr>
                <w:rFonts w:ascii="Calibri" w:hAnsi="Calibri" w:eastAsia="Times New Roman" w:cs="Calibri"/>
                <w:sz w:val="24"/>
                <w:szCs w:val="24"/>
              </w:rPr>
              <w:t> </w:t>
            </w:r>
          </w:p>
        </w:tc>
      </w:tr>
    </w:tbl>
    <w:p>
      <w:pPr>
        <w:rPr>
          <w:rFonts w:ascii="Times New Roman" w:hAnsi="Times New Roman" w:cs="Times New Roman"/>
          <w:shd w:val="clear" w:color="auto" w:fill="FFFFFF"/>
        </w:rPr>
      </w:pPr>
    </w:p>
    <w:p>
      <w:pPr>
        <w:rPr>
          <w:rFonts w:ascii="Times New Roman" w:hAnsi="Times New Roman" w:cs="Times New Roman"/>
        </w:rPr>
      </w:pPr>
      <w:r>
        <w:rPr>
          <w:rFonts w:ascii="Times New Roman" w:hAnsi="Times New Roman" w:cs="Times New Roman"/>
        </w:rPr>
        <w:t>Current Ratio and quick ratio</w:t>
      </w:r>
    </w:p>
    <w:p>
      <w:pPr>
        <w:rPr>
          <w:rFonts w:ascii="Times New Roman" w:hAnsi="Times New Roman" w:cs="Times New Roman"/>
        </w:rPr>
      </w:pPr>
      <w:r>
        <w:rPr>
          <w:rFonts w:ascii="Times New Roman" w:hAnsi="Times New Roman" w:cs="Times New Roman"/>
        </w:rPr>
        <w:t>This two ratio are designed to estimate the business ability to pay for its current liabilities. The current ratio is firm’s ability indicator to meet short-term financial obligations. The quick ratio focuses on the more liquid assets, and so gives a better view of how well a business can pay off its obligations. Mengniu’s 3 years average current ratio (121.125%) is lower than the industrial average level (151.142%). Furthermore, Mengniu’s 3 years average quick ratio (103.395%) is higher than Ausnutria’s 3 years average quick ratio (90%) but lower than Yashili’s 3 years average quick ratio (160.6%).</w:t>
      </w:r>
    </w:p>
    <w:p>
      <w:pPr>
        <w:rPr>
          <w:rFonts w:ascii="Times New Roman" w:hAnsi="Times New Roman" w:cs="Times New Roman"/>
        </w:rPr>
      </w:pPr>
      <w:r>
        <w:rPr>
          <w:rFonts w:ascii="Times New Roman" w:hAnsi="Times New Roman" w:cs="Times New Roman"/>
        </w:rPr>
        <w:t>Stock Credit index</w:t>
      </w:r>
    </w:p>
    <w:p>
      <w:pPr>
        <w:rPr>
          <w:rFonts w:ascii="Times New Roman" w:hAnsi="Times New Roman" w:cs="Times New Roman"/>
        </w:rPr>
      </w:pPr>
      <w:r>
        <w:rPr>
          <w:rFonts w:ascii="Times New Roman" w:hAnsi="Times New Roman" w:cs="Times New Roman"/>
        </w:rPr>
        <w:t>Mengniu’s 3 years average Stock Credit index is -0.144, with -0.368 in year 2016, 0.017 in year 2017 and -0.082 in year 2018. The 3 years average stock credit index of the three compared companies is also negative, which means the industry long term current assets over liabilities is in general poor. Ausnutria has the best Stock Credit index (0.244) in 3 years average among the three compared companies.</w:t>
      </w:r>
    </w:p>
    <w:p>
      <w:pPr>
        <w:rPr>
          <w:rFonts w:ascii="Times New Roman" w:hAnsi="Times New Roman" w:cs="Times New Roman"/>
        </w:rPr>
      </w:pPr>
      <w:r>
        <w:rPr>
          <w:rFonts w:ascii="Times New Roman" w:hAnsi="Times New Roman" w:cs="Times New Roman"/>
        </w:rPr>
        <w:t>Cash ratio</w:t>
      </w:r>
    </w:p>
    <w:p>
      <w:pPr>
        <w:rPr>
          <w:rFonts w:ascii="Calibri" w:hAnsi="Calibri" w:eastAsia="Times New Roman" w:cs="Calibri"/>
          <w:sz w:val="24"/>
          <w:szCs w:val="24"/>
        </w:rPr>
      </w:pPr>
      <w:r>
        <w:rPr>
          <w:rFonts w:ascii="Times New Roman" w:hAnsi="Times New Roman" w:cs="Times New Roman"/>
        </w:rPr>
        <w:t xml:space="preserve">It is the company’s liquidity measurement. When the company is about to go out of business, this indicator tells the analysts and creditors under the worst case scenario how much current assets can quickly be turned into cash. Mengniu has the lowest 3 years average cash ratio (31.713%) among the three studied companies. The industrial 3 years average level was </w:t>
      </w:r>
      <w:r>
        <w:rPr>
          <w:rFonts w:ascii="Calibri" w:hAnsi="Calibri" w:eastAsia="Times New Roman" w:cs="Calibri"/>
          <w:sz w:val="24"/>
          <w:szCs w:val="24"/>
        </w:rPr>
        <w:t>51.138 %.</w:t>
      </w:r>
    </w:p>
    <w:p>
      <w:pPr>
        <w:rPr>
          <w:rFonts w:ascii="Calibri" w:hAnsi="Calibri" w:eastAsia="Times New Roman" w:cs="Calibri"/>
          <w:sz w:val="24"/>
          <w:szCs w:val="24"/>
        </w:rPr>
      </w:pPr>
      <w:r>
        <w:rPr>
          <w:rFonts w:ascii="Calibri" w:hAnsi="Calibri" w:eastAsia="Times New Roman" w:cs="Calibri"/>
          <w:sz w:val="24"/>
          <w:szCs w:val="24"/>
        </w:rPr>
        <w:t>Total debt ratio</w:t>
      </w:r>
    </w:p>
    <w:p>
      <w:pPr>
        <w:rPr>
          <w:rFonts w:ascii="Calibri" w:hAnsi="Calibri" w:eastAsia="Times New Roman" w:cs="Calibri"/>
          <w:sz w:val="24"/>
          <w:szCs w:val="24"/>
        </w:rPr>
      </w:pPr>
      <w:r>
        <w:rPr>
          <w:rFonts w:ascii="Calibri" w:hAnsi="Calibri" w:eastAsia="Times New Roman" w:cs="Calibri"/>
          <w:sz w:val="24"/>
          <w:szCs w:val="24"/>
        </w:rPr>
        <w:t>It is a financial ratio measrues the leverage extent of the company. When the ratio is of high level (bigger than one), the company has more liabilities than assets; when it is low (below one), it means a greater portion of a company’s assets is funded by equity. Mengniu’s total debt ratio is below one, which is similar to the industrial 3 years average total debt ratio (45.924%).</w:t>
      </w:r>
    </w:p>
    <w:p>
      <w:pPr>
        <w:rPr>
          <w:rFonts w:ascii="Calibri" w:hAnsi="Calibri" w:eastAsia="Times New Roman" w:cs="Calibri"/>
          <w:sz w:val="24"/>
          <w:szCs w:val="24"/>
        </w:rPr>
      </w:pPr>
      <w:r>
        <w:rPr>
          <w:rFonts w:ascii="Calibri" w:hAnsi="Calibri" w:eastAsia="Times New Roman" w:cs="Calibri"/>
          <w:sz w:val="24"/>
          <w:szCs w:val="24"/>
        </w:rPr>
        <w:t>Debt/Equity ratio</w:t>
      </w:r>
    </w:p>
    <w:p>
      <w:pPr>
        <w:rPr>
          <w:rFonts w:ascii="Calibri" w:hAnsi="Calibri" w:eastAsia="Times New Roman" w:cs="Calibri"/>
          <w:sz w:val="24"/>
          <w:szCs w:val="24"/>
        </w:rPr>
      </w:pPr>
      <w:r>
        <w:rPr>
          <w:rFonts w:ascii="Times New Roman" w:hAnsi="Times New Roman" w:cs="Times New Roman"/>
        </w:rPr>
        <w:t>When this ratio is bigger than 1, it means a greater portion of a company’s liabilities is funded by equity. Mengniu’s 3 years average debt/equity ratio was 1.084, which is also similar to the industrial 3 years average debt/equity ratio (</w:t>
      </w:r>
      <w:r>
        <w:rPr>
          <w:rFonts w:ascii="Calibri" w:hAnsi="Calibri" w:eastAsia="Times New Roman" w:cs="Calibri"/>
          <w:sz w:val="24"/>
          <w:szCs w:val="24"/>
        </w:rPr>
        <w:t xml:space="preserve">0.973). </w:t>
      </w:r>
    </w:p>
    <w:p>
      <w:pPr>
        <w:rPr>
          <w:rFonts w:ascii="Calibri" w:hAnsi="Calibri" w:eastAsia="Times New Roman" w:cs="Calibri"/>
          <w:sz w:val="24"/>
          <w:szCs w:val="24"/>
        </w:rPr>
      </w:pPr>
      <w:r>
        <w:rPr>
          <w:rFonts w:ascii="Calibri" w:hAnsi="Calibri" w:eastAsia="Times New Roman" w:cs="Calibri"/>
          <w:sz w:val="24"/>
          <w:szCs w:val="24"/>
        </w:rPr>
        <w:t>Long Term Debt to total assets ratio</w:t>
      </w:r>
    </w:p>
    <w:p>
      <w:pPr>
        <w:rPr>
          <w:rFonts w:hint="eastAsia" w:ascii="Times New Roman" w:hAnsi="Times New Roman" w:cs="Times New Roman" w:eastAsiaTheme="minorEastAsia"/>
          <w:lang w:val="en-US" w:eastAsia="zh-TW"/>
        </w:rPr>
      </w:pPr>
      <w:r>
        <w:rPr>
          <w:rFonts w:ascii="Times New Roman" w:hAnsi="Times New Roman" w:cs="Times New Roman"/>
        </w:rPr>
        <w:t xml:space="preserve">It is the ratio shows the company’s asset percentage that are financed with loans and other financial obligations that last over a year. Decrease in the ratio means the company is progressively less dependent on debt to grow its business. Mengniu’s three years average ratio was 0.918, which was lower than Ausnutria (2.400) </w:t>
      </w:r>
      <w:r>
        <w:rPr>
          <w:rFonts w:hint="eastAsia" w:ascii="Times New Roman" w:hAnsi="Times New Roman" w:cs="Times New Roman"/>
          <w:lang w:val="en-US" w:eastAsia="zh-TW"/>
        </w:rPr>
        <w:t>but higher than</w:t>
      </w:r>
      <w:r>
        <w:rPr>
          <w:rFonts w:ascii="Times New Roman" w:hAnsi="Times New Roman" w:cs="Times New Roman"/>
        </w:rPr>
        <w:t xml:space="preserve"> Yashili (</w:t>
      </w:r>
      <w:r>
        <w:rPr>
          <w:rFonts w:hint="eastAsia" w:ascii="Times New Roman" w:hAnsi="Times New Roman" w:cs="Times New Roman"/>
          <w:lang w:val="en-US" w:eastAsia="zh-TW"/>
        </w:rPr>
        <w:t>0.000</w:t>
      </w:r>
      <w:r>
        <w:rPr>
          <w:rFonts w:ascii="Times New Roman" w:hAnsi="Times New Roman" w:cs="Times New Roman"/>
        </w:rPr>
        <w:t>)</w:t>
      </w:r>
      <w:r>
        <w:rPr>
          <w:rFonts w:hint="eastAsia" w:ascii="Times New Roman" w:hAnsi="Times New Roman" w:cs="Times New Roman"/>
          <w:lang w:val="en-US" w:eastAsia="zh-TW"/>
        </w:rPr>
        <w:t>.</w:t>
      </w:r>
    </w:p>
    <w:p>
      <w:pPr>
        <w:rPr>
          <w:rFonts w:ascii="Times New Roman" w:hAnsi="Times New Roman" w:cs="Times New Roman"/>
        </w:rPr>
      </w:pPr>
      <w:r>
        <w:rPr>
          <w:rFonts w:ascii="Times New Roman" w:hAnsi="Times New Roman" w:cs="Times New Roman"/>
        </w:rPr>
        <w:t xml:space="preserve">Time Interest cover ratio </w:t>
      </w:r>
    </w:p>
    <w:p>
      <w:pPr>
        <w:rPr>
          <w:rFonts w:ascii="Calibri" w:hAnsi="Calibri" w:eastAsia="Times New Roman" w:cs="Calibri"/>
        </w:rPr>
      </w:pPr>
      <w:r>
        <w:rPr>
          <w:rFonts w:ascii="Times New Roman" w:hAnsi="Times New Roman" w:cs="Times New Roman"/>
        </w:rPr>
        <w:t xml:space="preserve">It measures the proportionate amount of income that can be used to cover interest expenses in the future.Mengniu’s 3 years average time interest cover ratio is </w:t>
      </w:r>
      <w:r>
        <w:rPr>
          <w:rFonts w:ascii="Calibri" w:hAnsi="Calibri" w:eastAsia="Times New Roman" w:cs="Calibri"/>
        </w:rPr>
        <w:t xml:space="preserve"> 4.997 means it makes enough income to pay for its total interest expense 4.997 times over. It is lower than Ausnutria (22.045) but higher than Yashili (-</w:t>
      </w:r>
      <w:r>
        <w:rPr>
          <w:rFonts w:hint="eastAsia" w:ascii="Calibri" w:hAnsi="Calibri" w:eastAsia="PMingLiU" w:cs="Calibri"/>
          <w:lang w:val="en-US" w:eastAsia="zh-TW"/>
        </w:rPr>
        <w:t>8.391</w:t>
      </w:r>
      <w:r>
        <w:rPr>
          <w:rFonts w:ascii="Calibri" w:hAnsi="Calibri" w:eastAsia="Times New Roman" w:cs="Calibri"/>
        </w:rPr>
        <w:t>).</w:t>
      </w:r>
    </w:p>
    <w:p>
      <w:pPr>
        <w:rPr>
          <w:rFonts w:ascii="Calibri" w:hAnsi="Calibri" w:eastAsia="Times New Roman" w:cs="Calibri"/>
        </w:rPr>
      </w:pPr>
      <w:r>
        <w:rPr>
          <w:rFonts w:ascii="Calibri" w:hAnsi="Calibri" w:eastAsia="Times New Roman" w:cs="Calibri"/>
        </w:rPr>
        <w:t>Cash coverage ratio</w:t>
      </w:r>
    </w:p>
    <w:p>
      <w:pPr>
        <w:rPr>
          <w:rFonts w:ascii="Calibri" w:hAnsi="Calibri" w:eastAsia="Times New Roman" w:cs="Calibri"/>
          <w:sz w:val="24"/>
          <w:szCs w:val="24"/>
        </w:rPr>
      </w:pPr>
      <w:r>
        <w:rPr>
          <w:rFonts w:ascii="Calibri" w:hAnsi="Calibri" w:eastAsia="Times New Roman" w:cs="Calibri"/>
        </w:rPr>
        <w:t>It determines the cash amount available to pay for a borrower’s interest expense. Mengniu’s 3 years average cash coverage ratio was 9.348, which is lower than Ausnutria (</w:t>
      </w:r>
      <w:r>
        <w:rPr>
          <w:rFonts w:ascii="Calibri" w:hAnsi="Calibri" w:eastAsia="Times New Roman" w:cs="Calibri"/>
          <w:color w:val="000000"/>
          <w:sz w:val="24"/>
          <w:szCs w:val="24"/>
        </w:rPr>
        <w:t xml:space="preserve">27.456) </w:t>
      </w:r>
      <w:r>
        <w:rPr>
          <w:rFonts w:hint="eastAsia" w:ascii="Calibri" w:hAnsi="Calibri" w:eastAsia="PMingLiU" w:cs="Calibri"/>
          <w:color w:val="000000"/>
          <w:sz w:val="24"/>
          <w:szCs w:val="24"/>
          <w:lang w:val="en-US" w:eastAsia="zh-TW"/>
        </w:rPr>
        <w:t>and</w:t>
      </w:r>
      <w:r>
        <w:rPr>
          <w:rFonts w:ascii="Calibri" w:hAnsi="Calibri" w:eastAsia="Times New Roman" w:cs="Calibri"/>
          <w:color w:val="000000"/>
          <w:sz w:val="24"/>
          <w:szCs w:val="24"/>
        </w:rPr>
        <w:t xml:space="preserve"> Yashili (</w:t>
      </w:r>
      <w:r>
        <w:rPr>
          <w:rFonts w:hint="eastAsia" w:ascii="Calibri" w:hAnsi="Calibri" w:eastAsia="PMingLiU" w:cs="Calibri"/>
          <w:color w:val="000000"/>
          <w:sz w:val="24"/>
          <w:szCs w:val="24"/>
          <w:lang w:val="en-US" w:eastAsia="zh-TW"/>
        </w:rPr>
        <w:t>12.680</w:t>
      </w:r>
      <w:r>
        <w:rPr>
          <w:rFonts w:ascii="Calibri" w:hAnsi="Calibri" w:eastAsia="Times New Roman" w:cs="Calibri"/>
          <w:sz w:val="24"/>
          <w:szCs w:val="24"/>
        </w:rPr>
        <w:t xml:space="preserve"> ). </w:t>
      </w:r>
    </w:p>
    <w:p>
      <w:pPr>
        <w:rPr>
          <w:rFonts w:ascii="Calibri" w:hAnsi="Calibri" w:eastAsia="Times New Roman" w:cs="Calibri"/>
          <w:sz w:val="24"/>
          <w:szCs w:val="24"/>
        </w:rPr>
      </w:pPr>
    </w:p>
    <w:p>
      <w:pPr>
        <w:rPr>
          <w:rFonts w:ascii="Calibri" w:hAnsi="Calibri" w:eastAsia="Times New Roman" w:cs="Calibri"/>
          <w:sz w:val="24"/>
          <w:szCs w:val="24"/>
        </w:rPr>
      </w:pPr>
      <w:r>
        <w:rPr>
          <w:rFonts w:ascii="Calibri" w:hAnsi="Calibri" w:eastAsia="Times New Roman" w:cs="Calibri"/>
          <w:sz w:val="24"/>
          <w:szCs w:val="24"/>
        </w:rPr>
        <w:t>In conclusion, Mengniu was performing not particularly well in paying debt ability; it has a relatively low current ratio, quick ratio and cash ratio</w:t>
      </w:r>
      <w:r>
        <w:rPr>
          <w:rFonts w:hint="eastAsia" w:ascii="Calibri" w:hAnsi="Calibri" w:eastAsia="PMingLiU" w:cs="Calibri"/>
          <w:sz w:val="24"/>
          <w:szCs w:val="24"/>
          <w:lang w:val="en-US" w:eastAsia="zh-TW"/>
        </w:rPr>
        <w:t xml:space="preserve"> and cash coverage ratio</w:t>
      </w:r>
      <w:r>
        <w:rPr>
          <w:rFonts w:ascii="Calibri" w:hAnsi="Calibri" w:eastAsia="Times New Roman" w:cs="Calibri"/>
          <w:sz w:val="24"/>
          <w:szCs w:val="24"/>
        </w:rPr>
        <w:t>. Nevertheless,</w:t>
      </w:r>
      <w:r>
        <w:rPr>
          <w:rFonts w:hint="eastAsia" w:ascii="Calibri" w:hAnsi="Calibri" w:eastAsia="PMingLiU" w:cs="Calibri"/>
          <w:sz w:val="24"/>
          <w:szCs w:val="24"/>
          <w:lang w:val="en-US" w:eastAsia="zh-TW"/>
        </w:rPr>
        <w:t xml:space="preserve"> </w:t>
      </w:r>
      <w:r>
        <w:rPr>
          <w:rFonts w:ascii="Calibri" w:hAnsi="Calibri" w:eastAsia="Times New Roman" w:cs="Calibri"/>
          <w:sz w:val="24"/>
          <w:szCs w:val="24"/>
        </w:rPr>
        <w:t>Mengniu’s long term debt to total assets ratio, time interest cover ratio were not bad when compared to the industrial average level.</w:t>
      </w:r>
    </w:p>
    <w:p>
      <w:pPr>
        <w:rPr>
          <w:rFonts w:ascii="Calibri" w:hAnsi="Calibri" w:eastAsia="Times New Roman" w:cs="Calibri"/>
          <w:sz w:val="24"/>
          <w:szCs w:val="24"/>
        </w:rPr>
      </w:pPr>
      <w:r>
        <w:rPr>
          <w:rFonts w:ascii="Calibri" w:hAnsi="Calibri" w:eastAsia="Times New Roman" w:cs="Calibri"/>
          <w:sz w:val="24"/>
          <w:szCs w:val="24"/>
        </w:rPr>
        <w:t>2.4 Operating ability</w:t>
      </w:r>
    </w:p>
    <w:tbl>
      <w:tblPr>
        <w:tblStyle w:val="6"/>
        <w:tblW w:w="9483" w:type="dxa"/>
        <w:tblInd w:w="93" w:type="dxa"/>
        <w:tblLayout w:type="fixed"/>
        <w:tblCellMar>
          <w:top w:w="0" w:type="dxa"/>
          <w:left w:w="108" w:type="dxa"/>
          <w:bottom w:w="0" w:type="dxa"/>
          <w:right w:w="108" w:type="dxa"/>
        </w:tblCellMar>
      </w:tblPr>
      <w:tblGrid>
        <w:gridCol w:w="2627"/>
        <w:gridCol w:w="826"/>
        <w:gridCol w:w="913"/>
        <w:gridCol w:w="869"/>
        <w:gridCol w:w="1062"/>
        <w:gridCol w:w="1062"/>
        <w:gridCol w:w="1062"/>
        <w:gridCol w:w="1062"/>
      </w:tblGrid>
      <w:tr>
        <w:tblPrEx>
          <w:tblLayout w:type="fixed"/>
          <w:tblCellMar>
            <w:top w:w="0" w:type="dxa"/>
            <w:left w:w="108" w:type="dxa"/>
            <w:bottom w:w="0" w:type="dxa"/>
            <w:right w:w="108" w:type="dxa"/>
          </w:tblCellMar>
        </w:tblPrEx>
        <w:trPr>
          <w:trHeight w:val="315" w:hRule="atLeast"/>
        </w:trPr>
        <w:tc>
          <w:tcPr>
            <w:tcW w:w="2627"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(Company Name)</w:t>
            </w:r>
          </w:p>
        </w:tc>
        <w:tc>
          <w:tcPr>
            <w:tcW w:w="3670"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Mengniu</w:t>
            </w:r>
          </w:p>
        </w:tc>
        <w:tc>
          <w:tcPr>
            <w:tcW w:w="1062"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 xml:space="preserve">Ausnutria </w:t>
            </w:r>
          </w:p>
        </w:tc>
        <w:tc>
          <w:tcPr>
            <w:tcW w:w="1062"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 xml:space="preserve">Yashili </w:t>
            </w:r>
          </w:p>
        </w:tc>
        <w:tc>
          <w:tcPr>
            <w:tcW w:w="1062"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3 companies</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(RMB in million)(Year) </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2016</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2017</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 xml:space="preserve">Depreciation and Amortization </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1601.52</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1703.85</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1838.451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1,714.61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89.574</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167.171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657.118</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Selling and distribution expense</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13,435</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14,868.80</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18833.3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15,712.43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1019.925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1068.18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5933.51</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Administrative expense</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2,471.37</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2,497.21</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2,915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2627.8707</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325.178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289.805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1080.95</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Other expenses</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2,850.67</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1,098.61</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851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1600.163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34.0473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127.015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587.075</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Total asset turnover</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1.095</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1.035</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1.038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1.056</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0.729</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0.323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0.703</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 xml:space="preserve">Average Collection Period (days) </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15.882</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16.06</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15.303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15.748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hint="eastAsia" w:ascii="Times New Roman" w:hAnsi="Times New Roman" w:eastAsia="PMingLiU" w:cs="Times New Roman"/>
                <w:color w:val="000000"/>
                <w:sz w:val="18"/>
                <w:szCs w:val="18"/>
                <w:lang w:val="en-US" w:eastAsia="zh-TW"/>
              </w:rPr>
              <w:t>24.579</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23.285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hint="default" w:ascii="Times New Roman" w:hAnsi="Times New Roman" w:eastAsia="PMingLiU" w:cs="Times New Roman"/>
                <w:color w:val="000000"/>
                <w:sz w:val="18"/>
                <w:szCs w:val="18"/>
                <w:lang w:val="en-US" w:eastAsia="zh-TW"/>
              </w:rPr>
            </w:pPr>
            <w:r>
              <w:rPr>
                <w:rFonts w:ascii="Times New Roman" w:hAnsi="Times New Roman" w:eastAsia="Times New Roman" w:cs="Times New Roman"/>
                <w:color w:val="000000"/>
                <w:sz w:val="18"/>
                <w:szCs w:val="18"/>
              </w:rPr>
              <w:t>2</w:t>
            </w:r>
            <w:r>
              <w:rPr>
                <w:rFonts w:hint="eastAsia" w:ascii="Times New Roman" w:hAnsi="Times New Roman" w:eastAsia="PMingLiU" w:cs="Times New Roman"/>
                <w:color w:val="000000"/>
                <w:sz w:val="18"/>
                <w:szCs w:val="18"/>
                <w:lang w:val="en-US" w:eastAsia="zh-TW"/>
              </w:rPr>
              <w:t>1.204</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Day Sales in Inventory(days)</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33.469</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32.875</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36.184</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34.176</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188.068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187.179</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w:t>
            </w:r>
            <w:r>
              <w:rPr>
                <w:rFonts w:hint="eastAsia" w:ascii="Times New Roman" w:hAnsi="Times New Roman" w:eastAsia="PMingLiU" w:cs="Times New Roman"/>
                <w:color w:val="000000"/>
                <w:sz w:val="18"/>
                <w:szCs w:val="18"/>
                <w:lang w:val="en-US" w:eastAsia="zh-TW"/>
              </w:rPr>
              <w:t>36.474</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Average Payment period(days)</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54.589</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59.398</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59.335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57.774</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38.881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79.122</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58.592</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Sales</w:t>
            </w:r>
          </w:p>
        </w:tc>
        <w:tc>
          <w:tcPr>
            <w:tcW w:w="826" w:type="dxa"/>
            <w:tcBorders>
              <w:top w:val="nil"/>
              <w:left w:val="nil"/>
              <w:bottom w:val="single" w:color="auto" w:sz="4" w:space="0"/>
              <w:right w:val="single" w:color="auto" w:sz="4" w:space="0"/>
            </w:tcBorders>
            <w:shd w:val="clear" w:color="000000" w:fill="FFFFFF"/>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53779.3</w:t>
            </w:r>
          </w:p>
        </w:tc>
        <w:tc>
          <w:tcPr>
            <w:tcW w:w="913" w:type="dxa"/>
            <w:tcBorders>
              <w:top w:val="nil"/>
              <w:left w:val="nil"/>
              <w:bottom w:val="single" w:color="auto" w:sz="4" w:space="0"/>
              <w:right w:val="single" w:color="auto" w:sz="4" w:space="0"/>
            </w:tcBorders>
            <w:shd w:val="clear" w:color="000000" w:fill="FFFFFF"/>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60155.6</w:t>
            </w:r>
          </w:p>
        </w:tc>
        <w:tc>
          <w:tcPr>
            <w:tcW w:w="869" w:type="dxa"/>
            <w:tcBorders>
              <w:top w:val="nil"/>
              <w:left w:val="nil"/>
              <w:bottom w:val="single" w:color="auto" w:sz="4" w:space="0"/>
              <w:right w:val="single" w:color="auto" w:sz="4" w:space="0"/>
            </w:tcBorders>
            <w:shd w:val="clear" w:color="000000" w:fill="FFFFFF"/>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68977.1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60970.676</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4018.765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2489.744</w:t>
            </w:r>
          </w:p>
        </w:tc>
        <w:tc>
          <w:tcPr>
            <w:tcW w:w="1062"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 </w:t>
            </w:r>
          </w:p>
        </w:tc>
      </w:tr>
    </w:tbl>
    <w:p>
      <w:pPr>
        <w:rPr>
          <w:rFonts w:ascii="Calibri" w:hAnsi="Calibri" w:eastAsia="Times New Roman" w:cs="Calibri"/>
          <w:sz w:val="24"/>
          <w:szCs w:val="24"/>
        </w:rPr>
      </w:pPr>
    </w:p>
    <w:p>
      <w:pPr>
        <w:rPr>
          <w:rFonts w:ascii="Calibri" w:hAnsi="Calibri" w:eastAsia="Times New Roman" w:cs="Calibri"/>
        </w:rPr>
      </w:pPr>
      <w:r>
        <w:rPr>
          <w:rFonts w:ascii="Calibri" w:hAnsi="Calibri" w:eastAsia="Times New Roman" w:cs="Calibri"/>
        </w:rPr>
        <w:t>From the table we can see Mengniu had highest 3 years average depreciation and amortization (1714.608 million RMB),selling and distribution expense (15712.433 million RMB), administrative expense (2627.871 million RMB), other expenses (1600.163 million RMB) among the three compared companies, this can be explained by Mengniu has highest 3 years average sales (60970.676 million RMB), which is 15.171 times more than Ausnutria (4018.765 million RMB) and 24.489 times more than Yashili (2489.744 million RMB).</w:t>
      </w:r>
    </w:p>
    <w:p>
      <w:pPr>
        <w:rPr>
          <w:rFonts w:ascii="Calibri" w:hAnsi="Calibri" w:eastAsia="Times New Roman" w:cs="Calibri"/>
        </w:rPr>
      </w:pPr>
      <w:r>
        <w:rPr>
          <w:rFonts w:ascii="Calibri" w:hAnsi="Calibri" w:eastAsia="Times New Roman" w:cs="Calibri"/>
        </w:rPr>
        <w:t>Total asset turnover</w:t>
      </w:r>
    </w:p>
    <w:p>
      <w:pPr>
        <w:rPr>
          <w:rFonts w:ascii="Calibri" w:hAnsi="Calibri" w:eastAsia="Times New Roman" w:cs="Calibri"/>
        </w:rPr>
      </w:pPr>
      <w:r>
        <w:rPr>
          <w:rFonts w:ascii="Calibri" w:hAnsi="Calibri" w:eastAsia="Times New Roman" w:cs="Calibri"/>
        </w:rPr>
        <w:t>It is a ratio to measure the efficacy with which a company is using its assets to generate revenue. The lower the asset turnover ratio, the less efficient a company. The 3 years average total asset turnover of Mengniu is 1.056, which is higher than Ausnutria (0.729) and Yashili (0.323), which meant Mengniu is more efficient to generate revenue using its assets compared to its competitors.</w:t>
      </w:r>
    </w:p>
    <w:p>
      <w:pPr>
        <w:rPr>
          <w:rFonts w:ascii="Calibri" w:hAnsi="Calibri" w:eastAsia="Times New Roman" w:cs="Calibri"/>
        </w:rPr>
      </w:pPr>
      <w:r>
        <w:rPr>
          <w:rFonts w:ascii="Calibri" w:hAnsi="Calibri" w:eastAsia="Times New Roman" w:cs="Calibri"/>
        </w:rPr>
        <w:t>Average collection period</w:t>
      </w:r>
    </w:p>
    <w:p>
      <w:pPr>
        <w:rPr>
          <w:rFonts w:ascii="Calibri" w:hAnsi="Calibri" w:eastAsia="Times New Roman" w:cs="Calibri"/>
        </w:rPr>
      </w:pPr>
      <w:r>
        <w:rPr>
          <w:rFonts w:ascii="Calibri" w:hAnsi="Calibri" w:eastAsia="Times New Roman" w:cs="Calibri"/>
        </w:rPr>
        <w:t>In order to ensure a company operating smoothly, it must manage its average collection period well, as it is indicative of the effectiveness of its accounts receivable management practices. A low average collection period indicates the organization collects payment faster. Mengniu’s 3 years average collection period was 15.748 days, which was lower than Ausnutria (</w:t>
      </w:r>
      <w:r>
        <w:rPr>
          <w:rFonts w:hint="eastAsia" w:ascii="Calibri" w:hAnsi="Calibri" w:eastAsia="PMingLiU" w:cs="Calibri"/>
          <w:lang w:val="en-US" w:eastAsia="zh-TW"/>
        </w:rPr>
        <w:t>24.579</w:t>
      </w:r>
      <w:r>
        <w:rPr>
          <w:rFonts w:ascii="Calibri" w:hAnsi="Calibri" w:eastAsia="Times New Roman" w:cs="Calibri"/>
        </w:rPr>
        <w:t xml:space="preserve"> days) and Yashili (23.285 days), which meant Mengniu’s collect their payment faster than their competitors.</w:t>
      </w:r>
    </w:p>
    <w:p>
      <w:pPr>
        <w:rPr>
          <w:rFonts w:ascii="Calibri" w:hAnsi="Calibri" w:eastAsia="Times New Roman" w:cs="Calibri"/>
        </w:rPr>
      </w:pPr>
      <w:r>
        <w:rPr>
          <w:rFonts w:ascii="Calibri" w:hAnsi="Calibri" w:eastAsia="Times New Roman" w:cs="Calibri"/>
        </w:rPr>
        <w:t>Days Sales of Inventory (DSI)</w:t>
      </w:r>
    </w:p>
    <w:p>
      <w:pPr>
        <w:rPr>
          <w:rFonts w:ascii="Calibri" w:hAnsi="Calibri" w:eastAsia="Times New Roman" w:cs="Calibri"/>
        </w:rPr>
      </w:pPr>
      <w:r>
        <w:rPr>
          <w:rFonts w:ascii="Calibri" w:hAnsi="Calibri" w:eastAsia="Times New Roman" w:cs="Calibri"/>
        </w:rPr>
        <w:t>It indicates the inventory liquidity, a lower DSI is often perfferable as it represents how many days a company’s current inventory stock will last. Mengniu’s 3 years average days sales of inventory was 34.176 days, which is a lot lower than Ausnutria (188.068 days) and Yashili (187.179 days).</w:t>
      </w:r>
    </w:p>
    <w:p>
      <w:pPr>
        <w:rPr>
          <w:rFonts w:ascii="Calibri" w:hAnsi="Calibri" w:eastAsia="Times New Roman" w:cs="Calibri"/>
        </w:rPr>
      </w:pPr>
      <w:r>
        <w:rPr>
          <w:rFonts w:ascii="Calibri" w:hAnsi="Calibri" w:eastAsia="Times New Roman" w:cs="Calibri"/>
        </w:rPr>
        <w:t>Average payment period</w:t>
      </w:r>
    </w:p>
    <w:p>
      <w:pPr>
        <w:rPr>
          <w:rFonts w:ascii="Calibri" w:hAnsi="Calibri" w:eastAsia="Times New Roman" w:cs="Calibri"/>
        </w:rPr>
      </w:pPr>
      <w:r>
        <w:rPr>
          <w:rFonts w:ascii="Calibri" w:hAnsi="Calibri" w:eastAsia="Times New Roman" w:cs="Calibri"/>
        </w:rPr>
        <w:t>It indicates the company creditworthiness, a shorter payment period indicates prompt payments to creditors, Mengniu 3 years average payment period was 57.774 days, which is more than Ausnutria (38.881 days) but less than Yashili (79.122 days).</w:t>
      </w:r>
    </w:p>
    <w:p>
      <w:pPr>
        <w:rPr>
          <w:rFonts w:ascii="Calibri" w:hAnsi="Calibri" w:eastAsia="Times New Roman" w:cs="Calibri"/>
        </w:rPr>
      </w:pPr>
      <w:r>
        <w:rPr>
          <w:rFonts w:ascii="Calibri" w:hAnsi="Calibri" w:eastAsia="Times New Roman" w:cs="Calibri"/>
        </w:rPr>
        <w:t>Sales</w:t>
      </w:r>
    </w:p>
    <w:p>
      <w:pPr>
        <w:rPr>
          <w:rFonts w:ascii="Calibri" w:hAnsi="Calibri" w:eastAsia="Times New Roman" w:cs="Calibri"/>
        </w:rPr>
      </w:pPr>
      <w:r>
        <w:rPr>
          <w:rFonts w:ascii="Calibri" w:hAnsi="Calibri" w:eastAsia="Times New Roman" w:cs="Calibri"/>
        </w:rPr>
        <w:t>Mengniu’s sales has been growing continuously for 3 consecutive years, from 53779.3 million RMB in year 2016, to 60155.6 million RMB in year 2017 and 68977.1 million RMB in year 2018, which indicates the market share of Mengniu in this industry grows.</w:t>
      </w:r>
    </w:p>
    <w:p>
      <w:pPr>
        <w:rPr>
          <w:rFonts w:ascii="Calibri" w:hAnsi="Calibri" w:eastAsia="Times New Roman" w:cs="Calibri"/>
        </w:rPr>
      </w:pPr>
      <w:r>
        <w:rPr>
          <w:rFonts w:ascii="Calibri" w:hAnsi="Calibri" w:eastAsia="Times New Roman" w:cs="Calibri"/>
        </w:rPr>
        <w:t>In conclusion,in operating capacity analysis,  Mengniu’s business growth speeded up despite more depreciation and amortization, selling and distribution expense, administrative expense through the studied years. It has good total asset turnover, average collection period and day sales in inventory compared to its competitors. Its market share is highest among the three studied companies.</w:t>
      </w:r>
    </w:p>
    <w:p>
      <w:pPr>
        <w:rPr>
          <w:rFonts w:ascii="Calibri" w:hAnsi="Calibri" w:eastAsia="Times New Roman" w:cs="Calibri"/>
        </w:rPr>
      </w:pPr>
      <w:r>
        <w:rPr>
          <w:rFonts w:ascii="Calibri" w:hAnsi="Calibri" w:eastAsia="Times New Roman" w:cs="Calibri"/>
        </w:rPr>
        <w:t>2.5 Profitability</w:t>
      </w:r>
    </w:p>
    <w:tbl>
      <w:tblPr>
        <w:tblStyle w:val="6"/>
        <w:tblW w:w="9483" w:type="dxa"/>
        <w:tblInd w:w="93" w:type="dxa"/>
        <w:tblLayout w:type="fixed"/>
        <w:tblCellMar>
          <w:top w:w="0" w:type="dxa"/>
          <w:left w:w="108" w:type="dxa"/>
          <w:bottom w:w="0" w:type="dxa"/>
          <w:right w:w="108" w:type="dxa"/>
        </w:tblCellMar>
      </w:tblPr>
      <w:tblGrid>
        <w:gridCol w:w="2105"/>
        <w:gridCol w:w="1130"/>
        <w:gridCol w:w="1130"/>
        <w:gridCol w:w="1083"/>
        <w:gridCol w:w="1139"/>
        <w:gridCol w:w="958"/>
        <w:gridCol w:w="953"/>
        <w:gridCol w:w="985"/>
      </w:tblGrid>
      <w:tr>
        <w:tblPrEx>
          <w:tblLayout w:type="fixed"/>
          <w:tblCellMar>
            <w:top w:w="0" w:type="dxa"/>
            <w:left w:w="108" w:type="dxa"/>
            <w:bottom w:w="0" w:type="dxa"/>
            <w:right w:w="108" w:type="dxa"/>
          </w:tblCellMar>
        </w:tblPrEx>
        <w:trPr>
          <w:trHeight w:val="315" w:hRule="atLeast"/>
        </w:trPr>
        <w:tc>
          <w:tcPr>
            <w:tcW w:w="2105"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(Company Name)</w:t>
            </w:r>
          </w:p>
        </w:tc>
        <w:tc>
          <w:tcPr>
            <w:tcW w:w="4482"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Mengniu</w:t>
            </w:r>
          </w:p>
        </w:tc>
        <w:tc>
          <w:tcPr>
            <w:tcW w:w="958"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 xml:space="preserve">Ausnutria </w:t>
            </w:r>
          </w:p>
        </w:tc>
        <w:tc>
          <w:tcPr>
            <w:tcW w:w="953"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 xml:space="preserve">Yashili </w:t>
            </w:r>
          </w:p>
        </w:tc>
        <w:tc>
          <w:tcPr>
            <w:tcW w:w="985"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3 companies</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(RMB in million)(Year) </w:t>
            </w:r>
          </w:p>
        </w:tc>
        <w:tc>
          <w:tcPr>
            <w:tcW w:w="113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2016</w:t>
            </w:r>
          </w:p>
        </w:tc>
        <w:tc>
          <w:tcPr>
            <w:tcW w:w="113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2017</w:t>
            </w:r>
          </w:p>
        </w:tc>
        <w:tc>
          <w:tcPr>
            <w:tcW w:w="108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2018</w:t>
            </w:r>
          </w:p>
        </w:tc>
        <w:tc>
          <w:tcPr>
            <w:tcW w:w="113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958"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95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985"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Net profit (1 Million RMB)</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-812.765</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2030.678</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3203.721</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1,473.878</w:t>
            </w:r>
          </w:p>
        </w:tc>
        <w:tc>
          <w:tcPr>
            <w:tcW w:w="958"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hint="default" w:ascii="Calibri" w:hAnsi="Calibri" w:eastAsia="PMingLiU" w:cs="Calibri"/>
                <w:color w:val="000000"/>
                <w:sz w:val="24"/>
                <w:szCs w:val="24"/>
                <w:lang w:val="en-US" w:eastAsia="zh-TW"/>
              </w:rPr>
            </w:pPr>
            <w:r>
              <w:rPr>
                <w:rFonts w:ascii="Calibri" w:hAnsi="Calibri" w:eastAsia="Times New Roman" w:cs="Calibri"/>
                <w:color w:val="000000"/>
                <w:sz w:val="24"/>
                <w:szCs w:val="24"/>
              </w:rPr>
              <w:t>404</w:t>
            </w:r>
            <w:r>
              <w:rPr>
                <w:rFonts w:hint="eastAsia" w:ascii="Calibri" w:hAnsi="Calibri" w:eastAsia="PMingLiU" w:cs="Calibri"/>
                <w:color w:val="000000"/>
                <w:sz w:val="24"/>
                <w:szCs w:val="24"/>
                <w:lang w:val="en-US" w:eastAsia="zh-TW"/>
              </w:rPr>
              <w:t>.443</w:t>
            </w:r>
          </w:p>
        </w:tc>
        <w:tc>
          <w:tcPr>
            <w:tcW w:w="953"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-149.3</w:t>
            </w:r>
          </w:p>
        </w:tc>
        <w:tc>
          <w:tcPr>
            <w:tcW w:w="985"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576.34</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xml:space="preserve">Net profit growth </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-132.300%</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349.800%</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57.800%</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0.918</w:t>
            </w:r>
          </w:p>
        </w:tc>
        <w:tc>
          <w:tcPr>
            <w:tcW w:w="958"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166%</w:t>
            </w:r>
          </w:p>
        </w:tc>
        <w:tc>
          <w:tcPr>
            <w:tcW w:w="953"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-181%</w:t>
            </w:r>
          </w:p>
        </w:tc>
        <w:tc>
          <w:tcPr>
            <w:tcW w:w="985"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25.50%</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Gross profit margin</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0.328</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0.352</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0.374</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0.351</w:t>
            </w:r>
          </w:p>
        </w:tc>
        <w:tc>
          <w:tcPr>
            <w:tcW w:w="958"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0.45</w:t>
            </w:r>
          </w:p>
        </w:tc>
        <w:tc>
          <w:tcPr>
            <w:tcW w:w="953"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0.425</w:t>
            </w:r>
          </w:p>
        </w:tc>
        <w:tc>
          <w:tcPr>
            <w:tcW w:w="985"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0.407</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Net Profit margin</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-0.015</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0.034</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0.046</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0.022</w:t>
            </w:r>
          </w:p>
        </w:tc>
        <w:tc>
          <w:tcPr>
            <w:tcW w:w="958"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0.097</w:t>
            </w:r>
          </w:p>
        </w:tc>
        <w:tc>
          <w:tcPr>
            <w:tcW w:w="953"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-0.069</w:t>
            </w:r>
          </w:p>
        </w:tc>
        <w:tc>
          <w:tcPr>
            <w:tcW w:w="985"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0.017</w:t>
            </w:r>
          </w:p>
        </w:tc>
      </w:tr>
    </w:tbl>
    <w:p>
      <w:pPr>
        <w:rPr>
          <w:rFonts w:ascii="Calibri" w:hAnsi="Calibri" w:eastAsia="Times New Roman" w:cs="Calibri"/>
        </w:rPr>
      </w:pPr>
    </w:p>
    <w:p>
      <w:pPr>
        <w:rPr>
          <w:rFonts w:ascii="Calibri" w:hAnsi="Calibri" w:eastAsia="Times New Roman" w:cs="Calibri"/>
        </w:rPr>
      </w:pPr>
      <w:r>
        <w:rPr>
          <w:rFonts w:ascii="Calibri" w:hAnsi="Calibri" w:eastAsia="Times New Roman" w:cs="Calibri"/>
        </w:rPr>
        <w:t>Gross profit margin</w:t>
      </w:r>
    </w:p>
    <w:p>
      <w:pPr>
        <w:rPr>
          <w:rFonts w:hint="default" w:ascii="Calibri" w:hAnsi="Calibri" w:eastAsia="PMingLiU" w:cs="Calibri"/>
          <w:lang w:val="en-US" w:eastAsia="zh-TW"/>
        </w:rPr>
      </w:pPr>
      <w:r>
        <w:rPr>
          <w:rFonts w:ascii="Calibri" w:hAnsi="Calibri" w:eastAsia="Times New Roman" w:cs="Calibri"/>
        </w:rPr>
        <w:t>It is used to assess a company’s financial health and business model by revealing the amount of money left over from sales after deducting the cost of goods sold. Mengniu has a 3 year average gross profit margin of 35.1%, which was lower than Ausnutria (45%) and Yashili (42.5%). Mengniu performed poorer than average industrial level (40.7%</w:t>
      </w:r>
      <w:r>
        <w:rPr>
          <w:rFonts w:hint="eastAsia" w:ascii="Calibri" w:hAnsi="Calibri" w:eastAsia="PMingLiU" w:cs="Calibri"/>
          <w:lang w:val="en-US" w:eastAsia="zh-TW"/>
        </w:rPr>
        <w:t>).</w:t>
      </w:r>
    </w:p>
    <w:p>
      <w:pPr>
        <w:rPr>
          <w:rFonts w:ascii="Calibri" w:hAnsi="Calibri" w:eastAsia="Times New Roman" w:cs="Calibri"/>
        </w:rPr>
      </w:pPr>
      <w:r>
        <w:rPr>
          <w:rFonts w:ascii="Calibri" w:hAnsi="Calibri" w:eastAsia="Times New Roman" w:cs="Calibri"/>
        </w:rPr>
        <w:t>Net profit margin</w:t>
      </w:r>
    </w:p>
    <w:p>
      <w:pPr>
        <w:rPr>
          <w:rFonts w:hint="eastAsia" w:ascii="Calibri" w:hAnsi="Calibri" w:eastAsia="PMingLiU" w:cs="Calibri"/>
          <w:lang w:val="en-US" w:eastAsia="zh-TW"/>
        </w:rPr>
      </w:pPr>
      <w:r>
        <w:rPr>
          <w:rFonts w:ascii="Calibri" w:hAnsi="Calibri" w:eastAsia="Times New Roman" w:cs="Calibri"/>
        </w:rPr>
        <w:t>It is equal to how much net income is generated as a revenue percentage. Mengniu’s 3 years average net profit margin was 2.2%, which is lower than Ausnutria (9.7%</w:t>
      </w:r>
      <w:r>
        <w:rPr>
          <w:rFonts w:hint="eastAsia" w:ascii="Calibri" w:hAnsi="Calibri" w:eastAsia="PMingLiU" w:cs="Calibri"/>
          <w:lang w:val="en-US" w:eastAsia="zh-TW"/>
        </w:rPr>
        <w:t>)</w:t>
      </w:r>
      <w:r>
        <w:rPr>
          <w:rFonts w:ascii="Calibri" w:hAnsi="Calibri" w:eastAsia="Times New Roman" w:cs="Calibri"/>
        </w:rPr>
        <w:t xml:space="preserve"> but higher than Yashili (-6.9%). Mengniu performed better than average industrial level (1.7%)</w:t>
      </w:r>
      <w:r>
        <w:rPr>
          <w:rFonts w:hint="eastAsia" w:ascii="Calibri" w:hAnsi="Calibri" w:eastAsia="PMingLiU" w:cs="Calibri"/>
          <w:lang w:val="en-US" w:eastAsia="zh-TW"/>
        </w:rPr>
        <w:t>.</w:t>
      </w:r>
    </w:p>
    <w:tbl>
      <w:tblPr>
        <w:tblStyle w:val="6"/>
        <w:tblW w:w="9483" w:type="dxa"/>
        <w:tblInd w:w="93" w:type="dxa"/>
        <w:tblLayout w:type="fixed"/>
        <w:tblCellMar>
          <w:top w:w="0" w:type="dxa"/>
          <w:left w:w="108" w:type="dxa"/>
          <w:bottom w:w="0" w:type="dxa"/>
          <w:right w:w="108" w:type="dxa"/>
        </w:tblCellMar>
      </w:tblPr>
      <w:tblGrid>
        <w:gridCol w:w="2789"/>
        <w:gridCol w:w="890"/>
        <w:gridCol w:w="890"/>
        <w:gridCol w:w="1004"/>
        <w:gridCol w:w="1141"/>
        <w:gridCol w:w="948"/>
        <w:gridCol w:w="846"/>
        <w:gridCol w:w="975"/>
      </w:tblGrid>
      <w:tr>
        <w:tblPrEx>
          <w:tblLayout w:type="fixed"/>
          <w:tblCellMar>
            <w:top w:w="0" w:type="dxa"/>
            <w:left w:w="108" w:type="dxa"/>
            <w:bottom w:w="0" w:type="dxa"/>
            <w:right w:w="108" w:type="dxa"/>
          </w:tblCellMar>
        </w:tblPrEx>
        <w:trPr>
          <w:trHeight w:val="315" w:hRule="atLeast"/>
        </w:trPr>
        <w:tc>
          <w:tcPr>
            <w:tcW w:w="2789"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3925"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948"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846"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975"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3 companies</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p>
        </w:tc>
        <w:tc>
          <w:tcPr>
            <w:tcW w:w="89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89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1004"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141"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48"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4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75"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rPr>
            </w:pPr>
            <w:r>
              <w:rPr>
                <w:rFonts w:ascii="Calibri" w:hAnsi="Calibri" w:eastAsia="Times New Roman" w:cs="Calibri"/>
              </w:rPr>
              <w:t>Total assets turnover (colored)</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1.095</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1.035</w:t>
            </w:r>
          </w:p>
        </w:tc>
        <w:tc>
          <w:tcPr>
            <w:tcW w:w="1004"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1.038</w:t>
            </w:r>
          </w:p>
        </w:tc>
        <w:tc>
          <w:tcPr>
            <w:tcW w:w="1141"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1.056</w:t>
            </w:r>
          </w:p>
        </w:tc>
        <w:tc>
          <w:tcPr>
            <w:tcW w:w="948"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hint="default" w:ascii="Calibri" w:hAnsi="Calibri" w:eastAsia="PMingLiU" w:cs="Calibri"/>
                <w:sz w:val="24"/>
                <w:szCs w:val="24"/>
                <w:lang w:val="en-US" w:eastAsia="zh-TW"/>
              </w:rPr>
            </w:pPr>
            <w:r>
              <w:rPr>
                <w:rFonts w:ascii="Calibri" w:hAnsi="Calibri" w:eastAsia="Times New Roman" w:cs="Calibri"/>
                <w:sz w:val="24"/>
                <w:szCs w:val="24"/>
              </w:rPr>
              <w:t>0.8</w:t>
            </w:r>
            <w:r>
              <w:rPr>
                <w:rFonts w:hint="eastAsia" w:ascii="Calibri" w:hAnsi="Calibri" w:eastAsia="PMingLiU" w:cs="Calibri"/>
                <w:sz w:val="24"/>
                <w:szCs w:val="24"/>
                <w:lang w:val="en-US" w:eastAsia="zh-TW"/>
              </w:rPr>
              <w:t>00</w:t>
            </w:r>
          </w:p>
        </w:tc>
        <w:tc>
          <w:tcPr>
            <w:tcW w:w="846"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0.38</w:t>
            </w:r>
          </w:p>
        </w:tc>
        <w:tc>
          <w:tcPr>
            <w:tcW w:w="975"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0.745</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sz w:val="24"/>
                <w:szCs w:val="24"/>
              </w:rPr>
            </w:pPr>
            <w:r>
              <w:rPr>
                <w:rFonts w:ascii="Calibri" w:hAnsi="Calibri" w:eastAsia="Times New Roman" w:cs="Calibri"/>
                <w:sz w:val="24"/>
                <w:szCs w:val="24"/>
              </w:rPr>
              <w:t xml:space="preserve">leverage ratio </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0.926</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1.145</w:t>
            </w:r>
          </w:p>
        </w:tc>
        <w:tc>
          <w:tcPr>
            <w:tcW w:w="1004"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1.181</w:t>
            </w:r>
          </w:p>
        </w:tc>
        <w:tc>
          <w:tcPr>
            <w:tcW w:w="1141"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1.084</w:t>
            </w:r>
          </w:p>
        </w:tc>
        <w:tc>
          <w:tcPr>
            <w:tcW w:w="948"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0.584</w:t>
            </w:r>
          </w:p>
        </w:tc>
        <w:tc>
          <w:tcPr>
            <w:tcW w:w="846"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0.275</w:t>
            </w:r>
          </w:p>
        </w:tc>
        <w:tc>
          <w:tcPr>
            <w:tcW w:w="975"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0.648</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sz w:val="24"/>
                <w:szCs w:val="24"/>
              </w:rPr>
            </w:pPr>
            <w:r>
              <w:rPr>
                <w:rFonts w:ascii="Calibri" w:hAnsi="Calibri" w:eastAsia="Times New Roman" w:cs="Calibri"/>
                <w:sz w:val="24"/>
                <w:szCs w:val="24"/>
              </w:rPr>
              <w:t xml:space="preserve">Return on Equity (after tax) (%) </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-3.187%</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7.491%</w:t>
            </w:r>
          </w:p>
        </w:tc>
        <w:tc>
          <w:tcPr>
            <w:tcW w:w="1004"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10.516%</w:t>
            </w:r>
          </w:p>
        </w:tc>
        <w:tc>
          <w:tcPr>
            <w:tcW w:w="1141"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4.940%</w:t>
            </w:r>
          </w:p>
        </w:tc>
        <w:tc>
          <w:tcPr>
            <w:tcW w:w="948"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18.05%</w:t>
            </w:r>
          </w:p>
        </w:tc>
        <w:tc>
          <w:tcPr>
            <w:tcW w:w="846"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-2.65%</w:t>
            </w:r>
          </w:p>
        </w:tc>
        <w:tc>
          <w:tcPr>
            <w:tcW w:w="975"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sz w:val="24"/>
                <w:szCs w:val="24"/>
              </w:rPr>
            </w:pPr>
            <w:r>
              <w:rPr>
                <w:rFonts w:ascii="Calibri" w:hAnsi="Calibri" w:eastAsia="Times New Roman" w:cs="Calibri"/>
                <w:sz w:val="24"/>
                <w:szCs w:val="24"/>
              </w:rPr>
              <w:t>6.78%</w:t>
            </w:r>
          </w:p>
        </w:tc>
      </w:tr>
    </w:tbl>
    <w:p>
      <w:pPr>
        <w:rPr>
          <w:rFonts w:ascii="Calibri" w:hAnsi="Calibri" w:eastAsia="Times New Roman" w:cs="Calibri"/>
        </w:rPr>
      </w:pPr>
    </w:p>
    <w:p>
      <w:pPr>
        <w:rPr>
          <w:rFonts w:ascii="Calibri" w:hAnsi="Calibri" w:eastAsia="Times New Roman" w:cs="Calibri"/>
        </w:rPr>
      </w:pPr>
      <w:r>
        <w:rPr>
          <w:rFonts w:ascii="Calibri" w:hAnsi="Calibri" w:eastAsia="Times New Roman" w:cs="Calibri"/>
        </w:rPr>
        <w:t>Total assets turnover</w:t>
      </w:r>
    </w:p>
    <w:p>
      <w:pPr>
        <w:rPr>
          <w:rFonts w:ascii="Calibri" w:hAnsi="Calibri" w:eastAsia="Times New Roman" w:cs="Calibri"/>
        </w:rPr>
      </w:pPr>
      <w:r>
        <w:rPr>
          <w:rFonts w:ascii="Calibri" w:hAnsi="Calibri" w:eastAsia="Times New Roman" w:cs="Calibri"/>
        </w:rPr>
        <w:t>It means how efficient the company is using its assets to generate revenue. Mengniu’s 3 years average total assets turnover was 105.6%, which was better than Ausnutria (80%) and Yashili (38%), and it was better than average industrial level (74.5%)</w:t>
      </w:r>
    </w:p>
    <w:p>
      <w:pPr>
        <w:rPr>
          <w:rFonts w:ascii="Calibri" w:hAnsi="Calibri" w:eastAsia="Times New Roman" w:cs="Calibri"/>
        </w:rPr>
      </w:pPr>
      <w:r>
        <w:rPr>
          <w:rFonts w:ascii="Calibri" w:hAnsi="Calibri" w:eastAsia="Times New Roman" w:cs="Calibri"/>
        </w:rPr>
        <w:t>Leverage ratio</w:t>
      </w:r>
    </w:p>
    <w:p>
      <w:pPr>
        <w:rPr>
          <w:rFonts w:ascii="Calibri" w:hAnsi="Calibri" w:eastAsia="Times New Roman" w:cs="Calibri"/>
        </w:rPr>
      </w:pPr>
      <w:r>
        <w:rPr>
          <w:rFonts w:ascii="Calibri" w:hAnsi="Calibri" w:eastAsia="Times New Roman" w:cs="Calibri"/>
        </w:rPr>
        <w:t>It assesses the company ability to meet its financial obligations and measures how much capital comes in the form of loans. Mengniu’s 3 years average leverage ratio was 1.084, which is higher than Ausnutria (0.584) and Yashili (0.275). Although too much debt can be dangerous for a company and its investors, if a company’s operations can generate a higher rate of return than the interest rate on its loans, then the debt is helping to fuel growth in profits. Mengniu was in this situation.</w:t>
      </w:r>
    </w:p>
    <w:p>
      <w:pPr>
        <w:rPr>
          <w:rFonts w:ascii="Calibri" w:hAnsi="Calibri" w:eastAsia="Times New Roman" w:cs="Calibri"/>
        </w:rPr>
      </w:pPr>
      <w:r>
        <w:rPr>
          <w:rFonts w:ascii="Calibri" w:hAnsi="Calibri" w:eastAsia="Times New Roman" w:cs="Calibri"/>
        </w:rPr>
        <w:t>Return on Equity (after-tax)</w:t>
      </w:r>
    </w:p>
    <w:p>
      <w:pPr>
        <w:rPr>
          <w:rFonts w:ascii="Calibri" w:hAnsi="Calibri" w:eastAsia="Times New Roman" w:cs="Calibri"/>
        </w:rPr>
      </w:pPr>
      <w:r>
        <w:rPr>
          <w:rFonts w:ascii="Calibri" w:hAnsi="Calibri" w:eastAsia="Times New Roman" w:cs="Calibri"/>
        </w:rPr>
        <w:t>It measures the financial performance calculated by dividing net income by shareholders’ equity. Mengniu’s 3 years average return on equity (after tax) was 4.94%, which was lower than Ausnutria (18.05%) but higher than Yashili (2.65%), and it was little bit lower than average industrial level (6.78%).</w:t>
      </w:r>
    </w:p>
    <w:p>
      <w:pPr>
        <w:rPr>
          <w:rFonts w:ascii="Calibri" w:hAnsi="Calibri" w:eastAsia="Times New Roman" w:cs="Calibri"/>
        </w:rPr>
      </w:pPr>
    </w:p>
    <w:p>
      <w:pPr>
        <w:rPr>
          <w:rFonts w:ascii="Calibri" w:hAnsi="Calibri" w:eastAsia="Times New Roman" w:cs="Calibri"/>
        </w:rPr>
      </w:pPr>
      <w:r>
        <w:rPr>
          <w:rFonts w:ascii="Calibri" w:hAnsi="Calibri" w:eastAsia="Times New Roman" w:cs="Calibri"/>
        </w:rPr>
        <w:t>In conclusion, after the profitability analysis, Mengniu has better total assets turnover than average industrial level, but inferior to the average industrial level in lower return on equity (after tax). With higher leverage ratio than the average industrial level, Mengniu depends on loans to increase the capital more than Ausnutria and Yashili. We recommend Mengniu to increase their market penetration to improve its profit rate and return on equity (after tax).</w:t>
      </w:r>
    </w:p>
    <w:p>
      <w:pPr>
        <w:rPr>
          <w:rFonts w:ascii="Calibri" w:hAnsi="Calibri" w:eastAsia="Times New Roman" w:cs="Calibri"/>
        </w:rPr>
      </w:pPr>
    </w:p>
    <w:p>
      <w:pPr>
        <w:rPr>
          <w:rFonts w:ascii="Calibri" w:hAnsi="Calibri" w:eastAsia="Times New Roman" w:cs="Calibri"/>
        </w:rPr>
      </w:pPr>
      <w:r>
        <w:rPr>
          <w:rFonts w:ascii="Calibri" w:hAnsi="Calibri" w:eastAsia="Times New Roman" w:cs="Calibri"/>
        </w:rPr>
        <w:t>2.6 Growth ability</w:t>
      </w:r>
    </w:p>
    <w:tbl>
      <w:tblPr>
        <w:tblStyle w:val="6"/>
        <w:tblW w:w="9483" w:type="dxa"/>
        <w:tblInd w:w="93" w:type="dxa"/>
        <w:tblLayout w:type="fixed"/>
        <w:tblCellMar>
          <w:top w:w="0" w:type="dxa"/>
          <w:left w:w="108" w:type="dxa"/>
          <w:bottom w:w="0" w:type="dxa"/>
          <w:right w:w="108" w:type="dxa"/>
        </w:tblCellMar>
      </w:tblPr>
      <w:tblGrid>
        <w:gridCol w:w="3426"/>
        <w:gridCol w:w="879"/>
        <w:gridCol w:w="879"/>
        <w:gridCol w:w="879"/>
        <w:gridCol w:w="879"/>
        <w:gridCol w:w="879"/>
        <w:gridCol w:w="783"/>
        <w:gridCol w:w="879"/>
      </w:tblGrid>
      <w:tr>
        <w:tblPrEx>
          <w:tblLayout w:type="fixed"/>
          <w:tblCellMar>
            <w:top w:w="0" w:type="dxa"/>
            <w:left w:w="108" w:type="dxa"/>
            <w:bottom w:w="0" w:type="dxa"/>
            <w:right w:w="108" w:type="dxa"/>
          </w:tblCellMar>
        </w:tblPrEx>
        <w:trPr>
          <w:trHeight w:val="315" w:hRule="atLeast"/>
        </w:trPr>
        <w:tc>
          <w:tcPr>
            <w:tcW w:w="3426"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3516"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879"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783"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879"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3 companies</w:t>
            </w:r>
          </w:p>
        </w:tc>
      </w:tr>
      <w:tr>
        <w:tblPrEx>
          <w:tblLayout w:type="fixed"/>
          <w:tblCellMar>
            <w:top w:w="0" w:type="dxa"/>
            <w:left w:w="108" w:type="dxa"/>
            <w:bottom w:w="0" w:type="dxa"/>
            <w:right w:w="108" w:type="dxa"/>
          </w:tblCellMar>
        </w:tblPrEx>
        <w:trPr>
          <w:trHeight w:val="315" w:hRule="atLeast"/>
        </w:trPr>
        <w:tc>
          <w:tcPr>
            <w:tcW w:w="3426"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78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3426"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Retained yield (times)</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-9.721</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4.823</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3.940</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-0.319</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5.173</w:t>
            </w:r>
          </w:p>
        </w:tc>
        <w:tc>
          <w:tcPr>
            <w:tcW w:w="783"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17.935</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23.427</w:t>
            </w:r>
          </w:p>
        </w:tc>
      </w:tr>
      <w:tr>
        <w:tblPrEx>
          <w:tblLayout w:type="fixed"/>
          <w:tblCellMar>
            <w:top w:w="0" w:type="dxa"/>
            <w:left w:w="108" w:type="dxa"/>
            <w:bottom w:w="0" w:type="dxa"/>
            <w:right w:w="108" w:type="dxa"/>
          </w:tblCellMar>
        </w:tblPrEx>
        <w:trPr>
          <w:trHeight w:val="315" w:hRule="atLeast"/>
        </w:trPr>
        <w:tc>
          <w:tcPr>
            <w:tcW w:w="3426"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Self-sustainable growth ratio (%) (retained earning /equity)</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30.980%</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36.129%</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41.434%</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36.181%</w:t>
            </w:r>
          </w:p>
        </w:tc>
        <w:tc>
          <w:tcPr>
            <w:tcW w:w="879"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hint="eastAsia" w:ascii="Calibri" w:hAnsi="Calibri" w:eastAsia="PMingLiU" w:cs="Calibri"/>
                <w:color w:val="000000"/>
                <w:sz w:val="24"/>
                <w:szCs w:val="24"/>
                <w:lang w:val="en-US" w:eastAsia="zh-TW"/>
              </w:rPr>
              <w:t>87.04</w:t>
            </w:r>
            <w:r>
              <w:rPr>
                <w:rFonts w:ascii="Calibri" w:hAnsi="Calibri" w:eastAsia="Times New Roman" w:cs="Calibri"/>
                <w:color w:val="000000"/>
                <w:sz w:val="24"/>
                <w:szCs w:val="24"/>
              </w:rPr>
              <w:t>%</w:t>
            </w:r>
          </w:p>
        </w:tc>
        <w:tc>
          <w:tcPr>
            <w:tcW w:w="783"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92.85%</w:t>
            </w:r>
          </w:p>
        </w:tc>
        <w:tc>
          <w:tcPr>
            <w:tcW w:w="879"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Calibri" w:hAnsi="Calibri" w:eastAsia="Times New Roman" w:cs="Calibri"/>
                <w:color w:val="000000"/>
                <w:sz w:val="24"/>
                <w:szCs w:val="24"/>
              </w:rPr>
            </w:pPr>
            <w:r>
              <w:rPr>
                <w:rFonts w:ascii="Calibri" w:hAnsi="Calibri" w:eastAsia="Times New Roman" w:cs="Calibri"/>
                <w:color w:val="000000"/>
                <w:sz w:val="24"/>
                <w:szCs w:val="24"/>
              </w:rPr>
              <w:t>106.46%</w:t>
            </w:r>
          </w:p>
        </w:tc>
      </w:tr>
    </w:tbl>
    <w:p>
      <w:pPr>
        <w:rPr>
          <w:rFonts w:ascii="Calibri" w:hAnsi="Calibri" w:eastAsia="Times New Roman" w:cs="Calibri"/>
        </w:rPr>
      </w:pPr>
    </w:p>
    <w:p>
      <w:pPr>
        <w:rPr>
          <w:rFonts w:ascii="Calibri" w:hAnsi="Calibri" w:eastAsia="Times New Roman" w:cs="Calibri"/>
        </w:rPr>
      </w:pPr>
      <w:r>
        <w:rPr>
          <w:rFonts w:ascii="Calibri" w:hAnsi="Calibri" w:eastAsia="Times New Roman" w:cs="Calibri"/>
        </w:rPr>
        <w:t>Retained yield (times)</w:t>
      </w:r>
    </w:p>
    <w:p>
      <w:pPr>
        <w:rPr>
          <w:rFonts w:ascii="Calibri" w:hAnsi="Calibri" w:eastAsia="Times New Roman" w:cs="Calibri"/>
        </w:rPr>
      </w:pPr>
      <w:r>
        <w:rPr>
          <w:rFonts w:ascii="Calibri" w:hAnsi="Calibri" w:eastAsia="Times New Roman" w:cs="Calibri"/>
        </w:rPr>
        <w:t xml:space="preserve">The 3 years average retained yield of Mengniu was -0.319 times, which was lower than Ausnutria (5.173 times) and Yashili (17.935 times). This phenomenon did not mean Mengniu had a lower growth ability than Ausnutria and Yashili from year 2016 to year 2018, it can be explained Mengniu was losing money in year 2016, and the retained yield in year 2016 was -9.721 times, which lowered Mengniu’s  3 years average retained yield. Yashili’s retained yield in year 2016 was -16.558 times, in year 2017 was -28.316 times, and in year 2018 was 98.680 times, Yashili was losing money in year 2016 and year 2017, and it started to earn profit in year 2018, thus, Yashili could enjoy a big increase in retained yield in year 2018. </w:t>
      </w:r>
    </w:p>
    <w:p>
      <w:pPr>
        <w:rPr>
          <w:rFonts w:ascii="Calibri" w:hAnsi="Calibri" w:eastAsia="Times New Roman" w:cs="Calibri"/>
        </w:rPr>
      </w:pPr>
      <w:r>
        <w:rPr>
          <w:rFonts w:ascii="Calibri" w:hAnsi="Calibri" w:eastAsia="Times New Roman" w:cs="Calibri"/>
        </w:rPr>
        <w:t>Self-sustainable growth ratio (%)</w:t>
      </w:r>
    </w:p>
    <w:p>
      <w:pPr>
        <w:rPr>
          <w:rFonts w:ascii="Calibri" w:hAnsi="Calibri" w:eastAsia="Times New Roman" w:cs="Calibri"/>
        </w:rPr>
      </w:pPr>
      <w:r>
        <w:rPr>
          <w:rFonts w:ascii="Calibri" w:hAnsi="Calibri" w:eastAsia="Times New Roman" w:cs="Calibri"/>
        </w:rPr>
        <w:t>It meansures the growth rate that a company can sustain without having to finance growth with additional debt or equity. Mengniu’s 3 years average self-sustainable growth ratio was 36.181%, which is a lot lower than Ausnutria (190.35%) and Yashili</w:t>
      </w:r>
      <w:r>
        <w:rPr>
          <w:rFonts w:hint="eastAsia" w:ascii="Calibri" w:hAnsi="Calibri" w:eastAsia="PMingLiU" w:cs="Calibri"/>
          <w:lang w:val="en-US" w:eastAsia="zh-TW"/>
        </w:rPr>
        <w:t xml:space="preserve"> </w:t>
      </w:r>
      <w:r>
        <w:rPr>
          <w:rFonts w:ascii="Calibri" w:hAnsi="Calibri" w:eastAsia="Times New Roman" w:cs="Calibri"/>
        </w:rPr>
        <w:t>(92.85%) , and way below the average industrial level (106.46%). Mengniu needs to increase retained yield to maintain its self-sustaining growth rate within industrial level, or its sustainable development may be affected.</w:t>
      </w:r>
    </w:p>
    <w:p>
      <w:pPr>
        <w:rPr>
          <w:rFonts w:ascii="Calibri" w:hAnsi="Calibri" w:eastAsia="Times New Roman" w:cs="Calibri"/>
        </w:rPr>
      </w:pPr>
      <w:r>
        <w:rPr>
          <w:rFonts w:ascii="Calibri" w:hAnsi="Calibri" w:eastAsia="Times New Roman" w:cs="Calibri"/>
        </w:rPr>
        <w:t>In conclusion, after growth capacity analysis, Mengniu’s business growth capacity levels was behind its competitors which it needs improvement.</w:t>
      </w:r>
    </w:p>
    <w:p>
      <w:pPr>
        <w:rPr>
          <w:rFonts w:ascii="Calibri" w:hAnsi="Calibri" w:eastAsia="Times New Roman" w:cs="Calibri"/>
        </w:rPr>
      </w:pPr>
      <w:r>
        <w:rPr>
          <w:rFonts w:ascii="Calibri" w:hAnsi="Calibri" w:eastAsia="Times New Roman" w:cs="Calibri"/>
        </w:rPr>
        <w:t>2.7 Stock Market Prospects Analysis</w:t>
      </w:r>
    </w:p>
    <w:tbl>
      <w:tblPr>
        <w:tblStyle w:val="6"/>
        <w:tblW w:w="9483" w:type="dxa"/>
        <w:tblInd w:w="93" w:type="dxa"/>
        <w:tblLayout w:type="fixed"/>
        <w:tblCellMar>
          <w:top w:w="0" w:type="dxa"/>
          <w:left w:w="108" w:type="dxa"/>
          <w:bottom w:w="0" w:type="dxa"/>
          <w:right w:w="108" w:type="dxa"/>
        </w:tblCellMar>
      </w:tblPr>
      <w:tblGrid>
        <w:gridCol w:w="2602"/>
        <w:gridCol w:w="992"/>
        <w:gridCol w:w="992"/>
        <w:gridCol w:w="992"/>
        <w:gridCol w:w="1060"/>
        <w:gridCol w:w="936"/>
        <w:gridCol w:w="946"/>
        <w:gridCol w:w="963"/>
      </w:tblGrid>
      <w:tr>
        <w:tblPrEx>
          <w:tblLayout w:type="fixed"/>
          <w:tblCellMar>
            <w:top w:w="0" w:type="dxa"/>
            <w:left w:w="108" w:type="dxa"/>
            <w:bottom w:w="0" w:type="dxa"/>
            <w:right w:w="108" w:type="dxa"/>
          </w:tblCellMar>
        </w:tblPrEx>
        <w:trPr>
          <w:trHeight w:val="315" w:hRule="atLeast"/>
        </w:trPr>
        <w:tc>
          <w:tcPr>
            <w:tcW w:w="2602"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036"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936"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946"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963"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3 companies</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99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99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99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06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3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4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6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 xml:space="preserve">Earning per share (HK$)  </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-0.207</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0.517</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0.816</w:t>
            </w:r>
          </w:p>
        </w:tc>
        <w:tc>
          <w:tcPr>
            <w:tcW w:w="10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0.375</w:t>
            </w:r>
          </w:p>
        </w:tc>
        <w:tc>
          <w:tcPr>
            <w:tcW w:w="93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29.617</w:t>
            </w:r>
          </w:p>
        </w:tc>
        <w:tc>
          <w:tcPr>
            <w:tcW w:w="94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-3.599</w:t>
            </w:r>
          </w:p>
        </w:tc>
        <w:tc>
          <w:tcPr>
            <w:tcW w:w="96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36.393</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 xml:space="preserve">Price-earning Ratio (Times) </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-70.792</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44.403</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29.708</w:t>
            </w:r>
          </w:p>
        </w:tc>
        <w:tc>
          <w:tcPr>
            <w:tcW w:w="10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1.106</w:t>
            </w:r>
          </w:p>
        </w:tc>
        <w:tc>
          <w:tcPr>
            <w:tcW w:w="93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52.594</w:t>
            </w:r>
          </w:p>
        </w:tc>
        <w:tc>
          <w:tcPr>
            <w:tcW w:w="94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705.687</w:t>
            </w:r>
          </w:p>
        </w:tc>
        <w:tc>
          <w:tcPr>
            <w:tcW w:w="96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253.129</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Dividend yield (%)</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-43.000%</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23.208%</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22.190%</w:t>
            </w:r>
          </w:p>
        </w:tc>
        <w:tc>
          <w:tcPr>
            <w:tcW w:w="10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0.799%</w:t>
            </w:r>
          </w:p>
        </w:tc>
        <w:tc>
          <w:tcPr>
            <w:tcW w:w="936"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24.13%</w:t>
            </w:r>
          </w:p>
        </w:tc>
        <w:tc>
          <w:tcPr>
            <w:tcW w:w="946"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-3.69%</w:t>
            </w:r>
          </w:p>
        </w:tc>
        <w:tc>
          <w:tcPr>
            <w:tcW w:w="963"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7.08%</w:t>
            </w:r>
          </w:p>
        </w:tc>
      </w:tr>
    </w:tbl>
    <w:p>
      <w:pPr>
        <w:rPr>
          <w:rFonts w:ascii="Calibri" w:hAnsi="Calibri" w:eastAsia="Times New Roman" w:cs="Calibri"/>
        </w:rPr>
      </w:pPr>
      <w:r>
        <w:rPr>
          <w:rFonts w:ascii="Calibri" w:hAnsi="Calibri" w:eastAsia="Times New Roman" w:cs="Calibri"/>
        </w:rPr>
        <w:t>Mengniu’s 3 years average price-earning ratio was 1.106, which was lower than the average industrial level (253.129 times), which was due to losing money in year 2016, which PE ratio -70.792 in year 2016. Its 3 years average dividend yield was 0.799%, which was also lower than the average industrial level (7.08%), which was because in year 2016 its dividend yield was negative 43%, and it lowered the overall average of dividend yield from year 2016 to year 2018.</w:t>
      </w:r>
    </w:p>
    <w:p>
      <w:pPr>
        <w:rPr>
          <w:rFonts w:ascii="Calibri" w:hAnsi="Calibri" w:eastAsia="Times New Roman" w:cs="Calibri"/>
        </w:rPr>
      </w:pPr>
      <w:r>
        <w:rPr>
          <w:rFonts w:ascii="Calibri" w:hAnsi="Calibri" w:eastAsia="Times New Roman" w:cs="Calibri"/>
        </w:rPr>
        <w:t>In conclusion, through stock market prospects analysis, Mengniu PE ratio was lower than its competitors and the price did not fully reflect its value. Its dividend yield percentage improved from -43% in year 2016 to 22.19% in year 2018, which meant Mengniu’s improved their dividend return to investors in year 2017 and year 2018, when compared to year 2016.</w:t>
      </w:r>
    </w:p>
    <w:p>
      <w:pPr>
        <w:numPr>
          <w:ilvl w:val="0"/>
          <w:numId w:val="0"/>
        </w:numPr>
      </w:pPr>
      <w:r>
        <w:rPr>
          <w:rFonts w:hint="eastAsia"/>
          <w:lang w:val="en-US" w:eastAsia="zh-TW"/>
        </w:rPr>
        <w:t>3.</w:t>
      </w:r>
      <w:r>
        <w:t>Mengniu’s Corporate Governance assessment</w:t>
      </w:r>
    </w:p>
    <w:p>
      <w:r>
        <w:t xml:space="preserve">Through chapter 2 the financial assessment analysis, we understand Mengniu appeared not performing too well compared to its competitors, which has direct effect  to its enterprise development and the shareholders’ interests. In this chapter we are going to explore Mengniu corporate governance for its financial performance, internal control and risk management. </w:t>
      </w:r>
    </w:p>
    <w:p>
      <w:pPr>
        <w:rPr>
          <w:rFonts w:hint="default" w:eastAsiaTheme="minorEastAsia"/>
          <w:lang w:val="en-US" w:eastAsia="zh-TW"/>
        </w:rPr>
      </w:pPr>
      <w:r>
        <w:rPr>
          <w:rFonts w:hint="eastAsia"/>
          <w:lang w:val="en-US" w:eastAsia="zh-TW"/>
        </w:rPr>
        <w:t>Moody</w:t>
      </w:r>
      <w:r>
        <w:rPr>
          <w:rFonts w:hint="default"/>
          <w:lang w:val="en-US" w:eastAsia="zh-TW"/>
        </w:rPr>
        <w:t>’</w:t>
      </w:r>
      <w:r>
        <w:rPr>
          <w:rFonts w:hint="eastAsia"/>
          <w:lang w:val="en-US" w:eastAsia="zh-TW"/>
        </w:rPr>
        <w:t>s stated Mengniu</w:t>
      </w:r>
      <w:r>
        <w:rPr>
          <w:rFonts w:hint="default"/>
          <w:lang w:val="en-US" w:eastAsia="zh-TW"/>
        </w:rPr>
        <w:t>’</w:t>
      </w:r>
      <w:r>
        <w:rPr>
          <w:rFonts w:hint="eastAsia"/>
          <w:lang w:val="en-US" w:eastAsia="zh-TW"/>
        </w:rPr>
        <w:t>s solid 2018 results support its Baa1 ratings,((https://www.moodys.com/credit-ratings/China-Mengniu-Dairy-Company-Limited-credit-rating-808033642))) which means Mengniu is judged to be medium-grade and subject to moderate credit risk and as such may possess certain speculative characteristics.</w:t>
      </w:r>
    </w:p>
    <w:p>
      <w:r>
        <w:t>The Irish Association of Non-Governmental Development Organisations developed a corporate governance assessment tool to assess the corporate governance, it is a nine page assessment assessing board leadership, board accountability, board responsibilities, board performance review and renewal, board delegation, board and director integrity, board openness, and finally corporate governance: recommended documentation.</w:t>
      </w:r>
    </w:p>
    <w:p>
      <w:r>
        <w:t>((</w:t>
      </w:r>
      <w:r>
        <w:fldChar w:fldCharType="begin"/>
      </w:r>
      <w:r>
        <w:instrText xml:space="preserve"> HYPERLINK "https://dochas.ie/sites/default/files/dochas-assessment-tool-v3-writable.pdf)" </w:instrText>
      </w:r>
      <w:r>
        <w:fldChar w:fldCharType="separate"/>
      </w:r>
      <w:r>
        <w:rPr>
          <w:rStyle w:val="5"/>
        </w:rPr>
        <w:t>https://dochas.ie/sites/default/files/dochas-assessment-tool-v3-writable.pdf)</w:t>
      </w:r>
      <w:r>
        <w:rPr>
          <w:rStyle w:val="5"/>
        </w:rPr>
        <w:fldChar w:fldCharType="end"/>
      </w:r>
      <w:r>
        <w:t>)</w:t>
      </w:r>
    </w:p>
    <w:p>
      <w:r>
        <w:t xml:space="preserve">Mengniu year 2018 annual report included the corporate governance report (page 64 to page 84) and stated it has adopted the code provisions set out in the Corporate Governance Code contained in Appendix 14 of the Rules Governing the Listing of Securities on the Stock Exchange of Hong Kong Limited as its own code of corporate governance practices. I used the above corporate governance assessment tool to assess this company.   </w:t>
      </w:r>
    </w:p>
    <w:p>
      <w:r>
        <w:t>On the issue of Board Leadership, the company was partially compliant, the Board mentored the CEO, identified aspects of the organisation’s performance requiring board action and received acceptable responses from management regarding information sought.</w:t>
      </w:r>
    </w:p>
    <w:p>
      <w:r>
        <w:t>On the issue of Board Accountability, the company was partially compliant, which the Board reviewed adequacy of internal controls, reviewed risks and risk management procedures and sought advice on equality and diversity.</w:t>
      </w:r>
    </w:p>
    <w:p>
      <w:r>
        <w:t>On the issue of Board responsibilities, the company was partially compliant, which the Board determined resources required by secretary for induction and training of directors, and identified how directors must comply with board collective responsibility.</w:t>
      </w:r>
    </w:p>
    <w:p>
      <w:r>
        <w:t>On the issue of Board performance review and renewal, the company was partially compliant, it considered the current suitability of structure and agreed objective criteria for selecting chairpersons/directors.</w:t>
      </w:r>
    </w:p>
    <w:p>
      <w:r>
        <w:t>On the issue of Board delegation, the company was fully compliant, agreed what functions are delegated to the Chair, insisted on formal authority level document, formally reviewed the CEO’s performance and reviewed functioning of committees.</w:t>
      </w:r>
    </w:p>
    <w:p>
      <w:r>
        <w:t>On the issue of Board and Director integrity, the company was partially compliant, which discussed the manner in which board confidentiality was respected and reviewed its code of conduct.</w:t>
      </w:r>
    </w:p>
    <w:p>
      <w:r>
        <w:t>On the issue of Board openness, the company was partially compliant, which considered new practical ways of improving transparency and reviewed how the board communicated and engaged with stakeholders.</w:t>
      </w:r>
    </w:p>
    <w:p>
      <w:r>
        <w:t xml:space="preserve">Recommendation: </w:t>
      </w:r>
    </w:p>
    <w:p>
      <w:r>
        <w:t>In year 2010, Mengniu was involved in a smear scandal, which rumors circulated that Mengniu made up a story that clained Yili’s infant formula contained fish oil that could lead to premature sexual development((</w:t>
      </w:r>
      <w:r>
        <w:fldChar w:fldCharType="begin"/>
      </w:r>
      <w:r>
        <w:instrText xml:space="preserve"> HYPERLINK "http://www.chinadaily.com.cn/china/2010-10/21/content_11437735.htm)" </w:instrText>
      </w:r>
      <w:r>
        <w:fldChar w:fldCharType="separate"/>
      </w:r>
      <w:r>
        <w:rPr>
          <w:rStyle w:val="5"/>
        </w:rPr>
        <w:t>http://www.chinadaily.com.cn/china/2010-10/21/content_11437735.htm)</w:t>
      </w:r>
      <w:r>
        <w:rPr>
          <w:rStyle w:val="5"/>
        </w:rPr>
        <w:fldChar w:fldCharType="end"/>
      </w:r>
      <w:r>
        <w:t>) These scandals in Mainland China can direct the company directors to face legal issue. Through studying Mengniu latest 3 years annual reports , I could not find the company subscribed insurance coverage on directors’ liabilities. According to Ausnutria annual report 2018 (()), The company has subscribed appropriate and sufficient insurance coverage on directors’ liabilities in respect of legal actions taken against the Directors arising out of corporate activities. Their coverage and the sum insured under the policy are reviewed and renewed on an annual basis. I recommend Mengniu can follow this measure.</w:t>
      </w:r>
    </w:p>
    <w:p>
      <w:r>
        <w:t>Moreover, The Irish Association of Non-Governmental Development Organisations made recommendations every organisations should document the following:</w:t>
      </w:r>
    </w:p>
    <w:p>
      <w:r>
        <w:t>Strategies/policies:</w:t>
      </w:r>
    </w:p>
    <w:p>
      <w:r>
        <w:t>Equality and Diversity Policies, Recruitment Strategies, Safety and Health Policies, Authority Levels document, Ethics and Code of Conduct, Fundraising Strategy document, Treasury Policy, Conflict of Interest Policy, Risk Strategy, Fraud Policy, Reserves Policy, Annual Planning andBudget System, Strategic Planning Methodology</w:t>
      </w:r>
    </w:p>
    <w:p>
      <w:r>
        <w:t>Terms of Reference documents</w:t>
      </w:r>
    </w:p>
    <w:p>
      <w:r>
        <w:t>Internal Audit Guidelines, Terms of Reference- other board committees, Terms of Reference of Audit Committee, Induction Arrangements for Directors, Arrangements for appointing directors, Chairperson Responsibilities, Board Responsibilities</w:t>
      </w:r>
    </w:p>
    <w:p>
      <w:r>
        <w:t>Reports</w:t>
      </w:r>
    </w:p>
    <w:p>
      <w:r>
        <w:t>Risk Management Assessments and Reports, Internal audit reports on home operations, Internal audit outcomes of field programme audits, Human Resource presentations to board, Reports to board on committed public giving, Cash Flow Statements, Cash Flow Budgets, Budget Outcome Reports, Management Accounts, Programme Reports to board, Management Reports to board</w:t>
      </w:r>
    </w:p>
    <w:p>
      <w:r>
        <w:t>Procedures</w:t>
      </w:r>
    </w:p>
    <w:p>
      <w:r>
        <w:t>Disciplinary Procedures, Human Resource Manual/Staff Handbook, Accounting Manual, Financial/Accounting Procedures, Purchasing procedures, Internal Control Procedures, Internal Audit Procedures, Programme Budgeting/Programme Management procedures, Annual Planning and Budgetary procedures.</w:t>
      </w: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Segoe UI" w:hAnsi="Segoe UI" w:eastAsia="Times New Roman" w:cs="Segoe UI"/>
          <w:color w:val="000000"/>
          <w:sz w:val="20"/>
          <w:szCs w:val="20"/>
        </w:rPr>
      </w:pPr>
      <w:r>
        <w:rPr>
          <w:rFonts w:ascii="Segoe UI" w:hAnsi="Segoe UI" w:eastAsia="Times New Roman" w:cs="Segoe UI"/>
          <w:color w:val="000000"/>
          <w:sz w:val="20"/>
          <w:szCs w:val="20"/>
        </w:rPr>
        <w:t>4. Investment appraisals exercise</w:t>
      </w:r>
    </w:p>
    <w:p>
      <w:pPr>
        <w:shd w:val="clear" w:color="auto" w:fill="FFFFFF"/>
        <w:spacing w:after="0" w:line="240" w:lineRule="auto"/>
        <w:rPr>
          <w:rFonts w:ascii="Segoe UI" w:hAnsi="Segoe UI" w:eastAsia="Times New Roman" w:cs="Segoe UI"/>
          <w:color w:val="000000"/>
          <w:sz w:val="20"/>
          <w:szCs w:val="20"/>
        </w:rPr>
      </w:pPr>
      <w:r>
        <w:rPr>
          <w:rFonts w:ascii="Segoe UI" w:hAnsi="Segoe UI" w:eastAsia="Times New Roman" w:cs="Segoe UI"/>
          <w:color w:val="000000"/>
          <w:sz w:val="20"/>
          <w:szCs w:val="20"/>
        </w:rPr>
        <w:t>Pick a major investment project in the company. If not available, you can assume there is new project with one-off investment equivalent to 5% of last fiscal year's annual sales revenue, where the project has 5 years of net cash flow contribution (assumption) and calculate the rate of return. All asumptions have to be explained with justifications. You are required to appraise this new project. Moreover, provide a brief suggestion of the source of funding for this new project.</w:t>
      </w: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Segoe UI" w:hAnsi="Segoe UI" w:eastAsia="Times New Roman" w:cs="Segoe UI"/>
          <w:color w:val="000000"/>
          <w:sz w:val="20"/>
          <w:szCs w:val="20"/>
        </w:rPr>
      </w:pPr>
      <w:r>
        <w:rPr>
          <w:rFonts w:ascii="Segoe UI" w:hAnsi="Segoe UI" w:eastAsia="Times New Roman" w:cs="Segoe UI"/>
          <w:color w:val="000000"/>
          <w:sz w:val="20"/>
          <w:szCs w:val="20"/>
        </w:rPr>
        <w:t>With the strong support of different departments of the Indonesian government and the Embassy of the People's Republic of China in the Republic of Indonesia, Mengniu had the factory plan confirmed in November 2017 and construction began in March 2018. The new factory is on a 15,000 m2 site and commanded a total investment of more than US$50 million (314.1065 million RMB, with USD/CNY: 6.28213 on 31/03/2018, reference: </w:t>
      </w:r>
      <w:r>
        <w:fldChar w:fldCharType="begin"/>
      </w:r>
      <w:r>
        <w:instrText xml:space="preserve"> HYPERLINK "https://www.xe.com/zh-HK/currencycharts/?from=USD&amp;to=CNY&amp;view=2Y" \t "_blank" </w:instrText>
      </w:r>
      <w:r>
        <w:fldChar w:fldCharType="separate"/>
      </w:r>
      <w:r>
        <w:rPr>
          <w:rFonts w:ascii="Segoe UI" w:hAnsi="Segoe UI" w:eastAsia="Times New Roman" w:cs="Segoe UI"/>
          <w:color w:val="196AD4"/>
          <w:sz w:val="20"/>
          <w:szCs w:val="20"/>
          <w:u w:val="single"/>
        </w:rPr>
        <w:t>https://www.xe.com/zh-HK/currencycharts/?from=USD&amp;to=CNY&amp;view=2Y</w:t>
      </w:r>
      <w:r>
        <w:rPr>
          <w:rFonts w:ascii="Segoe UI" w:hAnsi="Segoe UI" w:eastAsia="Times New Roman" w:cs="Segoe UI"/>
          <w:color w:val="196AD4"/>
          <w:sz w:val="20"/>
          <w:szCs w:val="20"/>
          <w:u w:val="single"/>
        </w:rPr>
        <w:fldChar w:fldCharType="end"/>
      </w:r>
      <w:r>
        <w:rPr>
          <w:rFonts w:ascii="Segoe UI" w:hAnsi="Segoe UI" w:eastAsia="Times New Roman" w:cs="Segoe UI"/>
          <w:color w:val="000000"/>
          <w:sz w:val="20"/>
          <w:szCs w:val="20"/>
        </w:rPr>
        <w:t>). It has a designed daily output capacity of 260 tonnes and annual output capacity valued at US$160 million (1005.1408 million RMB). We will use a different financial ratios, including net present value measure (Greenwald, Kahn and Sonkin, 2005) to make an investment assessment.</w:t>
      </w: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hint="default" w:ascii="Segoe UI" w:hAnsi="Segoe UI" w:eastAsia="PMingLiU" w:cs="Segoe UI"/>
          <w:color w:val="000000"/>
          <w:sz w:val="20"/>
          <w:szCs w:val="20"/>
          <w:lang w:val="en-US" w:eastAsia="zh-TW"/>
        </w:rPr>
      </w:pPr>
      <w:r>
        <w:rPr>
          <w:rFonts w:hint="eastAsia" w:ascii="Segoe UI" w:hAnsi="Segoe UI" w:eastAsia="PMingLiU" w:cs="Segoe UI"/>
          <w:color w:val="000000"/>
          <w:sz w:val="20"/>
          <w:szCs w:val="20"/>
          <w:lang w:val="en-US" w:eastAsia="zh-TW"/>
        </w:rPr>
        <w:t>((year 2018 annual report, Mengniu total cost of buildings and structures plus plant and machinery is 6962.988 million RMB + 15465.453 million RMB =22428.441 million RMB, If the total investment cost of Indonesia factory cost 314.1065 million RMB, we can assume the cost of Indonesia factory</w:t>
      </w:r>
      <w:r>
        <w:rPr>
          <w:rFonts w:hint="default" w:ascii="Segoe UI" w:hAnsi="Segoe UI" w:eastAsia="PMingLiU" w:cs="Segoe UI"/>
          <w:color w:val="000000"/>
          <w:sz w:val="20"/>
          <w:szCs w:val="20"/>
          <w:lang w:val="en-US" w:eastAsia="zh-TW"/>
        </w:rPr>
        <w:t>’</w:t>
      </w:r>
      <w:r>
        <w:rPr>
          <w:rFonts w:hint="eastAsia" w:ascii="Segoe UI" w:hAnsi="Segoe UI" w:eastAsia="PMingLiU" w:cs="Segoe UI"/>
          <w:color w:val="000000"/>
          <w:sz w:val="20"/>
          <w:szCs w:val="20"/>
          <w:lang w:val="en-US" w:eastAsia="zh-TW"/>
        </w:rPr>
        <w:t>s buildings and structures is 314.1065 * (6962.988/22428.441) million RMB = 97.515 million RMB, while the Indonesia factory</w:t>
      </w:r>
      <w:r>
        <w:rPr>
          <w:rFonts w:hint="default" w:ascii="Segoe UI" w:hAnsi="Segoe UI" w:eastAsia="PMingLiU" w:cs="Segoe UI"/>
          <w:color w:val="000000"/>
          <w:sz w:val="20"/>
          <w:szCs w:val="20"/>
          <w:lang w:val="en-US" w:eastAsia="zh-TW"/>
        </w:rPr>
        <w:t>’</w:t>
      </w:r>
      <w:r>
        <w:rPr>
          <w:rFonts w:hint="eastAsia" w:ascii="Segoe UI" w:hAnsi="Segoe UI" w:eastAsia="PMingLiU" w:cs="Segoe UI"/>
          <w:color w:val="000000"/>
          <w:sz w:val="20"/>
          <w:szCs w:val="20"/>
          <w:lang w:val="en-US" w:eastAsia="zh-TW"/>
        </w:rPr>
        <w:t>s plant and machinery cost is (314.1065-97.515) million RMB = 216.5915 million RMB.))</w:t>
      </w: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Segoe UI" w:hAnsi="Segoe UI" w:eastAsia="Times New Roman" w:cs="Segoe UI"/>
          <w:color w:val="000000"/>
          <w:sz w:val="20"/>
          <w:szCs w:val="20"/>
        </w:rPr>
      </w:pPr>
      <w:r>
        <w:rPr>
          <w:rFonts w:ascii="Segoe UI" w:hAnsi="Segoe UI" w:eastAsia="Times New Roman" w:cs="Segoe UI"/>
          <w:color w:val="000000"/>
          <w:sz w:val="20"/>
          <w:szCs w:val="20"/>
        </w:rPr>
        <w:t>4.1 Project items basic information</w:t>
      </w:r>
    </w:p>
    <w:p>
      <w:pPr>
        <w:shd w:val="clear" w:color="auto" w:fill="FFFFFF"/>
        <w:spacing w:after="0" w:line="240" w:lineRule="auto"/>
        <w:rPr>
          <w:rFonts w:ascii="Segoe UI" w:hAnsi="Segoe UI" w:eastAsia="Times New Roman" w:cs="Segoe UI"/>
          <w:color w:val="000000"/>
          <w:sz w:val="20"/>
          <w:szCs w:val="20"/>
        </w:rPr>
      </w:pPr>
      <w:r>
        <w:rPr>
          <w:rFonts w:ascii="Segoe UI" w:hAnsi="Segoe UI" w:eastAsia="Times New Roman" w:cs="Segoe UI"/>
          <w:color w:val="000000"/>
          <w:sz w:val="20"/>
          <w:szCs w:val="20"/>
        </w:rPr>
        <w:t>Project Costs</w:t>
      </w:r>
      <w:r>
        <w:rPr>
          <w:rFonts w:ascii="Segoe UI" w:hAnsi="Segoe UI" w:eastAsia="Times New Roman" w:cs="Segoe UI"/>
          <w:color w:val="000000"/>
          <w:sz w:val="20"/>
          <w:szCs w:val="20"/>
        </w:rPr>
        <w:tab/>
      </w:r>
      <w:r>
        <w:rPr>
          <w:rFonts w:ascii="Segoe UI" w:hAnsi="Segoe UI" w:eastAsia="Times New Roman" w:cs="Segoe UI"/>
          <w:color w:val="000000"/>
          <w:sz w:val="20"/>
          <w:szCs w:val="20"/>
        </w:rPr>
        <w:tab/>
      </w:r>
      <w:r>
        <w:rPr>
          <w:rFonts w:ascii="Segoe UI" w:hAnsi="Segoe UI" w:eastAsia="Times New Roman" w:cs="Segoe UI"/>
          <w:color w:val="000000"/>
          <w:sz w:val="20"/>
          <w:szCs w:val="20"/>
        </w:rPr>
        <w:tab/>
      </w:r>
      <w:r>
        <w:rPr>
          <w:rFonts w:ascii="Segoe UI" w:hAnsi="Segoe UI" w:eastAsia="Times New Roman" w:cs="Segoe UI"/>
          <w:color w:val="000000"/>
          <w:sz w:val="20"/>
          <w:szCs w:val="20"/>
        </w:rPr>
        <w:tab/>
      </w:r>
      <w:r>
        <w:rPr>
          <w:rFonts w:ascii="Segoe UI" w:hAnsi="Segoe UI" w:eastAsia="Times New Roman" w:cs="Segoe UI"/>
          <w:color w:val="000000"/>
          <w:sz w:val="20"/>
          <w:szCs w:val="20"/>
        </w:rPr>
        <w:tab/>
      </w:r>
      <w:r>
        <w:rPr>
          <w:rFonts w:ascii="Segoe UI" w:hAnsi="Segoe UI" w:eastAsia="Times New Roman" w:cs="Segoe UI"/>
          <w:color w:val="000000"/>
          <w:sz w:val="20"/>
          <w:szCs w:val="20"/>
        </w:rPr>
        <w:tab/>
      </w:r>
      <w:r>
        <w:rPr>
          <w:rFonts w:ascii="Segoe UI" w:hAnsi="Segoe UI" w:eastAsia="Times New Roman" w:cs="Segoe UI"/>
          <w:color w:val="000000"/>
          <w:sz w:val="20"/>
          <w:szCs w:val="20"/>
        </w:rPr>
        <w:tab/>
      </w:r>
      <w:r>
        <w:rPr>
          <w:rFonts w:ascii="Segoe UI" w:hAnsi="Segoe UI" w:eastAsia="Times New Roman" w:cs="Segoe UI"/>
          <w:color w:val="000000"/>
          <w:sz w:val="20"/>
          <w:szCs w:val="20"/>
        </w:rPr>
        <w:t>Remarks</w:t>
      </w:r>
    </w:p>
    <w:p/>
    <w:p>
      <w:r>
        <w:t>Factory size (square meters)</w:t>
      </w:r>
      <w:r>
        <w:tab/>
      </w:r>
      <w:r>
        <w:tab/>
      </w:r>
      <w:r>
        <w:tab/>
      </w:r>
      <w:r>
        <w:t>15000</w:t>
      </w:r>
    </w:p>
    <w:p>
      <w:pPr>
        <w:rPr>
          <w:rFonts w:hint="eastAsia"/>
          <w:lang w:val="en-US" w:eastAsia="zh-TW"/>
        </w:rPr>
      </w:pPr>
      <w:r>
        <w:t>Building price (RMB/square meters)</w:t>
      </w:r>
      <w:r>
        <w:tab/>
      </w:r>
      <w:r>
        <w:tab/>
      </w:r>
      <w:r>
        <w:rPr>
          <w:rFonts w:hint="eastAsia"/>
          <w:lang w:val="en-US" w:eastAsia="zh-TW"/>
        </w:rPr>
        <w:t>6503.33</w:t>
      </w:r>
    </w:p>
    <w:p>
      <w:pPr>
        <w:rPr>
          <w:rFonts w:hint="default"/>
          <w:lang w:val="en-US" w:eastAsia="zh-TW"/>
        </w:rPr>
      </w:pPr>
      <w:r>
        <w:rPr>
          <w:rFonts w:hint="eastAsia"/>
          <w:lang w:val="en-US" w:eastAsia="zh-TW"/>
        </w:rPr>
        <w:t>Factory building cost (1 million RMB)</w:t>
      </w:r>
      <w:r>
        <w:rPr>
          <w:rFonts w:hint="eastAsia"/>
          <w:lang w:val="en-US" w:eastAsia="zh-TW"/>
        </w:rPr>
        <w:tab/>
        <w:t/>
      </w:r>
      <w:r>
        <w:rPr>
          <w:rFonts w:hint="eastAsia"/>
          <w:lang w:val="en-US" w:eastAsia="zh-TW"/>
        </w:rPr>
        <w:tab/>
        <w:t>97.515</w:t>
      </w:r>
      <w:r>
        <w:rPr>
          <w:rFonts w:hint="eastAsia"/>
          <w:lang w:val="en-US" w:eastAsia="zh-TW"/>
        </w:rPr>
        <w:tab/>
        <w:t/>
      </w:r>
      <w:r>
        <w:rPr>
          <w:rFonts w:hint="eastAsia"/>
          <w:lang w:val="en-US" w:eastAsia="zh-TW"/>
        </w:rPr>
        <w:tab/>
      </w:r>
    </w:p>
    <w:p>
      <w:r>
        <w:t>Machinery</w:t>
      </w:r>
      <w:r>
        <w:rPr>
          <w:rFonts w:hint="eastAsia"/>
          <w:lang w:val="en-US" w:eastAsia="zh-TW"/>
        </w:rPr>
        <w:t xml:space="preserve"> (1 million RMB)</w:t>
      </w:r>
      <w:r>
        <w:rPr>
          <w:rFonts w:hint="eastAsia"/>
          <w:lang w:val="en-US" w:eastAsia="zh-TW"/>
        </w:rPr>
        <w:tab/>
        <w:t/>
      </w:r>
      <w:r>
        <w:rPr>
          <w:rFonts w:hint="eastAsia"/>
          <w:lang w:val="en-US" w:eastAsia="zh-TW"/>
        </w:rPr>
        <w:tab/>
        <w:t/>
      </w:r>
      <w:r>
        <w:rPr>
          <w:rFonts w:hint="eastAsia"/>
          <w:lang w:val="en-US" w:eastAsia="zh-TW"/>
        </w:rPr>
        <w:tab/>
        <w:t>216.5915</w:t>
      </w:r>
      <w:r>
        <w:tab/>
      </w:r>
      <w:r>
        <w:tab/>
      </w:r>
      <w:r>
        <w:tab/>
      </w:r>
      <w:r>
        <w:tab/>
      </w:r>
    </w:p>
    <w:p>
      <w:pPr>
        <w:rPr>
          <w:rFonts w:hint="default" w:eastAsiaTheme="minorEastAsia"/>
          <w:lang w:val="en-US" w:eastAsia="zh-TW"/>
        </w:rPr>
      </w:pPr>
      <w:r>
        <w:t>Total Cost (1 million RMB)</w:t>
      </w:r>
      <w:r>
        <w:rPr>
          <w:rFonts w:hint="eastAsia"/>
          <w:lang w:val="en-US" w:eastAsia="zh-TW"/>
        </w:rPr>
        <w:tab/>
        <w:t/>
      </w:r>
      <w:r>
        <w:rPr>
          <w:rFonts w:hint="eastAsia"/>
          <w:lang w:val="en-US" w:eastAsia="zh-TW"/>
        </w:rPr>
        <w:tab/>
        <w:t/>
      </w:r>
      <w:r>
        <w:rPr>
          <w:rFonts w:hint="eastAsia"/>
          <w:lang w:val="en-US" w:eastAsia="zh-TW"/>
        </w:rPr>
        <w:tab/>
        <w:t>314.1065</w:t>
      </w:r>
    </w:p>
    <w:p/>
    <w:p>
      <w:r>
        <w:t>Remaining basic information</w:t>
      </w:r>
    </w:p>
    <w:p>
      <w:r>
        <w:t>Mengniu Building depreciation years</w:t>
      </w:r>
      <w:r>
        <w:tab/>
      </w:r>
      <w:r>
        <w:tab/>
      </w:r>
      <w:r>
        <w:rPr>
          <w:rFonts w:hint="eastAsia"/>
          <w:lang w:val="en-US" w:eastAsia="zh-TW"/>
        </w:rPr>
        <w:t>14</w:t>
      </w:r>
      <w:r>
        <w:tab/>
      </w:r>
      <w:r>
        <w:tab/>
      </w:r>
      <w:r>
        <w:t>(</w:t>
      </w:r>
      <w:r>
        <w:rPr>
          <w:rFonts w:hint="eastAsia"/>
          <w:lang w:val="en-US" w:eastAsia="zh-TW"/>
        </w:rPr>
        <w:t xml:space="preserve">Mengniu regular approach, 7%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xml:space="preserve"> depreciation each year</w:t>
      </w:r>
      <w:r>
        <w:t>)</w:t>
      </w:r>
    </w:p>
    <w:p>
      <w:r>
        <w:t>Machinery depreciation years</w:t>
      </w:r>
      <w:r>
        <w:tab/>
      </w:r>
      <w:r>
        <w:tab/>
      </w:r>
      <w:r>
        <w:tab/>
      </w:r>
      <w:r>
        <w:t>10</w:t>
      </w:r>
      <w:r>
        <w:tab/>
      </w:r>
      <w:r>
        <w:tab/>
      </w:r>
      <w:r>
        <w:t>(Mengniu regular approach)</w:t>
      </w:r>
    </w:p>
    <w:p>
      <w:pPr>
        <w:rPr>
          <w:rFonts w:hint="default" w:eastAsiaTheme="minorEastAsia"/>
          <w:lang w:val="en-US" w:eastAsia="zh-TW"/>
        </w:rPr>
      </w:pPr>
      <w:r>
        <w:t>Sales growth rate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12%</w:t>
      </w:r>
      <w:r>
        <w:rPr>
          <w:rFonts w:hint="eastAsia"/>
          <w:lang w:val="en-US" w:eastAsia="zh-TW"/>
        </w:rPr>
        <w:tab/>
        <w:t/>
      </w:r>
      <w:r>
        <w:rPr>
          <w:rFonts w:hint="eastAsia"/>
          <w:lang w:val="en-US" w:eastAsia="zh-TW"/>
        </w:rPr>
        <w:tab/>
        <w:t>(Mengniu 2016-2018 average)</w:t>
      </w:r>
    </w:p>
    <w:p>
      <w:pPr>
        <w:ind w:left="220" w:hanging="220" w:hangingChars="100"/>
        <w:rPr>
          <w:rFonts w:hint="default" w:eastAsiaTheme="minorEastAsia"/>
          <w:lang w:val="en-US" w:eastAsia="zh-TW"/>
        </w:rPr>
      </w:pPr>
      <w:r>
        <w:t>Ultimate growth rate (%)</w:t>
      </w:r>
      <w:r>
        <w:rPr>
          <w:rFonts w:hint="eastAsia"/>
          <w:lang w:val="en-US" w:eastAsia="zh-TW"/>
        </w:rPr>
        <w:tab/>
        <w:t/>
      </w:r>
      <w:r>
        <w:rPr>
          <w:rFonts w:hint="eastAsia"/>
          <w:lang w:val="en-US" w:eastAsia="zh-TW"/>
        </w:rPr>
        <w:tab/>
        <w:t/>
      </w:r>
      <w:r>
        <w:rPr>
          <w:rFonts w:hint="eastAsia"/>
          <w:lang w:val="en-US" w:eastAsia="zh-TW"/>
        </w:rPr>
        <w:tab/>
        <w:t>5%</w:t>
      </w:r>
      <w:r>
        <w:rPr>
          <w:rFonts w:hint="eastAsia"/>
          <w:lang w:val="en-US" w:eastAsia="zh-TW"/>
        </w:rPr>
        <w:tab/>
        <w:t/>
      </w:r>
      <w:r>
        <w:rPr>
          <w:rFonts w:hint="eastAsia"/>
          <w:lang w:val="en-US" w:eastAsia="zh-TW"/>
        </w:rPr>
        <w:tab/>
        <w:t>(Industry report quoted by mordorintelligence.com )https://www.mordorintelligence.com/industry-reports/dairy-products-market</w:t>
      </w:r>
    </w:p>
    <w:p>
      <w:pPr>
        <w:rPr>
          <w:rFonts w:hint="default" w:eastAsiaTheme="minorEastAsia"/>
          <w:lang w:val="en-US" w:eastAsia="zh-TW"/>
        </w:rPr>
      </w:pPr>
      <w:r>
        <w:t>EBITDA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8.9%</w:t>
      </w:r>
      <w:r>
        <w:rPr>
          <w:rFonts w:hint="eastAsia"/>
          <w:lang w:val="en-US" w:eastAsia="zh-TW"/>
        </w:rPr>
        <w:tab/>
        <w:t/>
      </w:r>
      <w:r>
        <w:rPr>
          <w:rFonts w:hint="eastAsia"/>
          <w:lang w:val="en-US" w:eastAsia="zh-TW"/>
        </w:rPr>
        <w:tab/>
        <w:t>(Mengniu annual report 2018)</w:t>
      </w:r>
    </w:p>
    <w:p>
      <w:pPr>
        <w:rPr>
          <w:rFonts w:hint="default" w:eastAsiaTheme="minorEastAsia"/>
          <w:lang w:val="en-US" w:eastAsia="zh-TW"/>
        </w:rPr>
      </w:pPr>
      <w:r>
        <w:t>Cash flow period (days)</w:t>
      </w:r>
      <w:r>
        <w:rPr>
          <w:rFonts w:hint="eastAsia"/>
          <w:lang w:val="en-US" w:eastAsia="zh-TW"/>
        </w:rPr>
        <w:tab/>
        <w:t/>
      </w:r>
      <w:r>
        <w:rPr>
          <w:rFonts w:hint="eastAsia"/>
          <w:lang w:val="en-US" w:eastAsia="zh-TW"/>
        </w:rPr>
        <w:tab/>
        <w:t/>
      </w:r>
      <w:r>
        <w:rPr>
          <w:rFonts w:hint="eastAsia"/>
          <w:lang w:val="en-US" w:eastAsia="zh-TW"/>
        </w:rPr>
        <w:tab/>
        <w:t/>
      </w:r>
      <w:r>
        <w:rPr>
          <w:rFonts w:hint="eastAsia"/>
          <w:lang w:val="en-US" w:eastAsia="zh-TW"/>
        </w:rPr>
        <w:tab/>
        <w:t>7.850</w:t>
      </w:r>
      <w:r>
        <w:rPr>
          <w:rFonts w:hint="eastAsia"/>
          <w:lang w:val="en-US" w:eastAsia="zh-TW"/>
        </w:rPr>
        <w:tab/>
        <w:t/>
      </w:r>
      <w:r>
        <w:rPr>
          <w:rFonts w:hint="eastAsia"/>
          <w:lang w:val="en-US" w:eastAsia="zh-TW"/>
        </w:rPr>
        <w:tab/>
        <w:t>(Mengniu annual report 2016-2018)</w:t>
      </w:r>
    </w:p>
    <w:p>
      <w:r>
        <w:t>4.2</w:t>
      </w:r>
      <w:r>
        <w:tab/>
      </w:r>
      <w:r>
        <w:t>The first year calculation of sales</w:t>
      </w:r>
    </w:p>
    <w:p>
      <w:r>
        <w:t>Project items</w:t>
      </w:r>
      <w:r>
        <w:tab/>
      </w:r>
      <w:r>
        <w:tab/>
      </w:r>
      <w:r>
        <w:tab/>
      </w:r>
      <w:r>
        <w:tab/>
      </w:r>
      <w:r>
        <w:tab/>
      </w:r>
      <w:r>
        <w:tab/>
      </w:r>
      <w:r>
        <w:tab/>
      </w:r>
      <w:r>
        <w:t>Remarks</w:t>
      </w:r>
    </w:p>
    <w:p/>
    <w:p>
      <w:pPr>
        <w:rPr>
          <w:rFonts w:hint="default" w:eastAsiaTheme="minorEastAsia"/>
          <w:lang w:val="en-US" w:eastAsia="zh-TW"/>
        </w:rPr>
      </w:pPr>
      <w:r>
        <w:t>Total Sales (1 million RMB)</w:t>
      </w:r>
      <w:r>
        <w:tab/>
      </w:r>
      <w:r>
        <w:tab/>
      </w:r>
      <w:r>
        <w:tab/>
      </w:r>
      <w:r>
        <w:t>160</w:t>
      </w:r>
      <w:r>
        <w:rPr>
          <w:rFonts w:hint="eastAsia"/>
          <w:lang w:val="en-US" w:eastAsia="zh-TW"/>
        </w:rPr>
        <w:tab/>
        <w:t/>
      </w:r>
      <w:r>
        <w:rPr>
          <w:rFonts w:hint="eastAsia"/>
          <w:lang w:val="en-US" w:eastAsia="zh-TW"/>
        </w:rPr>
        <w:tab/>
        <w:t>(</w:t>
      </w:r>
      <w:r>
        <w:rPr>
          <w:rFonts w:ascii="Segoe UI" w:hAnsi="Segoe UI" w:eastAsia="Times New Roman" w:cs="Segoe UI"/>
          <w:color w:val="000000"/>
          <w:sz w:val="20"/>
          <w:szCs w:val="20"/>
        </w:rPr>
        <w:t> </w:t>
      </w:r>
      <w:r>
        <w:fldChar w:fldCharType="begin"/>
      </w:r>
      <w:r>
        <w:instrText xml:space="preserve"> HYPERLINK "https://www.xe.com/zh-HK/currencycharts/?from=USD&amp;to=CNY&amp;view=2Y" \t "_blank" </w:instrText>
      </w:r>
      <w:r>
        <w:fldChar w:fldCharType="separate"/>
      </w:r>
      <w:r>
        <w:rPr>
          <w:rFonts w:ascii="Segoe UI" w:hAnsi="Segoe UI" w:eastAsia="Times New Roman" w:cs="Segoe UI"/>
          <w:color w:val="196AD4"/>
          <w:sz w:val="20"/>
          <w:szCs w:val="20"/>
          <w:u w:val="single"/>
        </w:rPr>
        <w:t>https://www.xe.com/zh-HK/currencycharts/?from=USD&amp;to=CNY&amp;view=2Y</w:t>
      </w:r>
      <w:r>
        <w:rPr>
          <w:rFonts w:ascii="Segoe UI" w:hAnsi="Segoe UI" w:eastAsia="Times New Roman" w:cs="Segoe UI"/>
          <w:color w:val="196AD4"/>
          <w:sz w:val="20"/>
          <w:szCs w:val="20"/>
          <w:u w:val="single"/>
        </w:rPr>
        <w:fldChar w:fldCharType="end"/>
      </w:r>
    </w:p>
    <w:p/>
    <w:p>
      <w:r>
        <w:t>4.3</w:t>
      </w:r>
      <w:r>
        <w:tab/>
      </w:r>
      <w:r>
        <w:t>Computing Tax Cost</w:t>
      </w:r>
    </w:p>
    <w:tbl>
      <w:tblPr>
        <w:tblW w:w="10380" w:type="dxa"/>
        <w:tblInd w:w="0" w:type="dxa"/>
        <w:shd w:val="clear"/>
        <w:tblLayout w:type="fixed"/>
        <w:tblCellMar>
          <w:top w:w="0" w:type="dxa"/>
          <w:left w:w="0" w:type="dxa"/>
          <w:bottom w:w="0" w:type="dxa"/>
          <w:right w:w="0" w:type="dxa"/>
        </w:tblCellMar>
      </w:tblPr>
      <w:tblGrid>
        <w:gridCol w:w="970"/>
        <w:gridCol w:w="680"/>
        <w:gridCol w:w="760"/>
        <w:gridCol w:w="780"/>
        <w:gridCol w:w="760"/>
        <w:gridCol w:w="660"/>
        <w:gridCol w:w="700"/>
        <w:gridCol w:w="670"/>
        <w:gridCol w:w="670"/>
        <w:gridCol w:w="670"/>
        <w:gridCol w:w="690"/>
        <w:gridCol w:w="540"/>
        <w:gridCol w:w="570"/>
        <w:gridCol w:w="650"/>
        <w:gridCol w:w="610"/>
      </w:tblGrid>
      <w:tr>
        <w:tblPrEx>
          <w:shd w:val="clear"/>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Items (Unit: 1 million RMB)</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1Yr</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2Yr</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3Yr</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4Yr</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5Yr</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6Yr</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7Yr</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8Yr</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9Yr</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10Yr</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11Yr</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12Yr</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13Yr</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14Yr</w:t>
            </w:r>
          </w:p>
        </w:tc>
      </w:tr>
      <w:tr>
        <w:tblPrEx>
          <w:shd w:val="clear"/>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 xml:space="preserve">Sales </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160</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179.2</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200.704</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224.788</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251.763</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281.975</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315.812</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353.709</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396.154</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443.693</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496.936</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556.568</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623.356</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698.159</w:t>
            </w:r>
          </w:p>
        </w:tc>
      </w:tr>
      <w:tr>
        <w:tblPrEx>
          <w:shd w:val="clear"/>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EBITDA</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14.24</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15.949</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17.863</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20.006</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22.407</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25.096</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28.107</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31.48</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35.258</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39.489</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44.227</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49.535</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55.479</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62.136</w:t>
            </w:r>
          </w:p>
        </w:tc>
      </w:tr>
      <w:tr>
        <w:tblPrEx>
          <w:shd w:val="clear"/>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 xml:space="preserve">Depreciation </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-28.625</w:t>
            </w:r>
          </w:p>
        </w:tc>
      </w:tr>
      <w:tr>
        <w:tblPrEx>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EBIT:</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-14.385</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-12.676</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-10.762</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-8.619</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-6.555</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-3.529</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-0.518</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2.855</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6.633</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10.864</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15.602</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20.91</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26.854</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33.511</w:t>
            </w:r>
          </w:p>
        </w:tc>
      </w:tr>
      <w:tr>
        <w:tblPrEx>
          <w:shd w:val="clear"/>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r>
      <w:tr>
        <w:tblPrEx>
          <w:shd w:val="clear"/>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Tax cost</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-0.714</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-1.658</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-2.716</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-3.901</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-5.228</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-6.714</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-8.378</w:t>
            </w:r>
          </w:p>
        </w:tc>
      </w:tr>
      <w:tr>
        <w:tblPrEx>
          <w:tblLayout w:type="fixed"/>
          <w:tblCellMar>
            <w:top w:w="0" w:type="dxa"/>
            <w:left w:w="0" w:type="dxa"/>
            <w:bottom w:w="0" w:type="dxa"/>
            <w:right w:w="0" w:type="dxa"/>
          </w:tblCellMar>
        </w:tblPrEx>
        <w:trPr>
          <w:trHeight w:val="290" w:hRule="atLeast"/>
        </w:trPr>
        <w:tc>
          <w:tcPr>
            <w:tcW w:w="9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Profit:</w:t>
            </w:r>
          </w:p>
        </w:tc>
        <w:tc>
          <w:tcPr>
            <w:tcW w:w="6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-14.385</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-12.676</w:t>
            </w:r>
          </w:p>
        </w:tc>
        <w:tc>
          <w:tcPr>
            <w:tcW w:w="78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-10.762</w:t>
            </w:r>
          </w:p>
        </w:tc>
        <w:tc>
          <w:tcPr>
            <w:tcW w:w="7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-8.619</w:t>
            </w:r>
          </w:p>
        </w:tc>
        <w:tc>
          <w:tcPr>
            <w:tcW w:w="66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-6.555</w:t>
            </w:r>
          </w:p>
        </w:tc>
        <w:tc>
          <w:tcPr>
            <w:tcW w:w="7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-3.529</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-0.518</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2.141</w:t>
            </w:r>
          </w:p>
        </w:tc>
        <w:tc>
          <w:tcPr>
            <w:tcW w:w="6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4.975</w:t>
            </w:r>
          </w:p>
        </w:tc>
        <w:tc>
          <w:tcPr>
            <w:tcW w:w="69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8.148</w:t>
            </w:r>
          </w:p>
        </w:tc>
        <w:tc>
          <w:tcPr>
            <w:tcW w:w="54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11.702</w:t>
            </w:r>
          </w:p>
        </w:tc>
        <w:tc>
          <w:tcPr>
            <w:tcW w:w="57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15.683</w:t>
            </w:r>
          </w:p>
        </w:tc>
        <w:tc>
          <w:tcPr>
            <w:tcW w:w="65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20.141</w:t>
            </w:r>
          </w:p>
        </w:tc>
        <w:tc>
          <w:tcPr>
            <w:tcW w:w="61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25.133</w:t>
            </w:r>
          </w:p>
        </w:tc>
      </w:tr>
    </w:tbl>
    <w:p>
      <w:pPr>
        <w:rPr>
          <w:rFonts w:hint="default"/>
        </w:rPr>
      </w:pPr>
    </w:p>
    <w:p>
      <w:pPr>
        <w:rPr>
          <w:rFonts w:hint="default"/>
        </w:rPr>
      </w:pPr>
      <w:r>
        <w:rPr>
          <w:rFonts w:hint="default"/>
        </w:rPr>
        <w:t>Sales = Last Year Sales x (1+Growth rate)</w:t>
      </w:r>
    </w:p>
    <w:p>
      <w:pPr>
        <w:rPr>
          <w:rFonts w:hint="default"/>
        </w:rPr>
      </w:pPr>
      <w:r>
        <w:rPr>
          <w:rFonts w:hint="default"/>
        </w:rPr>
        <w:t>Depreciation = -(Building cost/14 + Machinery/10)</w:t>
      </w:r>
    </w:p>
    <w:p>
      <w:pPr>
        <w:rPr>
          <w:rFonts w:hint="default"/>
        </w:rPr>
      </w:pPr>
      <w:r>
        <w:rPr>
          <w:rFonts w:hint="default"/>
        </w:rPr>
        <w:t>Tax cost = Standard tax rate: 25%</w:t>
      </w:r>
    </w:p>
    <w:p/>
    <w:p>
      <w:r>
        <w:t>4.4 Cashflow calculation</w:t>
      </w:r>
    </w:p>
    <w:tbl>
      <w:tblPr>
        <w:tblW w:w="9380" w:type="dxa"/>
        <w:tblInd w:w="0" w:type="dxa"/>
        <w:shd w:val="clear"/>
        <w:tblLayout w:type="fixed"/>
        <w:tblCellMar>
          <w:top w:w="0" w:type="dxa"/>
          <w:left w:w="0" w:type="dxa"/>
          <w:bottom w:w="0" w:type="dxa"/>
          <w:right w:w="0" w:type="dxa"/>
        </w:tblCellMar>
      </w:tblPr>
      <w:tblGrid>
        <w:gridCol w:w="1527"/>
        <w:gridCol w:w="654"/>
        <w:gridCol w:w="548"/>
        <w:gridCol w:w="587"/>
        <w:gridCol w:w="539"/>
        <w:gridCol w:w="462"/>
        <w:gridCol w:w="548"/>
        <w:gridCol w:w="520"/>
        <w:gridCol w:w="481"/>
        <w:gridCol w:w="539"/>
        <w:gridCol w:w="491"/>
        <w:gridCol w:w="520"/>
        <w:gridCol w:w="548"/>
        <w:gridCol w:w="520"/>
        <w:gridCol w:w="500"/>
        <w:gridCol w:w="396"/>
      </w:tblGrid>
      <w:tr>
        <w:tblPrEx>
          <w:shd w:val="clear"/>
          <w:tblLayout w:type="fixed"/>
          <w:tblCellMar>
            <w:top w:w="0" w:type="dxa"/>
            <w:left w:w="0" w:type="dxa"/>
            <w:bottom w:w="0" w:type="dxa"/>
            <w:right w:w="0" w:type="dxa"/>
          </w:tblCellMar>
        </w:tblPrEx>
        <w:trPr>
          <w:trHeight w:val="290" w:hRule="atLeast"/>
        </w:trPr>
        <w:tc>
          <w:tcPr>
            <w:tcW w:w="152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Items (Unit: 1 million RMB)</w:t>
            </w:r>
          </w:p>
        </w:tc>
        <w:tc>
          <w:tcPr>
            <w:tcW w:w="654"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Initial cost</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1Yr</w:t>
            </w:r>
          </w:p>
        </w:tc>
        <w:tc>
          <w:tcPr>
            <w:tcW w:w="58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2Yr</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3Yr</w:t>
            </w:r>
          </w:p>
        </w:tc>
        <w:tc>
          <w:tcPr>
            <w:tcW w:w="462"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4Yr</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5Yr</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6Yr</w:t>
            </w:r>
          </w:p>
        </w:tc>
        <w:tc>
          <w:tcPr>
            <w:tcW w:w="48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7Yr</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8Yr</w:t>
            </w:r>
          </w:p>
        </w:tc>
        <w:tc>
          <w:tcPr>
            <w:tcW w:w="49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9Yr</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10Yr</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11Yr</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12Yr</w:t>
            </w:r>
          </w:p>
        </w:tc>
        <w:tc>
          <w:tcPr>
            <w:tcW w:w="5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13Yr</w:t>
            </w:r>
          </w:p>
        </w:tc>
        <w:tc>
          <w:tcPr>
            <w:tcW w:w="396"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14Yr</w:t>
            </w:r>
          </w:p>
        </w:tc>
      </w:tr>
      <w:tr>
        <w:tblPrEx>
          <w:tblLayout w:type="fixed"/>
          <w:tblCellMar>
            <w:top w:w="0" w:type="dxa"/>
            <w:left w:w="0" w:type="dxa"/>
            <w:bottom w:w="0" w:type="dxa"/>
            <w:right w:w="0" w:type="dxa"/>
          </w:tblCellMar>
        </w:tblPrEx>
        <w:trPr>
          <w:trHeight w:val="290" w:hRule="atLeast"/>
        </w:trPr>
        <w:tc>
          <w:tcPr>
            <w:tcW w:w="152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EBITDA</w:t>
            </w:r>
          </w:p>
        </w:tc>
        <w:tc>
          <w:tcPr>
            <w:tcW w:w="654"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14.24</w:t>
            </w:r>
          </w:p>
        </w:tc>
        <w:tc>
          <w:tcPr>
            <w:tcW w:w="58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15.949</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17.863</w:t>
            </w:r>
          </w:p>
        </w:tc>
        <w:tc>
          <w:tcPr>
            <w:tcW w:w="462"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20.006</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22.407</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25.096</w:t>
            </w:r>
          </w:p>
        </w:tc>
        <w:tc>
          <w:tcPr>
            <w:tcW w:w="48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28.107</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31.48</w:t>
            </w:r>
          </w:p>
        </w:tc>
        <w:tc>
          <w:tcPr>
            <w:tcW w:w="49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35.258</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39.489</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44.227</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49.535</w:t>
            </w:r>
          </w:p>
        </w:tc>
        <w:tc>
          <w:tcPr>
            <w:tcW w:w="5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55.479</w:t>
            </w:r>
          </w:p>
        </w:tc>
        <w:tc>
          <w:tcPr>
            <w:tcW w:w="396"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62.136</w:t>
            </w:r>
          </w:p>
        </w:tc>
      </w:tr>
      <w:tr>
        <w:tblPrEx>
          <w:shd w:val="clear"/>
          <w:tblLayout w:type="fixed"/>
          <w:tblCellMar>
            <w:top w:w="0" w:type="dxa"/>
            <w:left w:w="0" w:type="dxa"/>
            <w:bottom w:w="0" w:type="dxa"/>
            <w:right w:w="0" w:type="dxa"/>
          </w:tblCellMar>
        </w:tblPrEx>
        <w:trPr>
          <w:trHeight w:val="290" w:hRule="atLeast"/>
        </w:trPr>
        <w:tc>
          <w:tcPr>
            <w:tcW w:w="152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Working Capital Movement</w:t>
            </w:r>
          </w:p>
        </w:tc>
        <w:tc>
          <w:tcPr>
            <w:tcW w:w="654"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-3.441</w:t>
            </w:r>
          </w:p>
        </w:tc>
        <w:tc>
          <w:tcPr>
            <w:tcW w:w="58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-3.854</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-4.316</w:t>
            </w:r>
          </w:p>
        </w:tc>
        <w:tc>
          <w:tcPr>
            <w:tcW w:w="462"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-4.834</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-5.414</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-6.064</w:t>
            </w:r>
          </w:p>
        </w:tc>
        <w:tc>
          <w:tcPr>
            <w:tcW w:w="48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-6.792</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-7.607</w:t>
            </w:r>
          </w:p>
        </w:tc>
        <w:tc>
          <w:tcPr>
            <w:tcW w:w="49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-8.52</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-9.542</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-10.687</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-11.97</w:t>
            </w:r>
          </w:p>
        </w:tc>
        <w:tc>
          <w:tcPr>
            <w:tcW w:w="5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-13.406</w:t>
            </w:r>
          </w:p>
        </w:tc>
        <w:tc>
          <w:tcPr>
            <w:tcW w:w="396"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-15.015</w:t>
            </w:r>
          </w:p>
        </w:tc>
      </w:tr>
      <w:tr>
        <w:tblPrEx>
          <w:tblLayout w:type="fixed"/>
          <w:tblCellMar>
            <w:top w:w="0" w:type="dxa"/>
            <w:left w:w="0" w:type="dxa"/>
            <w:bottom w:w="0" w:type="dxa"/>
            <w:right w:w="0" w:type="dxa"/>
          </w:tblCellMar>
        </w:tblPrEx>
        <w:trPr>
          <w:trHeight w:val="290" w:hRule="atLeast"/>
        </w:trPr>
        <w:tc>
          <w:tcPr>
            <w:tcW w:w="152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Expenditure</w:t>
            </w:r>
          </w:p>
        </w:tc>
        <w:tc>
          <w:tcPr>
            <w:tcW w:w="654"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8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462"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48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49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5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c>
          <w:tcPr>
            <w:tcW w:w="396"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-2.166</w:t>
            </w:r>
          </w:p>
        </w:tc>
      </w:tr>
      <w:tr>
        <w:tblPrEx>
          <w:tblLayout w:type="fixed"/>
          <w:tblCellMar>
            <w:top w:w="0" w:type="dxa"/>
            <w:left w:w="0" w:type="dxa"/>
            <w:bottom w:w="0" w:type="dxa"/>
            <w:right w:w="0" w:type="dxa"/>
          </w:tblCellMar>
        </w:tblPrEx>
        <w:trPr>
          <w:trHeight w:val="290" w:hRule="atLeast"/>
        </w:trPr>
        <w:tc>
          <w:tcPr>
            <w:tcW w:w="152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Tax expense</w:t>
            </w:r>
          </w:p>
        </w:tc>
        <w:tc>
          <w:tcPr>
            <w:tcW w:w="654"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rPr>
                <w:rFonts w:hint="default" w:ascii="Calibri" w:hAnsi="Calibri" w:cs="Calibri"/>
                <w:i w:val="0"/>
                <w:color w:val="000000"/>
                <w:sz w:val="14"/>
                <w:szCs w:val="14"/>
                <w:u w:val="none"/>
              </w:rPr>
            </w:pP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58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462"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48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-0.714</w:t>
            </w:r>
          </w:p>
        </w:tc>
        <w:tc>
          <w:tcPr>
            <w:tcW w:w="49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-1.658</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-2.716</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-3.901</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-5.228</w:t>
            </w:r>
          </w:p>
        </w:tc>
        <w:tc>
          <w:tcPr>
            <w:tcW w:w="5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-6.714</w:t>
            </w:r>
          </w:p>
        </w:tc>
        <w:tc>
          <w:tcPr>
            <w:tcW w:w="396"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-8.378</w:t>
            </w:r>
          </w:p>
        </w:tc>
      </w:tr>
      <w:tr>
        <w:tblPrEx>
          <w:shd w:val="clear"/>
          <w:tblLayout w:type="fixed"/>
          <w:tblCellMar>
            <w:top w:w="0" w:type="dxa"/>
            <w:left w:w="0" w:type="dxa"/>
            <w:bottom w:w="0" w:type="dxa"/>
            <w:right w:w="0" w:type="dxa"/>
          </w:tblCellMar>
        </w:tblPrEx>
        <w:trPr>
          <w:trHeight w:val="290" w:hRule="atLeast"/>
        </w:trPr>
        <w:tc>
          <w:tcPr>
            <w:tcW w:w="152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Cashflow</w:t>
            </w:r>
          </w:p>
        </w:tc>
        <w:tc>
          <w:tcPr>
            <w:tcW w:w="654"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-314.1065</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8.633</w:t>
            </w:r>
          </w:p>
        </w:tc>
        <w:tc>
          <w:tcPr>
            <w:tcW w:w="587"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9.929</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11.381</w:t>
            </w:r>
          </w:p>
        </w:tc>
        <w:tc>
          <w:tcPr>
            <w:tcW w:w="462"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13.006</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14.827</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16.866</w:t>
            </w:r>
          </w:p>
        </w:tc>
        <w:tc>
          <w:tcPr>
            <w:tcW w:w="48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19.149</w:t>
            </w:r>
          </w:p>
        </w:tc>
        <w:tc>
          <w:tcPr>
            <w:tcW w:w="539"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20.993</w:t>
            </w:r>
          </w:p>
        </w:tc>
        <w:tc>
          <w:tcPr>
            <w:tcW w:w="491"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22.914</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25.065</w:t>
            </w:r>
          </w:p>
        </w:tc>
        <w:tc>
          <w:tcPr>
            <w:tcW w:w="548"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27.473</w:t>
            </w:r>
          </w:p>
        </w:tc>
        <w:tc>
          <w:tcPr>
            <w:tcW w:w="52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30.171</w:t>
            </w:r>
          </w:p>
        </w:tc>
        <w:tc>
          <w:tcPr>
            <w:tcW w:w="500"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33.193</w:t>
            </w:r>
          </w:p>
        </w:tc>
        <w:tc>
          <w:tcPr>
            <w:tcW w:w="396" w:type="dxa"/>
            <w:tcBorders>
              <w:top w:val="single" w:color="000000" w:sz="4" w:space="0"/>
              <w:left w:val="single" w:color="000000" w:sz="4" w:space="0"/>
              <w:bottom w:val="single" w:color="000000" w:sz="4" w:space="0"/>
              <w:right w:val="single" w:color="000000" w:sz="4" w:space="0"/>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14"/>
                <w:szCs w:val="14"/>
                <w:u w:val="none"/>
              </w:rPr>
            </w:pPr>
            <w:r>
              <w:rPr>
                <w:rFonts w:hint="default" w:ascii="Calibri" w:hAnsi="Calibri" w:eastAsia="SimSun" w:cs="Calibri"/>
                <w:i w:val="0"/>
                <w:color w:val="000000"/>
                <w:kern w:val="0"/>
                <w:sz w:val="14"/>
                <w:szCs w:val="14"/>
                <w:u w:val="none"/>
                <w:bdr w:val="none" w:color="auto" w:sz="0" w:space="0"/>
                <w:lang w:val="en-US" w:eastAsia="zh-CN" w:bidi="ar"/>
              </w:rPr>
              <w:t>36.577</w:t>
            </w:r>
          </w:p>
        </w:tc>
      </w:tr>
    </w:tbl>
    <w:p/>
    <w:p>
      <w:pPr>
        <w:rPr>
          <w:rFonts w:hint="eastAsia"/>
          <w:lang w:val="en-US" w:eastAsia="zh-TW"/>
        </w:rPr>
      </w:pPr>
      <w:r>
        <w:rPr>
          <w:rFonts w:hint="default"/>
        </w:rPr>
        <w:t>Working Capital Movement for the first year calculation =annual sales x operating cashflow period/365=160 x 7.85/365 =3.441</w:t>
      </w:r>
      <w:r>
        <w:rPr>
          <w:rFonts w:hint="eastAsia"/>
          <w:lang w:val="en-US" w:eastAsia="zh-TW"/>
        </w:rPr>
        <w:t xml:space="preserve"> million</w:t>
      </w:r>
    </w:p>
    <w:p>
      <w:pPr>
        <w:rPr>
          <w:rFonts w:hint="default"/>
          <w:lang w:val="en-US" w:eastAsia="zh-TW"/>
        </w:rPr>
      </w:pPr>
      <w:r>
        <w:rPr>
          <w:rFonts w:hint="default"/>
          <w:lang w:val="en-US" w:eastAsia="zh-TW"/>
        </w:rPr>
        <w:t>Working Capital for the rest of the years calculation = the previous year working capital x (1+ Sales growth rate)</w:t>
      </w:r>
    </w:p>
    <w:p>
      <w:pPr>
        <w:rPr>
          <w:rFonts w:hint="default"/>
          <w:lang w:val="en-US" w:eastAsia="zh-TW"/>
        </w:rPr>
      </w:pPr>
      <w:r>
        <w:rPr>
          <w:rFonts w:hint="default"/>
          <w:lang w:val="en-US" w:eastAsia="zh-TW"/>
        </w:rPr>
        <w:t>assumption for expenditure to pay for the annual machinery cost, about 21.65915 million/10 year = 2.166 million/year</w:t>
      </w:r>
    </w:p>
    <w:p>
      <w:pPr>
        <w:rPr>
          <w:rFonts w:hint="eastAsia"/>
          <w:lang w:val="en-US" w:eastAsia="zh-TW"/>
        </w:rPr>
      </w:pPr>
      <w:r>
        <w:rPr>
          <w:rFonts w:hint="eastAsia"/>
          <w:lang w:val="en-US" w:eastAsia="zh-TW"/>
        </w:rPr>
        <w:t>4.5 ARR, NPV and IRR calculation</w:t>
      </w:r>
    </w:p>
    <w:tbl>
      <w:tblPr>
        <w:tblW w:w="3830" w:type="dxa"/>
        <w:tblInd w:w="0" w:type="dxa"/>
        <w:shd w:val="clear"/>
        <w:tblLayout w:type="fixed"/>
        <w:tblCellMar>
          <w:top w:w="0" w:type="dxa"/>
          <w:left w:w="0" w:type="dxa"/>
          <w:bottom w:w="0" w:type="dxa"/>
          <w:right w:w="0" w:type="dxa"/>
        </w:tblCellMar>
      </w:tblPr>
      <w:tblGrid>
        <w:gridCol w:w="2293"/>
        <w:gridCol w:w="680"/>
        <w:gridCol w:w="857"/>
      </w:tblGrid>
      <w:tr>
        <w:tblPrEx>
          <w:shd w:val="clear"/>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ARR</w:t>
            </w:r>
          </w:p>
        </w:tc>
        <w:tc>
          <w:tcPr>
            <w:tcW w:w="6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857" w:type="dxa"/>
            <w:tcBorders>
              <w:top w:val="nil"/>
              <w:left w:val="nil"/>
              <w:bottom w:val="nil"/>
              <w:right w:val="nil"/>
            </w:tcBorders>
            <w:shd w:val="clear"/>
            <w:noWrap/>
            <w:tcMar>
              <w:top w:w="10" w:type="dxa"/>
              <w:left w:w="10" w:type="dxa"/>
              <w:right w:w="10" w:type="dxa"/>
            </w:tcMar>
            <w:vAlign w:val="center"/>
          </w:tcPr>
          <w:p>
            <w:pPr>
              <w:rPr>
                <w:rFonts w:hint="default" w:ascii="Calibri" w:hAnsi="Calibri" w:eastAsia="PMingLiU" w:cs="Calibri"/>
                <w:i w:val="0"/>
                <w:color w:val="000000"/>
                <w:sz w:val="22"/>
                <w:szCs w:val="22"/>
                <w:u w:val="none"/>
                <w:lang w:val="en-US" w:eastAsia="zh-TW"/>
              </w:rPr>
            </w:pPr>
            <w:r>
              <w:rPr>
                <w:rFonts w:hint="eastAsia" w:ascii="Calibri" w:hAnsi="Calibri" w:eastAsia="PMingLiU" w:cs="Calibri"/>
                <w:i w:val="0"/>
                <w:color w:val="000000"/>
                <w:sz w:val="22"/>
                <w:szCs w:val="22"/>
                <w:u w:val="none"/>
                <w:lang w:val="en-US" w:eastAsia="zh-TW"/>
              </w:rPr>
              <w:t>Million RMB</w:t>
            </w: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Total income for 14 years</w:t>
            </w:r>
          </w:p>
        </w:tc>
        <w:tc>
          <w:tcPr>
            <w:tcW w:w="6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857"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30.879</w:t>
            </w:r>
          </w:p>
        </w:tc>
      </w:tr>
      <w:tr>
        <w:tblPrEx>
          <w:shd w:val="clear"/>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 xml:space="preserve">Average ARR </w:t>
            </w:r>
          </w:p>
        </w:tc>
        <w:tc>
          <w:tcPr>
            <w:tcW w:w="6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857"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2.206</w:t>
            </w: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 xml:space="preserve">Initial cost </w:t>
            </w:r>
          </w:p>
        </w:tc>
        <w:tc>
          <w:tcPr>
            <w:tcW w:w="6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857"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314.1065</w:t>
            </w: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 xml:space="preserve">ARR: </w:t>
            </w:r>
          </w:p>
        </w:tc>
        <w:tc>
          <w:tcPr>
            <w:tcW w:w="6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857"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0.70%</w:t>
            </w:r>
          </w:p>
        </w:tc>
      </w:tr>
      <w:tr>
        <w:tblPrEx>
          <w:shd w:val="clear"/>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eastAsia="SimSun" w:cs="Calibri"/>
                <w:i w:val="0"/>
                <w:color w:val="000000"/>
                <w:kern w:val="0"/>
                <w:sz w:val="22"/>
                <w:szCs w:val="22"/>
                <w:u w:val="none"/>
                <w:bdr w:val="none" w:color="auto" w:sz="0" w:space="0"/>
                <w:lang w:val="en-US" w:eastAsia="zh-CN" w:bidi="ar"/>
              </w:rPr>
            </w:pPr>
          </w:p>
        </w:tc>
        <w:tc>
          <w:tcPr>
            <w:tcW w:w="6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857"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eastAsia="SimSun" w:cs="Calibri"/>
                <w:i w:val="0"/>
                <w:color w:val="000000"/>
                <w:kern w:val="0"/>
                <w:sz w:val="22"/>
                <w:szCs w:val="22"/>
                <w:u w:val="none"/>
                <w:bdr w:val="none" w:color="auto" w:sz="0" w:space="0"/>
                <w:lang w:val="en-US" w:eastAsia="zh-CN" w:bidi="ar"/>
              </w:rPr>
            </w:pPr>
          </w:p>
        </w:tc>
      </w:tr>
    </w:tbl>
    <w:p>
      <w:pPr>
        <w:rPr>
          <w:rFonts w:hint="default"/>
          <w:lang w:val="en-US" w:eastAsia="zh-TW"/>
        </w:rPr>
      </w:pPr>
    </w:p>
    <w:p>
      <w:pPr>
        <w:rPr>
          <w:rFonts w:hint="eastAsia"/>
          <w:lang w:val="en-US" w:eastAsia="zh-TW"/>
        </w:rPr>
      </w:pPr>
      <w:r>
        <w:rPr>
          <w:rFonts w:hint="eastAsia"/>
          <w:lang w:val="en-US" w:eastAsia="zh-TW"/>
        </w:rPr>
        <w:t>NPV:</w:t>
      </w:r>
    </w:p>
    <w:p>
      <w:pPr>
        <w:rPr>
          <w:rFonts w:hint="default"/>
          <w:lang w:val="en-US" w:eastAsia="zh-TW"/>
        </w:rPr>
      </w:pPr>
      <w:r>
        <w:rPr>
          <w:rFonts w:hint="eastAsia"/>
          <w:lang w:val="en-US" w:eastAsia="zh-TW"/>
        </w:rPr>
        <w:t>r= 2.222% (2018 Mengniu ROA)</w:t>
      </w:r>
    </w:p>
    <w:p>
      <w:pPr>
        <w:rPr>
          <w:rFonts w:hint="eastAsia"/>
          <w:vertAlign w:val="superscript"/>
          <w:lang w:val="en-US" w:eastAsia="zh-TW"/>
        </w:rPr>
      </w:pPr>
      <w:r>
        <w:rPr>
          <w:rFonts w:hint="eastAsia"/>
          <w:lang w:val="en-US" w:eastAsia="zh-TW"/>
        </w:rPr>
        <w:t>T year =cashflow at t th year/(1r)</w:t>
      </w:r>
      <w:r>
        <w:rPr>
          <w:rFonts w:hint="eastAsia"/>
          <w:vertAlign w:val="superscript"/>
          <w:lang w:val="en-US" w:eastAsia="zh-TW"/>
        </w:rPr>
        <w:t>t</w:t>
      </w:r>
    </w:p>
    <w:tbl>
      <w:tblPr>
        <w:tblW w:w="7475" w:type="dxa"/>
        <w:tblInd w:w="0" w:type="dxa"/>
        <w:shd w:val="clear"/>
        <w:tblLayout w:type="fixed"/>
        <w:tblCellMar>
          <w:top w:w="0" w:type="dxa"/>
          <w:left w:w="0" w:type="dxa"/>
          <w:bottom w:w="0" w:type="dxa"/>
          <w:right w:w="0" w:type="dxa"/>
        </w:tblCellMar>
      </w:tblPr>
      <w:tblGrid>
        <w:gridCol w:w="4315"/>
        <w:gridCol w:w="520"/>
        <w:gridCol w:w="1180"/>
        <w:gridCol w:w="1460"/>
      </w:tblGrid>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Year</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 xml:space="preserve">Cashflow </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Present value</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 xml:space="preserve">Initial cost </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-314.1065</w:t>
            </w:r>
          </w:p>
        </w:tc>
        <w:tc>
          <w:tcPr>
            <w:tcW w:w="146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1st</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8.633</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 xml:space="preserve">$8.45 </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2nd</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9.929</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9.502</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3rd</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11.381</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10.655</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4th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13.006</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11.912</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5th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14.827</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13.285</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6th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16.866</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14.784</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7th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19.149</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16.421</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8th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20.993</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17.611</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9th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22.914</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18.805</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10th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25.065</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20.124</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11th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27.473</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21.578</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12th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30.171</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23.183</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13th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33.193</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24.951</w:t>
            </w:r>
          </w:p>
        </w:tc>
      </w:tr>
      <w:tr>
        <w:tblPrEx>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14th</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36.577</w:t>
            </w: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26.897</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238.154</w:t>
            </w: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NPV= all cashflow for 14 years- initial cost: -74.3</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46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r>
      <w:tr>
        <w:tblPrEx>
          <w:shd w:val="clear"/>
          <w:tblLayout w:type="fixed"/>
          <w:tblCellMar>
            <w:top w:w="0" w:type="dxa"/>
            <w:left w:w="0" w:type="dxa"/>
            <w:bottom w:w="0" w:type="dxa"/>
            <w:right w:w="0" w:type="dxa"/>
          </w:tblCellMar>
        </w:tblPrEx>
        <w:trPr>
          <w:trHeight w:val="290" w:hRule="atLeast"/>
        </w:trPr>
        <w:tc>
          <w:tcPr>
            <w:tcW w:w="4315"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lef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Internal rate of return</w:t>
            </w:r>
          </w:p>
        </w:tc>
        <w:tc>
          <w:tcPr>
            <w:tcW w:w="52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180" w:type="dxa"/>
            <w:tcBorders>
              <w:top w:val="nil"/>
              <w:left w:val="nil"/>
              <w:bottom w:val="nil"/>
              <w:right w:val="nil"/>
            </w:tcBorders>
            <w:shd w:val="clear"/>
            <w:noWrap/>
            <w:tcMar>
              <w:top w:w="10" w:type="dxa"/>
              <w:left w:w="10" w:type="dxa"/>
              <w:right w:w="10" w:type="dxa"/>
            </w:tcMar>
            <w:vAlign w:val="center"/>
          </w:tcPr>
          <w:p>
            <w:pPr>
              <w:rPr>
                <w:rFonts w:hint="default" w:ascii="Calibri" w:hAnsi="Calibri" w:cs="Calibri"/>
                <w:i w:val="0"/>
                <w:color w:val="000000"/>
                <w:sz w:val="22"/>
                <w:szCs w:val="22"/>
                <w:u w:val="none"/>
              </w:rPr>
            </w:pPr>
          </w:p>
        </w:tc>
        <w:tc>
          <w:tcPr>
            <w:tcW w:w="1460" w:type="dxa"/>
            <w:tcBorders>
              <w:top w:val="nil"/>
              <w:left w:val="nil"/>
              <w:bottom w:val="nil"/>
              <w:right w:val="nil"/>
            </w:tcBorders>
            <w:shd w:val="clear"/>
            <w:noWrap/>
            <w:tcMar>
              <w:top w:w="10" w:type="dxa"/>
              <w:left w:w="10" w:type="dxa"/>
              <w:right w:w="10" w:type="dxa"/>
            </w:tcMar>
            <w:vAlign w:val="center"/>
          </w:tcPr>
          <w:p>
            <w:pPr>
              <w:keepNext w:val="0"/>
              <w:keepLines w:val="0"/>
              <w:widowControl/>
              <w:suppressLineNumbers w:val="0"/>
              <w:jc w:val="right"/>
              <w:textAlignment w:val="center"/>
              <w:rPr>
                <w:rFonts w:hint="default" w:ascii="Calibri" w:hAnsi="Calibri" w:cs="Calibri"/>
                <w:i w:val="0"/>
                <w:color w:val="000000"/>
                <w:sz w:val="22"/>
                <w:szCs w:val="22"/>
                <w:u w:val="none"/>
              </w:rPr>
            </w:pPr>
            <w:r>
              <w:rPr>
                <w:rFonts w:hint="default" w:ascii="Calibri" w:hAnsi="Calibri" w:eastAsia="SimSun" w:cs="Calibri"/>
                <w:i w:val="0"/>
                <w:color w:val="000000"/>
                <w:kern w:val="0"/>
                <w:sz w:val="22"/>
                <w:szCs w:val="22"/>
                <w:u w:val="none"/>
                <w:bdr w:val="none" w:color="auto" w:sz="0" w:space="0"/>
                <w:lang w:val="en-US" w:eastAsia="zh-CN" w:bidi="ar"/>
              </w:rPr>
              <w:t>-1%</w:t>
            </w:r>
          </w:p>
        </w:tc>
      </w:tr>
    </w:tbl>
    <w:p>
      <w:pPr>
        <w:rPr>
          <w:rFonts w:hint="default" w:ascii="Times New Roman" w:hAnsi="Times New Roman" w:cs="Times New Roman"/>
          <w:sz w:val="24"/>
          <w:szCs w:val="24"/>
          <w:vertAlign w:val="superscript"/>
          <w:lang w:val="en-US" w:eastAsia="zh-TW"/>
        </w:rPr>
      </w:pPr>
    </w:p>
    <w:p>
      <w:pPr>
        <w:rPr>
          <w:rFonts w:hint="eastAsia"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Payback Period</w:t>
      </w:r>
    </w:p>
    <w:p>
      <w:pPr>
        <w:rPr>
          <w:rFonts w:hint="default"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r>
    </w:p>
    <w:p>
      <w:pPr>
        <w:rPr>
          <w:rFonts w:hint="eastAsia"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Payback period</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1 million RMB</w:t>
      </w:r>
    </w:p>
    <w:p>
      <w:pPr>
        <w:rPr>
          <w:rFonts w:hint="eastAsia"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1-14 years Profit</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28.738</w:t>
      </w:r>
    </w:p>
    <w:p>
      <w:pPr>
        <w:rPr>
          <w:rFonts w:hint="eastAsia"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1-19 years Profit</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262.836</w:t>
      </w:r>
    </w:p>
    <w:p>
      <w:pPr>
        <w:rPr>
          <w:rFonts w:hint="default"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19</w:t>
      </w:r>
      <w:r>
        <w:rPr>
          <w:rFonts w:hint="eastAsia" w:ascii="Times New Roman" w:hAnsi="Times New Roman" w:cs="Times New Roman"/>
          <w:sz w:val="24"/>
          <w:szCs w:val="24"/>
          <w:vertAlign w:val="superscript"/>
          <w:lang w:val="en-US" w:eastAsia="zh-TW"/>
        </w:rPr>
        <w:t>th</w:t>
      </w:r>
      <w:r>
        <w:rPr>
          <w:rFonts w:hint="eastAsia" w:ascii="Times New Roman" w:hAnsi="Times New Roman" w:cs="Times New Roman"/>
          <w:sz w:val="24"/>
          <w:szCs w:val="24"/>
          <w:lang w:val="en-US" w:eastAsia="zh-TW"/>
        </w:rPr>
        <w:t xml:space="preserve"> years Profit</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60.66</w:t>
      </w:r>
    </w:p>
    <w:p>
      <w:pPr>
        <w:rPr>
          <w:rFonts w:hint="default"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Initial Cost</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314.1065</w:t>
      </w:r>
    </w:p>
    <w:p>
      <w:pPr>
        <w:rPr>
          <w:rFonts w:hint="eastAsia"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1-20 years Profit</w:t>
      </w:r>
      <w:r>
        <w:rPr>
          <w:rFonts w:hint="eastAsia" w:ascii="Times New Roman" w:hAnsi="Times New Roman" w:cs="Times New Roman"/>
          <w:sz w:val="24"/>
          <w:szCs w:val="24"/>
          <w:lang w:val="en-US" w:eastAsia="zh-TW"/>
        </w:rPr>
        <w:tab/>
        <w:t/>
      </w:r>
      <w:r>
        <w:rPr>
          <w:rFonts w:hint="eastAsia" w:ascii="Times New Roman" w:hAnsi="Times New Roman" w:cs="Times New Roman"/>
          <w:sz w:val="24"/>
          <w:szCs w:val="24"/>
          <w:lang w:val="en-US" w:eastAsia="zh-TW"/>
        </w:rPr>
        <w:tab/>
        <w:t>323.496</w:t>
      </w:r>
    </w:p>
    <w:p>
      <w:pPr>
        <w:rPr>
          <w:rFonts w:hint="eastAsia" w:ascii="Times New Roman" w:hAnsi="Times New Roman" w:cs="Times New Roman"/>
          <w:sz w:val="24"/>
          <w:szCs w:val="24"/>
          <w:lang w:val="en-US" w:eastAsia="zh-TW"/>
        </w:rPr>
      </w:pPr>
      <w:r>
        <w:rPr>
          <w:rFonts w:hint="eastAsia" w:ascii="Times New Roman" w:hAnsi="Times New Roman" w:cs="Times New Roman"/>
          <w:sz w:val="24"/>
          <w:szCs w:val="24"/>
          <w:lang w:val="en-US" w:eastAsia="zh-TW"/>
        </w:rPr>
        <w:t>Payback period = 19 years + (1-(323.496-314.1065)/60.66) x 12 =19 years 10.14 months</w:t>
      </w:r>
    </w:p>
    <w:p>
      <w:pPr>
        <w:rPr>
          <w:rFonts w:hint="default" w:ascii="Times New Roman" w:hAnsi="Times New Roman" w:cs="Times New Roman"/>
          <w:sz w:val="24"/>
          <w:szCs w:val="24"/>
          <w:lang w:val="en-US" w:eastAsia="zh-TW"/>
        </w:rPr>
      </w:pPr>
      <w:bookmarkStart w:id="0" w:name="_GoBack"/>
      <w:bookmarkEnd w:id="0"/>
    </w:p>
    <w:p>
      <w:pPr>
        <w:rPr>
          <w:rFonts w:ascii="Times New Roman" w:hAnsi="Times New Roman" w:cs="Times New Roman"/>
          <w:sz w:val="24"/>
          <w:szCs w:val="24"/>
        </w:rPr>
      </w:pPr>
      <w:r>
        <w:rPr>
          <w:rFonts w:ascii="Times New Roman" w:hAnsi="Times New Roman" w:cs="Times New Roman"/>
          <w:sz w:val="24"/>
          <w:szCs w:val="24"/>
        </w:rPr>
        <w:t>Chapter 5</w:t>
      </w:r>
    </w:p>
    <w:p>
      <w:pPr>
        <w:rPr>
          <w:rFonts w:ascii="Times New Roman" w:hAnsi="Times New Roman" w:cs="Times New Roman"/>
          <w:sz w:val="24"/>
          <w:szCs w:val="24"/>
        </w:rPr>
      </w:pPr>
      <w:r>
        <w:rPr>
          <w:rFonts w:ascii="Times New Roman" w:hAnsi="Times New Roman" w:cs="Times New Roman"/>
          <w:sz w:val="24"/>
          <w:szCs w:val="24"/>
        </w:rPr>
        <w:t>Financing (Fund-raising) Management and working capital management</w:t>
      </w:r>
    </w:p>
    <w:p>
      <w:pPr>
        <w:rPr>
          <w:rFonts w:ascii="Times New Roman" w:hAnsi="Times New Roman" w:eastAsia="Times New Roman" w:cs="Times New Roman"/>
          <w:sz w:val="24"/>
          <w:szCs w:val="24"/>
        </w:rPr>
      </w:pPr>
      <w:r>
        <w:rPr>
          <w:rFonts w:ascii="Times New Roman" w:hAnsi="Times New Roman" w:cs="Times New Roman"/>
          <w:sz w:val="24"/>
          <w:szCs w:val="24"/>
        </w:rPr>
        <w:t xml:space="preserve">In this chapter we need to raise one-time significant additional cash equivalent to three percent of total assets to finance a project, which is equivalent to </w:t>
      </w:r>
      <w:r>
        <w:rPr>
          <w:rFonts w:ascii="Times New Roman" w:hAnsi="Times New Roman" w:eastAsia="Times New Roman" w:cs="Times New Roman"/>
          <w:sz w:val="24"/>
          <w:szCs w:val="24"/>
        </w:rPr>
        <w:t>49124.427 million RMB x 3% =1473.733 million RMB. There are two fund-raising options to fund operations-equity and debt. Prudent corporate finance practice involves determining the mix of equity and debt that is most cost effective.</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Equity Capital</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Equity capital is generated by the sale of shares of stock. IF taking on more debt is not financially viable, Mengniu can raise capital by selling additional shares. These can be either preferred shares or common shares.</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Preferred shares are unique in that shareholders have limited ownership rights, but the payment of a specified dividend is guaranteed before any such payments are made on common shares, which also making the cost of capital lower for preferred equity.</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Advantage of Equity Capital</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Mengniu is not required to repay shareholder investment, and the equity capital cost refers to the amount of return on investment shareholders expect based on the performance of the larger market. These returns at come from the payment of stock valuation and dividends.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Disadvantage of Equity Capital</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t>Each shareholder owns a small piece of Mengniu, so business owners are beholden to their shareholders and must ensure the business remains profitable to maintain an elevated stock valuation while continuing to pay any expected dividends.</w:t>
      </w:r>
    </w:p>
    <w:p>
      <w:pPr>
        <w:rPr>
          <w:rFonts w:ascii="Times New Roman" w:hAnsi="Times New Roman" w:eastAsia="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Debt Capital</w:t>
      </w:r>
    </w:p>
    <w:p>
      <w:pPr>
        <w:rPr>
          <w:rFonts w:ascii="Times New Roman" w:hAnsi="Times New Roman" w:cs="Times New Roman"/>
          <w:sz w:val="24"/>
          <w:szCs w:val="24"/>
        </w:rPr>
      </w:pPr>
      <w:r>
        <w:rPr>
          <w:rFonts w:ascii="Times New Roman" w:hAnsi="Times New Roman" w:cs="Times New Roman"/>
          <w:sz w:val="24"/>
          <w:szCs w:val="24"/>
        </w:rPr>
        <w:t>The most common types of debt capital are credit card debt, bonds, personal loans and bank loan. Mengniu can open a credit line or apply a new loan to raise this additional capital. It involves borrowing money under a contractual agreement to repay the funds at a later date.</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Advantage of Debt Capital</w:t>
      </w:r>
    </w:p>
    <w:p>
      <w:pPr>
        <w:rPr>
          <w:rFonts w:ascii="Times New Roman" w:hAnsi="Times New Roman" w:cs="Times New Roman"/>
          <w:sz w:val="24"/>
          <w:szCs w:val="24"/>
        </w:rPr>
      </w:pPr>
      <w:r>
        <w:rPr>
          <w:rFonts w:ascii="Times New Roman" w:hAnsi="Times New Roman" w:cs="Times New Roman"/>
          <w:sz w:val="24"/>
          <w:szCs w:val="24"/>
        </w:rPr>
        <w:t>The debt cost is usually lower than the equity cost given debt has recourse.</w:t>
      </w:r>
    </w:p>
    <w:p>
      <w:pPr>
        <w:rPr>
          <w:rFonts w:ascii="Times New Roman" w:hAnsi="Times New Roman" w:cs="Times New Roman"/>
          <w:sz w:val="24"/>
          <w:szCs w:val="24"/>
        </w:rPr>
      </w:pPr>
      <w:r>
        <w:rPr>
          <w:rFonts w:ascii="Times New Roman" w:hAnsi="Times New Roman" w:cs="Times New Roman"/>
          <w:sz w:val="24"/>
          <w:szCs w:val="24"/>
        </w:rPr>
        <w:t>Disadvantage of Debt Capital</w:t>
      </w:r>
    </w:p>
    <w:p>
      <w:pPr>
        <w:rPr>
          <w:rFonts w:ascii="Times New Roman" w:hAnsi="Times New Roman" w:cs="Times New Roman"/>
          <w:sz w:val="24"/>
          <w:szCs w:val="24"/>
        </w:rPr>
      </w:pPr>
      <w:r>
        <w:rPr>
          <w:rFonts w:ascii="Times New Roman" w:hAnsi="Times New Roman" w:cs="Times New Roman"/>
          <w:sz w:val="24"/>
          <w:szCs w:val="24"/>
        </w:rPr>
        <w:t>Debt capital carries with it the additional burden of interest, which increases the cost of debt capital by existing as expense. The actual amount of compounded interest (provided the loans are not repaid so quickly) on such a large loan can add up quickly. Regardless of performance of business, payment must be made to lenders. In a bad economy or bad season, a highly leverage company may have debt payment that exceed its revenue.</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Financing recommendation:</w:t>
      </w:r>
    </w:p>
    <w:p>
      <w:r>
        <w:rPr>
          <w:rFonts w:ascii="Times New Roman" w:hAnsi="Times New Roman" w:cs="Times New Roman"/>
          <w:sz w:val="24"/>
          <w:szCs w:val="24"/>
        </w:rPr>
        <w:t xml:space="preserve">Mengniu’s 3 years average leverage ratio was 1.084, which was lower than Ausnutria (0.584) and Yashili (0.648), The 3 years average earning per share was HK$0.375, which was also lower than Ausnutria (HK$29.617) but higher than Yashili (HK$-3.599). </w:t>
      </w:r>
      <w:r>
        <w:t xml:space="preserve">At the stock price of HK$24.232 (2018 year end stock price), Mengniu has to issue (1474.744 million /(24.232/ 1.138 (RMB/HKD ex rate)))= 69.258 million shares to raise this fund if MEngniu is using equity capital fund raising option. </w:t>
      </w:r>
    </w:p>
    <w:p>
      <w:r>
        <w:rPr>
          <w:rFonts w:ascii="Times New Roman" w:hAnsi="Times New Roman" w:cs="Times New Roman"/>
          <w:sz w:val="24"/>
          <w:szCs w:val="24"/>
        </w:rPr>
        <w:t xml:space="preserve">Mengniu was established as private company in year 1995. </w:t>
      </w:r>
      <w:r>
        <w:rPr>
          <w:rFonts w:ascii="Times New Roman" w:hAnsi="Times New Roman" w:cs="Times New Roman"/>
          <w:color w:val="333333"/>
          <w:sz w:val="24"/>
          <w:szCs w:val="24"/>
          <w:shd w:val="clear" w:color="auto" w:fill="FFFFFF"/>
        </w:rPr>
        <w:t> In year 2009, China National Cereals, Oils and Foodstuffs (COFCO), China's largest state-owned agricultural conglomerate, acquired a stake in the company, becoming its biggest shareholder. For equity capital fund raising, Mengniu can issue As Mengniu is currently a state owned enterprise, IMF stated government debt guarantees can create unfair competition and subsidize the costs ((</w:t>
      </w:r>
      <w:r>
        <w:fldChar w:fldCharType="begin"/>
      </w:r>
      <w:r>
        <w:instrText xml:space="preserve"> HYPERLINK "https://www.imf.org/external/region/tlm/rr/pdf/aug5.pdf)" </w:instrText>
      </w:r>
      <w:r>
        <w:fldChar w:fldCharType="separate"/>
      </w:r>
      <w:r>
        <w:rPr>
          <w:rStyle w:val="5"/>
        </w:rPr>
        <w:t>https://www.imf.org/external/region/tlm/rr/pdf/aug5.pdf)</w:t>
      </w:r>
      <w:r>
        <w:rPr>
          <w:rStyle w:val="5"/>
        </w:rPr>
        <w:fldChar w:fldCharType="end"/>
      </w:r>
      <w:r>
        <w:t>), thus, it is better for Mengniu to use debt capital fund raising options, which it must have a lower cost than equity capital fund raising options. From the Chapter two calculation, we can see Mengniu leverage ratio was a lot higher than its competitors, which in other way proved this state owned enterprise was good at using this fund raising option.</w:t>
      </w:r>
    </w:p>
    <w:p>
      <w:pPr>
        <w:rPr>
          <w:rFonts w:hint="eastAsia"/>
          <w:lang w:val="en-US" w:eastAsia="zh-TW"/>
        </w:rPr>
      </w:pPr>
    </w:p>
    <w:p>
      <w:pPr>
        <w:rPr>
          <w:rFonts w:hint="eastAsia"/>
          <w:lang w:val="en-US" w:eastAsia="zh-TW"/>
        </w:rPr>
      </w:pPr>
      <w:r>
        <w:rPr>
          <w:rFonts w:hint="eastAsia"/>
          <w:lang w:val="en-US" w:eastAsia="zh-TW"/>
        </w:rPr>
        <w:t>Audit Plan</w:t>
      </w:r>
    </w:p>
    <w:p>
      <w:pPr>
        <w:rPr>
          <w:rFonts w:hint="default"/>
          <w:lang w:val="en-US" w:eastAsia="zh-TW"/>
        </w:rPr>
      </w:pPr>
      <w:r>
        <w:rPr>
          <w:rFonts w:hint="eastAsia"/>
          <w:lang w:val="en-US" w:eastAsia="zh-TW"/>
        </w:rPr>
        <w:t>The annual operational audit quarterly plan is to improve the efficacy of operational governance, risk management and control process. Mengniu</w:t>
      </w:r>
      <w:r>
        <w:rPr>
          <w:rFonts w:hint="default"/>
          <w:lang w:val="en-US" w:eastAsia="zh-TW"/>
        </w:rPr>
        <w:t>’</w:t>
      </w:r>
      <w:r>
        <w:rPr>
          <w:rFonts w:hint="eastAsia"/>
          <w:lang w:val="en-US" w:eastAsia="zh-TW"/>
        </w:rPr>
        <w:t>s financial problem can be improved with better operational governance (improving the efficacy of business running), increasing the revenue (increasing the market share, increase the number of products sold, and the profit of selling the products), lowering and diversifying the cost.</w:t>
      </w:r>
    </w:p>
    <w:p>
      <w:pPr>
        <w:rPr>
          <w:rFonts w:hint="default"/>
          <w:lang w:val="en-US" w:eastAsia="zh-TW"/>
        </w:rPr>
      </w:pPr>
      <w:r>
        <w:rPr>
          <w:rFonts w:hint="eastAsia"/>
          <w:lang w:val="en-US" w:eastAsia="zh-TW"/>
        </w:rPr>
        <w:t>Better operational governance</w:t>
      </w:r>
    </w:p>
    <w:p>
      <w:pPr>
        <w:rPr>
          <w:rFonts w:hint="default"/>
          <w:lang w:val="en-US" w:eastAsia="zh-TW"/>
        </w:rPr>
      </w:pPr>
      <w:r>
        <w:rPr>
          <w:rFonts w:hint="eastAsia"/>
          <w:lang w:val="en-US" w:eastAsia="zh-TW"/>
        </w:rPr>
        <w:t>Internal monitoring mechanism- with clear responsibilities and objectives, it can improve the governance in 5 different areas: compliance on the regulations and laws, efficient implementation of strategic decision making and business plan, protect the appropriate and complete usage of assets security, reliance on information to provide the standards, and enhance the operational efficiency. We hope it can be completed by fourth quarter. (COSO,1999)</w:t>
      </w:r>
    </w:p>
    <w:p>
      <w:pPr>
        <w:rPr>
          <w:rFonts w:hint="eastAsia"/>
          <w:lang w:val="en-US" w:eastAsia="zh-TW"/>
        </w:rPr>
      </w:pPr>
      <w:r>
        <w:rPr>
          <w:rFonts w:hint="eastAsia"/>
          <w:lang w:val="en-US" w:eastAsia="zh-TW"/>
        </w:rPr>
        <w:t>Management mechanism- the Management team is separated from Board members under the appointment and supervision, there must be mechanism to keep the independence of management team to ensure the independent directors are effective to comply with good governance code, which can bring the maximum benefits to the company they serve, it can also strengthen the director credibility. We hope it can be completed by the first quarter.</w:t>
      </w:r>
    </w:p>
    <w:p>
      <w:pPr>
        <w:rPr>
          <w:rFonts w:hint="default"/>
          <w:lang w:val="en-US" w:eastAsia="zh-TW"/>
        </w:rPr>
      </w:pPr>
      <w:r>
        <w:rPr>
          <w:rFonts w:hint="eastAsia"/>
          <w:lang w:val="en-US" w:eastAsia="zh-TW"/>
        </w:rPr>
        <w:t>Strengthen the transparency of the enterprise- share the operating transaction information to relieve the small shareholders</w:t>
      </w:r>
      <w:r>
        <w:rPr>
          <w:rFonts w:hint="default"/>
          <w:lang w:val="en-US" w:eastAsia="zh-TW"/>
        </w:rPr>
        <w:t>’</w:t>
      </w:r>
      <w:r>
        <w:rPr>
          <w:rFonts w:hint="eastAsia"/>
          <w:lang w:val="en-US" w:eastAsia="zh-TW"/>
        </w:rPr>
        <w:t xml:space="preserve"> worries.</w:t>
      </w:r>
    </w:p>
    <w:p>
      <w:pPr>
        <w:rPr>
          <w:rFonts w:hint="default"/>
          <w:lang w:val="en-US" w:eastAsia="zh-TW"/>
        </w:rPr>
      </w:pPr>
      <w:r>
        <w:rPr>
          <w:rFonts w:hint="eastAsia"/>
          <w:lang w:val="en-US" w:eastAsia="zh-TW"/>
        </w:rPr>
        <w:t>Increasing the revenue</w:t>
      </w:r>
    </w:p>
    <w:p>
      <w:pPr>
        <w:rPr>
          <w:rFonts w:hint="eastAsia"/>
          <w:lang w:val="en-US" w:eastAsia="zh-TW"/>
        </w:rPr>
      </w:pPr>
      <w:r>
        <w:rPr>
          <w:rFonts w:hint="eastAsia"/>
          <w:lang w:val="en-US" w:eastAsia="zh-TW"/>
        </w:rPr>
        <w:t>Acquisition of other dairy product companies can increase the economies of scale, to lower the production cost and increase the production. Another advantage is broaden the target audience by tapping into the existing market that the company Mengniu bought has already attracted. Mengniu can consider acquisition of Bright Dairy &amp; Food., Ltd. We hope it can be completed by the fourth quarter.</w:t>
      </w:r>
    </w:p>
    <w:p>
      <w:pPr>
        <w:rPr>
          <w:rFonts w:hint="eastAsia"/>
          <w:lang w:val="en-US" w:eastAsia="zh-TW"/>
        </w:rPr>
      </w:pPr>
      <w:r>
        <w:rPr>
          <w:rFonts w:hint="eastAsia"/>
          <w:lang w:val="en-US" w:eastAsia="zh-TW"/>
        </w:rPr>
        <w:t>Lowering and Diversifying the cost</w:t>
      </w:r>
    </w:p>
    <w:p>
      <w:pPr>
        <w:rPr>
          <w:rFonts w:hint="default"/>
          <w:lang w:val="en-US" w:eastAsia="zh-TW"/>
        </w:rPr>
      </w:pPr>
      <w:r>
        <w:rPr>
          <w:rFonts w:hint="eastAsia"/>
          <w:lang w:val="en-US" w:eastAsia="zh-TW"/>
        </w:rPr>
        <w:t>Mengniu can consider building their third overseas factory to enhance the competitiveness of Mengniu in overseas market. At the same time it can lower their production cost when they are selling products in these countries as there would be no import tariff when the company is selling products manufactured in their countries. We hope it can be completed by the third quarter.</w:t>
      </w:r>
    </w:p>
    <w:p>
      <w:pPr>
        <w:rPr>
          <w:rFonts w:hint="eastAsia"/>
          <w:lang w:val="en-US" w:eastAsia="zh-TW"/>
        </w:rPr>
      </w:pPr>
    </w:p>
    <w:p>
      <w:pPr>
        <w:rPr>
          <w:rFonts w:hint="eastAsia"/>
          <w:lang w:val="en-US" w:eastAsia="zh-TW"/>
        </w:rPr>
      </w:pPr>
    </w:p>
    <w:p>
      <w:pPr>
        <w:rPr>
          <w:rFonts w:hint="eastAsia"/>
          <w:lang w:val="en-US" w:eastAsia="zh-TW"/>
        </w:rPr>
      </w:pPr>
    </w:p>
    <w:p>
      <w:pPr>
        <w:rPr>
          <w:rFonts w:hint="eastAsia"/>
          <w:lang w:val="en-US" w:eastAsia="zh-TW"/>
        </w:rPr>
      </w:pPr>
    </w:p>
    <w:p>
      <w:pPr>
        <w:rPr>
          <w:rFonts w:hint="default"/>
          <w:lang w:val="en-US" w:eastAsia="zh-TW"/>
        </w:rPr>
      </w:pPr>
      <w:r>
        <w:rPr>
          <w:rFonts w:hint="eastAsia"/>
          <w:lang w:val="en-US" w:eastAsia="zh-TW"/>
        </w:rPr>
        <w:t xml:space="preserve"> </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PMingLiU">
    <w:panose1 w:val="02020500000000000000"/>
    <w:charset w:val="88"/>
    <w:family w:val="auto"/>
    <w:pitch w:val="default"/>
    <w:sig w:usb0="A00002FF" w:usb1="28CFFCFA" w:usb2="00000016" w:usb3="00000000" w:csb0="00100001" w:csb1="00000000"/>
  </w:font>
  <w:font w:name="Segoe UI">
    <w:panose1 w:val="020B0502040204020203"/>
    <w:charset w:val="00"/>
    <w:family w:val="swiss"/>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270B5A"/>
    <w:multiLevelType w:val="multilevel"/>
    <w:tmpl w:val="60270B5A"/>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7"/>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3A88"/>
    <w:rsid w:val="0002691A"/>
    <w:rsid w:val="0005509D"/>
    <w:rsid w:val="00135197"/>
    <w:rsid w:val="0015373E"/>
    <w:rsid w:val="0017182E"/>
    <w:rsid w:val="00197A0F"/>
    <w:rsid w:val="001D2103"/>
    <w:rsid w:val="00205C93"/>
    <w:rsid w:val="00213839"/>
    <w:rsid w:val="002816BD"/>
    <w:rsid w:val="002F4A24"/>
    <w:rsid w:val="00301504"/>
    <w:rsid w:val="00342559"/>
    <w:rsid w:val="00397D6E"/>
    <w:rsid w:val="003E0952"/>
    <w:rsid w:val="00400B1D"/>
    <w:rsid w:val="004146CA"/>
    <w:rsid w:val="00535E46"/>
    <w:rsid w:val="00545754"/>
    <w:rsid w:val="005E58AE"/>
    <w:rsid w:val="00625CBE"/>
    <w:rsid w:val="006878C0"/>
    <w:rsid w:val="006A0E92"/>
    <w:rsid w:val="006C54B8"/>
    <w:rsid w:val="006D2501"/>
    <w:rsid w:val="006E1EBC"/>
    <w:rsid w:val="00720B5A"/>
    <w:rsid w:val="00745141"/>
    <w:rsid w:val="00842D17"/>
    <w:rsid w:val="00890C20"/>
    <w:rsid w:val="00925A01"/>
    <w:rsid w:val="00A02478"/>
    <w:rsid w:val="00A77F2F"/>
    <w:rsid w:val="00A95689"/>
    <w:rsid w:val="00A95B4D"/>
    <w:rsid w:val="00AD4694"/>
    <w:rsid w:val="00AD7FAA"/>
    <w:rsid w:val="00B73A88"/>
    <w:rsid w:val="00B91A4D"/>
    <w:rsid w:val="00C06AA2"/>
    <w:rsid w:val="00C674F7"/>
    <w:rsid w:val="00CE7F2F"/>
    <w:rsid w:val="00D02C44"/>
    <w:rsid w:val="00E41385"/>
    <w:rsid w:val="00E822D9"/>
    <w:rsid w:val="00E868E3"/>
    <w:rsid w:val="00EA2727"/>
    <w:rsid w:val="00EA356D"/>
    <w:rsid w:val="00EE1937"/>
    <w:rsid w:val="00F21AEF"/>
    <w:rsid w:val="00F46666"/>
    <w:rsid w:val="00F72008"/>
    <w:rsid w:val="0A161FD8"/>
    <w:rsid w:val="0ED12013"/>
    <w:rsid w:val="177F268F"/>
    <w:rsid w:val="20F33688"/>
    <w:rsid w:val="28C6672A"/>
    <w:rsid w:val="3CBF4363"/>
    <w:rsid w:val="3F691A0B"/>
    <w:rsid w:val="401057A2"/>
    <w:rsid w:val="4110718F"/>
    <w:rsid w:val="504D28DB"/>
    <w:rsid w:val="56B80F4C"/>
    <w:rsid w:val="5AE04EE3"/>
    <w:rsid w:val="5F294CCB"/>
    <w:rsid w:val="67FE388E"/>
    <w:rsid w:val="714F233F"/>
    <w:rsid w:val="7A5C0371"/>
    <w:rsid w:val="7FBE777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TW" w:bidi="ar-SA"/>
    </w:rPr>
  </w:style>
  <w:style w:type="character" w:default="1" w:styleId="4">
    <w:name w:val="Default Paragraph Font"/>
    <w:semiHidden/>
    <w:unhideWhenUsed/>
    <w:uiPriority w:val="1"/>
  </w:style>
  <w:style w:type="table" w:default="1" w:styleId="6">
    <w:name w:val="Normal Table"/>
    <w:semiHidden/>
    <w:unhideWhenUsed/>
    <w:uiPriority w:val="99"/>
    <w:tblPr>
      <w:tblLayout w:type="fixed"/>
      <w:tblCellMar>
        <w:top w:w="0" w:type="dxa"/>
        <w:left w:w="108" w:type="dxa"/>
        <w:bottom w:w="0" w:type="dxa"/>
        <w:right w:w="108" w:type="dxa"/>
      </w:tblCellMar>
    </w:tblPr>
  </w:style>
  <w:style w:type="paragraph" w:styleId="2">
    <w:name w:val="footer"/>
    <w:basedOn w:val="1"/>
    <w:link w:val="8"/>
    <w:unhideWhenUsed/>
    <w:qFormat/>
    <w:uiPriority w:val="99"/>
    <w:pPr>
      <w:tabs>
        <w:tab w:val="center" w:pos="4680"/>
        <w:tab w:val="right" w:pos="9360"/>
      </w:tabs>
      <w:spacing w:after="0" w:line="240" w:lineRule="auto"/>
    </w:pPr>
  </w:style>
  <w:style w:type="paragraph" w:styleId="3">
    <w:name w:val="header"/>
    <w:basedOn w:val="1"/>
    <w:link w:val="7"/>
    <w:unhideWhenUsed/>
    <w:qFormat/>
    <w:uiPriority w:val="99"/>
    <w:pPr>
      <w:tabs>
        <w:tab w:val="center" w:pos="4680"/>
        <w:tab w:val="right" w:pos="9360"/>
      </w:tabs>
      <w:spacing w:after="0" w:line="240" w:lineRule="auto"/>
    </w:pPr>
  </w:style>
  <w:style w:type="character" w:styleId="5">
    <w:name w:val="Hyperlink"/>
    <w:basedOn w:val="4"/>
    <w:unhideWhenUsed/>
    <w:qFormat/>
    <w:uiPriority w:val="99"/>
    <w:rPr>
      <w:color w:val="0000FF"/>
      <w:u w:val="single"/>
    </w:rPr>
  </w:style>
  <w:style w:type="character" w:customStyle="1" w:styleId="7">
    <w:name w:val="頁首 字元"/>
    <w:basedOn w:val="4"/>
    <w:link w:val="3"/>
    <w:qFormat/>
    <w:uiPriority w:val="99"/>
  </w:style>
  <w:style w:type="character" w:customStyle="1" w:styleId="8">
    <w:name w:val="頁尾 字元"/>
    <w:basedOn w:val="4"/>
    <w:link w:val="2"/>
    <w:uiPriority w:val="99"/>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16</Pages>
  <Words>5342</Words>
  <Characters>30455</Characters>
  <Lines>253</Lines>
  <Paragraphs>71</Paragraphs>
  <TotalTime>224</TotalTime>
  <ScaleCrop>false</ScaleCrop>
  <LinksUpToDate>false</LinksUpToDate>
  <CharactersWithSpaces>35726</CharactersWithSpaces>
  <Application>WPS Office_11.2.0.8684_F1E327BC-269C-435d-A152-05C5408002CA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2019-07-23T06:36:00Z</dcterms:created>
  <dc:creator>admin</dc:creator>
  <cp:lastModifiedBy>alvin429</cp:lastModifiedBy>
  <dcterms:modified xsi:type="dcterms:W3CDTF">2019-08-03T15:15:28Z</dcterms:modified>
  <cp:revision>28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1033-11.2.0.8684</vt:lpwstr>
  </property>
</Properties>
</file>