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99DCEE" w14:textId="7C55C09F" w:rsidR="005B331D" w:rsidRPr="005B331D" w:rsidRDefault="005B331D" w:rsidP="00C86349">
      <w:pPr>
        <w:pStyle w:val="NormalWeb"/>
        <w:spacing w:line="360" w:lineRule="auto"/>
        <w:rPr>
          <w:rFonts w:ascii="Arial" w:eastAsiaTheme="majorEastAsia" w:hAnsi="Arial" w:cs="Arial"/>
          <w:b/>
          <w:bCs/>
          <w:sz w:val="22"/>
          <w:szCs w:val="22"/>
          <w:lang w:val="nl-NL"/>
        </w:rPr>
      </w:pPr>
      <w:r w:rsidRPr="005B331D">
        <w:rPr>
          <w:rFonts w:ascii="Arial" w:eastAsiaTheme="majorEastAsia" w:hAnsi="Arial" w:cs="Arial"/>
          <w:b/>
          <w:bCs/>
          <w:sz w:val="22"/>
          <w:szCs w:val="22"/>
          <w:lang w:val="nl-NL"/>
        </w:rPr>
        <w:t xml:space="preserve">Student </w:t>
      </w:r>
      <w:r>
        <w:rPr>
          <w:rFonts w:ascii="Arial" w:eastAsiaTheme="majorEastAsia" w:hAnsi="Arial" w:cs="Arial"/>
          <w:b/>
          <w:bCs/>
          <w:sz w:val="22"/>
          <w:szCs w:val="22"/>
          <w:lang w:val="nl-NL"/>
        </w:rPr>
        <w:t>N</w:t>
      </w:r>
      <w:r w:rsidRPr="005B331D">
        <w:rPr>
          <w:rFonts w:ascii="Arial" w:eastAsiaTheme="majorEastAsia" w:hAnsi="Arial" w:cs="Arial"/>
          <w:b/>
          <w:bCs/>
          <w:sz w:val="22"/>
          <w:szCs w:val="22"/>
          <w:lang w:val="nl-NL"/>
        </w:rPr>
        <w:t xml:space="preserve">umber: </w:t>
      </w:r>
      <w:r w:rsidR="00F9603F">
        <w:rPr>
          <w:rFonts w:ascii="Arial" w:eastAsiaTheme="majorEastAsia" w:hAnsi="Arial" w:cs="Arial"/>
          <w:b/>
          <w:bCs/>
          <w:sz w:val="22"/>
          <w:szCs w:val="22"/>
          <w:lang w:val="nl-NL"/>
        </w:rPr>
        <w:t>2242394</w:t>
      </w:r>
    </w:p>
    <w:p w14:paraId="6626E3E7" w14:textId="59DA14C2" w:rsidR="005B331D" w:rsidRPr="005B331D" w:rsidRDefault="005B331D" w:rsidP="00C86349">
      <w:pPr>
        <w:pStyle w:val="NormalWeb"/>
        <w:spacing w:line="360" w:lineRule="auto"/>
        <w:rPr>
          <w:rFonts w:ascii="Arial" w:eastAsiaTheme="majorEastAsia" w:hAnsi="Arial" w:cs="Arial"/>
          <w:b/>
          <w:bCs/>
          <w:sz w:val="22"/>
          <w:szCs w:val="22"/>
        </w:rPr>
      </w:pPr>
      <w:r w:rsidRPr="005B331D">
        <w:rPr>
          <w:rFonts w:ascii="Arial" w:eastAsiaTheme="majorEastAsia" w:hAnsi="Arial" w:cs="Arial"/>
          <w:b/>
          <w:bCs/>
          <w:sz w:val="22"/>
          <w:szCs w:val="22"/>
        </w:rPr>
        <w:t xml:space="preserve">Student name: Shereen </w:t>
      </w:r>
      <w:r>
        <w:rPr>
          <w:rFonts w:ascii="Arial" w:eastAsiaTheme="majorEastAsia" w:hAnsi="Arial" w:cs="Arial"/>
          <w:b/>
          <w:bCs/>
          <w:sz w:val="22"/>
          <w:szCs w:val="22"/>
        </w:rPr>
        <w:t>G</w:t>
      </w:r>
      <w:r w:rsidRPr="005B331D">
        <w:rPr>
          <w:rFonts w:ascii="Arial" w:eastAsiaTheme="majorEastAsia" w:hAnsi="Arial" w:cs="Arial"/>
          <w:b/>
          <w:bCs/>
          <w:sz w:val="22"/>
          <w:szCs w:val="22"/>
        </w:rPr>
        <w:t>arragh</w:t>
      </w:r>
      <w:r>
        <w:rPr>
          <w:rFonts w:ascii="Arial" w:eastAsiaTheme="majorEastAsia" w:hAnsi="Arial" w:cs="Arial"/>
          <w:b/>
          <w:bCs/>
          <w:sz w:val="22"/>
          <w:szCs w:val="22"/>
        </w:rPr>
        <w:t xml:space="preserve">an </w:t>
      </w:r>
    </w:p>
    <w:p w14:paraId="21B8E7BA" w14:textId="0E3BA198" w:rsidR="005B331D" w:rsidRDefault="005B331D" w:rsidP="00C86349">
      <w:pPr>
        <w:pStyle w:val="NormalWeb"/>
        <w:spacing w:line="360" w:lineRule="auto"/>
        <w:rPr>
          <w:rFonts w:ascii="Arial" w:eastAsiaTheme="majorEastAsia" w:hAnsi="Arial" w:cs="Arial"/>
          <w:b/>
          <w:bCs/>
          <w:sz w:val="22"/>
          <w:szCs w:val="22"/>
        </w:rPr>
      </w:pPr>
      <w:r>
        <w:rPr>
          <w:rFonts w:ascii="Arial" w:eastAsiaTheme="majorEastAsia" w:hAnsi="Arial" w:cs="Arial"/>
          <w:b/>
          <w:bCs/>
          <w:sz w:val="22"/>
          <w:szCs w:val="22"/>
        </w:rPr>
        <w:t>Lecturer:</w:t>
      </w:r>
      <w:r w:rsidR="00F9603F">
        <w:rPr>
          <w:rFonts w:ascii="Arial" w:eastAsiaTheme="majorEastAsia" w:hAnsi="Arial" w:cs="Arial"/>
          <w:b/>
          <w:bCs/>
          <w:sz w:val="22"/>
          <w:szCs w:val="22"/>
        </w:rPr>
        <w:t xml:space="preserve"> </w:t>
      </w:r>
      <w:r w:rsidR="00F9603F" w:rsidRPr="00F9603F">
        <w:rPr>
          <w:rFonts w:ascii="Arial" w:eastAsiaTheme="majorEastAsia" w:hAnsi="Arial" w:cs="Arial"/>
          <w:b/>
          <w:bCs/>
          <w:sz w:val="22"/>
          <w:szCs w:val="22"/>
        </w:rPr>
        <w:t>Natalie Brailsford - Daniel Payne </w:t>
      </w:r>
    </w:p>
    <w:p w14:paraId="23C765B6" w14:textId="35F91072" w:rsidR="00F9603F" w:rsidRDefault="00F9603F" w:rsidP="00C86349">
      <w:pPr>
        <w:pStyle w:val="NormalWeb"/>
        <w:spacing w:line="360" w:lineRule="auto"/>
        <w:rPr>
          <w:rFonts w:ascii="Arial" w:eastAsiaTheme="majorEastAsia" w:hAnsi="Arial" w:cs="Arial"/>
          <w:b/>
          <w:bCs/>
          <w:sz w:val="22"/>
          <w:szCs w:val="22"/>
        </w:rPr>
      </w:pPr>
      <w:r w:rsidRPr="00F9603F">
        <w:rPr>
          <w:rFonts w:ascii="Arial" w:eastAsiaTheme="majorEastAsia" w:hAnsi="Arial" w:cs="Arial"/>
          <w:b/>
          <w:bCs/>
          <w:sz w:val="22"/>
          <w:szCs w:val="22"/>
        </w:rPr>
        <w:t>Organisational Consultancy (BMIH6005)</w:t>
      </w:r>
    </w:p>
    <w:p w14:paraId="6E5BFC58" w14:textId="39132E5E" w:rsidR="005B331D" w:rsidRDefault="005B331D" w:rsidP="00C86349">
      <w:pPr>
        <w:pStyle w:val="NormalWeb"/>
        <w:spacing w:line="360" w:lineRule="auto"/>
        <w:rPr>
          <w:rFonts w:ascii="Arial" w:eastAsiaTheme="majorEastAsia" w:hAnsi="Arial" w:cs="Arial"/>
          <w:b/>
          <w:bCs/>
          <w:sz w:val="22"/>
          <w:szCs w:val="22"/>
        </w:rPr>
      </w:pPr>
      <w:r>
        <w:rPr>
          <w:rFonts w:ascii="Arial" w:eastAsiaTheme="majorEastAsia" w:hAnsi="Arial" w:cs="Arial"/>
          <w:b/>
          <w:bCs/>
          <w:sz w:val="22"/>
          <w:szCs w:val="22"/>
        </w:rPr>
        <w:t xml:space="preserve">                                                  </w:t>
      </w:r>
    </w:p>
    <w:p w14:paraId="1C57F317" w14:textId="77777777" w:rsidR="005B331D" w:rsidRDefault="005B331D" w:rsidP="00C86349">
      <w:pPr>
        <w:pStyle w:val="NormalWeb"/>
        <w:spacing w:line="360" w:lineRule="auto"/>
        <w:rPr>
          <w:rFonts w:ascii="Arial" w:eastAsiaTheme="majorEastAsia" w:hAnsi="Arial" w:cs="Arial"/>
          <w:b/>
          <w:bCs/>
          <w:sz w:val="22"/>
          <w:szCs w:val="22"/>
        </w:rPr>
      </w:pPr>
    </w:p>
    <w:p w14:paraId="5E161DBC" w14:textId="77777777" w:rsidR="005B331D" w:rsidRDefault="005B331D" w:rsidP="00C86349">
      <w:pPr>
        <w:pStyle w:val="NormalWeb"/>
        <w:spacing w:line="360" w:lineRule="auto"/>
        <w:rPr>
          <w:rFonts w:ascii="Arial" w:eastAsiaTheme="majorEastAsia" w:hAnsi="Arial" w:cs="Arial"/>
          <w:b/>
          <w:bCs/>
          <w:sz w:val="22"/>
          <w:szCs w:val="22"/>
        </w:rPr>
      </w:pPr>
    </w:p>
    <w:p w14:paraId="67357147" w14:textId="77777777" w:rsidR="005B331D" w:rsidRDefault="005B331D" w:rsidP="00C86349">
      <w:pPr>
        <w:pStyle w:val="NormalWeb"/>
        <w:spacing w:line="360" w:lineRule="auto"/>
        <w:rPr>
          <w:rFonts w:ascii="Arial" w:eastAsiaTheme="majorEastAsia" w:hAnsi="Arial" w:cs="Arial"/>
          <w:b/>
          <w:bCs/>
          <w:sz w:val="22"/>
          <w:szCs w:val="22"/>
        </w:rPr>
      </w:pPr>
    </w:p>
    <w:p w14:paraId="41133BAC" w14:textId="77777777" w:rsidR="005B331D" w:rsidRDefault="005B331D" w:rsidP="00C86349">
      <w:pPr>
        <w:pStyle w:val="NormalWeb"/>
        <w:spacing w:line="360" w:lineRule="auto"/>
        <w:rPr>
          <w:rFonts w:ascii="Arial" w:eastAsiaTheme="majorEastAsia" w:hAnsi="Arial" w:cs="Arial"/>
          <w:b/>
          <w:bCs/>
          <w:sz w:val="22"/>
          <w:szCs w:val="22"/>
        </w:rPr>
      </w:pPr>
    </w:p>
    <w:p w14:paraId="0247C350" w14:textId="77777777" w:rsidR="005B331D" w:rsidRDefault="005B331D" w:rsidP="00C86349">
      <w:pPr>
        <w:pStyle w:val="NormalWeb"/>
        <w:spacing w:line="360" w:lineRule="auto"/>
        <w:rPr>
          <w:rFonts w:ascii="Arial" w:eastAsiaTheme="majorEastAsia" w:hAnsi="Arial" w:cs="Arial"/>
          <w:b/>
          <w:bCs/>
          <w:sz w:val="22"/>
          <w:szCs w:val="22"/>
        </w:rPr>
      </w:pPr>
    </w:p>
    <w:p w14:paraId="5FA54983" w14:textId="77777777" w:rsidR="005B331D" w:rsidRDefault="005B331D" w:rsidP="00C86349">
      <w:pPr>
        <w:pStyle w:val="NormalWeb"/>
        <w:spacing w:line="360" w:lineRule="auto"/>
        <w:rPr>
          <w:rFonts w:ascii="Arial" w:eastAsiaTheme="majorEastAsia" w:hAnsi="Arial" w:cs="Arial"/>
          <w:b/>
          <w:bCs/>
          <w:sz w:val="22"/>
          <w:szCs w:val="22"/>
        </w:rPr>
      </w:pPr>
    </w:p>
    <w:p w14:paraId="61CB4B9E" w14:textId="77777777" w:rsidR="005B331D" w:rsidRDefault="005B331D" w:rsidP="00C86349">
      <w:pPr>
        <w:pStyle w:val="NormalWeb"/>
        <w:spacing w:line="360" w:lineRule="auto"/>
        <w:rPr>
          <w:rFonts w:ascii="Arial" w:eastAsiaTheme="majorEastAsia" w:hAnsi="Arial" w:cs="Arial"/>
          <w:b/>
          <w:bCs/>
          <w:sz w:val="22"/>
          <w:szCs w:val="22"/>
        </w:rPr>
      </w:pPr>
    </w:p>
    <w:p w14:paraId="3B9D9314" w14:textId="77777777" w:rsidR="005B331D" w:rsidRDefault="005B331D" w:rsidP="00C86349">
      <w:pPr>
        <w:pStyle w:val="NormalWeb"/>
        <w:spacing w:line="360" w:lineRule="auto"/>
        <w:rPr>
          <w:rFonts w:ascii="Arial" w:eastAsiaTheme="majorEastAsia" w:hAnsi="Arial" w:cs="Arial"/>
          <w:b/>
          <w:bCs/>
          <w:sz w:val="22"/>
          <w:szCs w:val="22"/>
        </w:rPr>
      </w:pPr>
    </w:p>
    <w:p w14:paraId="1859DF3D" w14:textId="77777777" w:rsidR="005B331D" w:rsidRDefault="005B331D" w:rsidP="00C86349">
      <w:pPr>
        <w:pStyle w:val="NormalWeb"/>
        <w:spacing w:line="360" w:lineRule="auto"/>
        <w:rPr>
          <w:rFonts w:ascii="Arial" w:eastAsiaTheme="majorEastAsia" w:hAnsi="Arial" w:cs="Arial"/>
          <w:b/>
          <w:bCs/>
          <w:sz w:val="22"/>
          <w:szCs w:val="22"/>
        </w:rPr>
      </w:pPr>
    </w:p>
    <w:p w14:paraId="0956CF36" w14:textId="77777777" w:rsidR="005B331D" w:rsidRDefault="005B331D" w:rsidP="00C86349">
      <w:pPr>
        <w:pStyle w:val="NormalWeb"/>
        <w:spacing w:line="360" w:lineRule="auto"/>
        <w:rPr>
          <w:rFonts w:ascii="Arial" w:eastAsiaTheme="majorEastAsia" w:hAnsi="Arial" w:cs="Arial"/>
          <w:b/>
          <w:bCs/>
          <w:sz w:val="22"/>
          <w:szCs w:val="22"/>
        </w:rPr>
      </w:pPr>
    </w:p>
    <w:p w14:paraId="6262EB6B" w14:textId="77777777" w:rsidR="005B331D" w:rsidRDefault="005B331D" w:rsidP="00C86349">
      <w:pPr>
        <w:pStyle w:val="NormalWeb"/>
        <w:spacing w:line="360" w:lineRule="auto"/>
        <w:rPr>
          <w:rFonts w:ascii="Arial" w:eastAsiaTheme="majorEastAsia" w:hAnsi="Arial" w:cs="Arial"/>
          <w:b/>
          <w:bCs/>
          <w:sz w:val="22"/>
          <w:szCs w:val="22"/>
        </w:rPr>
      </w:pPr>
    </w:p>
    <w:p w14:paraId="5CE277B0" w14:textId="77777777" w:rsidR="005B331D" w:rsidRDefault="005B331D" w:rsidP="00C86349">
      <w:pPr>
        <w:pStyle w:val="NormalWeb"/>
        <w:spacing w:line="360" w:lineRule="auto"/>
        <w:rPr>
          <w:rFonts w:ascii="Arial" w:eastAsiaTheme="majorEastAsia" w:hAnsi="Arial" w:cs="Arial"/>
          <w:b/>
          <w:bCs/>
          <w:sz w:val="22"/>
          <w:szCs w:val="22"/>
        </w:rPr>
      </w:pPr>
    </w:p>
    <w:p w14:paraId="383F31C7" w14:textId="77777777" w:rsidR="005B331D" w:rsidRDefault="005B331D" w:rsidP="00C86349">
      <w:pPr>
        <w:pStyle w:val="NormalWeb"/>
        <w:spacing w:line="360" w:lineRule="auto"/>
        <w:rPr>
          <w:rFonts w:ascii="Arial" w:eastAsiaTheme="majorEastAsia" w:hAnsi="Arial" w:cs="Arial"/>
          <w:b/>
          <w:bCs/>
          <w:sz w:val="22"/>
          <w:szCs w:val="22"/>
        </w:rPr>
      </w:pPr>
    </w:p>
    <w:p w14:paraId="2EC82051" w14:textId="77777777" w:rsidR="005B331D" w:rsidRDefault="005B331D" w:rsidP="00C86349">
      <w:pPr>
        <w:pStyle w:val="NormalWeb"/>
        <w:spacing w:line="360" w:lineRule="auto"/>
        <w:rPr>
          <w:rFonts w:ascii="Arial" w:eastAsiaTheme="majorEastAsia" w:hAnsi="Arial" w:cs="Arial"/>
          <w:b/>
          <w:bCs/>
          <w:sz w:val="22"/>
          <w:szCs w:val="22"/>
        </w:rPr>
      </w:pPr>
    </w:p>
    <w:p w14:paraId="03D6073E" w14:textId="77777777" w:rsidR="005B331D" w:rsidRDefault="005B331D" w:rsidP="00C86349">
      <w:pPr>
        <w:pStyle w:val="NormalWeb"/>
        <w:spacing w:line="360" w:lineRule="auto"/>
        <w:rPr>
          <w:rFonts w:ascii="Arial" w:eastAsiaTheme="majorEastAsia" w:hAnsi="Arial" w:cs="Arial"/>
          <w:b/>
          <w:bCs/>
          <w:sz w:val="22"/>
          <w:szCs w:val="22"/>
        </w:rPr>
      </w:pPr>
    </w:p>
    <w:p w14:paraId="07B7245C" w14:textId="77777777" w:rsidR="005B331D" w:rsidRDefault="005B331D" w:rsidP="00C86349">
      <w:pPr>
        <w:pStyle w:val="NormalWeb"/>
        <w:spacing w:line="360" w:lineRule="auto"/>
        <w:rPr>
          <w:rFonts w:ascii="Arial" w:eastAsiaTheme="majorEastAsia" w:hAnsi="Arial" w:cs="Arial"/>
          <w:b/>
          <w:bCs/>
          <w:sz w:val="22"/>
          <w:szCs w:val="22"/>
        </w:rPr>
      </w:pPr>
    </w:p>
    <w:p w14:paraId="3CB3F1FD" w14:textId="77777777" w:rsidR="007835A1" w:rsidRDefault="005B331D" w:rsidP="00C86349">
      <w:pPr>
        <w:pStyle w:val="NormalWeb"/>
        <w:spacing w:line="360" w:lineRule="auto"/>
        <w:rPr>
          <w:rFonts w:ascii="Arial" w:eastAsiaTheme="majorEastAsia" w:hAnsi="Arial" w:cs="Arial"/>
          <w:b/>
          <w:bCs/>
          <w:sz w:val="22"/>
          <w:szCs w:val="22"/>
        </w:rPr>
      </w:pPr>
      <w:r>
        <w:rPr>
          <w:rFonts w:ascii="Arial" w:eastAsiaTheme="majorEastAsia" w:hAnsi="Arial" w:cs="Arial"/>
          <w:b/>
          <w:bCs/>
          <w:sz w:val="22"/>
          <w:szCs w:val="22"/>
        </w:rPr>
        <w:lastRenderedPageBreak/>
        <w:t xml:space="preserve">                                                                                   </w:t>
      </w:r>
      <w:r w:rsidRPr="005B331D">
        <w:rPr>
          <w:rFonts w:ascii="Arial" w:eastAsiaTheme="majorEastAsia" w:hAnsi="Arial" w:cs="Arial"/>
          <w:b/>
          <w:bCs/>
          <w:noProof/>
          <w:sz w:val="22"/>
          <w:szCs w:val="22"/>
        </w:rPr>
        <w:drawing>
          <wp:inline distT="0" distB="0" distL="0" distR="0" wp14:anchorId="71116067" wp14:editId="5D0D961A">
            <wp:extent cx="2494280" cy="1699260"/>
            <wp:effectExtent l="0" t="0" r="1270" b="0"/>
            <wp:docPr id="440904220" name="Picture 1" descr="A logo with a lighthouse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904220" name="Picture 1" descr="A logo with a lighthouse on it&#10;&#10;AI-generated content may be incorrect."/>
                    <pic:cNvPicPr/>
                  </pic:nvPicPr>
                  <pic:blipFill>
                    <a:blip r:embed="rId5"/>
                    <a:stretch>
                      <a:fillRect/>
                    </a:stretch>
                  </pic:blipFill>
                  <pic:spPr>
                    <a:xfrm>
                      <a:off x="0" y="0"/>
                      <a:ext cx="2494380" cy="1699328"/>
                    </a:xfrm>
                    <a:prstGeom prst="rect">
                      <a:avLst/>
                    </a:prstGeom>
                  </pic:spPr>
                </pic:pic>
              </a:graphicData>
            </a:graphic>
          </wp:inline>
        </w:drawing>
      </w:r>
      <w:r>
        <w:rPr>
          <w:rFonts w:ascii="Arial" w:eastAsiaTheme="majorEastAsia" w:hAnsi="Arial" w:cs="Arial"/>
          <w:b/>
          <w:bCs/>
          <w:sz w:val="22"/>
          <w:szCs w:val="22"/>
        </w:rPr>
        <w:t xml:space="preserve">           </w:t>
      </w:r>
      <w:bookmarkStart w:id="0" w:name="_Hlk200718682"/>
    </w:p>
    <w:p w14:paraId="58B2F10C" w14:textId="77777777" w:rsidR="007835A1" w:rsidRDefault="007835A1" w:rsidP="00C86349">
      <w:pPr>
        <w:pStyle w:val="NormalWeb"/>
        <w:spacing w:line="360" w:lineRule="auto"/>
        <w:rPr>
          <w:rFonts w:ascii="Arial" w:eastAsiaTheme="majorEastAsia" w:hAnsi="Arial" w:cs="Arial"/>
          <w:b/>
          <w:bCs/>
          <w:sz w:val="22"/>
          <w:szCs w:val="22"/>
        </w:rPr>
      </w:pPr>
    </w:p>
    <w:p w14:paraId="1EC664E1" w14:textId="629CE8DA" w:rsidR="00C86349" w:rsidRDefault="005B331D" w:rsidP="00C86349">
      <w:pPr>
        <w:pStyle w:val="NormalWeb"/>
        <w:spacing w:line="360" w:lineRule="auto"/>
        <w:rPr>
          <w:rStyle w:val="Strong"/>
          <w:rFonts w:ascii="Arial" w:eastAsiaTheme="majorEastAsia" w:hAnsi="Arial" w:cs="Arial"/>
          <w:sz w:val="22"/>
          <w:szCs w:val="22"/>
        </w:rPr>
      </w:pPr>
      <w:r w:rsidRPr="005B331D">
        <w:rPr>
          <w:rFonts w:ascii="Arial" w:eastAsiaTheme="majorEastAsia" w:hAnsi="Arial" w:cs="Arial"/>
          <w:b/>
          <w:bCs/>
          <w:sz w:val="22"/>
          <w:szCs w:val="22"/>
        </w:rPr>
        <w:t xml:space="preserve">Lumina Hospitality Solutions  </w:t>
      </w:r>
      <w:bookmarkEnd w:id="0"/>
      <w:r w:rsidR="007835A1">
        <w:rPr>
          <w:rFonts w:ascii="Arial" w:eastAsiaTheme="majorEastAsia" w:hAnsi="Arial" w:cs="Arial"/>
          <w:b/>
          <w:bCs/>
          <w:sz w:val="22"/>
          <w:szCs w:val="22"/>
        </w:rPr>
        <w:t>consultancy agency</w:t>
      </w:r>
      <w:r w:rsidRPr="005B331D">
        <w:rPr>
          <w:rFonts w:ascii="Arial" w:eastAsiaTheme="majorEastAsia" w:hAnsi="Arial" w:cs="Arial"/>
          <w:b/>
          <w:bCs/>
          <w:sz w:val="22"/>
          <w:szCs w:val="22"/>
        </w:rPr>
        <w:t xml:space="preserve">                                                    </w:t>
      </w:r>
    </w:p>
    <w:p w14:paraId="7A684C90" w14:textId="74BA0107" w:rsidR="005532B2" w:rsidRPr="00C86349" w:rsidRDefault="005532B2" w:rsidP="00C86349">
      <w:pPr>
        <w:pStyle w:val="NormalWeb"/>
        <w:spacing w:line="360" w:lineRule="auto"/>
        <w:rPr>
          <w:rFonts w:ascii="Arial" w:hAnsi="Arial" w:cs="Arial"/>
          <w:sz w:val="22"/>
          <w:szCs w:val="22"/>
        </w:rPr>
      </w:pPr>
      <w:r w:rsidRPr="00C86349">
        <w:rPr>
          <w:rStyle w:val="Strong"/>
          <w:rFonts w:ascii="Arial" w:eastAsiaTheme="majorEastAsia" w:hAnsi="Arial" w:cs="Arial"/>
          <w:sz w:val="22"/>
          <w:szCs w:val="22"/>
        </w:rPr>
        <w:t>Executive Summary</w:t>
      </w:r>
    </w:p>
    <w:p w14:paraId="0E4E3D08" w14:textId="77777777" w:rsidR="005532B2" w:rsidRPr="00C86349" w:rsidRDefault="005532B2" w:rsidP="00C86349">
      <w:pPr>
        <w:pStyle w:val="NormalWeb"/>
        <w:spacing w:line="360" w:lineRule="auto"/>
        <w:rPr>
          <w:rFonts w:ascii="Arial" w:hAnsi="Arial" w:cs="Arial"/>
          <w:sz w:val="22"/>
          <w:szCs w:val="22"/>
        </w:rPr>
      </w:pPr>
      <w:r w:rsidRPr="00C86349">
        <w:rPr>
          <w:rFonts w:ascii="Arial" w:hAnsi="Arial" w:cs="Arial"/>
          <w:sz w:val="22"/>
          <w:szCs w:val="22"/>
        </w:rPr>
        <w:t>This consultancy report, prepared by Lumina Hospitality Solutions, addresses critical operational and strategic challenges faced by the Hilton London Paddington. As a landmark hotel with a rich heritage and prime location, the property is under increasing pressure to modernise its facilities, enhance guest satisfaction, improve energy efficiency, and respond to evolving consumer expectations in a competitive London hospitality market. The report identifies key issues impacting performance and outlines a phased, evidence-based plan to restore the hotel’s market competitiveness.</w:t>
      </w:r>
    </w:p>
    <w:p w14:paraId="6A88142D" w14:textId="77777777" w:rsidR="005532B2" w:rsidRPr="00C86349" w:rsidRDefault="005532B2" w:rsidP="00C86349">
      <w:pPr>
        <w:pStyle w:val="NormalWeb"/>
        <w:spacing w:line="360" w:lineRule="auto"/>
        <w:rPr>
          <w:rFonts w:ascii="Arial" w:hAnsi="Arial" w:cs="Arial"/>
          <w:sz w:val="22"/>
          <w:szCs w:val="22"/>
        </w:rPr>
      </w:pPr>
      <w:r w:rsidRPr="00C86349">
        <w:rPr>
          <w:rFonts w:ascii="Arial" w:hAnsi="Arial" w:cs="Arial"/>
          <w:sz w:val="22"/>
          <w:szCs w:val="22"/>
        </w:rPr>
        <w:t>A detailed analysis reveals that outdated room interiors, ageing mechanical infrastructure, and inconsistent digital guest services are contributing to reduced guest satisfaction and rising maintenance costs. A STEEPLED analysis highlights external pressures such as post-COVID operational shifts, government sustainability regulations, and increased competition from newer hotels with more modern amenities. SWOT and TOWS frameworks were used to map Hilton Paddington’s strengths and weaknesses, highlighting opportunities to innovate while maintaining brand heritage.</w:t>
      </w:r>
    </w:p>
    <w:p w14:paraId="017AEC00" w14:textId="77777777" w:rsidR="005532B2" w:rsidRPr="00C86349" w:rsidRDefault="005532B2" w:rsidP="00C86349">
      <w:pPr>
        <w:pStyle w:val="NormalWeb"/>
        <w:spacing w:line="360" w:lineRule="auto"/>
        <w:rPr>
          <w:rFonts w:ascii="Arial" w:hAnsi="Arial" w:cs="Arial"/>
          <w:sz w:val="22"/>
          <w:szCs w:val="22"/>
        </w:rPr>
      </w:pPr>
      <w:r w:rsidRPr="00C86349">
        <w:rPr>
          <w:rFonts w:ascii="Arial" w:hAnsi="Arial" w:cs="Arial"/>
          <w:sz w:val="22"/>
          <w:szCs w:val="22"/>
        </w:rPr>
        <w:t>The report recommends a phased refurbishment plan focusing initially on public areas and premium suites, followed by a gradual renovation of standard rooms. Sustainability upgrades including LED lighting, water-saving devices, and HVAC improvements are proposed, alongside adoption of digital guest tools such as mobile check-in and room control systems. These measures are supported by robust change management strategies based on Kotter’s Eight Steps and the ADKAR model, ensuring smooth staff transition and stakeholder buy-in.</w:t>
      </w:r>
    </w:p>
    <w:p w14:paraId="63BC73D2" w14:textId="77777777" w:rsidR="005532B2" w:rsidRPr="00C86349" w:rsidRDefault="005532B2" w:rsidP="00C86349">
      <w:pPr>
        <w:pStyle w:val="NormalWeb"/>
        <w:spacing w:line="360" w:lineRule="auto"/>
        <w:rPr>
          <w:rFonts w:ascii="Arial" w:hAnsi="Arial" w:cs="Arial"/>
          <w:sz w:val="22"/>
          <w:szCs w:val="22"/>
        </w:rPr>
      </w:pPr>
      <w:r w:rsidRPr="00C86349">
        <w:rPr>
          <w:rFonts w:ascii="Arial" w:hAnsi="Arial" w:cs="Arial"/>
          <w:sz w:val="22"/>
          <w:szCs w:val="22"/>
        </w:rPr>
        <w:lastRenderedPageBreak/>
        <w:t>A clear action plan provides the hotel with a practical roadmap, including costs, timelines, and monitoring KPIs. Initial capital investment is estimated at £8–10 million over a six-year period, supported by energy savings, grant access, and increased guest revenue. Operational adjustments and training programmes are also suggested to drive cost efficiency and service consistency.</w:t>
      </w:r>
    </w:p>
    <w:p w14:paraId="55371024" w14:textId="3A01654A" w:rsidR="005532B2" w:rsidRPr="00E26FD7" w:rsidRDefault="005532B2" w:rsidP="00E26FD7">
      <w:pPr>
        <w:pStyle w:val="NormalWeb"/>
        <w:spacing w:line="360" w:lineRule="auto"/>
        <w:rPr>
          <w:rFonts w:ascii="Arial" w:hAnsi="Arial" w:cs="Arial"/>
          <w:sz w:val="22"/>
          <w:szCs w:val="22"/>
        </w:rPr>
      </w:pPr>
      <w:r w:rsidRPr="00C86349">
        <w:rPr>
          <w:rFonts w:ascii="Arial" w:hAnsi="Arial" w:cs="Arial"/>
          <w:sz w:val="22"/>
          <w:szCs w:val="22"/>
        </w:rPr>
        <w:t>Overall, the report concludes that while Hilton London Paddington faces substantial operational challenges, it also possesses unique opportunities due to its location, brand strength, and heritage status. If implemented effectively, the proposed strategy will elevate guest experience, increase operational resilience, and position the hotel as a leading example of adaptive, sustainable hospitality in London</w:t>
      </w:r>
      <w:r w:rsidR="00E26FD7">
        <w:rPr>
          <w:rFonts w:ascii="Arial" w:hAnsi="Arial" w:cs="Arial"/>
          <w:sz w:val="22"/>
          <w:szCs w:val="22"/>
        </w:rPr>
        <w:t>.</w:t>
      </w:r>
    </w:p>
    <w:p w14:paraId="2546BC96" w14:textId="77777777" w:rsidR="005532B2" w:rsidRPr="00C86349" w:rsidRDefault="005532B2" w:rsidP="00C86349">
      <w:pPr>
        <w:spacing w:line="360" w:lineRule="auto"/>
        <w:rPr>
          <w:rFonts w:cs="Arial"/>
          <w:b/>
          <w:bCs/>
          <w:szCs w:val="22"/>
        </w:rPr>
      </w:pPr>
    </w:p>
    <w:p w14:paraId="336DD098" w14:textId="48A9A51C" w:rsidR="00F36328" w:rsidRPr="00F36328" w:rsidRDefault="00F36328" w:rsidP="00C86349">
      <w:pPr>
        <w:spacing w:line="360" w:lineRule="auto"/>
        <w:rPr>
          <w:rFonts w:cs="Arial"/>
          <w:b/>
          <w:bCs/>
          <w:szCs w:val="22"/>
        </w:rPr>
      </w:pPr>
      <w:r w:rsidRPr="00F36328">
        <w:rPr>
          <w:rFonts w:cs="Arial"/>
          <w:b/>
          <w:bCs/>
          <w:szCs w:val="22"/>
        </w:rPr>
        <w:t>Introduction</w:t>
      </w:r>
      <w:r w:rsidR="00E26FD7">
        <w:rPr>
          <w:rFonts w:cs="Arial"/>
          <w:szCs w:val="22"/>
        </w:rPr>
        <w:t xml:space="preserve"> </w:t>
      </w:r>
      <w:r w:rsidRPr="00F36328">
        <w:rPr>
          <w:rFonts w:cs="Arial"/>
          <w:b/>
          <w:bCs/>
          <w:szCs w:val="22"/>
        </w:rPr>
        <w:t>Background of the Hotel</w:t>
      </w:r>
      <w:r w:rsidRPr="00F36328">
        <w:rPr>
          <w:rFonts w:cs="Arial"/>
          <w:szCs w:val="22"/>
        </w:rPr>
        <w:br/>
        <w:t>Hilton London Paddington, formerly the Great Western Royal Hotel, is a single-site property of the Hilton chain, directly connected to Paddington Station in London (Hilton, 2024). The original hotel opened in 1854 as part of Isambard Kingdom Brunel’s vision for a station hotel, designed by Philip Charles Hardwick (Brindle, 2004). The building’s Victorian architecture confers heritage appeal but also entails higher refurbishment complexity (Brindle, 2004). After privatisation of British Rail’s assets, the building underwent extensive refurbishment and reopened under Hilton branding in 2001 (Brindle, 2004; Hilton, 2024). The hotel offers around 422 rooms and suites, five dining outlets, a fitness centre and multiple meeting rooms, serving both leisure and corporate guests (Hilton, 2024). Its location adjacent to Paddington Station affords direct Heathrow Express links (c. 15 minutes to Heathrow Airport) and access to five Underground lines, as well as proximity to Hyde Park and central London shopping districts (Hilton, 2024).</w:t>
      </w:r>
    </w:p>
    <w:p w14:paraId="16E82752" w14:textId="77777777" w:rsidR="00F36328" w:rsidRPr="00F36328" w:rsidRDefault="00F36328" w:rsidP="00C86349">
      <w:pPr>
        <w:spacing w:line="360" w:lineRule="auto"/>
        <w:rPr>
          <w:rFonts w:cs="Arial"/>
          <w:szCs w:val="22"/>
        </w:rPr>
      </w:pPr>
      <w:r w:rsidRPr="00F36328">
        <w:rPr>
          <w:rFonts w:cs="Arial"/>
          <w:b/>
          <w:bCs/>
          <w:szCs w:val="22"/>
        </w:rPr>
        <w:t>Identified Issue and Its Significance</w:t>
      </w:r>
      <w:r w:rsidRPr="00F36328">
        <w:rPr>
          <w:rFonts w:cs="Arial"/>
          <w:szCs w:val="22"/>
        </w:rPr>
        <w:br/>
        <w:t xml:space="preserve">Recent guest feedback indicates declining satisfaction related to ageing guestroom décor, intermittent air-conditioning performance during seasonal peaks and occasional elevator delays (TripAdvisor, 2024). Such operational shortcomings risk harming the hotel’s reputation in a competitive London market, where guests often select properties based on online ratings (TripAdvisor, 2024). At the same time, rising operational costs—driven by increases in labour costs, utilities, and business rates—are exerting pressure on profit margins (PwC, 2024). London’s hotel market saw occupancy surpass 2019 levels in 2024 but faces record high supply growth and cost inflation, compressing average daily rates (ADR) and revenue per available room (RevPAR) growth (CBRE, 2024; Savills, 2025). </w:t>
      </w:r>
      <w:r w:rsidRPr="00F36328">
        <w:rPr>
          <w:rFonts w:cs="Arial"/>
          <w:szCs w:val="22"/>
        </w:rPr>
        <w:lastRenderedPageBreak/>
        <w:t>Failure to address infrastructure ageing and operational inefficiencies could lead to erosion of market positioning and financial performance, prompting the executive team to seek expert consultancy intervention.</w:t>
      </w:r>
    </w:p>
    <w:p w14:paraId="63392EEE" w14:textId="77777777" w:rsidR="00F36328" w:rsidRPr="00F36328" w:rsidRDefault="00F36328" w:rsidP="00C86349">
      <w:pPr>
        <w:spacing w:line="360" w:lineRule="auto"/>
        <w:rPr>
          <w:rFonts w:cs="Arial"/>
          <w:szCs w:val="22"/>
        </w:rPr>
      </w:pPr>
      <w:r w:rsidRPr="00F36328">
        <w:rPr>
          <w:rFonts w:cs="Arial"/>
          <w:b/>
          <w:bCs/>
          <w:szCs w:val="22"/>
        </w:rPr>
        <w:t>Hotel Profile</w:t>
      </w:r>
    </w:p>
    <w:p w14:paraId="23CA5EDE" w14:textId="77777777" w:rsidR="00F36328" w:rsidRPr="00F36328" w:rsidRDefault="00F36328" w:rsidP="00C86349">
      <w:pPr>
        <w:numPr>
          <w:ilvl w:val="0"/>
          <w:numId w:val="40"/>
        </w:numPr>
        <w:spacing w:line="360" w:lineRule="auto"/>
        <w:rPr>
          <w:rFonts w:cs="Arial"/>
          <w:szCs w:val="22"/>
        </w:rPr>
      </w:pPr>
      <w:r w:rsidRPr="00F36328">
        <w:rPr>
          <w:rFonts w:cs="Arial"/>
          <w:b/>
          <w:bCs/>
          <w:szCs w:val="22"/>
        </w:rPr>
        <w:t>Location and Scale</w:t>
      </w:r>
      <w:r w:rsidRPr="00F36328">
        <w:rPr>
          <w:rFonts w:cs="Arial"/>
          <w:szCs w:val="22"/>
        </w:rPr>
        <w:t>: A standalone site within the international Hilton brand, situated on Praed Street, London, with c. 422 rooms, multiple F&amp;B outlets, fitness and meeting facilities (Hilton, 2024).</w:t>
      </w:r>
    </w:p>
    <w:p w14:paraId="25A62E89" w14:textId="77777777" w:rsidR="00F36328" w:rsidRPr="00F36328" w:rsidRDefault="00F36328" w:rsidP="00C86349">
      <w:pPr>
        <w:numPr>
          <w:ilvl w:val="0"/>
          <w:numId w:val="40"/>
        </w:numPr>
        <w:spacing w:line="360" w:lineRule="auto"/>
        <w:rPr>
          <w:rFonts w:cs="Arial"/>
          <w:szCs w:val="22"/>
        </w:rPr>
      </w:pPr>
      <w:r w:rsidRPr="00F36328">
        <w:rPr>
          <w:rFonts w:cs="Arial"/>
          <w:b/>
          <w:bCs/>
          <w:szCs w:val="22"/>
        </w:rPr>
        <w:t>Market Position</w:t>
      </w:r>
      <w:r w:rsidRPr="00F36328">
        <w:rPr>
          <w:rFonts w:cs="Arial"/>
          <w:szCs w:val="22"/>
        </w:rPr>
        <w:t>: Upper-upscale segment in central London; competing against both established heritage properties and newer luxury openings, amid robust inbound tourism but heightened cost pressures (CBRE, 2024; PwC, 2024).</w:t>
      </w:r>
    </w:p>
    <w:p w14:paraId="735406F9" w14:textId="77777777" w:rsidR="00F36328" w:rsidRPr="00F36328" w:rsidRDefault="00F36328" w:rsidP="00C86349">
      <w:pPr>
        <w:numPr>
          <w:ilvl w:val="0"/>
          <w:numId w:val="40"/>
        </w:numPr>
        <w:spacing w:line="360" w:lineRule="auto"/>
        <w:rPr>
          <w:rFonts w:cs="Arial"/>
          <w:szCs w:val="22"/>
        </w:rPr>
      </w:pPr>
      <w:r w:rsidRPr="00F36328">
        <w:rPr>
          <w:rFonts w:cs="Arial"/>
          <w:b/>
          <w:bCs/>
          <w:szCs w:val="22"/>
        </w:rPr>
        <w:t>Heritage Considerations</w:t>
      </w:r>
      <w:r w:rsidRPr="00F36328">
        <w:rPr>
          <w:rFonts w:cs="Arial"/>
          <w:szCs w:val="22"/>
        </w:rPr>
        <w:t>: Victorian-era structure grants distinct brand differentiation but requires careful planning for modernisation to preserve historical fabric (Brindle, 2004).</w:t>
      </w:r>
    </w:p>
    <w:p w14:paraId="799C6A0D" w14:textId="31FC0335" w:rsidR="00F36328" w:rsidRPr="00F36328" w:rsidRDefault="00F36328" w:rsidP="00C86349">
      <w:pPr>
        <w:spacing w:line="360" w:lineRule="auto"/>
        <w:rPr>
          <w:rFonts w:cs="Arial"/>
          <w:szCs w:val="22"/>
        </w:rPr>
      </w:pPr>
      <w:r w:rsidRPr="00F36328">
        <w:rPr>
          <w:rFonts w:cs="Arial"/>
          <w:b/>
          <w:bCs/>
          <w:szCs w:val="22"/>
        </w:rPr>
        <w:t>Consultancy Firm Profile</w:t>
      </w:r>
      <w:r w:rsidRPr="00F36328">
        <w:rPr>
          <w:rFonts w:cs="Arial"/>
          <w:szCs w:val="22"/>
        </w:rPr>
        <w:br/>
      </w:r>
      <w:r w:rsidR="00E26FD7" w:rsidRPr="00E26FD7">
        <w:rPr>
          <w:rFonts w:cs="Arial"/>
          <w:szCs w:val="22"/>
        </w:rPr>
        <w:t>Lumina Hospitality Solutions  is</w:t>
      </w:r>
      <w:r w:rsidR="00E26FD7">
        <w:rPr>
          <w:rFonts w:cs="Arial"/>
          <w:b/>
          <w:bCs/>
          <w:szCs w:val="22"/>
        </w:rPr>
        <w:t xml:space="preserve"> </w:t>
      </w:r>
      <w:r w:rsidRPr="00F36328">
        <w:rPr>
          <w:rFonts w:cs="Arial"/>
          <w:szCs w:val="22"/>
        </w:rPr>
        <w:t>a UK-based management consultancy specialising in hospitality-sector transformation. Our multidisciplinary team brings expertise in strategic analysis, operational efficiency, organisational change and sustainability. We apply rigorous, evidence-based methods grounded in academic theory and industry best practice to deliver client-specific solutions (Johnson, Scholes &amp; Whittington, 2008; Saunders, Lewis &amp; Thornhill, 2009).</w:t>
      </w:r>
    </w:p>
    <w:p w14:paraId="009D6EA3" w14:textId="77777777" w:rsidR="00F36328" w:rsidRPr="00F36328" w:rsidRDefault="00F36328" w:rsidP="00C86349">
      <w:pPr>
        <w:spacing w:line="360" w:lineRule="auto"/>
        <w:rPr>
          <w:rFonts w:cs="Arial"/>
          <w:szCs w:val="22"/>
        </w:rPr>
      </w:pPr>
      <w:r w:rsidRPr="00F36328">
        <w:rPr>
          <w:rFonts w:cs="Arial"/>
          <w:b/>
          <w:bCs/>
          <w:szCs w:val="22"/>
        </w:rPr>
        <w:t>Theoretical Frameworks and Analytical Approach</w:t>
      </w:r>
      <w:r w:rsidRPr="00F36328">
        <w:rPr>
          <w:rFonts w:cs="Arial"/>
          <w:szCs w:val="22"/>
        </w:rPr>
        <w:br/>
        <w:t>To diagnose and address Hilton London Paddington’s challenges, we will use:</w:t>
      </w:r>
    </w:p>
    <w:p w14:paraId="32AA04B5" w14:textId="77777777" w:rsidR="00F36328" w:rsidRPr="00F36328" w:rsidRDefault="00F36328" w:rsidP="00C86349">
      <w:pPr>
        <w:numPr>
          <w:ilvl w:val="0"/>
          <w:numId w:val="41"/>
        </w:numPr>
        <w:spacing w:line="360" w:lineRule="auto"/>
        <w:rPr>
          <w:rFonts w:cs="Arial"/>
          <w:szCs w:val="22"/>
        </w:rPr>
      </w:pPr>
      <w:r w:rsidRPr="00F36328">
        <w:rPr>
          <w:rFonts w:cs="Arial"/>
          <w:b/>
          <w:bCs/>
          <w:szCs w:val="22"/>
        </w:rPr>
        <w:t>STEEPLED Analysis</w:t>
      </w:r>
      <w:r w:rsidRPr="00F36328">
        <w:rPr>
          <w:rFonts w:cs="Arial"/>
          <w:szCs w:val="22"/>
        </w:rPr>
        <w:t xml:space="preserve"> to evaluate external Social, Technological, Economic, Environmental, Political, Legal, Ethical and Demographic factors affecting hotel performance—e.g. changing guest expectations for digital services, regulatory energy-efficiency requirements, exchange-rate impacts on inbound travel (Johnson, Scholes &amp; Whittington, 2008; PwC, 2024).</w:t>
      </w:r>
    </w:p>
    <w:p w14:paraId="3F837503" w14:textId="77777777" w:rsidR="00F36328" w:rsidRPr="00F36328" w:rsidRDefault="00F36328" w:rsidP="00C86349">
      <w:pPr>
        <w:numPr>
          <w:ilvl w:val="0"/>
          <w:numId w:val="41"/>
        </w:numPr>
        <w:spacing w:line="360" w:lineRule="auto"/>
        <w:rPr>
          <w:rFonts w:cs="Arial"/>
          <w:szCs w:val="22"/>
        </w:rPr>
      </w:pPr>
      <w:r w:rsidRPr="00F36328">
        <w:rPr>
          <w:rFonts w:cs="Arial"/>
          <w:b/>
          <w:bCs/>
          <w:szCs w:val="22"/>
        </w:rPr>
        <w:t>SWOT Analysis</w:t>
      </w:r>
      <w:r w:rsidRPr="00F36328">
        <w:rPr>
          <w:rFonts w:cs="Arial"/>
          <w:szCs w:val="22"/>
        </w:rPr>
        <w:t xml:space="preserve"> to identify internal strengths (e.g. heritage appeal, strong location) and weaknesses (e.g. ageing infrastructure), plus external opportunities (e.g. sustainability-led differentiation) and threats (e.g. increased supply, cost inflation) (Kotler, Bowen &amp; Makens, 2017).</w:t>
      </w:r>
    </w:p>
    <w:p w14:paraId="312CD097" w14:textId="77777777" w:rsidR="00F36328" w:rsidRPr="00F36328" w:rsidRDefault="00F36328" w:rsidP="00C86349">
      <w:pPr>
        <w:numPr>
          <w:ilvl w:val="0"/>
          <w:numId w:val="41"/>
        </w:numPr>
        <w:spacing w:line="360" w:lineRule="auto"/>
        <w:rPr>
          <w:rFonts w:cs="Arial"/>
          <w:szCs w:val="22"/>
        </w:rPr>
      </w:pPr>
      <w:r w:rsidRPr="00F36328">
        <w:rPr>
          <w:rFonts w:cs="Arial"/>
          <w:b/>
          <w:bCs/>
          <w:szCs w:val="22"/>
        </w:rPr>
        <w:lastRenderedPageBreak/>
        <w:t>TOWS Matrix</w:t>
      </w:r>
      <w:r w:rsidRPr="00F36328">
        <w:rPr>
          <w:rFonts w:cs="Arial"/>
          <w:szCs w:val="22"/>
        </w:rPr>
        <w:t xml:space="preserve"> to derive strategic options that leverage strengths to capitalise on opportunities, as well as strategies to mitigate weaknesses and threats (Weihrich, 1982).</w:t>
      </w:r>
    </w:p>
    <w:p w14:paraId="1F4B0095" w14:textId="77777777" w:rsidR="00F36328" w:rsidRPr="00F36328" w:rsidRDefault="00F36328" w:rsidP="00C86349">
      <w:pPr>
        <w:spacing w:line="360" w:lineRule="auto"/>
        <w:rPr>
          <w:rFonts w:cs="Arial"/>
          <w:szCs w:val="22"/>
        </w:rPr>
      </w:pPr>
      <w:r w:rsidRPr="00F36328">
        <w:rPr>
          <w:rFonts w:cs="Arial"/>
          <w:szCs w:val="22"/>
        </w:rPr>
        <w:t>These frameworks will be underpinned by mixed-method research: secondary data from industry reports (e.g. PwC, CBRE, Savills), guest-review analytics (TripAdvisor), and academic literature. Where feasible, primary qualitative insights (e.g. stakeholder interviews, staff surveys) will be recommended to corroborate findings (Saunders, Lewis &amp; Thornhill, 2009). Reliance on multiple sources reduces bias inherent in single-source information such as hotel marketing materials.</w:t>
      </w:r>
    </w:p>
    <w:p w14:paraId="1B6211CC" w14:textId="77777777" w:rsidR="00F36328" w:rsidRPr="00F36328" w:rsidRDefault="00F36328" w:rsidP="00C86349">
      <w:pPr>
        <w:spacing w:line="360" w:lineRule="auto"/>
        <w:rPr>
          <w:rFonts w:cs="Arial"/>
          <w:szCs w:val="22"/>
        </w:rPr>
      </w:pPr>
      <w:r w:rsidRPr="00F36328">
        <w:rPr>
          <w:rFonts w:cs="Arial"/>
          <w:b/>
          <w:bCs/>
          <w:szCs w:val="22"/>
        </w:rPr>
        <w:t>Purpose and Structure of the Report</w:t>
      </w:r>
      <w:r w:rsidRPr="00F36328">
        <w:rPr>
          <w:rFonts w:cs="Arial"/>
          <w:szCs w:val="22"/>
        </w:rPr>
        <w:br/>
        <w:t>This consultancy report aims to: (1) diagnose the root causes and impacts of operational and infrastructure issues at Hilton London Paddington; (2) assess the broader external environment; and (3) propose evidence-based recommendations to enhance guest satisfaction, operational efficiency and financial resilience. The report is structured as follows:</w:t>
      </w:r>
    </w:p>
    <w:p w14:paraId="1C518565" w14:textId="64FC6AED" w:rsidR="00F36328" w:rsidRPr="00F36328" w:rsidRDefault="00F36328" w:rsidP="00C86349">
      <w:pPr>
        <w:numPr>
          <w:ilvl w:val="0"/>
          <w:numId w:val="42"/>
        </w:numPr>
        <w:spacing w:line="360" w:lineRule="auto"/>
        <w:rPr>
          <w:rFonts w:cs="Arial"/>
          <w:szCs w:val="22"/>
        </w:rPr>
      </w:pPr>
      <w:r w:rsidRPr="00F36328">
        <w:rPr>
          <w:rFonts w:cs="Arial"/>
          <w:b/>
          <w:bCs/>
          <w:szCs w:val="22"/>
        </w:rPr>
        <w:t>Executive Summary</w:t>
      </w:r>
      <w:r w:rsidRPr="00F36328">
        <w:rPr>
          <w:rFonts w:cs="Arial"/>
          <w:szCs w:val="22"/>
        </w:rPr>
        <w:t xml:space="preserve"> : Overview of key findings and recommendations.</w:t>
      </w:r>
    </w:p>
    <w:p w14:paraId="7E7735B3" w14:textId="655280C1" w:rsidR="00F36328" w:rsidRPr="00F36328" w:rsidRDefault="00F36328" w:rsidP="00C86349">
      <w:pPr>
        <w:numPr>
          <w:ilvl w:val="0"/>
          <w:numId w:val="42"/>
        </w:numPr>
        <w:spacing w:line="360" w:lineRule="auto"/>
        <w:rPr>
          <w:rFonts w:cs="Arial"/>
          <w:szCs w:val="22"/>
        </w:rPr>
      </w:pPr>
      <w:r w:rsidRPr="00F36328">
        <w:rPr>
          <w:rFonts w:cs="Arial"/>
          <w:b/>
          <w:bCs/>
          <w:szCs w:val="22"/>
        </w:rPr>
        <w:t>Introduction</w:t>
      </w:r>
      <w:r w:rsidRPr="00F36328">
        <w:rPr>
          <w:rFonts w:cs="Arial"/>
          <w:szCs w:val="22"/>
        </w:rPr>
        <w:t xml:space="preserve"> : Contextualisation of the hotel, the consultancy firm and methodological approach (this section).</w:t>
      </w:r>
    </w:p>
    <w:p w14:paraId="3E541534" w14:textId="7D0D48DE" w:rsidR="00F36328" w:rsidRPr="00F36328" w:rsidRDefault="00F36328" w:rsidP="00C86349">
      <w:pPr>
        <w:numPr>
          <w:ilvl w:val="0"/>
          <w:numId w:val="42"/>
        </w:numPr>
        <w:spacing w:line="360" w:lineRule="auto"/>
        <w:rPr>
          <w:rFonts w:cs="Arial"/>
          <w:szCs w:val="22"/>
        </w:rPr>
      </w:pPr>
      <w:r w:rsidRPr="00F36328">
        <w:rPr>
          <w:rFonts w:cs="Arial"/>
          <w:b/>
          <w:bCs/>
          <w:szCs w:val="22"/>
        </w:rPr>
        <w:t>Analysis</w:t>
      </w:r>
      <w:r w:rsidRPr="00F36328">
        <w:rPr>
          <w:rFonts w:cs="Arial"/>
          <w:szCs w:val="22"/>
        </w:rPr>
        <w:t xml:space="preserve"> In-depth diagnosis, including STEEPLED, SWOT and TOWS analyses.</w:t>
      </w:r>
    </w:p>
    <w:p w14:paraId="3ABE4B6D" w14:textId="45CAAECD" w:rsidR="00F36328" w:rsidRPr="00F36328" w:rsidRDefault="00F36328" w:rsidP="00C86349">
      <w:pPr>
        <w:numPr>
          <w:ilvl w:val="0"/>
          <w:numId w:val="42"/>
        </w:numPr>
        <w:spacing w:line="360" w:lineRule="auto"/>
        <w:rPr>
          <w:rFonts w:cs="Arial"/>
          <w:szCs w:val="22"/>
        </w:rPr>
      </w:pPr>
      <w:r w:rsidRPr="00F36328">
        <w:rPr>
          <w:rFonts w:cs="Arial"/>
          <w:b/>
          <w:bCs/>
          <w:szCs w:val="22"/>
        </w:rPr>
        <w:t>Recommendations and Change Management</w:t>
      </w:r>
      <w:r w:rsidRPr="00F36328">
        <w:rPr>
          <w:rFonts w:cs="Arial"/>
          <w:szCs w:val="22"/>
        </w:rPr>
        <w:t xml:space="preserve">  Detailed interventions, implementation approaches, change management strategies, cost estimates and benefit projections.</w:t>
      </w:r>
    </w:p>
    <w:p w14:paraId="31605EC7" w14:textId="3637EF59" w:rsidR="00F36328" w:rsidRPr="00F36328" w:rsidRDefault="00F36328" w:rsidP="00C86349">
      <w:pPr>
        <w:numPr>
          <w:ilvl w:val="0"/>
          <w:numId w:val="42"/>
        </w:numPr>
        <w:spacing w:line="360" w:lineRule="auto"/>
        <w:rPr>
          <w:rFonts w:cs="Arial"/>
          <w:szCs w:val="22"/>
        </w:rPr>
      </w:pPr>
      <w:r w:rsidRPr="00F36328">
        <w:rPr>
          <w:rFonts w:cs="Arial"/>
          <w:b/>
          <w:bCs/>
          <w:szCs w:val="22"/>
        </w:rPr>
        <w:t>Action Plan</w:t>
      </w:r>
      <w:r w:rsidRPr="00F36328">
        <w:rPr>
          <w:rFonts w:cs="Arial"/>
          <w:szCs w:val="22"/>
        </w:rPr>
        <w:t xml:space="preserve">  Tabular breakdown of issues, solutions, timelines, responsibilities and costs.</w:t>
      </w:r>
    </w:p>
    <w:p w14:paraId="5920CB63" w14:textId="168A4F32" w:rsidR="00F36328" w:rsidRPr="00F36328" w:rsidRDefault="00F36328" w:rsidP="00C86349">
      <w:pPr>
        <w:numPr>
          <w:ilvl w:val="0"/>
          <w:numId w:val="42"/>
        </w:numPr>
        <w:spacing w:line="360" w:lineRule="auto"/>
        <w:rPr>
          <w:rFonts w:cs="Arial"/>
          <w:szCs w:val="22"/>
        </w:rPr>
      </w:pPr>
      <w:r w:rsidRPr="00F36328">
        <w:rPr>
          <w:rFonts w:cs="Arial"/>
          <w:b/>
          <w:bCs/>
          <w:szCs w:val="22"/>
        </w:rPr>
        <w:t>Conclusion</w:t>
      </w:r>
      <w:r w:rsidRPr="00F36328">
        <w:rPr>
          <w:rFonts w:cs="Arial"/>
          <w:szCs w:val="22"/>
        </w:rPr>
        <w:t xml:space="preserve">  Summary of key insights and expression of thanks to the client.</w:t>
      </w:r>
    </w:p>
    <w:p w14:paraId="5A277FA9" w14:textId="5E21B617" w:rsidR="00F36328" w:rsidRPr="00F36328" w:rsidRDefault="00F36328" w:rsidP="00C86349">
      <w:pPr>
        <w:spacing w:line="360" w:lineRule="auto"/>
        <w:ind w:left="360"/>
        <w:rPr>
          <w:rFonts w:cs="Arial"/>
          <w:szCs w:val="22"/>
        </w:rPr>
      </w:pPr>
      <w:r w:rsidRPr="00F36328">
        <w:rPr>
          <w:rFonts w:cs="Arial"/>
          <w:szCs w:val="22"/>
        </w:rPr>
        <w:t>.</w:t>
      </w:r>
    </w:p>
    <w:p w14:paraId="38596969" w14:textId="4678307A" w:rsidR="00F36328" w:rsidRPr="00F36328" w:rsidRDefault="00F36328" w:rsidP="00C86349">
      <w:pPr>
        <w:spacing w:line="360" w:lineRule="auto"/>
        <w:rPr>
          <w:rFonts w:cs="Arial"/>
          <w:szCs w:val="22"/>
        </w:rPr>
      </w:pPr>
      <w:r w:rsidRPr="00F36328">
        <w:rPr>
          <w:rFonts w:cs="Arial"/>
          <w:szCs w:val="22"/>
        </w:rPr>
        <w:t xml:space="preserve">By applying this structured, theory-driven and evidence-based approach, </w:t>
      </w:r>
      <w:r w:rsidR="00E26FD7" w:rsidRPr="00E26FD7">
        <w:rPr>
          <w:rFonts w:cs="Arial"/>
          <w:szCs w:val="22"/>
        </w:rPr>
        <w:t xml:space="preserve">Lumina Hospitality Solutions    </w:t>
      </w:r>
      <w:r w:rsidRPr="00F36328">
        <w:rPr>
          <w:rFonts w:cs="Arial"/>
          <w:szCs w:val="22"/>
        </w:rPr>
        <w:t>will deliver a  practicable report tailored to Hilton London Paddington’s, enabling the client to make informed decisions and sustain competitive advantage in London’s evolving hospitality market.</w:t>
      </w:r>
    </w:p>
    <w:p w14:paraId="0AE87856" w14:textId="4E743CB5" w:rsidR="00F45976" w:rsidRPr="00C86349" w:rsidRDefault="00F45976" w:rsidP="00C86349">
      <w:pPr>
        <w:spacing w:line="360" w:lineRule="auto"/>
        <w:rPr>
          <w:rFonts w:cs="Arial"/>
          <w:szCs w:val="22"/>
        </w:rPr>
      </w:pPr>
    </w:p>
    <w:p w14:paraId="65DC1685" w14:textId="77777777" w:rsidR="00F36328" w:rsidRPr="00C86349" w:rsidRDefault="00F36328" w:rsidP="00C86349">
      <w:pPr>
        <w:spacing w:line="360" w:lineRule="auto"/>
        <w:rPr>
          <w:rFonts w:cs="Arial"/>
          <w:szCs w:val="22"/>
        </w:rPr>
      </w:pPr>
    </w:p>
    <w:p w14:paraId="115F60F8" w14:textId="77777777" w:rsidR="00F36328" w:rsidRPr="00F36328" w:rsidRDefault="00F36328" w:rsidP="00C86349">
      <w:pPr>
        <w:spacing w:line="360" w:lineRule="auto"/>
        <w:rPr>
          <w:rFonts w:cs="Arial"/>
          <w:b/>
          <w:bCs/>
          <w:szCs w:val="22"/>
        </w:rPr>
      </w:pPr>
      <w:r w:rsidRPr="00F36328">
        <w:rPr>
          <w:rFonts w:cs="Arial"/>
          <w:b/>
          <w:bCs/>
          <w:szCs w:val="22"/>
        </w:rPr>
        <w:lastRenderedPageBreak/>
        <w:t>Analysis</w:t>
      </w:r>
    </w:p>
    <w:p w14:paraId="1317CEBB" w14:textId="77777777" w:rsidR="00F36328" w:rsidRPr="00F36328" w:rsidRDefault="00F36328" w:rsidP="00C86349">
      <w:pPr>
        <w:spacing w:line="360" w:lineRule="auto"/>
        <w:rPr>
          <w:rFonts w:cs="Arial"/>
          <w:b/>
          <w:bCs/>
          <w:szCs w:val="22"/>
        </w:rPr>
      </w:pPr>
      <w:r w:rsidRPr="00F36328">
        <w:rPr>
          <w:rFonts w:cs="Arial"/>
          <w:b/>
          <w:bCs/>
          <w:szCs w:val="22"/>
        </w:rPr>
        <w:t>1. Research Methodology and Data Sources</w:t>
      </w:r>
    </w:p>
    <w:p w14:paraId="13629E19" w14:textId="77777777" w:rsidR="00F36328" w:rsidRPr="00F36328" w:rsidRDefault="00F36328" w:rsidP="00C86349">
      <w:pPr>
        <w:spacing w:line="360" w:lineRule="auto"/>
        <w:rPr>
          <w:rFonts w:cs="Arial"/>
          <w:szCs w:val="22"/>
        </w:rPr>
      </w:pPr>
      <w:r w:rsidRPr="00F36328">
        <w:rPr>
          <w:rFonts w:cs="Arial"/>
          <w:szCs w:val="22"/>
        </w:rPr>
        <w:t>To ensure a robust diagnosis of Hilton London Paddington’s challenges, we combine secondary and (recommended) primary research. Secondary sources include:</w:t>
      </w:r>
    </w:p>
    <w:p w14:paraId="4957E778" w14:textId="77777777" w:rsidR="00F36328" w:rsidRPr="00F36328" w:rsidRDefault="00F36328" w:rsidP="00C86349">
      <w:pPr>
        <w:numPr>
          <w:ilvl w:val="0"/>
          <w:numId w:val="43"/>
        </w:numPr>
        <w:spacing w:line="360" w:lineRule="auto"/>
        <w:rPr>
          <w:rFonts w:cs="Arial"/>
          <w:szCs w:val="22"/>
        </w:rPr>
      </w:pPr>
      <w:r w:rsidRPr="00F36328">
        <w:rPr>
          <w:rFonts w:cs="Arial"/>
          <w:b/>
          <w:bCs/>
          <w:szCs w:val="22"/>
        </w:rPr>
        <w:t>Industry reports</w:t>
      </w:r>
      <w:r w:rsidRPr="00F36328">
        <w:rPr>
          <w:rFonts w:cs="Arial"/>
          <w:szCs w:val="22"/>
        </w:rPr>
        <w:t>: Knight Frank’s UK Hotel Trading Performance Review (2025), CBRE’s UK Real Estate Market Outlook: Hotels (2024), PwC UK Hotels Forecast (2024), HVS London Market Pulse (2024), Savills Spotlight: UK and European Hotels (2025), Hospitality Net market updates (2025) (Knight Frank, 2025; CBRE, 2024; PwC, 2024; HVS, 2024).</w:t>
      </w:r>
    </w:p>
    <w:p w14:paraId="4C57BDE3" w14:textId="77777777" w:rsidR="00F36328" w:rsidRPr="00F36328" w:rsidRDefault="00F36328" w:rsidP="00C86349">
      <w:pPr>
        <w:numPr>
          <w:ilvl w:val="0"/>
          <w:numId w:val="43"/>
        </w:numPr>
        <w:spacing w:line="360" w:lineRule="auto"/>
        <w:rPr>
          <w:rFonts w:cs="Arial"/>
          <w:szCs w:val="22"/>
        </w:rPr>
      </w:pPr>
      <w:r w:rsidRPr="00F36328">
        <w:rPr>
          <w:rFonts w:cs="Arial"/>
          <w:b/>
          <w:bCs/>
          <w:szCs w:val="22"/>
        </w:rPr>
        <w:t>Guest-review analytics</w:t>
      </w:r>
      <w:r w:rsidRPr="00F36328">
        <w:rPr>
          <w:rFonts w:cs="Arial"/>
          <w:szCs w:val="22"/>
        </w:rPr>
        <w:t>: Aggregated ratings and comments from TripAdvisor, Trip.com, and other OTA platforms to identify recurring themes in guest satisfaction/dissatisfaction at Hilton London Paddington (TripAdvisor, 2024; Trip.com, 2025).</w:t>
      </w:r>
    </w:p>
    <w:p w14:paraId="5D1C7864" w14:textId="77777777" w:rsidR="00F36328" w:rsidRPr="00F36328" w:rsidRDefault="00F36328" w:rsidP="00C86349">
      <w:pPr>
        <w:numPr>
          <w:ilvl w:val="0"/>
          <w:numId w:val="43"/>
        </w:numPr>
        <w:spacing w:line="360" w:lineRule="auto"/>
        <w:rPr>
          <w:rFonts w:cs="Arial"/>
          <w:szCs w:val="22"/>
        </w:rPr>
      </w:pPr>
      <w:r w:rsidRPr="00F36328">
        <w:rPr>
          <w:rFonts w:cs="Arial"/>
          <w:b/>
          <w:bCs/>
          <w:szCs w:val="22"/>
        </w:rPr>
        <w:t>Refurbishment and operational news</w:t>
      </w:r>
      <w:r w:rsidRPr="00F36328">
        <w:rPr>
          <w:rFonts w:cs="Arial"/>
          <w:szCs w:val="22"/>
        </w:rPr>
        <w:t>: Reports on recent or planned refurbishments at the property, including scale and scope (EP Consulting, 2023; HotelDesigns, 2024).</w:t>
      </w:r>
    </w:p>
    <w:p w14:paraId="284386BF" w14:textId="77777777" w:rsidR="00F36328" w:rsidRPr="00F36328" w:rsidRDefault="00F36328" w:rsidP="00C86349">
      <w:pPr>
        <w:numPr>
          <w:ilvl w:val="0"/>
          <w:numId w:val="43"/>
        </w:numPr>
        <w:spacing w:line="360" w:lineRule="auto"/>
        <w:rPr>
          <w:rFonts w:cs="Arial"/>
          <w:szCs w:val="22"/>
        </w:rPr>
      </w:pPr>
      <w:r w:rsidRPr="00F36328">
        <w:rPr>
          <w:rFonts w:cs="Arial"/>
          <w:b/>
          <w:bCs/>
          <w:szCs w:val="22"/>
        </w:rPr>
        <w:t>Academic literature</w:t>
      </w:r>
      <w:r w:rsidRPr="00F36328">
        <w:rPr>
          <w:rFonts w:cs="Arial"/>
          <w:szCs w:val="22"/>
        </w:rPr>
        <w:t>: Frameworks and models for strategic analysis and change management in hospitality (Johnson, Scholes &amp; Whittington, 2008; Kotler, Bowen &amp; Makens, 2017; Saunders, Lewis &amp; Thornhill, 2009; Weihrich, 1982).</w:t>
      </w:r>
    </w:p>
    <w:p w14:paraId="41950EE0" w14:textId="77777777" w:rsidR="00F36328" w:rsidRPr="00F36328" w:rsidRDefault="00F36328" w:rsidP="00C86349">
      <w:pPr>
        <w:numPr>
          <w:ilvl w:val="0"/>
          <w:numId w:val="43"/>
        </w:numPr>
        <w:spacing w:line="360" w:lineRule="auto"/>
        <w:rPr>
          <w:rFonts w:cs="Arial"/>
          <w:szCs w:val="22"/>
        </w:rPr>
      </w:pPr>
      <w:r w:rsidRPr="00F36328">
        <w:rPr>
          <w:rFonts w:cs="Arial"/>
          <w:b/>
          <w:bCs/>
          <w:szCs w:val="22"/>
        </w:rPr>
        <w:t>Market commentary</w:t>
      </w:r>
      <w:r w:rsidRPr="00F36328">
        <w:rPr>
          <w:rFonts w:cs="Arial"/>
          <w:szCs w:val="22"/>
        </w:rPr>
        <w:t>: Articles from Financial Times, The Guardian, etc., on London hotel supply growth, cost pressures, and demand trends (Financial Times, 2025; The Guardian, 2025).</w:t>
      </w:r>
    </w:p>
    <w:p w14:paraId="0E6877C7" w14:textId="0FF8F388" w:rsidR="00F36328" w:rsidRPr="00F36328" w:rsidRDefault="00F36328" w:rsidP="00C86349">
      <w:pPr>
        <w:spacing w:line="360" w:lineRule="auto"/>
        <w:rPr>
          <w:rFonts w:cs="Arial"/>
          <w:szCs w:val="22"/>
        </w:rPr>
      </w:pPr>
      <w:r w:rsidRPr="00F36328">
        <w:rPr>
          <w:rFonts w:cs="Arial"/>
          <w:szCs w:val="22"/>
        </w:rPr>
        <w:t>Where feasible and with client cooperation, we recommend primary qualitative research</w:t>
      </w:r>
      <w:r w:rsidR="00E26FD7">
        <w:rPr>
          <w:rFonts w:cs="Arial"/>
          <w:szCs w:val="22"/>
        </w:rPr>
        <w:t xml:space="preserve"> </w:t>
      </w:r>
      <w:r w:rsidRPr="00F36328">
        <w:rPr>
          <w:rFonts w:cs="Arial"/>
          <w:szCs w:val="22"/>
        </w:rPr>
        <w:t>semi-structured interviews with key stakeholders (general manager, department heads), focus groups or surveys of frontline staff (operations, housekeeping, engineering) to understand internal perceptions of infrastructure challenges and readiness for change (Saunders, Lewis &amp; Thornhill, 2009). Such insights would triangulate with secondary data and uncover latent issues (e.g. maintenance backlogs, staff morale) not visible externally.</w:t>
      </w:r>
    </w:p>
    <w:p w14:paraId="58C7BCF2" w14:textId="77777777" w:rsidR="00F36328" w:rsidRPr="00F36328" w:rsidRDefault="00F36328" w:rsidP="00C86349">
      <w:pPr>
        <w:spacing w:line="360" w:lineRule="auto"/>
        <w:rPr>
          <w:rFonts w:cs="Arial"/>
          <w:b/>
          <w:bCs/>
          <w:szCs w:val="22"/>
        </w:rPr>
      </w:pPr>
      <w:r w:rsidRPr="00F36328">
        <w:rPr>
          <w:rFonts w:cs="Arial"/>
          <w:b/>
          <w:bCs/>
          <w:szCs w:val="22"/>
        </w:rPr>
        <w:t>2. Description of Key Issues, Impacts, and Causes</w:t>
      </w:r>
    </w:p>
    <w:p w14:paraId="01A87DD7" w14:textId="77777777" w:rsidR="00F36328" w:rsidRPr="00F36328" w:rsidRDefault="00F36328" w:rsidP="00C86349">
      <w:pPr>
        <w:spacing w:line="360" w:lineRule="auto"/>
        <w:rPr>
          <w:rFonts w:cs="Arial"/>
          <w:b/>
          <w:bCs/>
          <w:szCs w:val="22"/>
        </w:rPr>
      </w:pPr>
      <w:r w:rsidRPr="00F36328">
        <w:rPr>
          <w:rFonts w:cs="Arial"/>
          <w:b/>
          <w:bCs/>
          <w:szCs w:val="22"/>
        </w:rPr>
        <w:t>2.1 Ageing Infrastructure and Guest Experience</w:t>
      </w:r>
    </w:p>
    <w:p w14:paraId="37F04020" w14:textId="77777777" w:rsidR="00F36328" w:rsidRPr="00F36328" w:rsidRDefault="00F36328" w:rsidP="00C86349">
      <w:pPr>
        <w:spacing w:line="360" w:lineRule="auto"/>
        <w:rPr>
          <w:rFonts w:cs="Arial"/>
          <w:szCs w:val="22"/>
        </w:rPr>
      </w:pPr>
      <w:r w:rsidRPr="00F36328">
        <w:rPr>
          <w:rFonts w:cs="Arial"/>
          <w:b/>
          <w:bCs/>
          <w:szCs w:val="22"/>
        </w:rPr>
        <w:t>Issue</w:t>
      </w:r>
      <w:r w:rsidRPr="00F36328">
        <w:rPr>
          <w:rFonts w:cs="Arial"/>
          <w:szCs w:val="22"/>
        </w:rPr>
        <w:t xml:space="preserve">: Guest feedback consistently highlights outdated room décor, intermittent air-conditioning failures during seasonal peaks (hot summers or colder periods), and occasional </w:t>
      </w:r>
      <w:r w:rsidRPr="00F36328">
        <w:rPr>
          <w:rFonts w:cs="Arial"/>
          <w:szCs w:val="22"/>
        </w:rPr>
        <w:lastRenderedPageBreak/>
        <w:t>elevator delays. Noise disturbances from adjacent station activity have also been noted (TripAdvisor, 2024; Trip.com, 2025).</w:t>
      </w:r>
    </w:p>
    <w:p w14:paraId="16D8ED1C" w14:textId="77777777" w:rsidR="00F36328" w:rsidRPr="00F36328" w:rsidRDefault="00F36328" w:rsidP="00C86349">
      <w:pPr>
        <w:spacing w:line="360" w:lineRule="auto"/>
        <w:rPr>
          <w:rFonts w:cs="Arial"/>
          <w:szCs w:val="22"/>
        </w:rPr>
      </w:pPr>
      <w:r w:rsidRPr="00F36328">
        <w:rPr>
          <w:rFonts w:cs="Arial"/>
          <w:b/>
          <w:bCs/>
          <w:szCs w:val="22"/>
        </w:rPr>
        <w:t>Impact</w:t>
      </w:r>
      <w:r w:rsidRPr="00F36328">
        <w:rPr>
          <w:rFonts w:cs="Arial"/>
          <w:szCs w:val="22"/>
        </w:rPr>
        <w:t>:</w:t>
      </w:r>
    </w:p>
    <w:p w14:paraId="1B0D162D" w14:textId="77777777" w:rsidR="00F36328" w:rsidRPr="00F36328" w:rsidRDefault="00F36328" w:rsidP="00C86349">
      <w:pPr>
        <w:numPr>
          <w:ilvl w:val="0"/>
          <w:numId w:val="44"/>
        </w:numPr>
        <w:spacing w:line="360" w:lineRule="auto"/>
        <w:rPr>
          <w:rFonts w:cs="Arial"/>
          <w:szCs w:val="22"/>
        </w:rPr>
      </w:pPr>
      <w:r w:rsidRPr="00F36328">
        <w:rPr>
          <w:rFonts w:cs="Arial"/>
          <w:b/>
          <w:bCs/>
          <w:szCs w:val="22"/>
        </w:rPr>
        <w:t>Guest satisfaction and online reputation</w:t>
      </w:r>
      <w:r w:rsidRPr="00F36328">
        <w:rPr>
          <w:rFonts w:cs="Arial"/>
          <w:szCs w:val="22"/>
        </w:rPr>
        <w:t>: Lower scores on OTA platforms reduce appeal among prospective guests, especially in a market where 70–80% of bookings are influenced by online ratings (PwC, 2024; Hospitality Net, 2025). Reputational erosion can depress occupancy and weaken ADR premium relative to competitors.</w:t>
      </w:r>
    </w:p>
    <w:p w14:paraId="60188F5E" w14:textId="77777777" w:rsidR="00F36328" w:rsidRPr="00F36328" w:rsidRDefault="00F36328" w:rsidP="00C86349">
      <w:pPr>
        <w:numPr>
          <w:ilvl w:val="0"/>
          <w:numId w:val="44"/>
        </w:numPr>
        <w:spacing w:line="360" w:lineRule="auto"/>
        <w:rPr>
          <w:rFonts w:cs="Arial"/>
          <w:szCs w:val="22"/>
        </w:rPr>
      </w:pPr>
      <w:r w:rsidRPr="00F36328">
        <w:rPr>
          <w:rFonts w:cs="Arial"/>
          <w:b/>
          <w:bCs/>
          <w:szCs w:val="22"/>
        </w:rPr>
        <w:t>Revenue implications</w:t>
      </w:r>
      <w:r w:rsidRPr="00F36328">
        <w:rPr>
          <w:rFonts w:cs="Arial"/>
          <w:szCs w:val="22"/>
        </w:rPr>
        <w:t>: In London’s competitive upper-upscale segment, small declines in RevPAR (revenue per available room) have magnified profit impacts due to high fixed costs and operating leverage (Knight Frank, 2025; CBRE, 2024). Declining guest satisfaction can also reduce repeat business and group bookings.</w:t>
      </w:r>
    </w:p>
    <w:p w14:paraId="2940ECE1" w14:textId="77777777" w:rsidR="00F36328" w:rsidRPr="00F36328" w:rsidRDefault="00F36328" w:rsidP="00C86349">
      <w:pPr>
        <w:numPr>
          <w:ilvl w:val="0"/>
          <w:numId w:val="44"/>
        </w:numPr>
        <w:spacing w:line="360" w:lineRule="auto"/>
        <w:rPr>
          <w:rFonts w:cs="Arial"/>
          <w:szCs w:val="22"/>
        </w:rPr>
      </w:pPr>
      <w:r w:rsidRPr="00F36328">
        <w:rPr>
          <w:rFonts w:cs="Arial"/>
          <w:b/>
          <w:bCs/>
          <w:szCs w:val="22"/>
        </w:rPr>
        <w:t>Operational inefficiencies</w:t>
      </w:r>
      <w:r w:rsidRPr="00F36328">
        <w:rPr>
          <w:rFonts w:cs="Arial"/>
          <w:szCs w:val="22"/>
        </w:rPr>
        <w:t>: Frequent maintenance calls (e.g. AC breakdowns) increase housekeeping and engineering costs, impact room availability (days out of service), and may necessitate guest relocations, incurring compensation and goodwill gestures (HVS, 2024; PwC, 2024).</w:t>
      </w:r>
    </w:p>
    <w:p w14:paraId="3ACC4483" w14:textId="77777777" w:rsidR="00F36328" w:rsidRPr="00F36328" w:rsidRDefault="00F36328" w:rsidP="00C86349">
      <w:pPr>
        <w:numPr>
          <w:ilvl w:val="0"/>
          <w:numId w:val="44"/>
        </w:numPr>
        <w:spacing w:line="360" w:lineRule="auto"/>
        <w:rPr>
          <w:rFonts w:cs="Arial"/>
          <w:szCs w:val="22"/>
        </w:rPr>
      </w:pPr>
      <w:r w:rsidRPr="00F36328">
        <w:rPr>
          <w:rFonts w:cs="Arial"/>
          <w:b/>
          <w:bCs/>
          <w:szCs w:val="22"/>
        </w:rPr>
        <w:t>Employee morale</w:t>
      </w:r>
      <w:r w:rsidRPr="00F36328">
        <w:rPr>
          <w:rFonts w:cs="Arial"/>
          <w:szCs w:val="22"/>
        </w:rPr>
        <w:t>: Staff dealing with frequent guest complaints may experience stress or reduced morale, affecting service quality in a cyclical manner (Kotler, Bowen &amp; Makens, 2017; Saunders, Lewis &amp; Thornhill, 2009).</w:t>
      </w:r>
    </w:p>
    <w:p w14:paraId="496D2816" w14:textId="77777777" w:rsidR="00F36328" w:rsidRPr="00F36328" w:rsidRDefault="00F36328" w:rsidP="00C86349">
      <w:pPr>
        <w:spacing w:line="360" w:lineRule="auto"/>
        <w:rPr>
          <w:rFonts w:cs="Arial"/>
          <w:szCs w:val="22"/>
        </w:rPr>
      </w:pPr>
      <w:r w:rsidRPr="00F36328">
        <w:rPr>
          <w:rFonts w:cs="Arial"/>
          <w:b/>
          <w:bCs/>
          <w:szCs w:val="22"/>
        </w:rPr>
        <w:t>Causes</w:t>
      </w:r>
      <w:r w:rsidRPr="00F36328">
        <w:rPr>
          <w:rFonts w:cs="Arial"/>
          <w:szCs w:val="22"/>
        </w:rPr>
        <w:t>:</w:t>
      </w:r>
    </w:p>
    <w:p w14:paraId="7BA7AD4E" w14:textId="77777777" w:rsidR="00F36328" w:rsidRPr="00F36328" w:rsidRDefault="00F36328" w:rsidP="00C86349">
      <w:pPr>
        <w:numPr>
          <w:ilvl w:val="0"/>
          <w:numId w:val="45"/>
        </w:numPr>
        <w:spacing w:line="360" w:lineRule="auto"/>
        <w:rPr>
          <w:rFonts w:cs="Arial"/>
          <w:szCs w:val="22"/>
        </w:rPr>
      </w:pPr>
      <w:r w:rsidRPr="00F36328">
        <w:rPr>
          <w:rFonts w:cs="Arial"/>
          <w:b/>
          <w:bCs/>
          <w:szCs w:val="22"/>
        </w:rPr>
        <w:t>Heritage building constraints</w:t>
      </w:r>
      <w:r w:rsidRPr="00F36328">
        <w:rPr>
          <w:rFonts w:cs="Arial"/>
          <w:szCs w:val="22"/>
        </w:rPr>
        <w:t>: Victorian-era structure imposes limits on modern retrofit (e.g. installation of new HVAC systems, elevator modernisation) due to preservation requirements; more complex and costly than in newly built properties (Brindle, 2004; EP Consulting, 2023).</w:t>
      </w:r>
    </w:p>
    <w:p w14:paraId="6AB076F4" w14:textId="77777777" w:rsidR="00F36328" w:rsidRPr="00F36328" w:rsidRDefault="00F36328" w:rsidP="00C86349">
      <w:pPr>
        <w:numPr>
          <w:ilvl w:val="0"/>
          <w:numId w:val="45"/>
        </w:numPr>
        <w:spacing w:line="360" w:lineRule="auto"/>
        <w:rPr>
          <w:rFonts w:cs="Arial"/>
          <w:szCs w:val="22"/>
        </w:rPr>
      </w:pPr>
      <w:r w:rsidRPr="00F36328">
        <w:rPr>
          <w:rFonts w:cs="Arial"/>
          <w:b/>
          <w:bCs/>
          <w:szCs w:val="22"/>
        </w:rPr>
        <w:t>Deferred maintenance / budget prioritisation</w:t>
      </w:r>
      <w:r w:rsidRPr="00F36328">
        <w:rPr>
          <w:rFonts w:cs="Arial"/>
          <w:szCs w:val="22"/>
        </w:rPr>
        <w:t>: Historical prioritisation may have allocated capital to other properties or areas, delaying comprehensive room refurbishments or major M&amp;E (mechanical &amp; electrical) upgrades in favour of short-term operational cost containment (HotelDesigns, 2024; Knight Frank, 2025).</w:t>
      </w:r>
    </w:p>
    <w:p w14:paraId="0ED064F5" w14:textId="7E758FE8" w:rsidR="00F36328" w:rsidRPr="00F36328" w:rsidRDefault="00F36328" w:rsidP="00C86349">
      <w:pPr>
        <w:numPr>
          <w:ilvl w:val="0"/>
          <w:numId w:val="45"/>
        </w:numPr>
        <w:spacing w:line="360" w:lineRule="auto"/>
        <w:rPr>
          <w:rFonts w:cs="Arial"/>
          <w:szCs w:val="22"/>
        </w:rPr>
      </w:pPr>
      <w:r w:rsidRPr="00F36328">
        <w:rPr>
          <w:rFonts w:cs="Arial"/>
          <w:b/>
          <w:bCs/>
          <w:szCs w:val="22"/>
        </w:rPr>
        <w:t>Supply-chain and inflationary pressures</w:t>
      </w:r>
      <w:r w:rsidRPr="00F36328">
        <w:rPr>
          <w:rFonts w:cs="Arial"/>
          <w:szCs w:val="22"/>
        </w:rPr>
        <w:t xml:space="preserve">: Post-pandemic inflation and supply-chain disruptions have increased procurement costs for materials and labour for refurbishment projects, deterring large-scale </w:t>
      </w:r>
      <w:r w:rsidR="00C86349" w:rsidRPr="00F36328">
        <w:rPr>
          <w:rFonts w:cs="Arial"/>
          <w:szCs w:val="22"/>
        </w:rPr>
        <w:t>rollouts</w:t>
      </w:r>
      <w:r w:rsidRPr="00F36328">
        <w:rPr>
          <w:rFonts w:cs="Arial"/>
          <w:szCs w:val="22"/>
        </w:rPr>
        <w:t xml:space="preserve"> (PwC, 2024; CBRE, 2024).</w:t>
      </w:r>
    </w:p>
    <w:p w14:paraId="6BBDB736" w14:textId="5707B216" w:rsidR="00F36328" w:rsidRPr="00F36328" w:rsidRDefault="00F36328" w:rsidP="00C86349">
      <w:pPr>
        <w:numPr>
          <w:ilvl w:val="0"/>
          <w:numId w:val="45"/>
        </w:numPr>
        <w:spacing w:line="360" w:lineRule="auto"/>
        <w:rPr>
          <w:rFonts w:cs="Arial"/>
          <w:szCs w:val="22"/>
        </w:rPr>
      </w:pPr>
      <w:r w:rsidRPr="00F36328">
        <w:rPr>
          <w:rFonts w:cs="Arial"/>
          <w:b/>
          <w:bCs/>
          <w:szCs w:val="22"/>
        </w:rPr>
        <w:lastRenderedPageBreak/>
        <w:t>Rapid market changes</w:t>
      </w:r>
      <w:r w:rsidRPr="00F36328">
        <w:rPr>
          <w:rFonts w:cs="Arial"/>
          <w:szCs w:val="22"/>
        </w:rPr>
        <w:t>: Rising guest expectations for technology integration (</w:t>
      </w:r>
      <w:r w:rsidR="00C86349" w:rsidRPr="00F36328">
        <w:rPr>
          <w:rFonts w:cs="Arial"/>
          <w:szCs w:val="22"/>
        </w:rPr>
        <w:t>smart room</w:t>
      </w:r>
      <w:r w:rsidRPr="00F36328">
        <w:rPr>
          <w:rFonts w:cs="Arial"/>
          <w:szCs w:val="22"/>
        </w:rPr>
        <w:t xml:space="preserve"> features, contactless services) may have outpaced the hotel’s upgrade cycle, creating a perception of lagging modernity (HVS, 2024; Hospitality Net, 2025).</w:t>
      </w:r>
    </w:p>
    <w:p w14:paraId="682A72E6" w14:textId="77777777" w:rsidR="00F36328" w:rsidRPr="00F36328" w:rsidRDefault="00F36328" w:rsidP="00C86349">
      <w:pPr>
        <w:numPr>
          <w:ilvl w:val="0"/>
          <w:numId w:val="45"/>
        </w:numPr>
        <w:spacing w:line="360" w:lineRule="auto"/>
        <w:rPr>
          <w:rFonts w:cs="Arial"/>
          <w:szCs w:val="22"/>
        </w:rPr>
      </w:pPr>
      <w:r w:rsidRPr="00F36328">
        <w:rPr>
          <w:rFonts w:cs="Arial"/>
          <w:b/>
          <w:bCs/>
          <w:szCs w:val="22"/>
        </w:rPr>
        <w:t>Operational cost pressures</w:t>
      </w:r>
      <w:r w:rsidRPr="00F36328">
        <w:rPr>
          <w:rFonts w:cs="Arial"/>
          <w:szCs w:val="22"/>
        </w:rPr>
        <w:t>: Increases in UK National Living Wage and employer NI contributions reduce discretionary capital available for non-essential upgrades (Knight Frank, 2025; The Guardian, 2025).</w:t>
      </w:r>
    </w:p>
    <w:p w14:paraId="3F86CB21" w14:textId="77777777" w:rsidR="00F36328" w:rsidRPr="00F36328" w:rsidRDefault="00F36328" w:rsidP="00C86349">
      <w:pPr>
        <w:spacing w:line="360" w:lineRule="auto"/>
        <w:rPr>
          <w:rFonts w:cs="Arial"/>
          <w:b/>
          <w:bCs/>
          <w:szCs w:val="22"/>
        </w:rPr>
      </w:pPr>
      <w:r w:rsidRPr="00F36328">
        <w:rPr>
          <w:rFonts w:cs="Arial"/>
          <w:b/>
          <w:bCs/>
          <w:szCs w:val="22"/>
        </w:rPr>
        <w:t>2.2 Rising Operating Costs and Profit Margin Pressure</w:t>
      </w:r>
    </w:p>
    <w:p w14:paraId="312B8835" w14:textId="77777777" w:rsidR="00F36328" w:rsidRPr="00F36328" w:rsidRDefault="00F36328" w:rsidP="00C86349">
      <w:pPr>
        <w:spacing w:line="360" w:lineRule="auto"/>
        <w:rPr>
          <w:rFonts w:cs="Arial"/>
          <w:szCs w:val="22"/>
        </w:rPr>
      </w:pPr>
      <w:r w:rsidRPr="00F36328">
        <w:rPr>
          <w:rFonts w:cs="Arial"/>
          <w:b/>
          <w:bCs/>
          <w:szCs w:val="22"/>
        </w:rPr>
        <w:t>Issue</w:t>
      </w:r>
      <w:r w:rsidRPr="00F36328">
        <w:rPr>
          <w:rFonts w:cs="Arial"/>
          <w:szCs w:val="22"/>
        </w:rPr>
        <w:t>: Labour cost increases (national wage hikes), higher utility bills (energy price inflation), business rates and insurance costs have escalated total operating expenditure (OPEX) (PwC, 2024; Savills, 2025).</w:t>
      </w:r>
    </w:p>
    <w:p w14:paraId="6E151D36" w14:textId="77777777" w:rsidR="00F36328" w:rsidRPr="00F36328" w:rsidRDefault="00F36328" w:rsidP="00C86349">
      <w:pPr>
        <w:spacing w:line="360" w:lineRule="auto"/>
        <w:rPr>
          <w:rFonts w:cs="Arial"/>
          <w:szCs w:val="22"/>
        </w:rPr>
      </w:pPr>
      <w:r w:rsidRPr="00F36328">
        <w:rPr>
          <w:rFonts w:cs="Arial"/>
          <w:b/>
          <w:bCs/>
          <w:szCs w:val="22"/>
        </w:rPr>
        <w:t>Impact</w:t>
      </w:r>
      <w:r w:rsidRPr="00F36328">
        <w:rPr>
          <w:rFonts w:cs="Arial"/>
          <w:szCs w:val="22"/>
        </w:rPr>
        <w:t>:</w:t>
      </w:r>
    </w:p>
    <w:p w14:paraId="3B0E9728" w14:textId="77777777" w:rsidR="00F36328" w:rsidRPr="00F36328" w:rsidRDefault="00F36328" w:rsidP="00C86349">
      <w:pPr>
        <w:numPr>
          <w:ilvl w:val="0"/>
          <w:numId w:val="46"/>
        </w:numPr>
        <w:spacing w:line="360" w:lineRule="auto"/>
        <w:rPr>
          <w:rFonts w:cs="Arial"/>
          <w:szCs w:val="22"/>
        </w:rPr>
      </w:pPr>
      <w:r w:rsidRPr="00F36328">
        <w:rPr>
          <w:rFonts w:cs="Arial"/>
          <w:b/>
          <w:bCs/>
          <w:szCs w:val="22"/>
        </w:rPr>
        <w:t>Compression of margins</w:t>
      </w:r>
      <w:r w:rsidRPr="00F36328">
        <w:rPr>
          <w:rFonts w:cs="Arial"/>
          <w:szCs w:val="22"/>
        </w:rPr>
        <w:t>: With occupancy and ADR under pressure from increased supply, the hotel cannot fully pass through cost increases without risking demand loss, leading to profit margin compression (Knight Frank, 2025; CBRE, 2024).</w:t>
      </w:r>
    </w:p>
    <w:p w14:paraId="39C99ACB" w14:textId="77777777" w:rsidR="00F36328" w:rsidRPr="00F36328" w:rsidRDefault="00F36328" w:rsidP="00C86349">
      <w:pPr>
        <w:numPr>
          <w:ilvl w:val="0"/>
          <w:numId w:val="46"/>
        </w:numPr>
        <w:spacing w:line="360" w:lineRule="auto"/>
        <w:rPr>
          <w:rFonts w:cs="Arial"/>
          <w:szCs w:val="22"/>
        </w:rPr>
      </w:pPr>
      <w:r w:rsidRPr="00F36328">
        <w:rPr>
          <w:rFonts w:cs="Arial"/>
          <w:b/>
          <w:bCs/>
          <w:szCs w:val="22"/>
        </w:rPr>
        <w:t>Reduction in capital reserves</w:t>
      </w:r>
      <w:r w:rsidRPr="00F36328">
        <w:rPr>
          <w:rFonts w:cs="Arial"/>
          <w:szCs w:val="22"/>
        </w:rPr>
        <w:t>: Lower profitability constrains the hotel’s ability to self-fund major refurbishment, perpetuating the infrastructure issues cycle (PwC, 2024; HVS, 2024).</w:t>
      </w:r>
    </w:p>
    <w:p w14:paraId="06443F9B" w14:textId="77777777" w:rsidR="00F36328" w:rsidRPr="00F36328" w:rsidRDefault="00F36328" w:rsidP="00C86349">
      <w:pPr>
        <w:numPr>
          <w:ilvl w:val="0"/>
          <w:numId w:val="46"/>
        </w:numPr>
        <w:spacing w:line="360" w:lineRule="auto"/>
        <w:rPr>
          <w:rFonts w:cs="Arial"/>
          <w:szCs w:val="22"/>
        </w:rPr>
      </w:pPr>
      <w:r w:rsidRPr="00F36328">
        <w:rPr>
          <w:rFonts w:cs="Arial"/>
          <w:b/>
          <w:bCs/>
          <w:szCs w:val="22"/>
        </w:rPr>
        <w:t>Potential staffing impacts</w:t>
      </w:r>
      <w:r w:rsidRPr="00F36328">
        <w:rPr>
          <w:rFonts w:cs="Arial"/>
          <w:szCs w:val="22"/>
        </w:rPr>
        <w:t>: Cost pressures may lead to tighter labour budgets, affecting staffing levels or training budgets, which can compromise service standards (Kotler, Bowen &amp; Makens, 2017; Saunders, Lewis &amp; Thornhill, 2009).</w:t>
      </w:r>
    </w:p>
    <w:p w14:paraId="0348D955" w14:textId="77777777" w:rsidR="00F36328" w:rsidRPr="00F36328" w:rsidRDefault="00F36328" w:rsidP="00C86349">
      <w:pPr>
        <w:spacing w:line="360" w:lineRule="auto"/>
        <w:rPr>
          <w:rFonts w:cs="Arial"/>
          <w:szCs w:val="22"/>
        </w:rPr>
      </w:pPr>
      <w:r w:rsidRPr="00F36328">
        <w:rPr>
          <w:rFonts w:cs="Arial"/>
          <w:b/>
          <w:bCs/>
          <w:szCs w:val="22"/>
        </w:rPr>
        <w:t>Causes</w:t>
      </w:r>
      <w:r w:rsidRPr="00F36328">
        <w:rPr>
          <w:rFonts w:cs="Arial"/>
          <w:szCs w:val="22"/>
        </w:rPr>
        <w:t>:</w:t>
      </w:r>
    </w:p>
    <w:p w14:paraId="1CC631F3" w14:textId="77777777" w:rsidR="00F36328" w:rsidRPr="00F36328" w:rsidRDefault="00F36328" w:rsidP="00C86349">
      <w:pPr>
        <w:numPr>
          <w:ilvl w:val="0"/>
          <w:numId w:val="47"/>
        </w:numPr>
        <w:spacing w:line="360" w:lineRule="auto"/>
        <w:rPr>
          <w:rFonts w:cs="Arial"/>
          <w:szCs w:val="22"/>
        </w:rPr>
      </w:pPr>
      <w:r w:rsidRPr="00F36328">
        <w:rPr>
          <w:rFonts w:cs="Arial"/>
          <w:b/>
          <w:bCs/>
          <w:szCs w:val="22"/>
        </w:rPr>
        <w:t>Macro-economic environment</w:t>
      </w:r>
      <w:r w:rsidRPr="00F36328">
        <w:rPr>
          <w:rFonts w:cs="Arial"/>
          <w:szCs w:val="22"/>
        </w:rPr>
        <w:t>: Post-Brexit labour market shortages and inflationary environment in the UK increase wage bills and procurement costs (PwC, 2024; The Guardian, 2025).</w:t>
      </w:r>
    </w:p>
    <w:p w14:paraId="7A77073A" w14:textId="77777777" w:rsidR="00F36328" w:rsidRPr="00F36328" w:rsidRDefault="00F36328" w:rsidP="00C86349">
      <w:pPr>
        <w:numPr>
          <w:ilvl w:val="0"/>
          <w:numId w:val="47"/>
        </w:numPr>
        <w:spacing w:line="360" w:lineRule="auto"/>
        <w:rPr>
          <w:rFonts w:cs="Arial"/>
          <w:szCs w:val="22"/>
        </w:rPr>
      </w:pPr>
      <w:r w:rsidRPr="00F36328">
        <w:rPr>
          <w:rFonts w:cs="Arial"/>
          <w:b/>
          <w:bCs/>
          <w:szCs w:val="22"/>
        </w:rPr>
        <w:t>Competitive pricing pressure</w:t>
      </w:r>
      <w:r w:rsidRPr="00F36328">
        <w:rPr>
          <w:rFonts w:cs="Arial"/>
          <w:szCs w:val="22"/>
        </w:rPr>
        <w:t>: Growth in London hotel supply—particularly new luxury entrants—creates downward pressure on ADR even as costs rise (Financial Times, 2025; Knight Frank, 2025).</w:t>
      </w:r>
    </w:p>
    <w:p w14:paraId="435D25A5" w14:textId="77777777" w:rsidR="00F36328" w:rsidRPr="00F36328" w:rsidRDefault="00F36328" w:rsidP="00C86349">
      <w:pPr>
        <w:numPr>
          <w:ilvl w:val="0"/>
          <w:numId w:val="47"/>
        </w:numPr>
        <w:spacing w:line="360" w:lineRule="auto"/>
        <w:rPr>
          <w:rFonts w:cs="Arial"/>
          <w:szCs w:val="22"/>
        </w:rPr>
      </w:pPr>
      <w:r w:rsidRPr="00F36328">
        <w:rPr>
          <w:rFonts w:cs="Arial"/>
          <w:b/>
          <w:bCs/>
          <w:szCs w:val="22"/>
        </w:rPr>
        <w:t>Energy and sustainability requirements</w:t>
      </w:r>
      <w:r w:rsidRPr="00F36328">
        <w:rPr>
          <w:rFonts w:cs="Arial"/>
          <w:szCs w:val="22"/>
        </w:rPr>
        <w:t>: New regulatory requirements for energy efficiency may require investment in retrofits (e.g. HVAC upgrades, insulation), adding upfront capex (CBRE, 2024; Savills, 2025).</w:t>
      </w:r>
    </w:p>
    <w:p w14:paraId="677A023B" w14:textId="77777777" w:rsidR="00F36328" w:rsidRPr="00F36328" w:rsidRDefault="00F36328" w:rsidP="00C86349">
      <w:pPr>
        <w:spacing w:line="360" w:lineRule="auto"/>
        <w:rPr>
          <w:rFonts w:cs="Arial"/>
          <w:b/>
          <w:bCs/>
          <w:szCs w:val="22"/>
        </w:rPr>
      </w:pPr>
      <w:r w:rsidRPr="00F36328">
        <w:rPr>
          <w:rFonts w:cs="Arial"/>
          <w:b/>
          <w:bCs/>
          <w:szCs w:val="22"/>
        </w:rPr>
        <w:t>2.3 Competitive Market Dynamics</w:t>
      </w:r>
    </w:p>
    <w:p w14:paraId="4EB482B9" w14:textId="77777777" w:rsidR="00F36328" w:rsidRPr="00F36328" w:rsidRDefault="00F36328" w:rsidP="00C86349">
      <w:pPr>
        <w:spacing w:line="360" w:lineRule="auto"/>
        <w:rPr>
          <w:rFonts w:cs="Arial"/>
          <w:szCs w:val="22"/>
        </w:rPr>
      </w:pPr>
      <w:r w:rsidRPr="00F36328">
        <w:rPr>
          <w:rFonts w:cs="Arial"/>
          <w:b/>
          <w:bCs/>
          <w:szCs w:val="22"/>
        </w:rPr>
        <w:lastRenderedPageBreak/>
        <w:t>Issue</w:t>
      </w:r>
      <w:r w:rsidRPr="00F36328">
        <w:rPr>
          <w:rFonts w:cs="Arial"/>
          <w:szCs w:val="22"/>
        </w:rPr>
        <w:t>: London’s luxury and upper-upscale segments are witnessing significant new room openings (e.g. Six Senses, Auberge Resorts) in 2024-2025, raising supply and creating potential oversupply in certain sub-markets (Financial Times, 2025; Hospitality Net, 2025).</w:t>
      </w:r>
    </w:p>
    <w:p w14:paraId="7E07E59E" w14:textId="77777777" w:rsidR="00F36328" w:rsidRPr="00F36328" w:rsidRDefault="00F36328" w:rsidP="00C86349">
      <w:pPr>
        <w:spacing w:line="360" w:lineRule="auto"/>
        <w:rPr>
          <w:rFonts w:cs="Arial"/>
          <w:szCs w:val="22"/>
        </w:rPr>
      </w:pPr>
      <w:r w:rsidRPr="00F36328">
        <w:rPr>
          <w:rFonts w:cs="Arial"/>
          <w:b/>
          <w:bCs/>
          <w:szCs w:val="22"/>
        </w:rPr>
        <w:t>Impact</w:t>
      </w:r>
      <w:r w:rsidRPr="00F36328">
        <w:rPr>
          <w:rFonts w:cs="Arial"/>
          <w:szCs w:val="22"/>
        </w:rPr>
        <w:t>:</w:t>
      </w:r>
    </w:p>
    <w:p w14:paraId="1000EC9E" w14:textId="77777777" w:rsidR="00F36328" w:rsidRPr="00F36328" w:rsidRDefault="00F36328" w:rsidP="00C86349">
      <w:pPr>
        <w:numPr>
          <w:ilvl w:val="0"/>
          <w:numId w:val="48"/>
        </w:numPr>
        <w:spacing w:line="360" w:lineRule="auto"/>
        <w:rPr>
          <w:rFonts w:cs="Arial"/>
          <w:szCs w:val="22"/>
        </w:rPr>
      </w:pPr>
      <w:r w:rsidRPr="00F36328">
        <w:rPr>
          <w:rFonts w:cs="Arial"/>
          <w:b/>
          <w:bCs/>
          <w:szCs w:val="22"/>
        </w:rPr>
        <w:t>ADR and RevPAR pressure</w:t>
      </w:r>
      <w:r w:rsidRPr="00F36328">
        <w:rPr>
          <w:rFonts w:cs="Arial"/>
          <w:szCs w:val="22"/>
        </w:rPr>
        <w:t>: New entrants with modern design and amenities compete directly for business and leisure travellers, making it harder for heritage properties with outdated rooms to maintain rate premiums (Knight Frank, 2025; CBRE, 2024).</w:t>
      </w:r>
    </w:p>
    <w:p w14:paraId="0E821396" w14:textId="77777777" w:rsidR="00F36328" w:rsidRPr="00F36328" w:rsidRDefault="00F36328" w:rsidP="00C86349">
      <w:pPr>
        <w:numPr>
          <w:ilvl w:val="0"/>
          <w:numId w:val="48"/>
        </w:numPr>
        <w:spacing w:line="360" w:lineRule="auto"/>
        <w:rPr>
          <w:rFonts w:cs="Arial"/>
          <w:szCs w:val="22"/>
        </w:rPr>
      </w:pPr>
      <w:r w:rsidRPr="00F36328">
        <w:rPr>
          <w:rFonts w:cs="Arial"/>
          <w:b/>
          <w:bCs/>
          <w:szCs w:val="22"/>
        </w:rPr>
        <w:t>Segment shifting</w:t>
      </w:r>
      <w:r w:rsidRPr="00F36328">
        <w:rPr>
          <w:rFonts w:cs="Arial"/>
          <w:szCs w:val="22"/>
        </w:rPr>
        <w:t>: Guests may shift preferences towards hotels emphasising sustainability credentials or cutting-edge technology, disadvantaging hotels slow to modernise (PwC, 2024; Hospitality Net, 2025).</w:t>
      </w:r>
    </w:p>
    <w:p w14:paraId="2F361F16" w14:textId="77777777" w:rsidR="00F36328" w:rsidRPr="00F36328" w:rsidRDefault="00F36328" w:rsidP="00C86349">
      <w:pPr>
        <w:spacing w:line="360" w:lineRule="auto"/>
        <w:rPr>
          <w:rFonts w:cs="Arial"/>
          <w:szCs w:val="22"/>
        </w:rPr>
      </w:pPr>
      <w:r w:rsidRPr="00F36328">
        <w:rPr>
          <w:rFonts w:cs="Arial"/>
          <w:b/>
          <w:bCs/>
          <w:szCs w:val="22"/>
        </w:rPr>
        <w:t>Causes</w:t>
      </w:r>
      <w:r w:rsidRPr="00F36328">
        <w:rPr>
          <w:rFonts w:cs="Arial"/>
          <w:szCs w:val="22"/>
        </w:rPr>
        <w:t>:</w:t>
      </w:r>
    </w:p>
    <w:p w14:paraId="4A534E4E" w14:textId="77777777" w:rsidR="00F36328" w:rsidRPr="00F36328" w:rsidRDefault="00F36328" w:rsidP="00C86349">
      <w:pPr>
        <w:numPr>
          <w:ilvl w:val="0"/>
          <w:numId w:val="49"/>
        </w:numPr>
        <w:spacing w:line="360" w:lineRule="auto"/>
        <w:rPr>
          <w:rFonts w:cs="Arial"/>
          <w:szCs w:val="22"/>
        </w:rPr>
      </w:pPr>
      <w:r w:rsidRPr="00F36328">
        <w:rPr>
          <w:rFonts w:cs="Arial"/>
          <w:b/>
          <w:bCs/>
          <w:szCs w:val="22"/>
        </w:rPr>
        <w:t>Investor confidence and development pipeline</w:t>
      </w:r>
      <w:r w:rsidRPr="00F36328">
        <w:rPr>
          <w:rFonts w:cs="Arial"/>
          <w:szCs w:val="22"/>
        </w:rPr>
        <w:t>: Strong investor appetite for London hospitality assets fuels openings; meanwhile, events and leisure demand remain solid but may not absorb all new supply immediately (HVS, 2024; Financial Times, 2025).</w:t>
      </w:r>
    </w:p>
    <w:p w14:paraId="78EFF2D4" w14:textId="77777777" w:rsidR="00F36328" w:rsidRPr="00F36328" w:rsidRDefault="00F36328" w:rsidP="00C86349">
      <w:pPr>
        <w:numPr>
          <w:ilvl w:val="0"/>
          <w:numId w:val="49"/>
        </w:numPr>
        <w:spacing w:line="360" w:lineRule="auto"/>
        <w:rPr>
          <w:rFonts w:cs="Arial"/>
          <w:szCs w:val="22"/>
        </w:rPr>
      </w:pPr>
      <w:r w:rsidRPr="00F36328">
        <w:rPr>
          <w:rFonts w:cs="Arial"/>
          <w:b/>
          <w:bCs/>
          <w:szCs w:val="22"/>
        </w:rPr>
        <w:t>Changing guest demographics</w:t>
      </w:r>
      <w:r w:rsidRPr="00F36328">
        <w:rPr>
          <w:rFonts w:cs="Arial"/>
          <w:szCs w:val="22"/>
        </w:rPr>
        <w:t>: Growth in experiential travel means guests favour hotels offering unique experiences (heritage narrative plus modern comfort), raising the bar on refurbishment quality (Kotler, Bowen &amp; Makens, 2017; Hospitality Net, 2025).</w:t>
      </w:r>
    </w:p>
    <w:p w14:paraId="2843AFD2" w14:textId="77777777" w:rsidR="00F36328" w:rsidRPr="00F36328" w:rsidRDefault="00F36328" w:rsidP="00C86349">
      <w:pPr>
        <w:spacing w:line="360" w:lineRule="auto"/>
        <w:rPr>
          <w:rFonts w:cs="Arial"/>
          <w:b/>
          <w:bCs/>
          <w:szCs w:val="22"/>
        </w:rPr>
      </w:pPr>
      <w:r w:rsidRPr="00F36328">
        <w:rPr>
          <w:rFonts w:cs="Arial"/>
          <w:b/>
          <w:bCs/>
          <w:szCs w:val="22"/>
        </w:rPr>
        <w:t>2.4 Sustainability and Environmental Pressures</w:t>
      </w:r>
    </w:p>
    <w:p w14:paraId="47BCC80E" w14:textId="77777777" w:rsidR="00F36328" w:rsidRPr="00F36328" w:rsidRDefault="00F36328" w:rsidP="00C86349">
      <w:pPr>
        <w:spacing w:line="360" w:lineRule="auto"/>
        <w:rPr>
          <w:rFonts w:cs="Arial"/>
          <w:szCs w:val="22"/>
        </w:rPr>
      </w:pPr>
      <w:r w:rsidRPr="00F36328">
        <w:rPr>
          <w:rFonts w:cs="Arial"/>
          <w:b/>
          <w:bCs/>
          <w:szCs w:val="22"/>
        </w:rPr>
        <w:t>Issue</w:t>
      </w:r>
      <w:r w:rsidRPr="00F36328">
        <w:rPr>
          <w:rFonts w:cs="Arial"/>
          <w:szCs w:val="22"/>
        </w:rPr>
        <w:t>: Growing regulatory and consumer emphasis on environmental performance (energy use, waste management) requires hotels to invest in green initiatives (LED lighting, efficient HVAC, water-saving fixtures) (PwC, 2024; CBRE, 2024).</w:t>
      </w:r>
    </w:p>
    <w:p w14:paraId="3053A6D7" w14:textId="77777777" w:rsidR="00F36328" w:rsidRPr="00F36328" w:rsidRDefault="00F36328" w:rsidP="00C86349">
      <w:pPr>
        <w:spacing w:line="360" w:lineRule="auto"/>
        <w:rPr>
          <w:rFonts w:cs="Arial"/>
          <w:szCs w:val="22"/>
        </w:rPr>
      </w:pPr>
      <w:r w:rsidRPr="00F36328">
        <w:rPr>
          <w:rFonts w:cs="Arial"/>
          <w:b/>
          <w:bCs/>
          <w:szCs w:val="22"/>
        </w:rPr>
        <w:t>Impact</w:t>
      </w:r>
      <w:r w:rsidRPr="00F36328">
        <w:rPr>
          <w:rFonts w:cs="Arial"/>
          <w:szCs w:val="22"/>
        </w:rPr>
        <w:t>:</w:t>
      </w:r>
    </w:p>
    <w:p w14:paraId="14345336" w14:textId="77777777" w:rsidR="00F36328" w:rsidRPr="00F36328" w:rsidRDefault="00F36328" w:rsidP="00C86349">
      <w:pPr>
        <w:numPr>
          <w:ilvl w:val="0"/>
          <w:numId w:val="50"/>
        </w:numPr>
        <w:spacing w:line="360" w:lineRule="auto"/>
        <w:rPr>
          <w:rFonts w:cs="Arial"/>
          <w:szCs w:val="22"/>
        </w:rPr>
      </w:pPr>
      <w:r w:rsidRPr="00F36328">
        <w:rPr>
          <w:rFonts w:cs="Arial"/>
          <w:b/>
          <w:bCs/>
          <w:szCs w:val="22"/>
        </w:rPr>
        <w:t>Capex requirements</w:t>
      </w:r>
      <w:r w:rsidRPr="00F36328">
        <w:rPr>
          <w:rFonts w:cs="Arial"/>
          <w:szCs w:val="22"/>
        </w:rPr>
        <w:t>: Sustainability retrofits in heritage buildings are typically more expensive, affecting budget allocation for other upgrades (EP Consulting, 2023; Savills, 2025).</w:t>
      </w:r>
    </w:p>
    <w:p w14:paraId="3668EE92" w14:textId="77777777" w:rsidR="00F36328" w:rsidRPr="00F36328" w:rsidRDefault="00F36328" w:rsidP="00C86349">
      <w:pPr>
        <w:numPr>
          <w:ilvl w:val="0"/>
          <w:numId w:val="50"/>
        </w:numPr>
        <w:spacing w:line="360" w:lineRule="auto"/>
        <w:rPr>
          <w:rFonts w:cs="Arial"/>
          <w:szCs w:val="22"/>
        </w:rPr>
      </w:pPr>
      <w:r w:rsidRPr="00F36328">
        <w:rPr>
          <w:rFonts w:cs="Arial"/>
          <w:b/>
          <w:bCs/>
          <w:szCs w:val="22"/>
        </w:rPr>
        <w:t>Brand expectations</w:t>
      </w:r>
      <w:r w:rsidRPr="00F36328">
        <w:rPr>
          <w:rFonts w:cs="Arial"/>
          <w:szCs w:val="22"/>
        </w:rPr>
        <w:t>: Guests increasingly choose or avoid hotels based on sustainability credentials, influencing occupancy and corporate contracts (PwC, 2024; Hospitality Net, 2025).</w:t>
      </w:r>
    </w:p>
    <w:p w14:paraId="72953A77" w14:textId="77777777" w:rsidR="00F36328" w:rsidRPr="00F36328" w:rsidRDefault="00F36328" w:rsidP="00C86349">
      <w:pPr>
        <w:spacing w:line="360" w:lineRule="auto"/>
        <w:rPr>
          <w:rFonts w:cs="Arial"/>
          <w:szCs w:val="22"/>
        </w:rPr>
      </w:pPr>
      <w:r w:rsidRPr="00F36328">
        <w:rPr>
          <w:rFonts w:cs="Arial"/>
          <w:b/>
          <w:bCs/>
          <w:szCs w:val="22"/>
        </w:rPr>
        <w:t>Causes</w:t>
      </w:r>
      <w:r w:rsidRPr="00F36328">
        <w:rPr>
          <w:rFonts w:cs="Arial"/>
          <w:szCs w:val="22"/>
        </w:rPr>
        <w:t>:</w:t>
      </w:r>
    </w:p>
    <w:p w14:paraId="61F0E8DB" w14:textId="77777777" w:rsidR="00F36328" w:rsidRPr="00F36328" w:rsidRDefault="00F36328" w:rsidP="00C86349">
      <w:pPr>
        <w:numPr>
          <w:ilvl w:val="0"/>
          <w:numId w:val="51"/>
        </w:numPr>
        <w:spacing w:line="360" w:lineRule="auto"/>
        <w:rPr>
          <w:rFonts w:cs="Arial"/>
          <w:szCs w:val="22"/>
        </w:rPr>
      </w:pPr>
      <w:r w:rsidRPr="00F36328">
        <w:rPr>
          <w:rFonts w:cs="Arial"/>
          <w:b/>
          <w:bCs/>
          <w:szCs w:val="22"/>
        </w:rPr>
        <w:lastRenderedPageBreak/>
        <w:t>Regulatory landscape</w:t>
      </w:r>
      <w:r w:rsidRPr="00F36328">
        <w:rPr>
          <w:rFonts w:cs="Arial"/>
          <w:szCs w:val="22"/>
        </w:rPr>
        <w:t>: UK government’s net-zero targets and building regulations create compliance obligations for energy efficiency upgrades (PwC, 2024; Savills, 2025).</w:t>
      </w:r>
    </w:p>
    <w:p w14:paraId="7221FCB0" w14:textId="77777777" w:rsidR="00F36328" w:rsidRPr="00F36328" w:rsidRDefault="00F36328" w:rsidP="00C86349">
      <w:pPr>
        <w:numPr>
          <w:ilvl w:val="0"/>
          <w:numId w:val="51"/>
        </w:numPr>
        <w:spacing w:line="360" w:lineRule="auto"/>
        <w:rPr>
          <w:rFonts w:cs="Arial"/>
          <w:szCs w:val="22"/>
        </w:rPr>
      </w:pPr>
      <w:r w:rsidRPr="00F36328">
        <w:rPr>
          <w:rFonts w:cs="Arial"/>
          <w:b/>
          <w:bCs/>
          <w:szCs w:val="22"/>
        </w:rPr>
        <w:t>Consumer behaviour</w:t>
      </w:r>
      <w:r w:rsidRPr="00F36328">
        <w:rPr>
          <w:rFonts w:cs="Arial"/>
          <w:szCs w:val="22"/>
        </w:rPr>
        <w:t>: Rising environmental consciousness among travellers puts pressure on hotels to demonstrate green practices (PwC, 2024; Hospitality Net, 2025).</w:t>
      </w:r>
    </w:p>
    <w:p w14:paraId="1CE7D1B1" w14:textId="77777777" w:rsidR="00F36328" w:rsidRPr="00F36328" w:rsidRDefault="00F36328" w:rsidP="00C86349">
      <w:pPr>
        <w:spacing w:line="360" w:lineRule="auto"/>
        <w:rPr>
          <w:rFonts w:cs="Arial"/>
          <w:b/>
          <w:bCs/>
          <w:szCs w:val="22"/>
        </w:rPr>
      </w:pPr>
      <w:r w:rsidRPr="00F36328">
        <w:rPr>
          <w:rFonts w:cs="Arial"/>
          <w:b/>
          <w:bCs/>
          <w:szCs w:val="22"/>
        </w:rPr>
        <w:t>2.5 Positive Performance Areas</w:t>
      </w:r>
    </w:p>
    <w:p w14:paraId="0464408E" w14:textId="77777777" w:rsidR="00F36328" w:rsidRPr="00F36328" w:rsidRDefault="00F36328" w:rsidP="00C86349">
      <w:pPr>
        <w:spacing w:line="360" w:lineRule="auto"/>
        <w:rPr>
          <w:rFonts w:cs="Arial"/>
          <w:szCs w:val="22"/>
        </w:rPr>
      </w:pPr>
      <w:r w:rsidRPr="00F36328">
        <w:rPr>
          <w:rFonts w:cs="Arial"/>
          <w:szCs w:val="22"/>
        </w:rPr>
        <w:t>While challenges are evident, the hotel also exhibits strengths:</w:t>
      </w:r>
    </w:p>
    <w:p w14:paraId="150D457B" w14:textId="77777777" w:rsidR="00F36328" w:rsidRPr="00F36328" w:rsidRDefault="00F36328" w:rsidP="00C86349">
      <w:pPr>
        <w:numPr>
          <w:ilvl w:val="0"/>
          <w:numId w:val="52"/>
        </w:numPr>
        <w:spacing w:line="360" w:lineRule="auto"/>
        <w:rPr>
          <w:rFonts w:cs="Arial"/>
          <w:szCs w:val="22"/>
        </w:rPr>
      </w:pPr>
      <w:r w:rsidRPr="00F36328">
        <w:rPr>
          <w:rFonts w:cs="Arial"/>
          <w:b/>
          <w:bCs/>
          <w:szCs w:val="22"/>
        </w:rPr>
        <w:t>Prime location</w:t>
      </w:r>
      <w:r w:rsidRPr="00F36328">
        <w:rPr>
          <w:rFonts w:cs="Arial"/>
          <w:szCs w:val="22"/>
        </w:rPr>
        <w:t>: Direct connection to Paddington Station and Heathrow Express link is a significant competitive advantage in London (Hilton, 2024; TripAdvisor, 2024).</w:t>
      </w:r>
    </w:p>
    <w:p w14:paraId="392F3482" w14:textId="77777777" w:rsidR="00F36328" w:rsidRPr="00F36328" w:rsidRDefault="00F36328" w:rsidP="00C86349">
      <w:pPr>
        <w:numPr>
          <w:ilvl w:val="0"/>
          <w:numId w:val="52"/>
        </w:numPr>
        <w:spacing w:line="360" w:lineRule="auto"/>
        <w:rPr>
          <w:rFonts w:cs="Arial"/>
          <w:szCs w:val="22"/>
        </w:rPr>
      </w:pPr>
      <w:r w:rsidRPr="00F36328">
        <w:rPr>
          <w:rFonts w:cs="Arial"/>
          <w:b/>
          <w:bCs/>
          <w:szCs w:val="22"/>
        </w:rPr>
        <w:t>Heritage appeal</w:t>
      </w:r>
      <w:r w:rsidRPr="00F36328">
        <w:rPr>
          <w:rFonts w:cs="Arial"/>
          <w:szCs w:val="22"/>
        </w:rPr>
        <w:t>: Victorian architecture and historical narrative differentiate it in marketing and guest experience (Brindle, 2004; EP Consulting, 2023).</w:t>
      </w:r>
    </w:p>
    <w:p w14:paraId="62FE3B3D" w14:textId="77777777" w:rsidR="00F36328" w:rsidRPr="00F36328" w:rsidRDefault="00F36328" w:rsidP="00C86349">
      <w:pPr>
        <w:numPr>
          <w:ilvl w:val="0"/>
          <w:numId w:val="52"/>
        </w:numPr>
        <w:spacing w:line="360" w:lineRule="auto"/>
        <w:rPr>
          <w:rFonts w:cs="Arial"/>
          <w:szCs w:val="22"/>
        </w:rPr>
      </w:pPr>
      <w:r w:rsidRPr="00F36328">
        <w:rPr>
          <w:rFonts w:cs="Arial"/>
          <w:b/>
          <w:bCs/>
          <w:szCs w:val="22"/>
        </w:rPr>
        <w:t>Established brand equity</w:t>
      </w:r>
      <w:r w:rsidRPr="00F36328">
        <w:rPr>
          <w:rFonts w:cs="Arial"/>
          <w:szCs w:val="22"/>
        </w:rPr>
        <w:t>: Hilton’s loyalty programme and global distribution channels support occupancy, especially in corporate and loyalty segments (Hilton, 2024; PwC, 2024).</w:t>
      </w:r>
    </w:p>
    <w:p w14:paraId="4E336F19" w14:textId="77777777" w:rsidR="00F36328" w:rsidRPr="00F36328" w:rsidRDefault="00F36328" w:rsidP="00C86349">
      <w:pPr>
        <w:numPr>
          <w:ilvl w:val="0"/>
          <w:numId w:val="52"/>
        </w:numPr>
        <w:spacing w:line="360" w:lineRule="auto"/>
        <w:rPr>
          <w:rFonts w:cs="Arial"/>
          <w:szCs w:val="22"/>
        </w:rPr>
      </w:pPr>
      <w:r w:rsidRPr="00F36328">
        <w:rPr>
          <w:rFonts w:cs="Arial"/>
          <w:b/>
          <w:bCs/>
          <w:szCs w:val="22"/>
        </w:rPr>
        <w:t>Recent partial refurbishments</w:t>
      </w:r>
      <w:r w:rsidRPr="00F36328">
        <w:rPr>
          <w:rFonts w:cs="Arial"/>
          <w:szCs w:val="22"/>
        </w:rPr>
        <w:t>: Completed investments in conference/event spaces and public areas (£350,000; EP Consulting, 2023) demonstrate capacity to upgrade selectively (HotelDesigns, 2024).</w:t>
      </w:r>
    </w:p>
    <w:p w14:paraId="2639E70D" w14:textId="77777777" w:rsidR="00F36328" w:rsidRPr="00F36328" w:rsidRDefault="00F36328" w:rsidP="00C86349">
      <w:pPr>
        <w:spacing w:line="360" w:lineRule="auto"/>
        <w:rPr>
          <w:rFonts w:cs="Arial"/>
          <w:szCs w:val="22"/>
        </w:rPr>
      </w:pPr>
      <w:r w:rsidRPr="00F36328">
        <w:rPr>
          <w:rFonts w:cs="Arial"/>
          <w:szCs w:val="22"/>
        </w:rPr>
        <w:t>These positive areas serve as foundations to build strategic initiatives.</w:t>
      </w:r>
    </w:p>
    <w:p w14:paraId="1661B6D1" w14:textId="77777777" w:rsidR="00F36328" w:rsidRPr="00F36328" w:rsidRDefault="00F36328" w:rsidP="00C86349">
      <w:pPr>
        <w:spacing w:line="360" w:lineRule="auto"/>
        <w:rPr>
          <w:rFonts w:cs="Arial"/>
          <w:b/>
          <w:bCs/>
          <w:szCs w:val="22"/>
        </w:rPr>
      </w:pPr>
      <w:r w:rsidRPr="00F36328">
        <w:rPr>
          <w:rFonts w:cs="Arial"/>
          <w:b/>
          <w:bCs/>
          <w:szCs w:val="22"/>
        </w:rPr>
        <w:t>3. STEEPLED Analysis</w:t>
      </w:r>
    </w:p>
    <w:p w14:paraId="3DAF2247" w14:textId="77777777" w:rsidR="00F36328" w:rsidRPr="00F36328" w:rsidRDefault="00F36328" w:rsidP="00C86349">
      <w:pPr>
        <w:spacing w:line="360" w:lineRule="auto"/>
        <w:rPr>
          <w:rFonts w:cs="Arial"/>
          <w:szCs w:val="22"/>
        </w:rPr>
      </w:pPr>
      <w:r w:rsidRPr="00F36328">
        <w:rPr>
          <w:rFonts w:cs="Arial"/>
          <w:szCs w:val="22"/>
        </w:rPr>
        <w:t>Below is a STEEPLED table focused on external factors affecting Hilton London Paddington. Each factor is tied to hotel context: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04"/>
        <w:gridCol w:w="7422"/>
      </w:tblGrid>
      <w:tr w:rsidR="00F36328" w:rsidRPr="00F36328" w14:paraId="2EADB193" w14:textId="77777777" w:rsidTr="00F36328">
        <w:trPr>
          <w:tblHeader/>
          <w:tblCellSpacing w:w="15" w:type="dxa"/>
        </w:trPr>
        <w:tc>
          <w:tcPr>
            <w:tcW w:w="0" w:type="auto"/>
            <w:vAlign w:val="center"/>
            <w:hideMark/>
          </w:tcPr>
          <w:p w14:paraId="02C2DA09" w14:textId="77777777" w:rsidR="00F36328" w:rsidRPr="00F36328" w:rsidRDefault="00F36328" w:rsidP="00C86349">
            <w:pPr>
              <w:spacing w:line="360" w:lineRule="auto"/>
              <w:rPr>
                <w:rFonts w:cs="Arial"/>
                <w:b/>
                <w:bCs/>
                <w:szCs w:val="22"/>
              </w:rPr>
            </w:pPr>
            <w:r w:rsidRPr="00F36328">
              <w:rPr>
                <w:rFonts w:cs="Arial"/>
                <w:b/>
                <w:bCs/>
                <w:szCs w:val="22"/>
              </w:rPr>
              <w:t>Factor</w:t>
            </w:r>
          </w:p>
        </w:tc>
        <w:tc>
          <w:tcPr>
            <w:tcW w:w="0" w:type="auto"/>
            <w:vAlign w:val="center"/>
            <w:hideMark/>
          </w:tcPr>
          <w:p w14:paraId="08332F64" w14:textId="77777777" w:rsidR="00F36328" w:rsidRPr="00F36328" w:rsidRDefault="00F36328" w:rsidP="00C86349">
            <w:pPr>
              <w:spacing w:line="360" w:lineRule="auto"/>
              <w:rPr>
                <w:rFonts w:cs="Arial"/>
                <w:b/>
                <w:bCs/>
                <w:szCs w:val="22"/>
              </w:rPr>
            </w:pPr>
            <w:r w:rsidRPr="00F36328">
              <w:rPr>
                <w:rFonts w:cs="Arial"/>
                <w:b/>
                <w:bCs/>
                <w:szCs w:val="22"/>
              </w:rPr>
              <w:t>Key Considerations for Hilton London Paddington</w:t>
            </w:r>
          </w:p>
        </w:tc>
      </w:tr>
      <w:tr w:rsidR="00F36328" w:rsidRPr="00F36328" w14:paraId="71A57634" w14:textId="77777777" w:rsidTr="00F36328">
        <w:trPr>
          <w:tblCellSpacing w:w="15" w:type="dxa"/>
        </w:trPr>
        <w:tc>
          <w:tcPr>
            <w:tcW w:w="0" w:type="auto"/>
            <w:vAlign w:val="center"/>
            <w:hideMark/>
          </w:tcPr>
          <w:p w14:paraId="58821F3F" w14:textId="77777777" w:rsidR="00F36328" w:rsidRPr="00F36328" w:rsidRDefault="00F36328" w:rsidP="00C86349">
            <w:pPr>
              <w:spacing w:line="360" w:lineRule="auto"/>
              <w:rPr>
                <w:rFonts w:cs="Arial"/>
                <w:szCs w:val="22"/>
              </w:rPr>
            </w:pPr>
            <w:r w:rsidRPr="00F36328">
              <w:rPr>
                <w:rFonts w:cs="Arial"/>
                <w:b/>
                <w:bCs/>
                <w:szCs w:val="22"/>
              </w:rPr>
              <w:t>Social</w:t>
            </w:r>
          </w:p>
        </w:tc>
        <w:tc>
          <w:tcPr>
            <w:tcW w:w="0" w:type="auto"/>
            <w:vAlign w:val="center"/>
            <w:hideMark/>
          </w:tcPr>
          <w:p w14:paraId="12F59017" w14:textId="77777777" w:rsidR="00F36328" w:rsidRPr="00F36328" w:rsidRDefault="00F36328" w:rsidP="00C86349">
            <w:pPr>
              <w:spacing w:line="360" w:lineRule="auto"/>
              <w:rPr>
                <w:rFonts w:cs="Arial"/>
                <w:szCs w:val="22"/>
              </w:rPr>
            </w:pPr>
            <w:r w:rsidRPr="00F36328">
              <w:rPr>
                <w:rFonts w:cs="Arial"/>
                <w:szCs w:val="22"/>
              </w:rPr>
              <w:t>• Changing guest demographics: rise of millennials and experience-seekers valuing authenticity and heritage (Kotler, Bowen &amp; Makens, 2017; Hospitality Net, 2025).</w:t>
            </w:r>
            <w:r w:rsidRPr="00F36328">
              <w:rPr>
                <w:rFonts w:cs="Arial"/>
                <w:szCs w:val="22"/>
              </w:rPr>
              <w:br/>
              <w:t>• Health and safety expectations post-pandemic: emphasis on hygiene, contactless services (PwC, 2024; HVS, 2024).</w:t>
            </w:r>
          </w:p>
        </w:tc>
      </w:tr>
      <w:tr w:rsidR="00F36328" w:rsidRPr="00F36328" w14:paraId="7D8661B7" w14:textId="77777777" w:rsidTr="00F36328">
        <w:trPr>
          <w:tblCellSpacing w:w="15" w:type="dxa"/>
        </w:trPr>
        <w:tc>
          <w:tcPr>
            <w:tcW w:w="0" w:type="auto"/>
            <w:vAlign w:val="center"/>
            <w:hideMark/>
          </w:tcPr>
          <w:p w14:paraId="73B49D67" w14:textId="77777777" w:rsidR="00F36328" w:rsidRPr="00F36328" w:rsidRDefault="00F36328" w:rsidP="00C86349">
            <w:pPr>
              <w:spacing w:line="360" w:lineRule="auto"/>
              <w:rPr>
                <w:rFonts w:cs="Arial"/>
                <w:szCs w:val="22"/>
              </w:rPr>
            </w:pPr>
            <w:r w:rsidRPr="00F36328">
              <w:rPr>
                <w:rFonts w:cs="Arial"/>
                <w:b/>
                <w:bCs/>
                <w:szCs w:val="22"/>
              </w:rPr>
              <w:t>Technological</w:t>
            </w:r>
          </w:p>
        </w:tc>
        <w:tc>
          <w:tcPr>
            <w:tcW w:w="0" w:type="auto"/>
            <w:vAlign w:val="center"/>
            <w:hideMark/>
          </w:tcPr>
          <w:p w14:paraId="730763A3" w14:textId="77777777" w:rsidR="00F36328" w:rsidRPr="00F36328" w:rsidRDefault="00F36328" w:rsidP="00C86349">
            <w:pPr>
              <w:spacing w:line="360" w:lineRule="auto"/>
              <w:rPr>
                <w:rFonts w:cs="Arial"/>
                <w:szCs w:val="22"/>
              </w:rPr>
            </w:pPr>
            <w:r w:rsidRPr="00F36328">
              <w:rPr>
                <w:rFonts w:cs="Arial"/>
                <w:szCs w:val="22"/>
              </w:rPr>
              <w:t>• Guest demand for digital services: mobile check-in, smart-room controls, high-speed Wi-Fi (PwC, 2024; Hospitality Net, 2025).</w:t>
            </w:r>
            <w:r w:rsidRPr="00F36328">
              <w:rPr>
                <w:rFonts w:cs="Arial"/>
                <w:szCs w:val="22"/>
              </w:rPr>
              <w:br/>
            </w:r>
            <w:r w:rsidRPr="00F36328">
              <w:rPr>
                <w:rFonts w:cs="Arial"/>
                <w:szCs w:val="22"/>
              </w:rPr>
              <w:lastRenderedPageBreak/>
              <w:t>• Back-of-house tech: property management systems, predictive maintenance analytics for M&amp;E (CBRE, 2024; Saunders, Lewis &amp; Thornhill, 2009).</w:t>
            </w:r>
          </w:p>
        </w:tc>
      </w:tr>
      <w:tr w:rsidR="00F36328" w:rsidRPr="00F36328" w14:paraId="07FFCC28" w14:textId="77777777" w:rsidTr="00F36328">
        <w:trPr>
          <w:tblCellSpacing w:w="15" w:type="dxa"/>
        </w:trPr>
        <w:tc>
          <w:tcPr>
            <w:tcW w:w="0" w:type="auto"/>
            <w:vAlign w:val="center"/>
            <w:hideMark/>
          </w:tcPr>
          <w:p w14:paraId="275FB347" w14:textId="77777777" w:rsidR="00F36328" w:rsidRPr="00F36328" w:rsidRDefault="00F36328" w:rsidP="00C86349">
            <w:pPr>
              <w:spacing w:line="360" w:lineRule="auto"/>
              <w:rPr>
                <w:rFonts w:cs="Arial"/>
                <w:szCs w:val="22"/>
              </w:rPr>
            </w:pPr>
            <w:r w:rsidRPr="00F36328">
              <w:rPr>
                <w:rFonts w:cs="Arial"/>
                <w:b/>
                <w:bCs/>
                <w:szCs w:val="22"/>
              </w:rPr>
              <w:lastRenderedPageBreak/>
              <w:t>Economic</w:t>
            </w:r>
          </w:p>
        </w:tc>
        <w:tc>
          <w:tcPr>
            <w:tcW w:w="0" w:type="auto"/>
            <w:vAlign w:val="center"/>
            <w:hideMark/>
          </w:tcPr>
          <w:p w14:paraId="1D6D5FC5" w14:textId="77777777" w:rsidR="00F36328" w:rsidRPr="00F36328" w:rsidRDefault="00F36328" w:rsidP="00C86349">
            <w:pPr>
              <w:spacing w:line="360" w:lineRule="auto"/>
              <w:rPr>
                <w:rFonts w:cs="Arial"/>
                <w:szCs w:val="22"/>
              </w:rPr>
            </w:pPr>
            <w:r w:rsidRPr="00F36328">
              <w:rPr>
                <w:rFonts w:cs="Arial"/>
                <w:szCs w:val="22"/>
              </w:rPr>
              <w:t>• Inflationary pressures: rising wages, utilities, supply-chain costs (PwC, 2024; Knight Frank, 2025).</w:t>
            </w:r>
            <w:r w:rsidRPr="00F36328">
              <w:rPr>
                <w:rFonts w:cs="Arial"/>
                <w:szCs w:val="22"/>
              </w:rPr>
              <w:br/>
              <w:t>• Exchange-rate fluctuations affecting inbound tourism volumes (PwC, 2024; HVS, 2024).</w:t>
            </w:r>
            <w:r w:rsidRPr="00F36328">
              <w:rPr>
                <w:rFonts w:cs="Arial"/>
                <w:szCs w:val="22"/>
              </w:rPr>
              <w:br/>
              <w:t>• London supply growth compressing ADR/RevPAR (Financial Times, 2025; CBRE, 2024).</w:t>
            </w:r>
          </w:p>
        </w:tc>
      </w:tr>
      <w:tr w:rsidR="00F36328" w:rsidRPr="00F36328" w14:paraId="0F3CDB6A" w14:textId="77777777" w:rsidTr="00F36328">
        <w:trPr>
          <w:tblCellSpacing w:w="15" w:type="dxa"/>
        </w:trPr>
        <w:tc>
          <w:tcPr>
            <w:tcW w:w="0" w:type="auto"/>
            <w:vAlign w:val="center"/>
            <w:hideMark/>
          </w:tcPr>
          <w:p w14:paraId="7B47C7DC" w14:textId="77777777" w:rsidR="00F36328" w:rsidRPr="00F36328" w:rsidRDefault="00F36328" w:rsidP="00C86349">
            <w:pPr>
              <w:spacing w:line="360" w:lineRule="auto"/>
              <w:rPr>
                <w:rFonts w:cs="Arial"/>
                <w:szCs w:val="22"/>
              </w:rPr>
            </w:pPr>
            <w:r w:rsidRPr="00F36328">
              <w:rPr>
                <w:rFonts w:cs="Arial"/>
                <w:b/>
                <w:bCs/>
                <w:szCs w:val="22"/>
              </w:rPr>
              <w:t>Environmental</w:t>
            </w:r>
          </w:p>
        </w:tc>
        <w:tc>
          <w:tcPr>
            <w:tcW w:w="0" w:type="auto"/>
            <w:vAlign w:val="center"/>
            <w:hideMark/>
          </w:tcPr>
          <w:p w14:paraId="0BCB3F02" w14:textId="77777777" w:rsidR="00F36328" w:rsidRPr="00F36328" w:rsidRDefault="00F36328" w:rsidP="00C86349">
            <w:pPr>
              <w:spacing w:line="360" w:lineRule="auto"/>
              <w:rPr>
                <w:rFonts w:cs="Arial"/>
                <w:szCs w:val="22"/>
              </w:rPr>
            </w:pPr>
            <w:r w:rsidRPr="00F36328">
              <w:rPr>
                <w:rFonts w:cs="Arial"/>
                <w:szCs w:val="22"/>
              </w:rPr>
              <w:t>• Regulatory push for energy efficiency: building retrofits, carbon reduction requirements (Savills, 2025; PwC, 2024).</w:t>
            </w:r>
            <w:r w:rsidRPr="00F36328">
              <w:rPr>
                <w:rFonts w:cs="Arial"/>
                <w:szCs w:val="22"/>
              </w:rPr>
              <w:br/>
              <w:t>• Consumer preference for sustainable practices (PwC, 2024; Hospitality Net, 2025).</w:t>
            </w:r>
            <w:r w:rsidRPr="00F36328">
              <w:rPr>
                <w:rFonts w:cs="Arial"/>
                <w:szCs w:val="22"/>
              </w:rPr>
              <w:br/>
              <w:t>• Heritage building constraints complicate environmental upgrades (Brindle, 2004; EP Consulting, 2023).</w:t>
            </w:r>
          </w:p>
        </w:tc>
      </w:tr>
      <w:tr w:rsidR="00F36328" w:rsidRPr="00F36328" w14:paraId="10B9B688" w14:textId="77777777" w:rsidTr="00F36328">
        <w:trPr>
          <w:tblCellSpacing w:w="15" w:type="dxa"/>
        </w:trPr>
        <w:tc>
          <w:tcPr>
            <w:tcW w:w="0" w:type="auto"/>
            <w:vAlign w:val="center"/>
            <w:hideMark/>
          </w:tcPr>
          <w:p w14:paraId="2CBA2104" w14:textId="77777777" w:rsidR="00F36328" w:rsidRPr="00F36328" w:rsidRDefault="00F36328" w:rsidP="00C86349">
            <w:pPr>
              <w:spacing w:line="360" w:lineRule="auto"/>
              <w:rPr>
                <w:rFonts w:cs="Arial"/>
                <w:szCs w:val="22"/>
              </w:rPr>
            </w:pPr>
            <w:r w:rsidRPr="00F36328">
              <w:rPr>
                <w:rFonts w:cs="Arial"/>
                <w:b/>
                <w:bCs/>
                <w:szCs w:val="22"/>
              </w:rPr>
              <w:t>Political</w:t>
            </w:r>
          </w:p>
        </w:tc>
        <w:tc>
          <w:tcPr>
            <w:tcW w:w="0" w:type="auto"/>
            <w:vAlign w:val="center"/>
            <w:hideMark/>
          </w:tcPr>
          <w:p w14:paraId="7B915012" w14:textId="77777777" w:rsidR="00F36328" w:rsidRPr="00F36328" w:rsidRDefault="00F36328" w:rsidP="00C86349">
            <w:pPr>
              <w:spacing w:line="360" w:lineRule="auto"/>
              <w:rPr>
                <w:rFonts w:cs="Arial"/>
                <w:szCs w:val="22"/>
              </w:rPr>
            </w:pPr>
            <w:r w:rsidRPr="00F36328">
              <w:rPr>
                <w:rFonts w:cs="Arial"/>
                <w:szCs w:val="22"/>
              </w:rPr>
              <w:t>• Post-Brexit labour regulations and immigration policies affecting staffing availability (PwC, 2024; The Guardian, 2025).</w:t>
            </w:r>
            <w:r w:rsidRPr="00F36328">
              <w:rPr>
                <w:rFonts w:cs="Arial"/>
                <w:szCs w:val="22"/>
              </w:rPr>
              <w:br/>
              <w:t>• Government support or taxation policies for hospitality (e.g., business rates relief) (PwC, 2024; Savills, 2025).</w:t>
            </w:r>
          </w:p>
        </w:tc>
      </w:tr>
      <w:tr w:rsidR="00F36328" w:rsidRPr="00F36328" w14:paraId="1AF56843" w14:textId="77777777" w:rsidTr="00F36328">
        <w:trPr>
          <w:tblCellSpacing w:w="15" w:type="dxa"/>
        </w:trPr>
        <w:tc>
          <w:tcPr>
            <w:tcW w:w="0" w:type="auto"/>
            <w:vAlign w:val="center"/>
            <w:hideMark/>
          </w:tcPr>
          <w:p w14:paraId="3F9C39C7" w14:textId="77777777" w:rsidR="00F36328" w:rsidRPr="00F36328" w:rsidRDefault="00F36328" w:rsidP="00C86349">
            <w:pPr>
              <w:spacing w:line="360" w:lineRule="auto"/>
              <w:rPr>
                <w:rFonts w:cs="Arial"/>
                <w:szCs w:val="22"/>
              </w:rPr>
            </w:pPr>
            <w:r w:rsidRPr="00F36328">
              <w:rPr>
                <w:rFonts w:cs="Arial"/>
                <w:b/>
                <w:bCs/>
                <w:szCs w:val="22"/>
              </w:rPr>
              <w:t>Legal</w:t>
            </w:r>
          </w:p>
        </w:tc>
        <w:tc>
          <w:tcPr>
            <w:tcW w:w="0" w:type="auto"/>
            <w:vAlign w:val="center"/>
            <w:hideMark/>
          </w:tcPr>
          <w:p w14:paraId="67614DE0" w14:textId="77777777" w:rsidR="00F36328" w:rsidRPr="00F36328" w:rsidRDefault="00F36328" w:rsidP="00C86349">
            <w:pPr>
              <w:spacing w:line="360" w:lineRule="auto"/>
              <w:rPr>
                <w:rFonts w:cs="Arial"/>
                <w:szCs w:val="22"/>
              </w:rPr>
            </w:pPr>
            <w:r w:rsidRPr="00F36328">
              <w:rPr>
                <w:rFonts w:cs="Arial"/>
                <w:szCs w:val="22"/>
              </w:rPr>
              <w:t>• Compliance with UK fire safety, accessibility, and building regulations in a Grade-listed building (Brindle, 2004; EP Consulting, 2023).</w:t>
            </w:r>
            <w:r w:rsidRPr="00F36328">
              <w:rPr>
                <w:rFonts w:cs="Arial"/>
                <w:szCs w:val="22"/>
              </w:rPr>
              <w:br/>
              <w:t>• Employment law changes (National Living Wage increases; working-hour regulations) impacting labour costs and scheduling (PwC, 2024; Saunders, Lewis &amp; Thornhill, 2009).</w:t>
            </w:r>
          </w:p>
        </w:tc>
      </w:tr>
      <w:tr w:rsidR="00F36328" w:rsidRPr="00F36328" w14:paraId="72B1139F" w14:textId="77777777" w:rsidTr="00F36328">
        <w:trPr>
          <w:tblCellSpacing w:w="15" w:type="dxa"/>
        </w:trPr>
        <w:tc>
          <w:tcPr>
            <w:tcW w:w="0" w:type="auto"/>
            <w:vAlign w:val="center"/>
            <w:hideMark/>
          </w:tcPr>
          <w:p w14:paraId="53AD9CAB" w14:textId="77777777" w:rsidR="00F36328" w:rsidRPr="00F36328" w:rsidRDefault="00F36328" w:rsidP="00C86349">
            <w:pPr>
              <w:spacing w:line="360" w:lineRule="auto"/>
              <w:rPr>
                <w:rFonts w:cs="Arial"/>
                <w:szCs w:val="22"/>
              </w:rPr>
            </w:pPr>
            <w:r w:rsidRPr="00F36328">
              <w:rPr>
                <w:rFonts w:cs="Arial"/>
                <w:b/>
                <w:bCs/>
                <w:szCs w:val="22"/>
              </w:rPr>
              <w:t>Ethical</w:t>
            </w:r>
          </w:p>
        </w:tc>
        <w:tc>
          <w:tcPr>
            <w:tcW w:w="0" w:type="auto"/>
            <w:vAlign w:val="center"/>
            <w:hideMark/>
          </w:tcPr>
          <w:p w14:paraId="46602D27" w14:textId="77777777" w:rsidR="00F36328" w:rsidRPr="00F36328" w:rsidRDefault="00F36328" w:rsidP="00C86349">
            <w:pPr>
              <w:spacing w:line="360" w:lineRule="auto"/>
              <w:rPr>
                <w:rFonts w:cs="Arial"/>
                <w:szCs w:val="22"/>
              </w:rPr>
            </w:pPr>
            <w:r w:rsidRPr="00F36328">
              <w:rPr>
                <w:rFonts w:cs="Arial"/>
                <w:szCs w:val="22"/>
              </w:rPr>
              <w:t>• Fair labour practices: ensuring staff well-being amid cost pressures (Kotler, Bowen &amp; Makens, 2017; Saunders, Lewis &amp; Thornhill, 2009).</w:t>
            </w:r>
            <w:r w:rsidRPr="00F36328">
              <w:rPr>
                <w:rFonts w:cs="Arial"/>
                <w:szCs w:val="22"/>
              </w:rPr>
              <w:br/>
              <w:t>• Responsible sourcing: sustainable procurement for F&amp;B and operations (PwC, 2024; Hospitality Net, 2025).</w:t>
            </w:r>
          </w:p>
        </w:tc>
      </w:tr>
      <w:tr w:rsidR="00F36328" w:rsidRPr="00F36328" w14:paraId="0A2CE9D5" w14:textId="77777777" w:rsidTr="00F36328">
        <w:trPr>
          <w:tblCellSpacing w:w="15" w:type="dxa"/>
        </w:trPr>
        <w:tc>
          <w:tcPr>
            <w:tcW w:w="0" w:type="auto"/>
            <w:vAlign w:val="center"/>
            <w:hideMark/>
          </w:tcPr>
          <w:p w14:paraId="0E4AAE87" w14:textId="77777777" w:rsidR="00F36328" w:rsidRPr="00F36328" w:rsidRDefault="00F36328" w:rsidP="00C86349">
            <w:pPr>
              <w:spacing w:line="360" w:lineRule="auto"/>
              <w:rPr>
                <w:rFonts w:cs="Arial"/>
                <w:szCs w:val="22"/>
              </w:rPr>
            </w:pPr>
            <w:r w:rsidRPr="00F36328">
              <w:rPr>
                <w:rFonts w:cs="Arial"/>
                <w:b/>
                <w:bCs/>
                <w:szCs w:val="22"/>
              </w:rPr>
              <w:t>Demographic</w:t>
            </w:r>
          </w:p>
        </w:tc>
        <w:tc>
          <w:tcPr>
            <w:tcW w:w="0" w:type="auto"/>
            <w:vAlign w:val="center"/>
            <w:hideMark/>
          </w:tcPr>
          <w:p w14:paraId="62163CF2" w14:textId="77777777" w:rsidR="00F36328" w:rsidRPr="00F36328" w:rsidRDefault="00F36328" w:rsidP="00C86349">
            <w:pPr>
              <w:spacing w:line="360" w:lineRule="auto"/>
              <w:rPr>
                <w:rFonts w:cs="Arial"/>
                <w:szCs w:val="22"/>
              </w:rPr>
            </w:pPr>
            <w:r w:rsidRPr="00F36328">
              <w:rPr>
                <w:rFonts w:cs="Arial"/>
                <w:szCs w:val="22"/>
              </w:rPr>
              <w:t>• Ageing traveller segments (baby boomers) valuing comfort and heritage vs younger travellers seeking tech and experiences (Kotler, Bowen &amp; Makens, 2017; Hospitality Net, 2025).</w:t>
            </w:r>
            <w:r w:rsidRPr="00F36328">
              <w:rPr>
                <w:rFonts w:cs="Arial"/>
                <w:szCs w:val="22"/>
              </w:rPr>
              <w:br/>
            </w:r>
            <w:r w:rsidRPr="00F36328">
              <w:rPr>
                <w:rFonts w:cs="Arial"/>
                <w:szCs w:val="22"/>
              </w:rPr>
              <w:lastRenderedPageBreak/>
              <w:t>• International mix: business vs leisure travellers, emerging source markets (Asia, Middle East) sensitive to exchange rates (PwC, 2024; HVS, 2024).</w:t>
            </w:r>
          </w:p>
        </w:tc>
      </w:tr>
    </w:tbl>
    <w:p w14:paraId="781342A7" w14:textId="77777777" w:rsidR="00F36328" w:rsidRPr="00F36328" w:rsidRDefault="00F36328" w:rsidP="00C86349">
      <w:pPr>
        <w:spacing w:line="360" w:lineRule="auto"/>
        <w:rPr>
          <w:rFonts w:cs="Arial"/>
          <w:szCs w:val="22"/>
        </w:rPr>
      </w:pPr>
      <w:r w:rsidRPr="00F36328">
        <w:rPr>
          <w:rFonts w:cs="Arial"/>
          <w:i/>
          <w:iCs/>
          <w:szCs w:val="22"/>
        </w:rPr>
        <w:lastRenderedPageBreak/>
        <w:t>(Word count for table narrative and labels is included in the 1,750-word count.)</w:t>
      </w:r>
    </w:p>
    <w:p w14:paraId="15F0FC4D" w14:textId="77777777" w:rsidR="00F36328" w:rsidRPr="00F36328" w:rsidRDefault="00F36328" w:rsidP="00C86349">
      <w:pPr>
        <w:spacing w:line="360" w:lineRule="auto"/>
        <w:rPr>
          <w:rFonts w:cs="Arial"/>
          <w:b/>
          <w:bCs/>
          <w:szCs w:val="22"/>
        </w:rPr>
      </w:pPr>
      <w:r w:rsidRPr="00F36328">
        <w:rPr>
          <w:rFonts w:cs="Arial"/>
          <w:b/>
          <w:bCs/>
          <w:szCs w:val="22"/>
        </w:rPr>
        <w:t>4. SWOT Analysis</w:t>
      </w:r>
    </w:p>
    <w:p w14:paraId="590BE4B9" w14:textId="77777777" w:rsidR="00F36328" w:rsidRPr="00F36328" w:rsidRDefault="00F36328" w:rsidP="00C86349">
      <w:pPr>
        <w:spacing w:line="360" w:lineRule="auto"/>
        <w:rPr>
          <w:rFonts w:cs="Arial"/>
          <w:szCs w:val="22"/>
        </w:rPr>
      </w:pPr>
      <w:r w:rsidRPr="00F36328">
        <w:rPr>
          <w:rFonts w:cs="Arial"/>
          <w:szCs w:val="22"/>
        </w:rPr>
        <w:t>Below is a summary SWOT table for Hilton London Paddington: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40"/>
        <w:gridCol w:w="30"/>
        <w:gridCol w:w="4756"/>
      </w:tblGrid>
      <w:tr w:rsidR="00F36328" w:rsidRPr="00F36328" w14:paraId="67150CA7" w14:textId="77777777" w:rsidTr="00F36328">
        <w:trPr>
          <w:tblHeader/>
          <w:tblCellSpacing w:w="15" w:type="dxa"/>
        </w:trPr>
        <w:tc>
          <w:tcPr>
            <w:tcW w:w="0" w:type="auto"/>
            <w:vAlign w:val="center"/>
            <w:hideMark/>
          </w:tcPr>
          <w:p w14:paraId="38526360" w14:textId="77777777" w:rsidR="00F36328" w:rsidRPr="00F36328" w:rsidRDefault="00F36328" w:rsidP="00C86349">
            <w:pPr>
              <w:spacing w:line="360" w:lineRule="auto"/>
              <w:rPr>
                <w:rFonts w:cs="Arial"/>
                <w:b/>
                <w:bCs/>
                <w:szCs w:val="22"/>
              </w:rPr>
            </w:pPr>
            <w:r w:rsidRPr="00F36328">
              <w:rPr>
                <w:rFonts w:cs="Arial"/>
                <w:b/>
                <w:bCs/>
                <w:szCs w:val="22"/>
              </w:rPr>
              <w:t>Strengths</w:t>
            </w:r>
          </w:p>
        </w:tc>
        <w:tc>
          <w:tcPr>
            <w:tcW w:w="0" w:type="auto"/>
            <w:gridSpan w:val="2"/>
            <w:vAlign w:val="center"/>
            <w:hideMark/>
          </w:tcPr>
          <w:p w14:paraId="4BBB2F5E" w14:textId="77777777" w:rsidR="00F36328" w:rsidRPr="00F36328" w:rsidRDefault="00F36328" w:rsidP="00C86349">
            <w:pPr>
              <w:spacing w:line="360" w:lineRule="auto"/>
              <w:rPr>
                <w:rFonts w:cs="Arial"/>
                <w:b/>
                <w:bCs/>
                <w:szCs w:val="22"/>
              </w:rPr>
            </w:pPr>
            <w:r w:rsidRPr="00F36328">
              <w:rPr>
                <w:rFonts w:cs="Arial"/>
                <w:b/>
                <w:bCs/>
                <w:szCs w:val="22"/>
              </w:rPr>
              <w:t>Weaknesses</w:t>
            </w:r>
          </w:p>
        </w:tc>
      </w:tr>
      <w:tr w:rsidR="00F36328" w:rsidRPr="00F36328" w14:paraId="3FE75CB3" w14:textId="77777777" w:rsidTr="00F36328">
        <w:trPr>
          <w:tblCellSpacing w:w="15" w:type="dxa"/>
        </w:trPr>
        <w:tc>
          <w:tcPr>
            <w:tcW w:w="0" w:type="auto"/>
            <w:vAlign w:val="center"/>
            <w:hideMark/>
          </w:tcPr>
          <w:p w14:paraId="2D9344E7" w14:textId="77777777" w:rsidR="00F36328" w:rsidRPr="00F36328" w:rsidRDefault="00F36328" w:rsidP="00C86349">
            <w:pPr>
              <w:spacing w:line="360" w:lineRule="auto"/>
              <w:rPr>
                <w:rFonts w:cs="Arial"/>
                <w:szCs w:val="22"/>
              </w:rPr>
            </w:pPr>
            <w:r w:rsidRPr="00F36328">
              <w:rPr>
                <w:rFonts w:cs="Arial"/>
                <w:szCs w:val="22"/>
              </w:rPr>
              <w:t>• Prime location at Paddington Station with Heathrow Express link (Hilton, 2024; TripAdvisor, 2024).</w:t>
            </w:r>
          </w:p>
        </w:tc>
        <w:tc>
          <w:tcPr>
            <w:tcW w:w="0" w:type="auto"/>
            <w:gridSpan w:val="2"/>
            <w:vAlign w:val="center"/>
            <w:hideMark/>
          </w:tcPr>
          <w:p w14:paraId="05C70A6B" w14:textId="77777777" w:rsidR="00F36328" w:rsidRPr="00F36328" w:rsidRDefault="00F36328" w:rsidP="00C86349">
            <w:pPr>
              <w:spacing w:line="360" w:lineRule="auto"/>
              <w:rPr>
                <w:rFonts w:cs="Arial"/>
                <w:szCs w:val="22"/>
              </w:rPr>
            </w:pPr>
            <w:r w:rsidRPr="00F36328">
              <w:rPr>
                <w:rFonts w:cs="Arial"/>
                <w:szCs w:val="22"/>
              </w:rPr>
              <w:t>• Ageing infrastructure: outdated room décor, AC reliability, elevator delays (TripAdvisor, 2024; Trip.com, 2025).</w:t>
            </w:r>
          </w:p>
        </w:tc>
      </w:tr>
      <w:tr w:rsidR="00F36328" w:rsidRPr="00F36328" w14:paraId="7E33B6E0" w14:textId="77777777" w:rsidTr="00F36328">
        <w:trPr>
          <w:tblCellSpacing w:w="15" w:type="dxa"/>
        </w:trPr>
        <w:tc>
          <w:tcPr>
            <w:tcW w:w="0" w:type="auto"/>
            <w:vAlign w:val="center"/>
            <w:hideMark/>
          </w:tcPr>
          <w:p w14:paraId="29DC10DA" w14:textId="77777777" w:rsidR="00F36328" w:rsidRPr="00F36328" w:rsidRDefault="00F36328" w:rsidP="00C86349">
            <w:pPr>
              <w:spacing w:line="360" w:lineRule="auto"/>
              <w:rPr>
                <w:rFonts w:cs="Arial"/>
                <w:szCs w:val="22"/>
              </w:rPr>
            </w:pPr>
            <w:r w:rsidRPr="00F36328">
              <w:rPr>
                <w:rFonts w:cs="Arial"/>
                <w:szCs w:val="22"/>
              </w:rPr>
              <w:t>• Heritage appeal and historical narrative differentiator (Brindle, 2004; EP Consulting, 2023).</w:t>
            </w:r>
          </w:p>
        </w:tc>
        <w:tc>
          <w:tcPr>
            <w:tcW w:w="0" w:type="auto"/>
            <w:gridSpan w:val="2"/>
            <w:vAlign w:val="center"/>
            <w:hideMark/>
          </w:tcPr>
          <w:p w14:paraId="7A7F3C28" w14:textId="77777777" w:rsidR="00F36328" w:rsidRPr="00F36328" w:rsidRDefault="00F36328" w:rsidP="00C86349">
            <w:pPr>
              <w:spacing w:line="360" w:lineRule="auto"/>
              <w:rPr>
                <w:rFonts w:cs="Arial"/>
                <w:szCs w:val="22"/>
              </w:rPr>
            </w:pPr>
            <w:r w:rsidRPr="00F36328">
              <w:rPr>
                <w:rFonts w:cs="Arial"/>
                <w:szCs w:val="22"/>
              </w:rPr>
              <w:t>• Limited capital earmarked for large-scale refurbishments due to margin pressure (Knight Frank, 2025; PwC, 2024).</w:t>
            </w:r>
          </w:p>
        </w:tc>
      </w:tr>
      <w:tr w:rsidR="00F36328" w:rsidRPr="00F36328" w14:paraId="1F17BF31" w14:textId="77777777" w:rsidTr="00F36328">
        <w:trPr>
          <w:tblCellSpacing w:w="15" w:type="dxa"/>
        </w:trPr>
        <w:tc>
          <w:tcPr>
            <w:tcW w:w="0" w:type="auto"/>
            <w:vAlign w:val="center"/>
            <w:hideMark/>
          </w:tcPr>
          <w:p w14:paraId="20FBA264" w14:textId="77777777" w:rsidR="00F36328" w:rsidRPr="00F36328" w:rsidRDefault="00F36328" w:rsidP="00C86349">
            <w:pPr>
              <w:spacing w:line="360" w:lineRule="auto"/>
              <w:rPr>
                <w:rFonts w:cs="Arial"/>
                <w:szCs w:val="22"/>
              </w:rPr>
            </w:pPr>
            <w:r w:rsidRPr="00F36328">
              <w:rPr>
                <w:rFonts w:cs="Arial"/>
                <w:szCs w:val="22"/>
              </w:rPr>
              <w:t>• Strong brand equity and loyalty programme driving occupancy (Hilton, 2024; PwC, 2024).</w:t>
            </w:r>
          </w:p>
        </w:tc>
        <w:tc>
          <w:tcPr>
            <w:tcW w:w="0" w:type="auto"/>
            <w:gridSpan w:val="2"/>
            <w:vAlign w:val="center"/>
            <w:hideMark/>
          </w:tcPr>
          <w:p w14:paraId="7091A945" w14:textId="77777777" w:rsidR="00F36328" w:rsidRPr="00F36328" w:rsidRDefault="00F36328" w:rsidP="00C86349">
            <w:pPr>
              <w:spacing w:line="360" w:lineRule="auto"/>
              <w:rPr>
                <w:rFonts w:cs="Arial"/>
                <w:szCs w:val="22"/>
              </w:rPr>
            </w:pPr>
            <w:r w:rsidRPr="00F36328">
              <w:rPr>
                <w:rFonts w:cs="Arial"/>
                <w:szCs w:val="22"/>
              </w:rPr>
              <w:t>• Operational cost pressure (labour, utilities) compressing budgets (PwC, 2024; The Guardian, 2025).</w:t>
            </w:r>
          </w:p>
        </w:tc>
      </w:tr>
      <w:tr w:rsidR="00F36328" w:rsidRPr="00F36328" w14:paraId="42C5DCC9" w14:textId="77777777" w:rsidTr="00F36328">
        <w:trPr>
          <w:tblCellSpacing w:w="15" w:type="dxa"/>
        </w:trPr>
        <w:tc>
          <w:tcPr>
            <w:tcW w:w="0" w:type="auto"/>
            <w:vAlign w:val="center"/>
            <w:hideMark/>
          </w:tcPr>
          <w:p w14:paraId="6D0E8FD8" w14:textId="77777777" w:rsidR="00F36328" w:rsidRPr="00F36328" w:rsidRDefault="00F36328" w:rsidP="00C86349">
            <w:pPr>
              <w:spacing w:line="360" w:lineRule="auto"/>
              <w:rPr>
                <w:rFonts w:cs="Arial"/>
                <w:szCs w:val="22"/>
              </w:rPr>
            </w:pPr>
            <w:r w:rsidRPr="00F36328">
              <w:rPr>
                <w:rFonts w:cs="Arial"/>
                <w:szCs w:val="22"/>
              </w:rPr>
              <w:t>• Recent partial refurbishments in public/meeting spaces (HotelDesigns, 2024; EP Consulting, 2023).</w:t>
            </w:r>
          </w:p>
        </w:tc>
        <w:tc>
          <w:tcPr>
            <w:tcW w:w="0" w:type="auto"/>
            <w:gridSpan w:val="2"/>
            <w:vAlign w:val="center"/>
            <w:hideMark/>
          </w:tcPr>
          <w:p w14:paraId="62B13186" w14:textId="77777777" w:rsidR="00F36328" w:rsidRPr="00F36328" w:rsidRDefault="00F36328" w:rsidP="00C86349">
            <w:pPr>
              <w:spacing w:line="360" w:lineRule="auto"/>
              <w:rPr>
                <w:rFonts w:cs="Arial"/>
                <w:szCs w:val="22"/>
              </w:rPr>
            </w:pPr>
            <w:r w:rsidRPr="00F36328">
              <w:rPr>
                <w:rFonts w:cs="Arial"/>
                <w:szCs w:val="22"/>
              </w:rPr>
              <w:t>• Heritage building constraints complicating modern tech/sustainability upgrades (Brindle, 2004; Savills, 2025).</w:t>
            </w:r>
          </w:p>
        </w:tc>
      </w:tr>
      <w:tr w:rsidR="00F36328" w:rsidRPr="00F36328" w14:paraId="2183E73A" w14:textId="77777777" w:rsidTr="00F36328">
        <w:trPr>
          <w:tblCellSpacing w:w="15" w:type="dxa"/>
        </w:trPr>
        <w:tc>
          <w:tcPr>
            <w:tcW w:w="0" w:type="auto"/>
            <w:vAlign w:val="center"/>
            <w:hideMark/>
          </w:tcPr>
          <w:p w14:paraId="3BB3F591" w14:textId="77777777" w:rsidR="00F36328" w:rsidRPr="00F36328" w:rsidRDefault="00F36328" w:rsidP="00C86349">
            <w:pPr>
              <w:spacing w:line="360" w:lineRule="auto"/>
              <w:rPr>
                <w:rFonts w:cs="Arial"/>
                <w:szCs w:val="22"/>
              </w:rPr>
            </w:pPr>
            <w:r w:rsidRPr="00F36328">
              <w:rPr>
                <w:rFonts w:cs="Arial"/>
                <w:szCs w:val="22"/>
              </w:rPr>
              <w:t>• Established corporate and group booking channels (Hilton, 2024; CBRE, 2024).</w:t>
            </w:r>
          </w:p>
        </w:tc>
        <w:tc>
          <w:tcPr>
            <w:tcW w:w="0" w:type="auto"/>
            <w:gridSpan w:val="2"/>
            <w:vAlign w:val="center"/>
            <w:hideMark/>
          </w:tcPr>
          <w:p w14:paraId="01E0A0C2" w14:textId="77777777" w:rsidR="00F36328" w:rsidRPr="00F36328" w:rsidRDefault="00F36328" w:rsidP="00C86349">
            <w:pPr>
              <w:spacing w:line="360" w:lineRule="auto"/>
              <w:rPr>
                <w:rFonts w:cs="Arial"/>
                <w:szCs w:val="22"/>
              </w:rPr>
            </w:pPr>
            <w:r w:rsidRPr="00F36328">
              <w:rPr>
                <w:rFonts w:cs="Arial"/>
                <w:szCs w:val="22"/>
              </w:rPr>
              <w:t>• Increasing competition from newer luxury openings in London (Financial Times, 2025; Knight Frank, 2025).</w:t>
            </w:r>
          </w:p>
        </w:tc>
      </w:tr>
      <w:tr w:rsidR="00F36328" w:rsidRPr="00F36328" w14:paraId="3D07251C" w14:textId="77777777" w:rsidTr="00F36328">
        <w:trPr>
          <w:tblHeader/>
          <w:tblCellSpacing w:w="15" w:type="dxa"/>
        </w:trPr>
        <w:tc>
          <w:tcPr>
            <w:tcW w:w="0" w:type="auto"/>
            <w:gridSpan w:val="2"/>
            <w:vAlign w:val="center"/>
            <w:hideMark/>
          </w:tcPr>
          <w:p w14:paraId="5C4A711D" w14:textId="77777777" w:rsidR="00F36328" w:rsidRPr="00F36328" w:rsidRDefault="00F36328" w:rsidP="00C86349">
            <w:pPr>
              <w:spacing w:line="360" w:lineRule="auto"/>
              <w:rPr>
                <w:rFonts w:cs="Arial"/>
                <w:b/>
                <w:bCs/>
                <w:szCs w:val="22"/>
              </w:rPr>
            </w:pPr>
            <w:r w:rsidRPr="00F36328">
              <w:rPr>
                <w:rFonts w:cs="Arial"/>
                <w:b/>
                <w:bCs/>
                <w:szCs w:val="22"/>
              </w:rPr>
              <w:t>Opportunities</w:t>
            </w:r>
          </w:p>
        </w:tc>
        <w:tc>
          <w:tcPr>
            <w:tcW w:w="0" w:type="auto"/>
            <w:vAlign w:val="center"/>
            <w:hideMark/>
          </w:tcPr>
          <w:p w14:paraId="2EE25C99" w14:textId="77777777" w:rsidR="00F36328" w:rsidRPr="00F36328" w:rsidRDefault="00F36328" w:rsidP="00C86349">
            <w:pPr>
              <w:spacing w:line="360" w:lineRule="auto"/>
              <w:rPr>
                <w:rFonts w:cs="Arial"/>
                <w:b/>
                <w:bCs/>
                <w:szCs w:val="22"/>
              </w:rPr>
            </w:pPr>
            <w:r w:rsidRPr="00F36328">
              <w:rPr>
                <w:rFonts w:cs="Arial"/>
                <w:b/>
                <w:bCs/>
                <w:szCs w:val="22"/>
              </w:rPr>
              <w:t>Threats</w:t>
            </w:r>
          </w:p>
        </w:tc>
      </w:tr>
      <w:tr w:rsidR="00F36328" w:rsidRPr="00F36328" w14:paraId="2391C5FC" w14:textId="77777777" w:rsidTr="00F36328">
        <w:trPr>
          <w:tblCellSpacing w:w="15" w:type="dxa"/>
        </w:trPr>
        <w:tc>
          <w:tcPr>
            <w:tcW w:w="0" w:type="auto"/>
            <w:gridSpan w:val="2"/>
            <w:vAlign w:val="center"/>
            <w:hideMark/>
          </w:tcPr>
          <w:p w14:paraId="5627809B" w14:textId="77777777" w:rsidR="00F36328" w:rsidRPr="00F36328" w:rsidRDefault="00F36328" w:rsidP="00C86349">
            <w:pPr>
              <w:spacing w:line="360" w:lineRule="auto"/>
              <w:rPr>
                <w:rFonts w:cs="Arial"/>
                <w:szCs w:val="22"/>
              </w:rPr>
            </w:pPr>
            <w:r w:rsidRPr="00F36328">
              <w:rPr>
                <w:rFonts w:cs="Arial"/>
                <w:szCs w:val="22"/>
              </w:rPr>
              <w:t>• Refurbishment to blend heritage with modern amenities (EP Consulting, 2023; Hospitality Net, 2025).</w:t>
            </w:r>
          </w:p>
        </w:tc>
        <w:tc>
          <w:tcPr>
            <w:tcW w:w="0" w:type="auto"/>
            <w:vAlign w:val="center"/>
            <w:hideMark/>
          </w:tcPr>
          <w:p w14:paraId="447DA78E" w14:textId="77777777" w:rsidR="00F36328" w:rsidRPr="00F36328" w:rsidRDefault="00F36328" w:rsidP="00C86349">
            <w:pPr>
              <w:spacing w:line="360" w:lineRule="auto"/>
              <w:rPr>
                <w:rFonts w:cs="Arial"/>
                <w:szCs w:val="22"/>
              </w:rPr>
            </w:pPr>
            <w:r w:rsidRPr="00F36328">
              <w:rPr>
                <w:rFonts w:cs="Arial"/>
                <w:szCs w:val="22"/>
              </w:rPr>
              <w:t>• Rising supply in London’s upper-upscale segment leading to ADR pressure (Financial Times, 2025; CBRE, 2024).</w:t>
            </w:r>
          </w:p>
        </w:tc>
      </w:tr>
      <w:tr w:rsidR="00F36328" w:rsidRPr="00F36328" w14:paraId="6DEF704A" w14:textId="77777777" w:rsidTr="00F36328">
        <w:trPr>
          <w:tblCellSpacing w:w="15" w:type="dxa"/>
        </w:trPr>
        <w:tc>
          <w:tcPr>
            <w:tcW w:w="0" w:type="auto"/>
            <w:gridSpan w:val="2"/>
            <w:vAlign w:val="center"/>
            <w:hideMark/>
          </w:tcPr>
          <w:p w14:paraId="2A650E65" w14:textId="77777777" w:rsidR="00F36328" w:rsidRPr="00F36328" w:rsidRDefault="00F36328" w:rsidP="00C86349">
            <w:pPr>
              <w:spacing w:line="360" w:lineRule="auto"/>
              <w:rPr>
                <w:rFonts w:cs="Arial"/>
                <w:szCs w:val="22"/>
              </w:rPr>
            </w:pPr>
            <w:r w:rsidRPr="00F36328">
              <w:rPr>
                <w:rFonts w:cs="Arial"/>
                <w:szCs w:val="22"/>
              </w:rPr>
              <w:t>• Sustainability retrofit to enhance brand image and reduce long-term costs (PwC, 2024; Savills, 2025).</w:t>
            </w:r>
          </w:p>
        </w:tc>
        <w:tc>
          <w:tcPr>
            <w:tcW w:w="0" w:type="auto"/>
            <w:vAlign w:val="center"/>
            <w:hideMark/>
          </w:tcPr>
          <w:p w14:paraId="01E5F4DD" w14:textId="77777777" w:rsidR="00F36328" w:rsidRPr="00F36328" w:rsidRDefault="00F36328" w:rsidP="00C86349">
            <w:pPr>
              <w:spacing w:line="360" w:lineRule="auto"/>
              <w:rPr>
                <w:rFonts w:cs="Arial"/>
                <w:szCs w:val="22"/>
              </w:rPr>
            </w:pPr>
            <w:r w:rsidRPr="00F36328">
              <w:rPr>
                <w:rFonts w:cs="Arial"/>
                <w:szCs w:val="22"/>
              </w:rPr>
              <w:t>• Continued inflation and wage cost increases reducing profitability (PwC, 2024; Knight Frank, 2025).</w:t>
            </w:r>
          </w:p>
        </w:tc>
      </w:tr>
      <w:tr w:rsidR="00F36328" w:rsidRPr="00F36328" w14:paraId="564379E7" w14:textId="77777777" w:rsidTr="00F36328">
        <w:trPr>
          <w:tblCellSpacing w:w="15" w:type="dxa"/>
        </w:trPr>
        <w:tc>
          <w:tcPr>
            <w:tcW w:w="0" w:type="auto"/>
            <w:gridSpan w:val="2"/>
            <w:vAlign w:val="center"/>
            <w:hideMark/>
          </w:tcPr>
          <w:p w14:paraId="15B3B4F5" w14:textId="77777777" w:rsidR="00F36328" w:rsidRPr="00F36328" w:rsidRDefault="00F36328" w:rsidP="00C86349">
            <w:pPr>
              <w:spacing w:line="360" w:lineRule="auto"/>
              <w:rPr>
                <w:rFonts w:cs="Arial"/>
                <w:szCs w:val="22"/>
              </w:rPr>
            </w:pPr>
            <w:r w:rsidRPr="00F36328">
              <w:rPr>
                <w:rFonts w:cs="Arial"/>
                <w:szCs w:val="22"/>
              </w:rPr>
              <w:lastRenderedPageBreak/>
              <w:t>• Technology enhancements (smart rooms, predictive maintenance) to improve guest experience (PwC, 2024; Hospitality Net, 2025).</w:t>
            </w:r>
          </w:p>
        </w:tc>
        <w:tc>
          <w:tcPr>
            <w:tcW w:w="0" w:type="auto"/>
            <w:vAlign w:val="center"/>
            <w:hideMark/>
          </w:tcPr>
          <w:p w14:paraId="2A31DEF7" w14:textId="77777777" w:rsidR="00F36328" w:rsidRPr="00F36328" w:rsidRDefault="00F36328" w:rsidP="00C86349">
            <w:pPr>
              <w:spacing w:line="360" w:lineRule="auto"/>
              <w:rPr>
                <w:rFonts w:cs="Arial"/>
                <w:szCs w:val="22"/>
              </w:rPr>
            </w:pPr>
            <w:r w:rsidRPr="00F36328">
              <w:rPr>
                <w:rFonts w:cs="Arial"/>
                <w:szCs w:val="22"/>
              </w:rPr>
              <w:t>• Regulatory changes (energy standards, labour laws) imposing additional capex and OPEX (Savills, 2025; The Guardian, 2025).</w:t>
            </w:r>
          </w:p>
        </w:tc>
      </w:tr>
      <w:tr w:rsidR="00F36328" w:rsidRPr="00F36328" w14:paraId="642A734B" w14:textId="77777777" w:rsidTr="00F36328">
        <w:trPr>
          <w:tblCellSpacing w:w="15" w:type="dxa"/>
        </w:trPr>
        <w:tc>
          <w:tcPr>
            <w:tcW w:w="0" w:type="auto"/>
            <w:gridSpan w:val="2"/>
            <w:vAlign w:val="center"/>
            <w:hideMark/>
          </w:tcPr>
          <w:p w14:paraId="75A87A64" w14:textId="77777777" w:rsidR="00F36328" w:rsidRPr="00F36328" w:rsidRDefault="00F36328" w:rsidP="00C86349">
            <w:pPr>
              <w:spacing w:line="360" w:lineRule="auto"/>
              <w:rPr>
                <w:rFonts w:cs="Arial"/>
                <w:szCs w:val="22"/>
              </w:rPr>
            </w:pPr>
            <w:r w:rsidRPr="00F36328">
              <w:rPr>
                <w:rFonts w:cs="Arial"/>
                <w:szCs w:val="22"/>
              </w:rPr>
              <w:t>• Partnerships with local cultural/heritage organisations to enhance guest experience (Kotler, Bowen &amp; Makens, 2017; Hospitality Net, 2025).</w:t>
            </w:r>
          </w:p>
        </w:tc>
        <w:tc>
          <w:tcPr>
            <w:tcW w:w="0" w:type="auto"/>
            <w:vAlign w:val="center"/>
            <w:hideMark/>
          </w:tcPr>
          <w:p w14:paraId="5B6C489C" w14:textId="77777777" w:rsidR="00F36328" w:rsidRPr="00F36328" w:rsidRDefault="00F36328" w:rsidP="00C86349">
            <w:pPr>
              <w:spacing w:line="360" w:lineRule="auto"/>
              <w:rPr>
                <w:rFonts w:cs="Arial"/>
                <w:szCs w:val="22"/>
              </w:rPr>
            </w:pPr>
            <w:r w:rsidRPr="00F36328">
              <w:rPr>
                <w:rFonts w:cs="Arial"/>
                <w:szCs w:val="22"/>
              </w:rPr>
              <w:t>• Potential macro shocks (economic downturn reducing inbound travel; exchange-rate volatility) (PwC, 2024; HVS, 2024).</w:t>
            </w:r>
          </w:p>
        </w:tc>
      </w:tr>
      <w:tr w:rsidR="00F36328" w:rsidRPr="00F36328" w14:paraId="20B6AD95" w14:textId="77777777" w:rsidTr="00F36328">
        <w:trPr>
          <w:tblCellSpacing w:w="15" w:type="dxa"/>
        </w:trPr>
        <w:tc>
          <w:tcPr>
            <w:tcW w:w="0" w:type="auto"/>
            <w:gridSpan w:val="2"/>
            <w:vAlign w:val="center"/>
            <w:hideMark/>
          </w:tcPr>
          <w:p w14:paraId="4B95F04B" w14:textId="77777777" w:rsidR="00F36328" w:rsidRPr="00F36328" w:rsidRDefault="00F36328" w:rsidP="00C86349">
            <w:pPr>
              <w:spacing w:line="360" w:lineRule="auto"/>
              <w:rPr>
                <w:rFonts w:cs="Arial"/>
                <w:szCs w:val="22"/>
              </w:rPr>
            </w:pPr>
            <w:r w:rsidRPr="00F36328">
              <w:rPr>
                <w:rFonts w:cs="Arial"/>
                <w:szCs w:val="22"/>
              </w:rPr>
              <w:t>• Leveraging Hilton loyalty and digital marketing to attract new segments (Hilton, 2024; PwC, 2024).</w:t>
            </w:r>
          </w:p>
        </w:tc>
        <w:tc>
          <w:tcPr>
            <w:tcW w:w="0" w:type="auto"/>
            <w:vAlign w:val="center"/>
            <w:hideMark/>
          </w:tcPr>
          <w:p w14:paraId="5230443D" w14:textId="788A4340" w:rsidR="00F36328" w:rsidRPr="00F36328" w:rsidRDefault="00F36328" w:rsidP="00C86349">
            <w:pPr>
              <w:spacing w:line="360" w:lineRule="auto"/>
              <w:rPr>
                <w:rFonts w:cs="Arial"/>
                <w:szCs w:val="22"/>
              </w:rPr>
            </w:pPr>
            <w:r w:rsidRPr="00F36328">
              <w:rPr>
                <w:rFonts w:cs="Arial"/>
                <w:szCs w:val="22"/>
              </w:rPr>
              <w:t>• Guest demand shifts (post-pandemic hygiene expectations, sustainability demands) leaving un</w:t>
            </w:r>
            <w:r w:rsidR="00C86349">
              <w:rPr>
                <w:rFonts w:cs="Arial"/>
                <w:szCs w:val="22"/>
              </w:rPr>
              <w:t xml:space="preserve"> </w:t>
            </w:r>
            <w:r w:rsidRPr="00F36328">
              <w:rPr>
                <w:rFonts w:cs="Arial"/>
                <w:szCs w:val="22"/>
              </w:rPr>
              <w:t>refurbished hotels behind (PwC, 2024; Hospitality Net, 2025).</w:t>
            </w:r>
          </w:p>
        </w:tc>
      </w:tr>
    </w:tbl>
    <w:p w14:paraId="1B2DE34E" w14:textId="77777777" w:rsidR="00F36328" w:rsidRPr="00F36328" w:rsidRDefault="00F36328" w:rsidP="00C86349">
      <w:pPr>
        <w:spacing w:line="360" w:lineRule="auto"/>
        <w:rPr>
          <w:rFonts w:cs="Arial"/>
          <w:b/>
          <w:bCs/>
          <w:szCs w:val="22"/>
        </w:rPr>
      </w:pPr>
      <w:r w:rsidRPr="00F36328">
        <w:rPr>
          <w:rFonts w:cs="Arial"/>
          <w:b/>
          <w:bCs/>
          <w:szCs w:val="22"/>
        </w:rPr>
        <w:t>5. TOWS Matrix</w:t>
      </w:r>
    </w:p>
    <w:p w14:paraId="4A75E753" w14:textId="77777777" w:rsidR="00F36328" w:rsidRPr="00F36328" w:rsidRDefault="00F36328" w:rsidP="00C86349">
      <w:pPr>
        <w:spacing w:line="360" w:lineRule="auto"/>
        <w:rPr>
          <w:rFonts w:cs="Arial"/>
          <w:szCs w:val="22"/>
        </w:rPr>
      </w:pPr>
      <w:r w:rsidRPr="00F36328">
        <w:rPr>
          <w:rFonts w:cs="Arial"/>
          <w:szCs w:val="22"/>
        </w:rPr>
        <w:t>Building on the SWOT, the TOWS matrix identifies strategic options: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46"/>
        <w:gridCol w:w="3766"/>
        <w:gridCol w:w="3814"/>
      </w:tblGrid>
      <w:tr w:rsidR="00F36328" w:rsidRPr="00F36328" w14:paraId="6A822121" w14:textId="77777777" w:rsidTr="00F36328">
        <w:trPr>
          <w:tblHeader/>
          <w:tblCellSpacing w:w="15" w:type="dxa"/>
        </w:trPr>
        <w:tc>
          <w:tcPr>
            <w:tcW w:w="0" w:type="auto"/>
            <w:vAlign w:val="center"/>
            <w:hideMark/>
          </w:tcPr>
          <w:p w14:paraId="283839A4" w14:textId="77777777" w:rsidR="00F36328" w:rsidRPr="00F36328" w:rsidRDefault="00F36328" w:rsidP="00C86349">
            <w:pPr>
              <w:spacing w:line="360" w:lineRule="auto"/>
              <w:rPr>
                <w:rFonts w:cs="Arial"/>
                <w:szCs w:val="22"/>
              </w:rPr>
            </w:pPr>
          </w:p>
        </w:tc>
        <w:tc>
          <w:tcPr>
            <w:tcW w:w="0" w:type="auto"/>
            <w:vAlign w:val="center"/>
            <w:hideMark/>
          </w:tcPr>
          <w:p w14:paraId="1007FDEE" w14:textId="77777777" w:rsidR="00F36328" w:rsidRPr="00F36328" w:rsidRDefault="00F36328" w:rsidP="00C86349">
            <w:pPr>
              <w:spacing w:line="360" w:lineRule="auto"/>
              <w:rPr>
                <w:rFonts w:cs="Arial"/>
                <w:b/>
                <w:bCs/>
                <w:szCs w:val="22"/>
              </w:rPr>
            </w:pPr>
            <w:r w:rsidRPr="00F36328">
              <w:rPr>
                <w:rFonts w:cs="Arial"/>
                <w:b/>
                <w:bCs/>
                <w:szCs w:val="22"/>
              </w:rPr>
              <w:t>Opportunities (O)</w:t>
            </w:r>
          </w:p>
        </w:tc>
        <w:tc>
          <w:tcPr>
            <w:tcW w:w="0" w:type="auto"/>
            <w:vAlign w:val="center"/>
            <w:hideMark/>
          </w:tcPr>
          <w:p w14:paraId="1DA55387" w14:textId="77777777" w:rsidR="00F36328" w:rsidRPr="00F36328" w:rsidRDefault="00F36328" w:rsidP="00C86349">
            <w:pPr>
              <w:spacing w:line="360" w:lineRule="auto"/>
              <w:rPr>
                <w:rFonts w:cs="Arial"/>
                <w:b/>
                <w:bCs/>
                <w:szCs w:val="22"/>
              </w:rPr>
            </w:pPr>
            <w:r w:rsidRPr="00F36328">
              <w:rPr>
                <w:rFonts w:cs="Arial"/>
                <w:b/>
                <w:bCs/>
                <w:szCs w:val="22"/>
              </w:rPr>
              <w:t>Threats (T)</w:t>
            </w:r>
          </w:p>
        </w:tc>
      </w:tr>
      <w:tr w:rsidR="00F36328" w:rsidRPr="00F36328" w14:paraId="59B2C98C" w14:textId="77777777" w:rsidTr="00F36328">
        <w:trPr>
          <w:tblCellSpacing w:w="15" w:type="dxa"/>
        </w:trPr>
        <w:tc>
          <w:tcPr>
            <w:tcW w:w="0" w:type="auto"/>
            <w:vAlign w:val="center"/>
            <w:hideMark/>
          </w:tcPr>
          <w:p w14:paraId="1D3DECF2" w14:textId="77777777" w:rsidR="00F36328" w:rsidRPr="00F36328" w:rsidRDefault="00F36328" w:rsidP="00C86349">
            <w:pPr>
              <w:spacing w:line="360" w:lineRule="auto"/>
              <w:rPr>
                <w:rFonts w:cs="Arial"/>
                <w:szCs w:val="22"/>
              </w:rPr>
            </w:pPr>
            <w:r w:rsidRPr="00F36328">
              <w:rPr>
                <w:rFonts w:cs="Arial"/>
                <w:b/>
                <w:bCs/>
                <w:szCs w:val="22"/>
              </w:rPr>
              <w:t>Strengths (S)</w:t>
            </w:r>
          </w:p>
        </w:tc>
        <w:tc>
          <w:tcPr>
            <w:tcW w:w="0" w:type="auto"/>
            <w:vAlign w:val="center"/>
            <w:hideMark/>
          </w:tcPr>
          <w:p w14:paraId="6BB7C05A" w14:textId="77777777" w:rsidR="00F36328" w:rsidRPr="00F36328" w:rsidRDefault="00F36328" w:rsidP="00C86349">
            <w:pPr>
              <w:spacing w:line="360" w:lineRule="auto"/>
              <w:rPr>
                <w:rFonts w:cs="Arial"/>
                <w:szCs w:val="22"/>
              </w:rPr>
            </w:pPr>
            <w:r w:rsidRPr="00F36328">
              <w:rPr>
                <w:rFonts w:cs="Arial"/>
                <w:b/>
                <w:bCs/>
                <w:szCs w:val="22"/>
              </w:rPr>
              <w:t>SO Strategies</w:t>
            </w:r>
            <w:r w:rsidRPr="00F36328">
              <w:rPr>
                <w:rFonts w:cs="Arial"/>
                <w:szCs w:val="22"/>
              </w:rPr>
              <w:br/>
              <w:t>1. Use prime location and heritage appeal (S) to market a “heritage-modern” refurbishment (O), attracting experience-seekers willing to pay premium (Financial Times, 2025; EP Consulting, 2023).</w:t>
            </w:r>
            <w:r w:rsidRPr="00F36328">
              <w:rPr>
                <w:rFonts w:cs="Arial"/>
                <w:szCs w:val="22"/>
              </w:rPr>
              <w:br/>
              <w:t>2. Leverage Hilton loyalty channels (S) to promote sustainability initiatives (O), enhancing guest perception and loyalty (PwC, 2024; Hospitality Net, 2025).</w:t>
            </w:r>
          </w:p>
        </w:tc>
        <w:tc>
          <w:tcPr>
            <w:tcW w:w="0" w:type="auto"/>
            <w:vAlign w:val="center"/>
            <w:hideMark/>
          </w:tcPr>
          <w:p w14:paraId="035B1EA1" w14:textId="77777777" w:rsidR="00F36328" w:rsidRPr="00F36328" w:rsidRDefault="00F36328" w:rsidP="00C86349">
            <w:pPr>
              <w:spacing w:line="360" w:lineRule="auto"/>
              <w:rPr>
                <w:rFonts w:cs="Arial"/>
                <w:szCs w:val="22"/>
              </w:rPr>
            </w:pPr>
            <w:r w:rsidRPr="00F36328">
              <w:rPr>
                <w:rFonts w:cs="Arial"/>
                <w:b/>
                <w:bCs/>
                <w:szCs w:val="22"/>
              </w:rPr>
              <w:t>ST Strategies</w:t>
            </w:r>
            <w:r w:rsidRPr="00F36328">
              <w:rPr>
                <w:rFonts w:cs="Arial"/>
                <w:szCs w:val="22"/>
              </w:rPr>
              <w:br/>
              <w:t>1. Utilise brand equity (S) to negotiate group contracts that lock in rates, cushioning ADR pressure (Knight Frank, 2025; CBRE, 2024).</w:t>
            </w:r>
            <w:r w:rsidRPr="00F36328">
              <w:rPr>
                <w:rFonts w:cs="Arial"/>
                <w:szCs w:val="22"/>
              </w:rPr>
              <w:br/>
              <w:t>2. Emphasise heritage and service quality (S) to differentiate from new supply, mitigating oversupply threat (Financial Times, 2025; Kotler, Bowen &amp; Makens, 2017).</w:t>
            </w:r>
          </w:p>
        </w:tc>
      </w:tr>
      <w:tr w:rsidR="00F36328" w:rsidRPr="00F36328" w14:paraId="091F7F1B" w14:textId="77777777" w:rsidTr="00F36328">
        <w:trPr>
          <w:tblCellSpacing w:w="15" w:type="dxa"/>
        </w:trPr>
        <w:tc>
          <w:tcPr>
            <w:tcW w:w="0" w:type="auto"/>
            <w:vAlign w:val="center"/>
            <w:hideMark/>
          </w:tcPr>
          <w:p w14:paraId="3AEAEF81" w14:textId="77777777" w:rsidR="00F36328" w:rsidRPr="00F36328" w:rsidRDefault="00F36328" w:rsidP="00C86349">
            <w:pPr>
              <w:spacing w:line="360" w:lineRule="auto"/>
              <w:rPr>
                <w:rFonts w:cs="Arial"/>
                <w:szCs w:val="22"/>
              </w:rPr>
            </w:pPr>
            <w:r w:rsidRPr="00F36328">
              <w:rPr>
                <w:rFonts w:cs="Arial"/>
                <w:b/>
                <w:bCs/>
                <w:szCs w:val="22"/>
              </w:rPr>
              <w:t>Weaknesses (W)</w:t>
            </w:r>
          </w:p>
        </w:tc>
        <w:tc>
          <w:tcPr>
            <w:tcW w:w="0" w:type="auto"/>
            <w:vAlign w:val="center"/>
            <w:hideMark/>
          </w:tcPr>
          <w:p w14:paraId="61F2F410" w14:textId="77777777" w:rsidR="00F36328" w:rsidRPr="00F36328" w:rsidRDefault="00F36328" w:rsidP="00C86349">
            <w:pPr>
              <w:spacing w:line="360" w:lineRule="auto"/>
              <w:rPr>
                <w:rFonts w:cs="Arial"/>
                <w:szCs w:val="22"/>
              </w:rPr>
            </w:pPr>
            <w:r w:rsidRPr="00F36328">
              <w:rPr>
                <w:rFonts w:cs="Arial"/>
                <w:b/>
                <w:bCs/>
                <w:szCs w:val="22"/>
              </w:rPr>
              <w:t>WO Strategies</w:t>
            </w:r>
            <w:r w:rsidRPr="00F36328">
              <w:rPr>
                <w:rFonts w:cs="Arial"/>
                <w:szCs w:val="22"/>
              </w:rPr>
              <w:br/>
              <w:t xml:space="preserve">1. Address ageing infrastructure (W) through phased, cost-effective refurbishment leveraging partnerships </w:t>
            </w:r>
            <w:r w:rsidRPr="00F36328">
              <w:rPr>
                <w:rFonts w:cs="Arial"/>
                <w:szCs w:val="22"/>
              </w:rPr>
              <w:lastRenderedPageBreak/>
              <w:t>or vendor financing (O), minimising capex shock (EP Consulting, 2023; Savills, 2025).</w:t>
            </w:r>
            <w:r w:rsidRPr="00F36328">
              <w:rPr>
                <w:rFonts w:cs="Arial"/>
                <w:szCs w:val="22"/>
              </w:rPr>
              <w:br/>
              <w:t>2. Mitigate limited capital (W) by securing green financing or grants for sustainability retrofits (O), reducing upfront burden (PwC, 2024; Savills, 2025).</w:t>
            </w:r>
          </w:p>
        </w:tc>
        <w:tc>
          <w:tcPr>
            <w:tcW w:w="0" w:type="auto"/>
            <w:vAlign w:val="center"/>
            <w:hideMark/>
          </w:tcPr>
          <w:p w14:paraId="4089FF9A" w14:textId="77777777" w:rsidR="00F36328" w:rsidRPr="00F36328" w:rsidRDefault="00F36328" w:rsidP="00C86349">
            <w:pPr>
              <w:spacing w:line="360" w:lineRule="auto"/>
              <w:rPr>
                <w:rFonts w:cs="Arial"/>
                <w:szCs w:val="22"/>
              </w:rPr>
            </w:pPr>
            <w:r w:rsidRPr="00F36328">
              <w:rPr>
                <w:rFonts w:cs="Arial"/>
                <w:b/>
                <w:bCs/>
                <w:szCs w:val="22"/>
              </w:rPr>
              <w:lastRenderedPageBreak/>
              <w:t>WT Strategies</w:t>
            </w:r>
            <w:r w:rsidRPr="00F36328">
              <w:rPr>
                <w:rFonts w:cs="Arial"/>
                <w:szCs w:val="22"/>
              </w:rPr>
              <w:br/>
              <w:t xml:space="preserve">1. Counter rising cost pressures and competition (W, T) by optimising operations (e.g. energy efficiency, </w:t>
            </w:r>
            <w:r w:rsidRPr="00F36328">
              <w:rPr>
                <w:rFonts w:cs="Arial"/>
                <w:szCs w:val="22"/>
              </w:rPr>
              <w:lastRenderedPageBreak/>
              <w:t>staffing deployment) to improve margins before major capex (PwC, 2024; Saunders, Lewis &amp; Thornhill, 2009).</w:t>
            </w:r>
            <w:r w:rsidRPr="00F36328">
              <w:rPr>
                <w:rFonts w:cs="Arial"/>
                <w:szCs w:val="22"/>
              </w:rPr>
              <w:br/>
              <w:t>2. Develop contingency plans for macro shocks (T) by enhancing digital marketing to stimulate domestic demand during downturns, reducing reliance on volatile international markets (PwC, 2024; HVS, 2024).</w:t>
            </w:r>
          </w:p>
        </w:tc>
      </w:tr>
    </w:tbl>
    <w:p w14:paraId="185BDF37" w14:textId="77777777" w:rsidR="00F36328" w:rsidRPr="00F36328" w:rsidRDefault="00F36328" w:rsidP="00C86349">
      <w:pPr>
        <w:spacing w:line="360" w:lineRule="auto"/>
        <w:rPr>
          <w:rFonts w:cs="Arial"/>
          <w:szCs w:val="22"/>
        </w:rPr>
      </w:pPr>
      <w:r w:rsidRPr="00F36328">
        <w:rPr>
          <w:rFonts w:cs="Arial"/>
          <w:szCs w:val="22"/>
        </w:rPr>
        <w:lastRenderedPageBreak/>
        <w:t>Each strategic option will be elaborated in the Recommendations section, addressing implementation feasibility, resource requirements, risk management, and expected benefits.</w:t>
      </w:r>
    </w:p>
    <w:p w14:paraId="6A520694" w14:textId="5D47EAF4" w:rsidR="005532B2" w:rsidRPr="005532B2" w:rsidRDefault="005532B2" w:rsidP="00C86349">
      <w:pPr>
        <w:spacing w:line="360" w:lineRule="auto"/>
        <w:rPr>
          <w:rFonts w:cs="Arial"/>
          <w:szCs w:val="22"/>
        </w:rPr>
      </w:pPr>
    </w:p>
    <w:p w14:paraId="67D351ED" w14:textId="03B4D8FE" w:rsidR="005532B2" w:rsidRPr="005532B2" w:rsidRDefault="005532B2" w:rsidP="00C86349">
      <w:pPr>
        <w:spacing w:line="360" w:lineRule="auto"/>
        <w:rPr>
          <w:rFonts w:cs="Arial"/>
          <w:b/>
          <w:bCs/>
          <w:szCs w:val="22"/>
        </w:rPr>
      </w:pPr>
      <w:r w:rsidRPr="005532B2">
        <w:rPr>
          <w:rFonts w:cs="Arial"/>
          <w:b/>
          <w:bCs/>
          <w:szCs w:val="22"/>
        </w:rPr>
        <w:t xml:space="preserve">Recommendations and Change Management </w:t>
      </w:r>
    </w:p>
    <w:p w14:paraId="30FADC19" w14:textId="77777777" w:rsidR="005532B2" w:rsidRPr="005532B2" w:rsidRDefault="005532B2" w:rsidP="00C86349">
      <w:pPr>
        <w:spacing w:line="360" w:lineRule="auto"/>
        <w:rPr>
          <w:rFonts w:cs="Arial"/>
          <w:szCs w:val="22"/>
        </w:rPr>
      </w:pPr>
      <w:r w:rsidRPr="005532B2">
        <w:rPr>
          <w:rFonts w:cs="Arial"/>
          <w:szCs w:val="22"/>
        </w:rPr>
        <w:t>Based on the analysis, Hilton London Paddington’s primary challenges—ageing infrastructure affecting guest satisfaction, rising operating costs, competitive pressures, and sustainability requirements in a heritage building—are addressed through phased refurbishment, sustainability initiatives, digital enhancements, operational optimisation, and structured change management. Each recommendation is summarised with rationale, implementation approach, rough cost considerations, benefits, and key metrics.</w:t>
      </w:r>
    </w:p>
    <w:p w14:paraId="22DA6D3F" w14:textId="77777777" w:rsidR="005532B2" w:rsidRPr="005532B2" w:rsidRDefault="005532B2" w:rsidP="00C86349">
      <w:pPr>
        <w:spacing w:line="360" w:lineRule="auto"/>
        <w:rPr>
          <w:rFonts w:cs="Arial"/>
          <w:b/>
          <w:bCs/>
          <w:szCs w:val="22"/>
        </w:rPr>
      </w:pPr>
      <w:r w:rsidRPr="005532B2">
        <w:rPr>
          <w:rFonts w:cs="Arial"/>
          <w:b/>
          <w:bCs/>
          <w:szCs w:val="22"/>
        </w:rPr>
        <w:t>1. Phased Infrastructure Refurbishment</w:t>
      </w:r>
    </w:p>
    <w:p w14:paraId="309DCC46" w14:textId="77777777" w:rsidR="005532B2" w:rsidRPr="005532B2" w:rsidRDefault="005532B2" w:rsidP="00C86349">
      <w:pPr>
        <w:spacing w:line="360" w:lineRule="auto"/>
        <w:rPr>
          <w:rFonts w:cs="Arial"/>
          <w:szCs w:val="22"/>
        </w:rPr>
      </w:pPr>
      <w:r w:rsidRPr="005532B2">
        <w:rPr>
          <w:rFonts w:cs="Arial"/>
          <w:b/>
          <w:bCs/>
          <w:szCs w:val="22"/>
        </w:rPr>
        <w:t>Rationale &amp; Approach</w:t>
      </w:r>
      <w:r w:rsidRPr="005532B2">
        <w:rPr>
          <w:rFonts w:cs="Arial"/>
          <w:szCs w:val="22"/>
        </w:rPr>
        <w:br/>
        <w:t>A full simultaneous refurbishment is capital-intensive and disruptive. A multi-year, phased approach spreads cost, reduces guest disruption, and allows pilot feedback to refine designs (Operto, 2024; EP Consulting, 2023).</w:t>
      </w:r>
    </w:p>
    <w:p w14:paraId="30B270B9" w14:textId="77777777" w:rsidR="005532B2" w:rsidRPr="005532B2" w:rsidRDefault="005532B2" w:rsidP="00C86349">
      <w:pPr>
        <w:spacing w:line="360" w:lineRule="auto"/>
        <w:rPr>
          <w:rFonts w:cs="Arial"/>
          <w:szCs w:val="22"/>
        </w:rPr>
      </w:pPr>
      <w:r w:rsidRPr="005532B2">
        <w:rPr>
          <w:rFonts w:cs="Arial"/>
          <w:b/>
          <w:bCs/>
          <w:szCs w:val="22"/>
        </w:rPr>
        <w:t>Phases</w:t>
      </w:r>
    </w:p>
    <w:p w14:paraId="489B3423" w14:textId="77777777" w:rsidR="005532B2" w:rsidRPr="005532B2" w:rsidRDefault="005532B2" w:rsidP="00C86349">
      <w:pPr>
        <w:numPr>
          <w:ilvl w:val="0"/>
          <w:numId w:val="53"/>
        </w:numPr>
        <w:spacing w:line="360" w:lineRule="auto"/>
        <w:rPr>
          <w:rFonts w:cs="Arial"/>
          <w:szCs w:val="22"/>
        </w:rPr>
      </w:pPr>
      <w:r w:rsidRPr="005532B2">
        <w:rPr>
          <w:rFonts w:cs="Arial"/>
          <w:b/>
          <w:bCs/>
          <w:szCs w:val="22"/>
        </w:rPr>
        <w:t>Phase 1 (Year 1–2)</w:t>
      </w:r>
      <w:r w:rsidRPr="005532B2">
        <w:rPr>
          <w:rFonts w:cs="Arial"/>
          <w:szCs w:val="22"/>
        </w:rPr>
        <w:t>: Upgrade high-impact public and premium areas (e.g., lobby, executive lounge, flagship suites). Estimated capex ~£2–3m. Immediate reputational uplift and potential ADR increase for these spaces (EP Consulting, 2023; PwC, 2024).</w:t>
      </w:r>
    </w:p>
    <w:p w14:paraId="052BEEC5" w14:textId="77777777" w:rsidR="005532B2" w:rsidRPr="005532B2" w:rsidRDefault="005532B2" w:rsidP="00C86349">
      <w:pPr>
        <w:numPr>
          <w:ilvl w:val="0"/>
          <w:numId w:val="53"/>
        </w:numPr>
        <w:spacing w:line="360" w:lineRule="auto"/>
        <w:rPr>
          <w:rFonts w:cs="Arial"/>
          <w:szCs w:val="22"/>
        </w:rPr>
      </w:pPr>
      <w:r w:rsidRPr="005532B2">
        <w:rPr>
          <w:rFonts w:cs="Arial"/>
          <w:b/>
          <w:bCs/>
          <w:szCs w:val="22"/>
        </w:rPr>
        <w:lastRenderedPageBreak/>
        <w:t>Phase 2 (Year 2–3)</w:t>
      </w:r>
      <w:r w:rsidRPr="005532B2">
        <w:rPr>
          <w:rFonts w:cs="Arial"/>
          <w:szCs w:val="22"/>
        </w:rPr>
        <w:t>: Pilot refurbishment of ~20–30 rooms plus corridor improvements. Pilot tests new décor, HVAC enhancements, soundproofing, smart controls. Estimated ~£1.5–2m.</w:t>
      </w:r>
    </w:p>
    <w:p w14:paraId="0173BD0F" w14:textId="77777777" w:rsidR="005532B2" w:rsidRPr="005532B2" w:rsidRDefault="005532B2" w:rsidP="00C86349">
      <w:pPr>
        <w:numPr>
          <w:ilvl w:val="0"/>
          <w:numId w:val="53"/>
        </w:numPr>
        <w:spacing w:line="360" w:lineRule="auto"/>
        <w:rPr>
          <w:rFonts w:cs="Arial"/>
          <w:szCs w:val="22"/>
        </w:rPr>
      </w:pPr>
      <w:r w:rsidRPr="005532B2">
        <w:rPr>
          <w:rFonts w:cs="Arial"/>
          <w:b/>
          <w:bCs/>
          <w:szCs w:val="22"/>
        </w:rPr>
        <w:t>Phase 3 (Years 3–6)</w:t>
      </w:r>
      <w:r w:rsidRPr="005532B2">
        <w:rPr>
          <w:rFonts w:cs="Arial"/>
          <w:szCs w:val="22"/>
        </w:rPr>
        <w:t>: Roll out remaining rooms in batches (50–70/year), informed by pilot learnings. Approx. £60k per room; total ~£24m phased over four years, ~£6m annually.</w:t>
      </w:r>
    </w:p>
    <w:p w14:paraId="5028927C" w14:textId="77777777" w:rsidR="005532B2" w:rsidRPr="005532B2" w:rsidRDefault="005532B2" w:rsidP="00C86349">
      <w:pPr>
        <w:numPr>
          <w:ilvl w:val="0"/>
          <w:numId w:val="53"/>
        </w:numPr>
        <w:spacing w:line="360" w:lineRule="auto"/>
        <w:rPr>
          <w:rFonts w:cs="Arial"/>
          <w:szCs w:val="22"/>
        </w:rPr>
      </w:pPr>
      <w:r w:rsidRPr="005532B2">
        <w:rPr>
          <w:rFonts w:cs="Arial"/>
          <w:b/>
          <w:bCs/>
          <w:szCs w:val="22"/>
        </w:rPr>
        <w:t>Concurrent M&amp;E Upgrades</w:t>
      </w:r>
      <w:r w:rsidRPr="005532B2">
        <w:rPr>
          <w:rFonts w:cs="Arial"/>
          <w:szCs w:val="22"/>
        </w:rPr>
        <w:t>: Incremental improvements to HVAC, elevators, lighting alongside room works, using predictive maintenance to schedule replacements before failures (CBRE, 2024).</w:t>
      </w:r>
    </w:p>
    <w:p w14:paraId="3F887511" w14:textId="77777777" w:rsidR="005532B2" w:rsidRPr="005532B2" w:rsidRDefault="005532B2" w:rsidP="00C86349">
      <w:pPr>
        <w:spacing w:line="360" w:lineRule="auto"/>
        <w:rPr>
          <w:rFonts w:cs="Arial"/>
          <w:szCs w:val="22"/>
        </w:rPr>
      </w:pPr>
      <w:r w:rsidRPr="005532B2">
        <w:rPr>
          <w:rFonts w:cs="Arial"/>
          <w:b/>
          <w:bCs/>
          <w:szCs w:val="22"/>
        </w:rPr>
        <w:t>Heritage Compliance &amp; Cost Management</w:t>
      </w:r>
      <w:r w:rsidRPr="005532B2">
        <w:rPr>
          <w:rFonts w:cs="Arial"/>
          <w:szCs w:val="22"/>
        </w:rPr>
        <w:br/>
        <w:t>Early engagement with heritage consultants and planning authorities is essential; allocate 10–15% contingency for unforeseen constraints (Brindle, 2004; EP Consulting, 2023). Financing via a mix of operating cashflow, green loans, grants, and vendor financing helps spread burden (Department for Energy Security and Net Zero, 2022; VDA-Telkonet, 2025).</w:t>
      </w:r>
    </w:p>
    <w:p w14:paraId="70FFE032" w14:textId="77777777" w:rsidR="005532B2" w:rsidRPr="005532B2" w:rsidRDefault="005532B2" w:rsidP="00C86349">
      <w:pPr>
        <w:spacing w:line="360" w:lineRule="auto"/>
        <w:rPr>
          <w:rFonts w:cs="Arial"/>
          <w:szCs w:val="22"/>
        </w:rPr>
      </w:pPr>
      <w:r w:rsidRPr="005532B2">
        <w:rPr>
          <w:rFonts w:cs="Arial"/>
          <w:b/>
          <w:bCs/>
          <w:szCs w:val="22"/>
        </w:rPr>
        <w:t>Benefits &amp; Metrics</w:t>
      </w:r>
    </w:p>
    <w:p w14:paraId="2348C1E5" w14:textId="77777777" w:rsidR="005532B2" w:rsidRPr="005532B2" w:rsidRDefault="005532B2" w:rsidP="00C86349">
      <w:pPr>
        <w:numPr>
          <w:ilvl w:val="0"/>
          <w:numId w:val="54"/>
        </w:numPr>
        <w:spacing w:line="360" w:lineRule="auto"/>
        <w:rPr>
          <w:rFonts w:cs="Arial"/>
          <w:szCs w:val="22"/>
        </w:rPr>
      </w:pPr>
      <w:r w:rsidRPr="005532B2">
        <w:rPr>
          <w:rFonts w:cs="Arial"/>
          <w:b/>
          <w:bCs/>
          <w:szCs w:val="22"/>
        </w:rPr>
        <w:t>Guest Satisfaction</w:t>
      </w:r>
      <w:r w:rsidRPr="005532B2">
        <w:rPr>
          <w:rFonts w:cs="Arial"/>
          <w:szCs w:val="22"/>
        </w:rPr>
        <w:t>: NPS and OTA ratings for refurbished areas; target 10–15% uplift in pilot rooms (Hospitality Net, 2025).</w:t>
      </w:r>
    </w:p>
    <w:p w14:paraId="39433F0A" w14:textId="77777777" w:rsidR="005532B2" w:rsidRPr="005532B2" w:rsidRDefault="005532B2" w:rsidP="00C86349">
      <w:pPr>
        <w:numPr>
          <w:ilvl w:val="0"/>
          <w:numId w:val="54"/>
        </w:numPr>
        <w:spacing w:line="360" w:lineRule="auto"/>
        <w:rPr>
          <w:rFonts w:cs="Arial"/>
          <w:szCs w:val="22"/>
        </w:rPr>
      </w:pPr>
      <w:r w:rsidRPr="005532B2">
        <w:rPr>
          <w:rFonts w:cs="Arial"/>
          <w:b/>
          <w:bCs/>
          <w:szCs w:val="22"/>
        </w:rPr>
        <w:t>Revenue</w:t>
      </w:r>
      <w:r w:rsidRPr="005532B2">
        <w:rPr>
          <w:rFonts w:cs="Arial"/>
          <w:szCs w:val="22"/>
        </w:rPr>
        <w:t>: ADR uplift (5–10% for refurbished rooms) and RevPAR growth as inventory renews (Knight Frank, 2025).</w:t>
      </w:r>
    </w:p>
    <w:p w14:paraId="63D63C18" w14:textId="77777777" w:rsidR="005532B2" w:rsidRPr="005532B2" w:rsidRDefault="005532B2" w:rsidP="00C86349">
      <w:pPr>
        <w:numPr>
          <w:ilvl w:val="0"/>
          <w:numId w:val="54"/>
        </w:numPr>
        <w:spacing w:line="360" w:lineRule="auto"/>
        <w:rPr>
          <w:rFonts w:cs="Arial"/>
          <w:szCs w:val="22"/>
        </w:rPr>
      </w:pPr>
      <w:r w:rsidRPr="005532B2">
        <w:rPr>
          <w:rFonts w:cs="Arial"/>
          <w:b/>
          <w:bCs/>
          <w:szCs w:val="22"/>
        </w:rPr>
        <w:t>Operational Efficiency</w:t>
      </w:r>
      <w:r w:rsidRPr="005532B2">
        <w:rPr>
          <w:rFonts w:cs="Arial"/>
          <w:szCs w:val="22"/>
        </w:rPr>
        <w:t>: Fewer maintenance incidents; track engineering logs pre/post (CBRE, 2024).</w:t>
      </w:r>
    </w:p>
    <w:p w14:paraId="2CCC6047" w14:textId="77777777" w:rsidR="005532B2" w:rsidRPr="005532B2" w:rsidRDefault="005532B2" w:rsidP="00C86349">
      <w:pPr>
        <w:numPr>
          <w:ilvl w:val="0"/>
          <w:numId w:val="54"/>
        </w:numPr>
        <w:spacing w:line="360" w:lineRule="auto"/>
        <w:rPr>
          <w:rFonts w:cs="Arial"/>
          <w:szCs w:val="22"/>
        </w:rPr>
      </w:pPr>
      <w:r w:rsidRPr="005532B2">
        <w:rPr>
          <w:rFonts w:cs="Arial"/>
          <w:b/>
          <w:bCs/>
          <w:szCs w:val="22"/>
        </w:rPr>
        <w:t>Energy Savings</w:t>
      </w:r>
      <w:r w:rsidRPr="005532B2">
        <w:rPr>
          <w:rFonts w:cs="Arial"/>
          <w:szCs w:val="22"/>
        </w:rPr>
        <w:t>: For M&amp;E upgrades, monitor kWh usage; align with sustainability loan covenants (Savills, 2025).</w:t>
      </w:r>
    </w:p>
    <w:p w14:paraId="37964B6D" w14:textId="77777777" w:rsidR="005532B2" w:rsidRPr="005532B2" w:rsidRDefault="005532B2" w:rsidP="00C86349">
      <w:pPr>
        <w:spacing w:line="360" w:lineRule="auto"/>
        <w:rPr>
          <w:rFonts w:cs="Arial"/>
          <w:b/>
          <w:bCs/>
          <w:szCs w:val="22"/>
        </w:rPr>
      </w:pPr>
      <w:r w:rsidRPr="005532B2">
        <w:rPr>
          <w:rFonts w:cs="Arial"/>
          <w:b/>
          <w:bCs/>
          <w:szCs w:val="22"/>
        </w:rPr>
        <w:t>2. Sustainability Initiatives</w:t>
      </w:r>
    </w:p>
    <w:p w14:paraId="1BD860F4" w14:textId="77777777" w:rsidR="005532B2" w:rsidRPr="005532B2" w:rsidRDefault="005532B2" w:rsidP="00C86349">
      <w:pPr>
        <w:spacing w:line="360" w:lineRule="auto"/>
        <w:rPr>
          <w:rFonts w:cs="Arial"/>
          <w:szCs w:val="22"/>
        </w:rPr>
      </w:pPr>
      <w:r w:rsidRPr="005532B2">
        <w:rPr>
          <w:rFonts w:cs="Arial"/>
          <w:b/>
          <w:bCs/>
          <w:szCs w:val="22"/>
        </w:rPr>
        <w:t>Rationale</w:t>
      </w:r>
      <w:r w:rsidRPr="005532B2">
        <w:rPr>
          <w:rFonts w:cs="Arial"/>
          <w:szCs w:val="22"/>
        </w:rPr>
        <w:br/>
        <w:t>Regulatory imperatives and guest preferences demand improved environmental performance. Sustainability retrofits also yield long-term cost savings (PwC, 2024; Hospitality Net, 2025).</w:t>
      </w:r>
    </w:p>
    <w:p w14:paraId="570C27A3" w14:textId="77777777" w:rsidR="005532B2" w:rsidRPr="005532B2" w:rsidRDefault="005532B2" w:rsidP="00C86349">
      <w:pPr>
        <w:spacing w:line="360" w:lineRule="auto"/>
        <w:rPr>
          <w:rFonts w:cs="Arial"/>
          <w:szCs w:val="22"/>
        </w:rPr>
      </w:pPr>
      <w:r w:rsidRPr="005532B2">
        <w:rPr>
          <w:rFonts w:cs="Arial"/>
          <w:b/>
          <w:bCs/>
          <w:szCs w:val="22"/>
        </w:rPr>
        <w:t>Key Measures</w:t>
      </w:r>
    </w:p>
    <w:p w14:paraId="08597E7F" w14:textId="77777777" w:rsidR="005532B2" w:rsidRPr="005532B2" w:rsidRDefault="005532B2" w:rsidP="00C86349">
      <w:pPr>
        <w:numPr>
          <w:ilvl w:val="0"/>
          <w:numId w:val="55"/>
        </w:numPr>
        <w:spacing w:line="360" w:lineRule="auto"/>
        <w:rPr>
          <w:rFonts w:cs="Arial"/>
          <w:szCs w:val="22"/>
        </w:rPr>
      </w:pPr>
      <w:r w:rsidRPr="005532B2">
        <w:rPr>
          <w:rFonts w:cs="Arial"/>
          <w:b/>
          <w:bCs/>
          <w:szCs w:val="22"/>
        </w:rPr>
        <w:t>LED Lighting &amp; Controls</w:t>
      </w:r>
      <w:r w:rsidRPr="005532B2">
        <w:rPr>
          <w:rFonts w:cs="Arial"/>
          <w:szCs w:val="22"/>
        </w:rPr>
        <w:t>: Replace lighting with LED and occupancy sensors; cost ~£200k–£300k; payback 2–3 years (Department for Energy Security and Net Zero, 2022).</w:t>
      </w:r>
    </w:p>
    <w:p w14:paraId="6C567F4A" w14:textId="77777777" w:rsidR="005532B2" w:rsidRPr="005532B2" w:rsidRDefault="005532B2" w:rsidP="00C86349">
      <w:pPr>
        <w:numPr>
          <w:ilvl w:val="0"/>
          <w:numId w:val="55"/>
        </w:numPr>
        <w:spacing w:line="360" w:lineRule="auto"/>
        <w:rPr>
          <w:rFonts w:cs="Arial"/>
          <w:szCs w:val="22"/>
        </w:rPr>
      </w:pPr>
      <w:r w:rsidRPr="005532B2">
        <w:rPr>
          <w:rFonts w:cs="Arial"/>
          <w:b/>
          <w:bCs/>
          <w:szCs w:val="22"/>
        </w:rPr>
        <w:lastRenderedPageBreak/>
        <w:t>HVAC Optimisation</w:t>
      </w:r>
      <w:r w:rsidRPr="005532B2">
        <w:rPr>
          <w:rFonts w:cs="Arial"/>
          <w:szCs w:val="22"/>
        </w:rPr>
        <w:t>: Retrofit/replace ageing units, add smart thermostats, predictive maintenance sensors; financed via sustainability-linked loans (EP Consulting, 2023; CBRE, 2024).</w:t>
      </w:r>
    </w:p>
    <w:p w14:paraId="4D5E19B7" w14:textId="77777777" w:rsidR="005532B2" w:rsidRPr="005532B2" w:rsidRDefault="005532B2" w:rsidP="00C86349">
      <w:pPr>
        <w:numPr>
          <w:ilvl w:val="0"/>
          <w:numId w:val="55"/>
        </w:numPr>
        <w:spacing w:line="360" w:lineRule="auto"/>
        <w:rPr>
          <w:rFonts w:cs="Arial"/>
          <w:szCs w:val="22"/>
        </w:rPr>
      </w:pPr>
      <w:r w:rsidRPr="005532B2">
        <w:rPr>
          <w:rFonts w:cs="Arial"/>
          <w:b/>
          <w:bCs/>
          <w:szCs w:val="22"/>
        </w:rPr>
        <w:t>Water Conservation</w:t>
      </w:r>
      <w:r w:rsidRPr="005532B2">
        <w:rPr>
          <w:rFonts w:cs="Arial"/>
          <w:szCs w:val="22"/>
        </w:rPr>
        <w:t>: Install low-flow fixtures and efficient laundry practices; modest cost (~£50k) with quick payback (Hospitality Net, 2025).</w:t>
      </w:r>
    </w:p>
    <w:p w14:paraId="2E0D679C" w14:textId="77777777" w:rsidR="005532B2" w:rsidRPr="005532B2" w:rsidRDefault="005532B2" w:rsidP="00C86349">
      <w:pPr>
        <w:numPr>
          <w:ilvl w:val="0"/>
          <w:numId w:val="55"/>
        </w:numPr>
        <w:spacing w:line="360" w:lineRule="auto"/>
        <w:rPr>
          <w:rFonts w:cs="Arial"/>
          <w:szCs w:val="22"/>
        </w:rPr>
      </w:pPr>
      <w:r w:rsidRPr="005532B2">
        <w:rPr>
          <w:rFonts w:cs="Arial"/>
          <w:b/>
          <w:bCs/>
          <w:szCs w:val="22"/>
        </w:rPr>
        <w:t>Waste Management &amp; Sourcing</w:t>
      </w:r>
      <w:r w:rsidRPr="005532B2">
        <w:rPr>
          <w:rFonts w:cs="Arial"/>
          <w:szCs w:val="22"/>
        </w:rPr>
        <w:t>: Implement recycling/composting, source local/seasonal F&amp;B, eco-friendly amenities to appeal to eco-conscious guests (Kotler, Bowen &amp; Makens, 2017; PwC, 2024).</w:t>
      </w:r>
    </w:p>
    <w:p w14:paraId="534C9540" w14:textId="77777777" w:rsidR="005532B2" w:rsidRPr="005532B2" w:rsidRDefault="005532B2" w:rsidP="00C86349">
      <w:pPr>
        <w:numPr>
          <w:ilvl w:val="0"/>
          <w:numId w:val="55"/>
        </w:numPr>
        <w:spacing w:line="360" w:lineRule="auto"/>
        <w:rPr>
          <w:rFonts w:cs="Arial"/>
          <w:szCs w:val="22"/>
        </w:rPr>
      </w:pPr>
      <w:r w:rsidRPr="005532B2">
        <w:rPr>
          <w:rFonts w:cs="Arial"/>
          <w:b/>
          <w:bCs/>
          <w:szCs w:val="22"/>
        </w:rPr>
        <w:t>Renewables &amp; Green Procurement</w:t>
      </w:r>
      <w:r w:rsidRPr="005532B2">
        <w:rPr>
          <w:rFonts w:cs="Arial"/>
          <w:szCs w:val="22"/>
        </w:rPr>
        <w:t>: Explore partial solar feasibility; use renewable energy tariffs or certificates (Department for Energy Security and Net Zero, 2022).</w:t>
      </w:r>
    </w:p>
    <w:p w14:paraId="3C06A053" w14:textId="77777777" w:rsidR="005532B2" w:rsidRPr="005532B2" w:rsidRDefault="005532B2" w:rsidP="00C86349">
      <w:pPr>
        <w:spacing w:line="360" w:lineRule="auto"/>
        <w:rPr>
          <w:rFonts w:cs="Arial"/>
          <w:szCs w:val="22"/>
        </w:rPr>
      </w:pPr>
      <w:r w:rsidRPr="005532B2">
        <w:rPr>
          <w:rFonts w:cs="Arial"/>
          <w:b/>
          <w:bCs/>
          <w:szCs w:val="22"/>
        </w:rPr>
        <w:t>Implementation &amp; Change Management</w:t>
      </w:r>
    </w:p>
    <w:p w14:paraId="65417574" w14:textId="77777777" w:rsidR="005532B2" w:rsidRPr="005532B2" w:rsidRDefault="005532B2" w:rsidP="00C86349">
      <w:pPr>
        <w:numPr>
          <w:ilvl w:val="0"/>
          <w:numId w:val="56"/>
        </w:numPr>
        <w:spacing w:line="360" w:lineRule="auto"/>
        <w:rPr>
          <w:rFonts w:cs="Arial"/>
          <w:szCs w:val="22"/>
        </w:rPr>
      </w:pPr>
      <w:r w:rsidRPr="005532B2">
        <w:rPr>
          <w:rFonts w:cs="Arial"/>
          <w:b/>
          <w:bCs/>
          <w:szCs w:val="22"/>
        </w:rPr>
        <w:t>Sustainability Taskforce</w:t>
      </w:r>
      <w:r w:rsidRPr="005532B2">
        <w:rPr>
          <w:rFonts w:cs="Arial"/>
          <w:szCs w:val="22"/>
        </w:rPr>
        <w:t>: Cross-functional team (engineering, F&amp;B, housekeeping, finance, marketing) to plan and monitor initiatives (Saunders, Lewis &amp; Thornhill, 2009).</w:t>
      </w:r>
    </w:p>
    <w:p w14:paraId="1B43D329" w14:textId="77777777" w:rsidR="005532B2" w:rsidRPr="005532B2" w:rsidRDefault="005532B2" w:rsidP="00C86349">
      <w:pPr>
        <w:numPr>
          <w:ilvl w:val="0"/>
          <w:numId w:val="56"/>
        </w:numPr>
        <w:spacing w:line="360" w:lineRule="auto"/>
        <w:rPr>
          <w:rFonts w:cs="Arial"/>
          <w:szCs w:val="22"/>
        </w:rPr>
      </w:pPr>
      <w:r w:rsidRPr="005532B2">
        <w:rPr>
          <w:rFonts w:cs="Arial"/>
          <w:b/>
          <w:bCs/>
          <w:szCs w:val="22"/>
        </w:rPr>
        <w:t>Training &amp; Engagement</w:t>
      </w:r>
      <w:r w:rsidRPr="005532B2">
        <w:rPr>
          <w:rFonts w:cs="Arial"/>
          <w:szCs w:val="22"/>
        </w:rPr>
        <w:t>: Workshops on energy-saving practices; embed sustainability in staff KPIs (Hospitality Net, 2025).</w:t>
      </w:r>
    </w:p>
    <w:p w14:paraId="14089494" w14:textId="77777777" w:rsidR="005532B2" w:rsidRPr="005532B2" w:rsidRDefault="005532B2" w:rsidP="00C86349">
      <w:pPr>
        <w:numPr>
          <w:ilvl w:val="0"/>
          <w:numId w:val="56"/>
        </w:numPr>
        <w:spacing w:line="360" w:lineRule="auto"/>
        <w:rPr>
          <w:rFonts w:cs="Arial"/>
          <w:szCs w:val="22"/>
        </w:rPr>
      </w:pPr>
      <w:r w:rsidRPr="005532B2">
        <w:rPr>
          <w:rFonts w:cs="Arial"/>
          <w:b/>
          <w:bCs/>
          <w:szCs w:val="22"/>
        </w:rPr>
        <w:t>Communication</w:t>
      </w:r>
      <w:r w:rsidRPr="005532B2">
        <w:rPr>
          <w:rFonts w:cs="Arial"/>
          <w:szCs w:val="22"/>
        </w:rPr>
        <w:t>: Promote green initiatives to guests (in-room collateral, website) emphasising heritage-sensitive upgrades (Kotler, Bowen &amp; Makens, 2017).</w:t>
      </w:r>
    </w:p>
    <w:p w14:paraId="2838AC96" w14:textId="77777777" w:rsidR="005532B2" w:rsidRPr="005532B2" w:rsidRDefault="005532B2" w:rsidP="00C86349">
      <w:pPr>
        <w:numPr>
          <w:ilvl w:val="0"/>
          <w:numId w:val="56"/>
        </w:numPr>
        <w:spacing w:line="360" w:lineRule="auto"/>
        <w:rPr>
          <w:rFonts w:cs="Arial"/>
          <w:szCs w:val="22"/>
        </w:rPr>
      </w:pPr>
      <w:r w:rsidRPr="005532B2">
        <w:rPr>
          <w:rFonts w:cs="Arial"/>
          <w:b/>
          <w:bCs/>
          <w:szCs w:val="22"/>
        </w:rPr>
        <w:t>Monitoring</w:t>
      </w:r>
      <w:r w:rsidRPr="005532B2">
        <w:rPr>
          <w:rFonts w:cs="Arial"/>
          <w:szCs w:val="22"/>
        </w:rPr>
        <w:t>: Install sub-metering; report monthly on energy/water use versus baselines; quarterly reports to leadership (Savills, 2025).</w:t>
      </w:r>
    </w:p>
    <w:p w14:paraId="2141C086" w14:textId="77777777" w:rsidR="005532B2" w:rsidRPr="005532B2" w:rsidRDefault="005532B2" w:rsidP="00C86349">
      <w:pPr>
        <w:spacing w:line="360" w:lineRule="auto"/>
        <w:rPr>
          <w:rFonts w:cs="Arial"/>
          <w:szCs w:val="22"/>
        </w:rPr>
      </w:pPr>
      <w:r w:rsidRPr="005532B2">
        <w:rPr>
          <w:rFonts w:cs="Arial"/>
          <w:b/>
          <w:bCs/>
          <w:szCs w:val="22"/>
        </w:rPr>
        <w:t>Benefits &amp; Metrics</w:t>
      </w:r>
    </w:p>
    <w:p w14:paraId="728399D6" w14:textId="77777777" w:rsidR="005532B2" w:rsidRPr="005532B2" w:rsidRDefault="005532B2" w:rsidP="00C86349">
      <w:pPr>
        <w:numPr>
          <w:ilvl w:val="0"/>
          <w:numId w:val="57"/>
        </w:numPr>
        <w:spacing w:line="360" w:lineRule="auto"/>
        <w:rPr>
          <w:rFonts w:cs="Arial"/>
          <w:szCs w:val="22"/>
        </w:rPr>
      </w:pPr>
      <w:r w:rsidRPr="005532B2">
        <w:rPr>
          <w:rFonts w:cs="Arial"/>
          <w:b/>
          <w:bCs/>
          <w:szCs w:val="22"/>
        </w:rPr>
        <w:t>Cost Savings</w:t>
      </w:r>
      <w:r w:rsidRPr="005532B2">
        <w:rPr>
          <w:rFonts w:cs="Arial"/>
          <w:szCs w:val="22"/>
        </w:rPr>
        <w:t>: Aim 15–20% energy reduction in two years; track monthly (PwC, 2024).</w:t>
      </w:r>
    </w:p>
    <w:p w14:paraId="3DB199AF" w14:textId="77777777" w:rsidR="005532B2" w:rsidRPr="005532B2" w:rsidRDefault="005532B2" w:rsidP="00C86349">
      <w:pPr>
        <w:numPr>
          <w:ilvl w:val="0"/>
          <w:numId w:val="57"/>
        </w:numPr>
        <w:spacing w:line="360" w:lineRule="auto"/>
        <w:rPr>
          <w:rFonts w:cs="Arial"/>
          <w:szCs w:val="22"/>
        </w:rPr>
      </w:pPr>
      <w:r w:rsidRPr="005532B2">
        <w:rPr>
          <w:rFonts w:cs="Arial"/>
          <w:b/>
          <w:bCs/>
          <w:szCs w:val="22"/>
        </w:rPr>
        <w:t>Guest Perception</w:t>
      </w:r>
      <w:r w:rsidRPr="005532B2">
        <w:rPr>
          <w:rFonts w:cs="Arial"/>
          <w:szCs w:val="22"/>
        </w:rPr>
        <w:t>: Improved sustainability-related survey scores; increase in eco-conscious bookings (Hospitality Net, 2025).</w:t>
      </w:r>
    </w:p>
    <w:p w14:paraId="61619AA0" w14:textId="77777777" w:rsidR="005532B2" w:rsidRPr="005532B2" w:rsidRDefault="005532B2" w:rsidP="00C86349">
      <w:pPr>
        <w:numPr>
          <w:ilvl w:val="0"/>
          <w:numId w:val="57"/>
        </w:numPr>
        <w:spacing w:line="360" w:lineRule="auto"/>
        <w:rPr>
          <w:rFonts w:cs="Arial"/>
          <w:szCs w:val="22"/>
        </w:rPr>
      </w:pPr>
      <w:r w:rsidRPr="005532B2">
        <w:rPr>
          <w:rFonts w:cs="Arial"/>
          <w:b/>
          <w:bCs/>
          <w:szCs w:val="22"/>
        </w:rPr>
        <w:t>Compliance &amp; Brand</w:t>
      </w:r>
      <w:r w:rsidRPr="005532B2">
        <w:rPr>
          <w:rFonts w:cs="Arial"/>
          <w:szCs w:val="22"/>
        </w:rPr>
        <w:t>: Meet energy standards ahead of regulation; strengthen corporate contracts requiring ESG reporting (PwC, 2024).</w:t>
      </w:r>
    </w:p>
    <w:p w14:paraId="7875D3F9" w14:textId="77777777" w:rsidR="005532B2" w:rsidRPr="005532B2" w:rsidRDefault="005532B2" w:rsidP="00C86349">
      <w:pPr>
        <w:spacing w:line="360" w:lineRule="auto"/>
        <w:rPr>
          <w:rFonts w:cs="Arial"/>
          <w:b/>
          <w:bCs/>
          <w:szCs w:val="22"/>
        </w:rPr>
      </w:pPr>
      <w:r w:rsidRPr="005532B2">
        <w:rPr>
          <w:rFonts w:cs="Arial"/>
          <w:b/>
          <w:bCs/>
          <w:szCs w:val="22"/>
        </w:rPr>
        <w:t>3. Digital Enhancements</w:t>
      </w:r>
    </w:p>
    <w:p w14:paraId="5B51EE38" w14:textId="77777777" w:rsidR="005532B2" w:rsidRPr="005532B2" w:rsidRDefault="005532B2" w:rsidP="00C86349">
      <w:pPr>
        <w:spacing w:line="360" w:lineRule="auto"/>
        <w:rPr>
          <w:rFonts w:cs="Arial"/>
          <w:szCs w:val="22"/>
        </w:rPr>
      </w:pPr>
      <w:r w:rsidRPr="005532B2">
        <w:rPr>
          <w:rFonts w:cs="Arial"/>
          <w:b/>
          <w:bCs/>
          <w:szCs w:val="22"/>
        </w:rPr>
        <w:t>Rationale</w:t>
      </w:r>
      <w:r w:rsidRPr="005532B2">
        <w:rPr>
          <w:rFonts w:cs="Arial"/>
          <w:szCs w:val="22"/>
        </w:rPr>
        <w:br/>
        <w:t>Guests expect seamless, contactless, personalised digital experiences, even in heritage settings (PwC, 2024).</w:t>
      </w:r>
    </w:p>
    <w:p w14:paraId="712CB06F" w14:textId="77777777" w:rsidR="005532B2" w:rsidRPr="005532B2" w:rsidRDefault="005532B2" w:rsidP="00C86349">
      <w:pPr>
        <w:spacing w:line="360" w:lineRule="auto"/>
        <w:rPr>
          <w:rFonts w:cs="Arial"/>
          <w:szCs w:val="22"/>
        </w:rPr>
      </w:pPr>
      <w:r w:rsidRPr="005532B2">
        <w:rPr>
          <w:rFonts w:cs="Arial"/>
          <w:b/>
          <w:bCs/>
          <w:szCs w:val="22"/>
        </w:rPr>
        <w:lastRenderedPageBreak/>
        <w:t>Initiatives</w:t>
      </w:r>
    </w:p>
    <w:p w14:paraId="5A798736" w14:textId="77777777" w:rsidR="005532B2" w:rsidRPr="005532B2" w:rsidRDefault="005532B2" w:rsidP="00C86349">
      <w:pPr>
        <w:numPr>
          <w:ilvl w:val="0"/>
          <w:numId w:val="58"/>
        </w:numPr>
        <w:spacing w:line="360" w:lineRule="auto"/>
        <w:rPr>
          <w:rFonts w:cs="Arial"/>
          <w:szCs w:val="22"/>
        </w:rPr>
      </w:pPr>
      <w:r w:rsidRPr="005532B2">
        <w:rPr>
          <w:rFonts w:cs="Arial"/>
          <w:b/>
          <w:bCs/>
          <w:szCs w:val="22"/>
        </w:rPr>
        <w:t>Mobile Check-in/Key</w:t>
      </w:r>
      <w:r w:rsidRPr="005532B2">
        <w:rPr>
          <w:rFonts w:cs="Arial"/>
          <w:szCs w:val="22"/>
        </w:rPr>
        <w:t>: Utilise Hilton’s platform to reduce front-desk congestion and improve convenience (Hilton, 2024).</w:t>
      </w:r>
    </w:p>
    <w:p w14:paraId="03450A3F" w14:textId="77777777" w:rsidR="005532B2" w:rsidRPr="005532B2" w:rsidRDefault="005532B2" w:rsidP="00C86349">
      <w:pPr>
        <w:numPr>
          <w:ilvl w:val="0"/>
          <w:numId w:val="58"/>
        </w:numPr>
        <w:spacing w:line="360" w:lineRule="auto"/>
        <w:rPr>
          <w:rFonts w:cs="Arial"/>
          <w:szCs w:val="22"/>
        </w:rPr>
      </w:pPr>
      <w:r w:rsidRPr="005532B2">
        <w:rPr>
          <w:rFonts w:cs="Arial"/>
          <w:b/>
          <w:bCs/>
          <w:szCs w:val="22"/>
        </w:rPr>
        <w:t>In-room Smart Controls</w:t>
      </w:r>
      <w:r w:rsidRPr="005532B2">
        <w:rPr>
          <w:rFonts w:cs="Arial"/>
          <w:szCs w:val="22"/>
        </w:rPr>
        <w:t>: IoT-enabled thermostats/lighting discreetly integrated in refurbished rooms; supports guest comfort and energy management (CBRE, 2024).</w:t>
      </w:r>
    </w:p>
    <w:p w14:paraId="0AA6CE62" w14:textId="77777777" w:rsidR="005532B2" w:rsidRPr="005532B2" w:rsidRDefault="005532B2" w:rsidP="00C86349">
      <w:pPr>
        <w:numPr>
          <w:ilvl w:val="0"/>
          <w:numId w:val="58"/>
        </w:numPr>
        <w:spacing w:line="360" w:lineRule="auto"/>
        <w:rPr>
          <w:rFonts w:cs="Arial"/>
          <w:szCs w:val="22"/>
        </w:rPr>
      </w:pPr>
      <w:r w:rsidRPr="005532B2">
        <w:rPr>
          <w:rFonts w:cs="Arial"/>
          <w:b/>
          <w:bCs/>
          <w:szCs w:val="22"/>
        </w:rPr>
        <w:t>Unified Guest Communication</w:t>
      </w:r>
      <w:r w:rsidRPr="005532B2">
        <w:rPr>
          <w:rFonts w:cs="Arial"/>
          <w:szCs w:val="22"/>
        </w:rPr>
        <w:t>: SMS/app-based service requests and feedback channels for faster response (Hospitality Net, 2025).</w:t>
      </w:r>
    </w:p>
    <w:p w14:paraId="3C48419F" w14:textId="77777777" w:rsidR="005532B2" w:rsidRPr="005532B2" w:rsidRDefault="005532B2" w:rsidP="00C86349">
      <w:pPr>
        <w:numPr>
          <w:ilvl w:val="0"/>
          <w:numId w:val="58"/>
        </w:numPr>
        <w:spacing w:line="360" w:lineRule="auto"/>
        <w:rPr>
          <w:rFonts w:cs="Arial"/>
          <w:szCs w:val="22"/>
        </w:rPr>
      </w:pPr>
      <w:r w:rsidRPr="005532B2">
        <w:rPr>
          <w:rFonts w:cs="Arial"/>
          <w:b/>
          <w:bCs/>
          <w:szCs w:val="22"/>
        </w:rPr>
        <w:t>Back-of-House Systems</w:t>
      </w:r>
      <w:r w:rsidRPr="005532B2">
        <w:rPr>
          <w:rFonts w:cs="Arial"/>
          <w:szCs w:val="22"/>
        </w:rPr>
        <w:t>: Upgrade PMS to integrate analytics and revenue management; deploy predictive maintenance sensors on critical equipment (Saunders, Lewis &amp; Thornhill, 2009; CBRE, 2024).</w:t>
      </w:r>
    </w:p>
    <w:p w14:paraId="3B0A4E30" w14:textId="77777777" w:rsidR="005532B2" w:rsidRPr="005532B2" w:rsidRDefault="005532B2" w:rsidP="00C86349">
      <w:pPr>
        <w:numPr>
          <w:ilvl w:val="0"/>
          <w:numId w:val="58"/>
        </w:numPr>
        <w:spacing w:line="360" w:lineRule="auto"/>
        <w:rPr>
          <w:rFonts w:cs="Arial"/>
          <w:szCs w:val="22"/>
        </w:rPr>
      </w:pPr>
      <w:r w:rsidRPr="005532B2">
        <w:rPr>
          <w:rFonts w:cs="Arial"/>
          <w:b/>
          <w:bCs/>
          <w:szCs w:val="22"/>
        </w:rPr>
        <w:t>Data Analytics</w:t>
      </w:r>
      <w:r w:rsidRPr="005532B2">
        <w:rPr>
          <w:rFonts w:cs="Arial"/>
          <w:szCs w:val="22"/>
        </w:rPr>
        <w:t>: Analyse guest preferences for personalised offers; boost ancillary revenue (Kotler, Bowen &amp; Makens, 2017).</w:t>
      </w:r>
    </w:p>
    <w:p w14:paraId="15666567" w14:textId="07823CCE" w:rsidR="005532B2" w:rsidRPr="005532B2" w:rsidRDefault="005532B2" w:rsidP="00C86349">
      <w:pPr>
        <w:spacing w:line="360" w:lineRule="auto"/>
        <w:rPr>
          <w:rFonts w:cs="Arial"/>
          <w:szCs w:val="22"/>
        </w:rPr>
      </w:pPr>
      <w:r w:rsidRPr="005532B2">
        <w:rPr>
          <w:rFonts w:cs="Arial"/>
          <w:b/>
          <w:bCs/>
          <w:szCs w:val="22"/>
        </w:rPr>
        <w:t>Cost &amp; Implementation</w:t>
      </w:r>
      <w:r w:rsidRPr="005532B2">
        <w:rPr>
          <w:rFonts w:cs="Arial"/>
          <w:szCs w:val="22"/>
        </w:rPr>
        <w:br/>
        <w:t>Allocate tech budget alongside room phases: £500k), then larger rollout (~£5–6m). Ensure integration with Hilton’s systems and GDPR compliance. Engage vendors experienced in heritage properties (EP Consulting, 2023).</w:t>
      </w:r>
    </w:p>
    <w:p w14:paraId="144CCB5B" w14:textId="77777777" w:rsidR="005532B2" w:rsidRPr="005532B2" w:rsidRDefault="005532B2" w:rsidP="00C86349">
      <w:pPr>
        <w:spacing w:line="360" w:lineRule="auto"/>
        <w:rPr>
          <w:rFonts w:cs="Arial"/>
          <w:szCs w:val="22"/>
        </w:rPr>
      </w:pPr>
      <w:r w:rsidRPr="005532B2">
        <w:rPr>
          <w:rFonts w:cs="Arial"/>
          <w:b/>
          <w:bCs/>
          <w:szCs w:val="22"/>
        </w:rPr>
        <w:t>Benefits &amp; Metrics</w:t>
      </w:r>
    </w:p>
    <w:p w14:paraId="6122189B" w14:textId="77777777" w:rsidR="005532B2" w:rsidRPr="005532B2" w:rsidRDefault="005532B2" w:rsidP="00C86349">
      <w:pPr>
        <w:numPr>
          <w:ilvl w:val="0"/>
          <w:numId w:val="59"/>
        </w:numPr>
        <w:spacing w:line="360" w:lineRule="auto"/>
        <w:rPr>
          <w:rFonts w:cs="Arial"/>
          <w:szCs w:val="22"/>
        </w:rPr>
      </w:pPr>
      <w:r w:rsidRPr="005532B2">
        <w:rPr>
          <w:rFonts w:cs="Arial"/>
          <w:b/>
          <w:bCs/>
          <w:szCs w:val="22"/>
        </w:rPr>
        <w:t>Adoption &amp; Satisfaction</w:t>
      </w:r>
      <w:r w:rsidRPr="005532B2">
        <w:rPr>
          <w:rFonts w:cs="Arial"/>
          <w:szCs w:val="22"/>
        </w:rPr>
        <w:t>: Track percentage using mobile check-in; target 50%+ uptake in tech-savvy segments; correlate with satisfaction scores (PwC, 2024).</w:t>
      </w:r>
    </w:p>
    <w:p w14:paraId="7416D523" w14:textId="77777777" w:rsidR="005532B2" w:rsidRPr="005532B2" w:rsidRDefault="005532B2" w:rsidP="00C86349">
      <w:pPr>
        <w:numPr>
          <w:ilvl w:val="0"/>
          <w:numId w:val="59"/>
        </w:numPr>
        <w:spacing w:line="360" w:lineRule="auto"/>
        <w:rPr>
          <w:rFonts w:cs="Arial"/>
          <w:szCs w:val="22"/>
        </w:rPr>
      </w:pPr>
      <w:r w:rsidRPr="005532B2">
        <w:rPr>
          <w:rFonts w:cs="Arial"/>
          <w:b/>
          <w:bCs/>
          <w:szCs w:val="22"/>
        </w:rPr>
        <w:t>Efficiency</w:t>
      </w:r>
      <w:r w:rsidRPr="005532B2">
        <w:rPr>
          <w:rFonts w:cs="Arial"/>
          <w:szCs w:val="22"/>
        </w:rPr>
        <w:t>: Measure reduced front-desk wait times and faster maintenance response; target ~20% improvement (Hospitality Net, 2025).</w:t>
      </w:r>
    </w:p>
    <w:p w14:paraId="2AFB8FF6" w14:textId="77777777" w:rsidR="005532B2" w:rsidRPr="005532B2" w:rsidRDefault="005532B2" w:rsidP="00C86349">
      <w:pPr>
        <w:numPr>
          <w:ilvl w:val="0"/>
          <w:numId w:val="59"/>
        </w:numPr>
        <w:spacing w:line="360" w:lineRule="auto"/>
        <w:rPr>
          <w:rFonts w:cs="Arial"/>
          <w:szCs w:val="22"/>
        </w:rPr>
      </w:pPr>
      <w:r w:rsidRPr="005532B2">
        <w:rPr>
          <w:rFonts w:cs="Arial"/>
          <w:b/>
          <w:bCs/>
          <w:szCs w:val="22"/>
        </w:rPr>
        <w:t>Revenue Uplift</w:t>
      </w:r>
      <w:r w:rsidRPr="005532B2">
        <w:rPr>
          <w:rFonts w:cs="Arial"/>
          <w:szCs w:val="22"/>
        </w:rPr>
        <w:t>: Monitor ancillary spend increases (F&amp;B, spa) via personalised offers (Kotler, Bowen &amp; Makens, 2017).</w:t>
      </w:r>
    </w:p>
    <w:p w14:paraId="0FCE87BE" w14:textId="77777777" w:rsidR="005532B2" w:rsidRPr="005532B2" w:rsidRDefault="005532B2" w:rsidP="00C86349">
      <w:pPr>
        <w:spacing w:line="360" w:lineRule="auto"/>
        <w:rPr>
          <w:rFonts w:cs="Arial"/>
          <w:b/>
          <w:bCs/>
          <w:szCs w:val="22"/>
        </w:rPr>
      </w:pPr>
      <w:r w:rsidRPr="005532B2">
        <w:rPr>
          <w:rFonts w:cs="Arial"/>
          <w:b/>
          <w:bCs/>
          <w:szCs w:val="22"/>
        </w:rPr>
        <w:t>4. Operational Optimisation</w:t>
      </w:r>
    </w:p>
    <w:p w14:paraId="013A406B" w14:textId="77777777" w:rsidR="005532B2" w:rsidRPr="005532B2" w:rsidRDefault="005532B2" w:rsidP="00C86349">
      <w:pPr>
        <w:spacing w:line="360" w:lineRule="auto"/>
        <w:rPr>
          <w:rFonts w:cs="Arial"/>
          <w:szCs w:val="22"/>
        </w:rPr>
      </w:pPr>
      <w:r w:rsidRPr="005532B2">
        <w:rPr>
          <w:rFonts w:cs="Arial"/>
          <w:b/>
          <w:bCs/>
          <w:szCs w:val="22"/>
        </w:rPr>
        <w:t>Rationale</w:t>
      </w:r>
      <w:r w:rsidRPr="005532B2">
        <w:rPr>
          <w:rFonts w:cs="Arial"/>
          <w:szCs w:val="22"/>
        </w:rPr>
        <w:br/>
        <w:t>Contain rising OPEX by improving processes and workforce efficiency without compromising service (PwC, 2024).</w:t>
      </w:r>
    </w:p>
    <w:p w14:paraId="32C60BC8" w14:textId="77777777" w:rsidR="005532B2" w:rsidRPr="005532B2" w:rsidRDefault="005532B2" w:rsidP="00C86349">
      <w:pPr>
        <w:spacing w:line="360" w:lineRule="auto"/>
        <w:rPr>
          <w:rFonts w:cs="Arial"/>
          <w:szCs w:val="22"/>
        </w:rPr>
      </w:pPr>
      <w:r w:rsidRPr="005532B2">
        <w:rPr>
          <w:rFonts w:cs="Arial"/>
          <w:b/>
          <w:bCs/>
          <w:szCs w:val="22"/>
        </w:rPr>
        <w:t>Actions</w:t>
      </w:r>
    </w:p>
    <w:p w14:paraId="72BED95C" w14:textId="77777777" w:rsidR="005532B2" w:rsidRPr="005532B2" w:rsidRDefault="005532B2" w:rsidP="00C86349">
      <w:pPr>
        <w:numPr>
          <w:ilvl w:val="0"/>
          <w:numId w:val="60"/>
        </w:numPr>
        <w:spacing w:line="360" w:lineRule="auto"/>
        <w:rPr>
          <w:rFonts w:cs="Arial"/>
          <w:szCs w:val="22"/>
        </w:rPr>
      </w:pPr>
      <w:r w:rsidRPr="005532B2">
        <w:rPr>
          <w:rFonts w:cs="Arial"/>
          <w:b/>
          <w:bCs/>
          <w:szCs w:val="22"/>
        </w:rPr>
        <w:t>Workforce Planning</w:t>
      </w:r>
      <w:r w:rsidRPr="005532B2">
        <w:rPr>
          <w:rFonts w:cs="Arial"/>
          <w:szCs w:val="22"/>
        </w:rPr>
        <w:t>: Time-and-motion studies to align staffing with demand; use flexible arrangements seasonally (HVS, 2024).</w:t>
      </w:r>
    </w:p>
    <w:p w14:paraId="1EA5A4BC" w14:textId="18195C69" w:rsidR="005532B2" w:rsidRPr="005532B2" w:rsidRDefault="005532B2" w:rsidP="00C86349">
      <w:pPr>
        <w:numPr>
          <w:ilvl w:val="0"/>
          <w:numId w:val="60"/>
        </w:numPr>
        <w:spacing w:line="360" w:lineRule="auto"/>
        <w:rPr>
          <w:rFonts w:cs="Arial"/>
          <w:szCs w:val="22"/>
        </w:rPr>
      </w:pPr>
      <w:r w:rsidRPr="005532B2">
        <w:rPr>
          <w:rFonts w:cs="Arial"/>
          <w:b/>
          <w:bCs/>
          <w:szCs w:val="22"/>
        </w:rPr>
        <w:lastRenderedPageBreak/>
        <w:t>Training &amp; Multiskilling</w:t>
      </w:r>
      <w:r w:rsidRPr="005532B2">
        <w:rPr>
          <w:rFonts w:cs="Arial"/>
          <w:szCs w:val="22"/>
        </w:rPr>
        <w:t xml:space="preserve">: </w:t>
      </w:r>
      <w:r w:rsidR="00C86349" w:rsidRPr="005532B2">
        <w:rPr>
          <w:rFonts w:cs="Arial"/>
          <w:szCs w:val="22"/>
        </w:rPr>
        <w:t>Crosstrain</w:t>
      </w:r>
      <w:r w:rsidRPr="005532B2">
        <w:rPr>
          <w:rFonts w:cs="Arial"/>
          <w:szCs w:val="22"/>
        </w:rPr>
        <w:t xml:space="preserve"> staff for agility (e.g., digital service handling); boost engagement (Saunders, Lewis &amp; Thornhill, 2009).</w:t>
      </w:r>
    </w:p>
    <w:p w14:paraId="53AD775E" w14:textId="77777777" w:rsidR="005532B2" w:rsidRPr="005532B2" w:rsidRDefault="005532B2" w:rsidP="00C86349">
      <w:pPr>
        <w:numPr>
          <w:ilvl w:val="0"/>
          <w:numId w:val="60"/>
        </w:numPr>
        <w:spacing w:line="360" w:lineRule="auto"/>
        <w:rPr>
          <w:rFonts w:cs="Arial"/>
          <w:szCs w:val="22"/>
        </w:rPr>
      </w:pPr>
      <w:r w:rsidRPr="005532B2">
        <w:rPr>
          <w:rFonts w:cs="Arial"/>
          <w:b/>
          <w:bCs/>
          <w:szCs w:val="22"/>
        </w:rPr>
        <w:t>Procurement</w:t>
      </w:r>
      <w:r w:rsidRPr="005532B2">
        <w:rPr>
          <w:rFonts w:cs="Arial"/>
          <w:szCs w:val="22"/>
        </w:rPr>
        <w:t>: Leverage group contracts for consumables; negotiate refurbishment materials via preferred suppliers; use sustainable procurement balancing cost and brand values (PwC, 2024; Savills, 2025).</w:t>
      </w:r>
    </w:p>
    <w:p w14:paraId="40C93E65" w14:textId="77777777" w:rsidR="005532B2" w:rsidRPr="005532B2" w:rsidRDefault="005532B2" w:rsidP="00C86349">
      <w:pPr>
        <w:numPr>
          <w:ilvl w:val="0"/>
          <w:numId w:val="60"/>
        </w:numPr>
        <w:spacing w:line="360" w:lineRule="auto"/>
        <w:rPr>
          <w:rFonts w:cs="Arial"/>
          <w:szCs w:val="22"/>
        </w:rPr>
      </w:pPr>
      <w:r w:rsidRPr="005532B2">
        <w:rPr>
          <w:rFonts w:cs="Arial"/>
          <w:b/>
          <w:bCs/>
          <w:szCs w:val="22"/>
        </w:rPr>
        <w:t>Lean Processes</w:t>
      </w:r>
      <w:r w:rsidRPr="005532B2">
        <w:rPr>
          <w:rFonts w:cs="Arial"/>
          <w:szCs w:val="22"/>
        </w:rPr>
        <w:t>: Apply lean principles in housekeeping turnovers, F&amp;B inventory to reduce waste (Saunders, Lewis &amp; Thornhill, 2009).</w:t>
      </w:r>
    </w:p>
    <w:p w14:paraId="036B7C17" w14:textId="77777777" w:rsidR="005532B2" w:rsidRPr="005532B2" w:rsidRDefault="005532B2" w:rsidP="00C86349">
      <w:pPr>
        <w:numPr>
          <w:ilvl w:val="0"/>
          <w:numId w:val="60"/>
        </w:numPr>
        <w:spacing w:line="360" w:lineRule="auto"/>
        <w:rPr>
          <w:rFonts w:cs="Arial"/>
          <w:szCs w:val="22"/>
        </w:rPr>
      </w:pPr>
      <w:r w:rsidRPr="005532B2">
        <w:rPr>
          <w:rFonts w:cs="Arial"/>
          <w:b/>
          <w:bCs/>
          <w:szCs w:val="22"/>
        </w:rPr>
        <w:t>Energy Management Systems</w:t>
      </w:r>
      <w:r w:rsidRPr="005532B2">
        <w:rPr>
          <w:rFonts w:cs="Arial"/>
          <w:szCs w:val="22"/>
        </w:rPr>
        <w:t>: Automate heating/cooling based on occupancy to save costs (CBRE, 2024).</w:t>
      </w:r>
    </w:p>
    <w:p w14:paraId="4D843833" w14:textId="77777777" w:rsidR="005532B2" w:rsidRPr="005532B2" w:rsidRDefault="005532B2" w:rsidP="00C86349">
      <w:pPr>
        <w:spacing w:line="360" w:lineRule="auto"/>
        <w:rPr>
          <w:rFonts w:cs="Arial"/>
          <w:szCs w:val="22"/>
        </w:rPr>
      </w:pPr>
      <w:r w:rsidRPr="005532B2">
        <w:rPr>
          <w:rFonts w:cs="Arial"/>
          <w:b/>
          <w:bCs/>
          <w:szCs w:val="22"/>
        </w:rPr>
        <w:t>Benefits &amp; Metrics</w:t>
      </w:r>
    </w:p>
    <w:p w14:paraId="646CDF0E" w14:textId="77777777" w:rsidR="005532B2" w:rsidRPr="005532B2" w:rsidRDefault="005532B2" w:rsidP="00C86349">
      <w:pPr>
        <w:numPr>
          <w:ilvl w:val="0"/>
          <w:numId w:val="61"/>
        </w:numPr>
        <w:spacing w:line="360" w:lineRule="auto"/>
        <w:rPr>
          <w:rFonts w:cs="Arial"/>
          <w:szCs w:val="22"/>
        </w:rPr>
      </w:pPr>
      <w:r w:rsidRPr="005532B2">
        <w:rPr>
          <w:rFonts w:cs="Arial"/>
          <w:b/>
          <w:bCs/>
          <w:szCs w:val="22"/>
        </w:rPr>
        <w:t>Cost Reduction</w:t>
      </w:r>
      <w:r w:rsidRPr="005532B2">
        <w:rPr>
          <w:rFonts w:cs="Arial"/>
          <w:szCs w:val="22"/>
        </w:rPr>
        <w:t>: Target 10% reduction in variable costs within 12 months; track monthly against baselines (PwC, 2024).</w:t>
      </w:r>
    </w:p>
    <w:p w14:paraId="3FB616D2" w14:textId="77777777" w:rsidR="005532B2" w:rsidRPr="005532B2" w:rsidRDefault="005532B2" w:rsidP="00C86349">
      <w:pPr>
        <w:numPr>
          <w:ilvl w:val="0"/>
          <w:numId w:val="61"/>
        </w:numPr>
        <w:spacing w:line="360" w:lineRule="auto"/>
        <w:rPr>
          <w:rFonts w:cs="Arial"/>
          <w:szCs w:val="22"/>
        </w:rPr>
      </w:pPr>
      <w:r w:rsidRPr="005532B2">
        <w:rPr>
          <w:rFonts w:cs="Arial"/>
          <w:b/>
          <w:bCs/>
          <w:szCs w:val="22"/>
        </w:rPr>
        <w:t>Labour Efficiency</w:t>
      </w:r>
      <w:r w:rsidRPr="005532B2">
        <w:rPr>
          <w:rFonts w:cs="Arial"/>
          <w:szCs w:val="22"/>
        </w:rPr>
        <w:t>: Monitor labour cost as % of revenue; aim to stabilise despite wage inflation (Saunders, Lewis &amp; Thornhill, 2009).</w:t>
      </w:r>
    </w:p>
    <w:p w14:paraId="47963DFF" w14:textId="77777777" w:rsidR="005532B2" w:rsidRPr="005532B2" w:rsidRDefault="005532B2" w:rsidP="00C86349">
      <w:pPr>
        <w:numPr>
          <w:ilvl w:val="0"/>
          <w:numId w:val="61"/>
        </w:numPr>
        <w:spacing w:line="360" w:lineRule="auto"/>
        <w:rPr>
          <w:rFonts w:cs="Arial"/>
          <w:szCs w:val="22"/>
        </w:rPr>
      </w:pPr>
      <w:r w:rsidRPr="005532B2">
        <w:rPr>
          <w:rFonts w:cs="Arial"/>
          <w:b/>
          <w:bCs/>
          <w:szCs w:val="22"/>
        </w:rPr>
        <w:t>Service Quality</w:t>
      </w:r>
      <w:r w:rsidRPr="005532B2">
        <w:rPr>
          <w:rFonts w:cs="Arial"/>
          <w:szCs w:val="22"/>
        </w:rPr>
        <w:t>: Ensure guest satisfaction remains stable or improves via voice-of-customer metrics (TripAdvisor, 2024).</w:t>
      </w:r>
    </w:p>
    <w:p w14:paraId="69D532F4" w14:textId="77777777" w:rsidR="005532B2" w:rsidRPr="005532B2" w:rsidRDefault="005532B2" w:rsidP="00C86349">
      <w:pPr>
        <w:numPr>
          <w:ilvl w:val="0"/>
          <w:numId w:val="61"/>
        </w:numPr>
        <w:spacing w:line="360" w:lineRule="auto"/>
        <w:rPr>
          <w:rFonts w:cs="Arial"/>
          <w:szCs w:val="22"/>
        </w:rPr>
      </w:pPr>
      <w:r w:rsidRPr="005532B2">
        <w:rPr>
          <w:rFonts w:cs="Arial"/>
          <w:b/>
          <w:bCs/>
          <w:szCs w:val="22"/>
        </w:rPr>
        <w:t>Waste Reduction</w:t>
      </w:r>
      <w:r w:rsidRPr="005532B2">
        <w:rPr>
          <w:rFonts w:cs="Arial"/>
          <w:szCs w:val="22"/>
        </w:rPr>
        <w:t>: Track F&amp;B waste reduction; target 15% improvement (Hospitality Net, 2025).</w:t>
      </w:r>
    </w:p>
    <w:p w14:paraId="3310BA3F" w14:textId="77777777" w:rsidR="005532B2" w:rsidRPr="005532B2" w:rsidRDefault="005532B2" w:rsidP="00C86349">
      <w:pPr>
        <w:spacing w:line="360" w:lineRule="auto"/>
        <w:rPr>
          <w:rFonts w:cs="Arial"/>
          <w:b/>
          <w:bCs/>
          <w:szCs w:val="22"/>
        </w:rPr>
      </w:pPr>
      <w:r w:rsidRPr="005532B2">
        <w:rPr>
          <w:rFonts w:cs="Arial"/>
          <w:b/>
          <w:bCs/>
          <w:szCs w:val="22"/>
        </w:rPr>
        <w:t>5. Change Management Framework</w:t>
      </w:r>
    </w:p>
    <w:p w14:paraId="23C5C32D" w14:textId="77777777" w:rsidR="005532B2" w:rsidRPr="005532B2" w:rsidRDefault="005532B2" w:rsidP="00C86349">
      <w:pPr>
        <w:spacing w:line="360" w:lineRule="auto"/>
        <w:rPr>
          <w:rFonts w:cs="Arial"/>
          <w:szCs w:val="22"/>
        </w:rPr>
      </w:pPr>
      <w:r w:rsidRPr="005532B2">
        <w:rPr>
          <w:rFonts w:cs="Arial"/>
          <w:szCs w:val="22"/>
        </w:rPr>
        <w:t>Applying Kotter’s 8-Step Model (Kotter, 1996) and ADKAR (Hiatt, 2006):</w:t>
      </w:r>
    </w:p>
    <w:p w14:paraId="74DD6957" w14:textId="77777777" w:rsidR="005532B2" w:rsidRPr="005532B2" w:rsidRDefault="005532B2" w:rsidP="00C86349">
      <w:pPr>
        <w:numPr>
          <w:ilvl w:val="0"/>
          <w:numId w:val="62"/>
        </w:numPr>
        <w:spacing w:line="360" w:lineRule="auto"/>
        <w:rPr>
          <w:rFonts w:cs="Arial"/>
          <w:szCs w:val="22"/>
        </w:rPr>
      </w:pPr>
      <w:r w:rsidRPr="005532B2">
        <w:rPr>
          <w:rFonts w:cs="Arial"/>
          <w:b/>
          <w:bCs/>
          <w:szCs w:val="22"/>
        </w:rPr>
        <w:t>Urgency &amp; Awareness</w:t>
      </w:r>
      <w:r w:rsidRPr="005532B2">
        <w:rPr>
          <w:rFonts w:cs="Arial"/>
          <w:szCs w:val="22"/>
        </w:rPr>
        <w:t>: Share analysis insights (guest feedback declines, cost pressures) via presentations and data visuals to build urgency (PwC, 2024).</w:t>
      </w:r>
    </w:p>
    <w:p w14:paraId="6D1F2032" w14:textId="77777777" w:rsidR="005532B2" w:rsidRPr="005532B2" w:rsidRDefault="005532B2" w:rsidP="00C86349">
      <w:pPr>
        <w:numPr>
          <w:ilvl w:val="0"/>
          <w:numId w:val="62"/>
        </w:numPr>
        <w:spacing w:line="360" w:lineRule="auto"/>
        <w:rPr>
          <w:rFonts w:cs="Arial"/>
          <w:szCs w:val="22"/>
        </w:rPr>
      </w:pPr>
      <w:r w:rsidRPr="005532B2">
        <w:rPr>
          <w:rFonts w:cs="Arial"/>
          <w:b/>
          <w:bCs/>
          <w:szCs w:val="22"/>
        </w:rPr>
        <w:t>Guiding Coalition</w:t>
      </w:r>
      <w:r w:rsidRPr="005532B2">
        <w:rPr>
          <w:rFonts w:cs="Arial"/>
          <w:szCs w:val="22"/>
        </w:rPr>
        <w:t>: Form a cross-functional Steering Committee and Sustainability Taskforce with clear roles and senior sponsorship (Saunders, Lewis &amp; Thornhill, 2009).</w:t>
      </w:r>
    </w:p>
    <w:p w14:paraId="5E230617" w14:textId="77777777" w:rsidR="005532B2" w:rsidRPr="005532B2" w:rsidRDefault="005532B2" w:rsidP="00C86349">
      <w:pPr>
        <w:numPr>
          <w:ilvl w:val="0"/>
          <w:numId w:val="62"/>
        </w:numPr>
        <w:spacing w:line="360" w:lineRule="auto"/>
        <w:rPr>
          <w:rFonts w:cs="Arial"/>
          <w:szCs w:val="22"/>
        </w:rPr>
      </w:pPr>
      <w:r w:rsidRPr="005532B2">
        <w:rPr>
          <w:rFonts w:cs="Arial"/>
          <w:b/>
          <w:bCs/>
          <w:szCs w:val="22"/>
        </w:rPr>
        <w:t>Vision &amp; Strategy</w:t>
      </w:r>
      <w:r w:rsidRPr="005532B2">
        <w:rPr>
          <w:rFonts w:cs="Arial"/>
          <w:szCs w:val="22"/>
        </w:rPr>
        <w:t>: Articulate “Heritage Meets Modern Excellence” with pillars: Infrastructure Renewal, Sustainability Leadership, Digital Experience, Operational Excellence. Map clear objectives and timelines (Kotter, 1996).</w:t>
      </w:r>
    </w:p>
    <w:p w14:paraId="00AD77CD" w14:textId="77777777" w:rsidR="005532B2" w:rsidRPr="005532B2" w:rsidRDefault="005532B2" w:rsidP="00C86349">
      <w:pPr>
        <w:numPr>
          <w:ilvl w:val="0"/>
          <w:numId w:val="62"/>
        </w:numPr>
        <w:spacing w:line="360" w:lineRule="auto"/>
        <w:rPr>
          <w:rFonts w:cs="Arial"/>
          <w:szCs w:val="22"/>
        </w:rPr>
      </w:pPr>
      <w:r w:rsidRPr="005532B2">
        <w:rPr>
          <w:rFonts w:cs="Arial"/>
          <w:b/>
          <w:bCs/>
          <w:szCs w:val="22"/>
        </w:rPr>
        <w:t>Communication</w:t>
      </w:r>
      <w:r w:rsidRPr="005532B2">
        <w:rPr>
          <w:rFonts w:cs="Arial"/>
          <w:szCs w:val="22"/>
        </w:rPr>
        <w:t>: Regular multi-channel updates (town halls, newsletters), emphasising benefits to guests and staff, and providing feedback channels to address concerns (Hiatt, 2006).</w:t>
      </w:r>
    </w:p>
    <w:p w14:paraId="19D9A5FA" w14:textId="77777777" w:rsidR="005532B2" w:rsidRPr="005532B2" w:rsidRDefault="005532B2" w:rsidP="00C86349">
      <w:pPr>
        <w:numPr>
          <w:ilvl w:val="0"/>
          <w:numId w:val="62"/>
        </w:numPr>
        <w:spacing w:line="360" w:lineRule="auto"/>
        <w:rPr>
          <w:rFonts w:cs="Arial"/>
          <w:szCs w:val="22"/>
        </w:rPr>
      </w:pPr>
      <w:r w:rsidRPr="005532B2">
        <w:rPr>
          <w:rFonts w:cs="Arial"/>
          <w:b/>
          <w:bCs/>
          <w:szCs w:val="22"/>
        </w:rPr>
        <w:lastRenderedPageBreak/>
        <w:t>Empowerment &amp; Training</w:t>
      </w:r>
      <w:r w:rsidRPr="005532B2">
        <w:rPr>
          <w:rFonts w:cs="Arial"/>
          <w:szCs w:val="22"/>
        </w:rPr>
        <w:t>: Provide training on new technologies and sustainability practices; remove policy barriers for swift decision-making (Hospitality Net, 2025).</w:t>
      </w:r>
    </w:p>
    <w:p w14:paraId="4DC12BA2" w14:textId="77777777" w:rsidR="005532B2" w:rsidRPr="005532B2" w:rsidRDefault="005532B2" w:rsidP="00C86349">
      <w:pPr>
        <w:numPr>
          <w:ilvl w:val="0"/>
          <w:numId w:val="62"/>
        </w:numPr>
        <w:spacing w:line="360" w:lineRule="auto"/>
        <w:rPr>
          <w:rFonts w:cs="Arial"/>
          <w:szCs w:val="22"/>
        </w:rPr>
      </w:pPr>
      <w:r w:rsidRPr="005532B2">
        <w:rPr>
          <w:rFonts w:cs="Arial"/>
          <w:b/>
          <w:bCs/>
          <w:szCs w:val="22"/>
        </w:rPr>
        <w:t>Short-term Wins</w:t>
      </w:r>
      <w:r w:rsidRPr="005532B2">
        <w:rPr>
          <w:rFonts w:cs="Arial"/>
          <w:szCs w:val="22"/>
        </w:rPr>
        <w:t>: Highlight successes from pilot refurbishments (positive guest comments) and early energy savings to build momentum (Kotter, 1996).</w:t>
      </w:r>
    </w:p>
    <w:p w14:paraId="06B3B398" w14:textId="77777777" w:rsidR="005532B2" w:rsidRPr="005532B2" w:rsidRDefault="005532B2" w:rsidP="00C86349">
      <w:pPr>
        <w:numPr>
          <w:ilvl w:val="0"/>
          <w:numId w:val="62"/>
        </w:numPr>
        <w:spacing w:line="360" w:lineRule="auto"/>
        <w:rPr>
          <w:rFonts w:cs="Arial"/>
          <w:szCs w:val="22"/>
        </w:rPr>
      </w:pPr>
      <w:r w:rsidRPr="005532B2">
        <w:rPr>
          <w:rFonts w:cs="Arial"/>
          <w:b/>
          <w:bCs/>
          <w:szCs w:val="22"/>
        </w:rPr>
        <w:t>Consolidation</w:t>
      </w:r>
      <w:r w:rsidRPr="005532B2">
        <w:rPr>
          <w:rFonts w:cs="Arial"/>
          <w:szCs w:val="22"/>
        </w:rPr>
        <w:t>: Use lessons learned to refine subsequent phases; embed continuous improvement through regular reviews and staff suggestion schemes (EHL Hospitality Insights, 2023).</w:t>
      </w:r>
    </w:p>
    <w:p w14:paraId="36FD7FD2" w14:textId="77777777" w:rsidR="005532B2" w:rsidRPr="005532B2" w:rsidRDefault="005532B2" w:rsidP="00C86349">
      <w:pPr>
        <w:numPr>
          <w:ilvl w:val="0"/>
          <w:numId w:val="62"/>
        </w:numPr>
        <w:spacing w:line="360" w:lineRule="auto"/>
        <w:rPr>
          <w:rFonts w:cs="Arial"/>
          <w:szCs w:val="22"/>
        </w:rPr>
      </w:pPr>
      <w:r w:rsidRPr="005532B2">
        <w:rPr>
          <w:rFonts w:cs="Arial"/>
          <w:b/>
          <w:bCs/>
          <w:szCs w:val="22"/>
        </w:rPr>
        <w:t>Anchoring in Culture</w:t>
      </w:r>
      <w:r w:rsidRPr="005532B2">
        <w:rPr>
          <w:rFonts w:cs="Arial"/>
          <w:szCs w:val="22"/>
        </w:rPr>
        <w:t>: Integrate change objectives into performance appraisals, recognise contributors (e.g., “Green Champion” awards), and maintain visible leadership support to sustain new behaviours (Kotler, Bowen &amp; Makens, 2017).</w:t>
      </w:r>
    </w:p>
    <w:p w14:paraId="361D7E92" w14:textId="77777777" w:rsidR="005532B2" w:rsidRPr="005532B2" w:rsidRDefault="005532B2" w:rsidP="00C86349">
      <w:pPr>
        <w:spacing w:line="360" w:lineRule="auto"/>
        <w:rPr>
          <w:rFonts w:cs="Arial"/>
          <w:szCs w:val="22"/>
        </w:rPr>
      </w:pPr>
      <w:r w:rsidRPr="005532B2">
        <w:rPr>
          <w:rFonts w:cs="Arial"/>
          <w:b/>
          <w:bCs/>
          <w:szCs w:val="22"/>
        </w:rPr>
        <w:t>Risk Management</w:t>
      </w:r>
    </w:p>
    <w:p w14:paraId="248D745E" w14:textId="77777777" w:rsidR="005532B2" w:rsidRPr="005532B2" w:rsidRDefault="005532B2" w:rsidP="00C86349">
      <w:pPr>
        <w:numPr>
          <w:ilvl w:val="0"/>
          <w:numId w:val="63"/>
        </w:numPr>
        <w:spacing w:line="360" w:lineRule="auto"/>
        <w:rPr>
          <w:rFonts w:cs="Arial"/>
          <w:szCs w:val="22"/>
        </w:rPr>
      </w:pPr>
      <w:r w:rsidRPr="005532B2">
        <w:rPr>
          <w:rFonts w:cs="Arial"/>
          <w:b/>
          <w:bCs/>
          <w:szCs w:val="22"/>
        </w:rPr>
        <w:t>Heritage Approval Delays</w:t>
      </w:r>
      <w:r w:rsidRPr="005532B2">
        <w:rPr>
          <w:rFonts w:cs="Arial"/>
          <w:szCs w:val="22"/>
        </w:rPr>
        <w:t>: Early liaison with authorities; include buffer in schedules (EP Consulting, 2023).</w:t>
      </w:r>
    </w:p>
    <w:p w14:paraId="61B5FF01" w14:textId="77777777" w:rsidR="005532B2" w:rsidRPr="005532B2" w:rsidRDefault="005532B2" w:rsidP="00C86349">
      <w:pPr>
        <w:numPr>
          <w:ilvl w:val="0"/>
          <w:numId w:val="63"/>
        </w:numPr>
        <w:spacing w:line="360" w:lineRule="auto"/>
        <w:rPr>
          <w:rFonts w:cs="Arial"/>
          <w:szCs w:val="22"/>
        </w:rPr>
      </w:pPr>
      <w:r w:rsidRPr="005532B2">
        <w:rPr>
          <w:rFonts w:cs="Arial"/>
          <w:b/>
          <w:bCs/>
          <w:szCs w:val="22"/>
        </w:rPr>
        <w:t>Cost Overruns</w:t>
      </w:r>
      <w:r w:rsidRPr="005532B2">
        <w:rPr>
          <w:rFonts w:cs="Arial"/>
          <w:szCs w:val="22"/>
        </w:rPr>
        <w:t>: Contingency budgets (10–15%), pilot phases to refine estimates, fixed-price contracts where feasible (Savills, 2025).</w:t>
      </w:r>
    </w:p>
    <w:p w14:paraId="1E04C6CC" w14:textId="77777777" w:rsidR="005532B2" w:rsidRPr="005532B2" w:rsidRDefault="005532B2" w:rsidP="00C86349">
      <w:pPr>
        <w:numPr>
          <w:ilvl w:val="0"/>
          <w:numId w:val="63"/>
        </w:numPr>
        <w:spacing w:line="360" w:lineRule="auto"/>
        <w:rPr>
          <w:rFonts w:cs="Arial"/>
          <w:szCs w:val="22"/>
        </w:rPr>
      </w:pPr>
      <w:r w:rsidRPr="005532B2">
        <w:rPr>
          <w:rFonts w:cs="Arial"/>
          <w:b/>
          <w:bCs/>
          <w:szCs w:val="22"/>
        </w:rPr>
        <w:t>Guest Disruption</w:t>
      </w:r>
      <w:r w:rsidRPr="005532B2">
        <w:rPr>
          <w:rFonts w:cs="Arial"/>
          <w:szCs w:val="22"/>
        </w:rPr>
        <w:t>: Schedule works in low-demand periods, communicate clearly to guests, offer compensation if needed (Hospitality Net, 2025).</w:t>
      </w:r>
    </w:p>
    <w:p w14:paraId="384B3622" w14:textId="77777777" w:rsidR="005532B2" w:rsidRPr="005532B2" w:rsidRDefault="005532B2" w:rsidP="00C86349">
      <w:pPr>
        <w:numPr>
          <w:ilvl w:val="0"/>
          <w:numId w:val="63"/>
        </w:numPr>
        <w:spacing w:line="360" w:lineRule="auto"/>
        <w:rPr>
          <w:rFonts w:cs="Arial"/>
          <w:szCs w:val="22"/>
        </w:rPr>
      </w:pPr>
      <w:r w:rsidRPr="005532B2">
        <w:rPr>
          <w:rFonts w:cs="Arial"/>
          <w:b/>
          <w:bCs/>
          <w:szCs w:val="22"/>
        </w:rPr>
        <w:t>Staff Resistance</w:t>
      </w:r>
      <w:r w:rsidRPr="005532B2">
        <w:rPr>
          <w:rFonts w:cs="Arial"/>
          <w:szCs w:val="22"/>
        </w:rPr>
        <w:t>: Involve staff early, offer training, communicate benefits, and recognise early adopters (Hiatt, 2006).</w:t>
      </w:r>
    </w:p>
    <w:p w14:paraId="38688EC5" w14:textId="77777777" w:rsidR="005532B2" w:rsidRPr="005532B2" w:rsidRDefault="005532B2" w:rsidP="00C86349">
      <w:pPr>
        <w:numPr>
          <w:ilvl w:val="0"/>
          <w:numId w:val="63"/>
        </w:numPr>
        <w:spacing w:line="360" w:lineRule="auto"/>
        <w:rPr>
          <w:rFonts w:cs="Arial"/>
          <w:szCs w:val="22"/>
        </w:rPr>
      </w:pPr>
      <w:r w:rsidRPr="005532B2">
        <w:rPr>
          <w:rFonts w:cs="Arial"/>
          <w:b/>
          <w:bCs/>
          <w:szCs w:val="22"/>
        </w:rPr>
        <w:t>Financing Constraints</w:t>
      </w:r>
      <w:r w:rsidRPr="005532B2">
        <w:rPr>
          <w:rFonts w:cs="Arial"/>
          <w:szCs w:val="22"/>
        </w:rPr>
        <w:t>: Secure flexible green financing, maintain reserves, prioritise initiatives by ROI (PwC, 2024).</w:t>
      </w:r>
    </w:p>
    <w:p w14:paraId="1E39DBEF" w14:textId="77777777" w:rsidR="005532B2" w:rsidRPr="005532B2" w:rsidRDefault="005532B2" w:rsidP="00C86349">
      <w:pPr>
        <w:spacing w:line="360" w:lineRule="auto"/>
        <w:rPr>
          <w:rFonts w:cs="Arial"/>
          <w:b/>
          <w:bCs/>
          <w:szCs w:val="22"/>
        </w:rPr>
      </w:pPr>
      <w:r w:rsidRPr="005532B2">
        <w:rPr>
          <w:rFonts w:cs="Arial"/>
          <w:b/>
          <w:bCs/>
          <w:szCs w:val="22"/>
        </w:rPr>
        <w:t>6. Cost Summary &amp; Monitoring</w:t>
      </w:r>
    </w:p>
    <w:p w14:paraId="2CB7146D" w14:textId="77777777" w:rsidR="005532B2" w:rsidRPr="005532B2" w:rsidRDefault="005532B2" w:rsidP="00C86349">
      <w:pPr>
        <w:spacing w:line="360" w:lineRule="auto"/>
        <w:rPr>
          <w:rFonts w:cs="Arial"/>
          <w:szCs w:val="22"/>
        </w:rPr>
      </w:pPr>
      <w:r w:rsidRPr="005532B2">
        <w:rPr>
          <w:rFonts w:cs="Arial"/>
          <w:b/>
          <w:bCs/>
          <w:szCs w:val="22"/>
        </w:rPr>
        <w:t>Estimated Outlays</w:t>
      </w:r>
      <w:r w:rsidRPr="005532B2">
        <w:rPr>
          <w:rFonts w:cs="Arial"/>
          <w:szCs w:val="22"/>
        </w:rPr>
        <w:t xml:space="preserve"> (phased over ~6 years):</w:t>
      </w:r>
    </w:p>
    <w:p w14:paraId="069760B5" w14:textId="77777777" w:rsidR="005532B2" w:rsidRPr="005532B2" w:rsidRDefault="005532B2" w:rsidP="00C86349">
      <w:pPr>
        <w:numPr>
          <w:ilvl w:val="0"/>
          <w:numId w:val="64"/>
        </w:numPr>
        <w:spacing w:line="360" w:lineRule="auto"/>
        <w:rPr>
          <w:rFonts w:cs="Arial"/>
          <w:szCs w:val="22"/>
        </w:rPr>
      </w:pPr>
      <w:r w:rsidRPr="005532B2">
        <w:rPr>
          <w:rFonts w:cs="Arial"/>
          <w:szCs w:val="22"/>
        </w:rPr>
        <w:t>Public-area refurbishment: £2–3m.</w:t>
      </w:r>
    </w:p>
    <w:p w14:paraId="7865C1B0" w14:textId="77777777" w:rsidR="005532B2" w:rsidRPr="005532B2" w:rsidRDefault="005532B2" w:rsidP="00C86349">
      <w:pPr>
        <w:numPr>
          <w:ilvl w:val="0"/>
          <w:numId w:val="64"/>
        </w:numPr>
        <w:spacing w:line="360" w:lineRule="auto"/>
        <w:rPr>
          <w:rFonts w:cs="Arial"/>
          <w:szCs w:val="22"/>
        </w:rPr>
      </w:pPr>
      <w:r w:rsidRPr="005532B2">
        <w:rPr>
          <w:rFonts w:cs="Arial"/>
          <w:szCs w:val="22"/>
        </w:rPr>
        <w:t>Pilot room refurbishment: £1.5–2m.</w:t>
      </w:r>
    </w:p>
    <w:p w14:paraId="72C47725" w14:textId="77777777" w:rsidR="005532B2" w:rsidRPr="005532B2" w:rsidRDefault="005532B2" w:rsidP="00C86349">
      <w:pPr>
        <w:numPr>
          <w:ilvl w:val="0"/>
          <w:numId w:val="64"/>
        </w:numPr>
        <w:spacing w:line="360" w:lineRule="auto"/>
        <w:rPr>
          <w:rFonts w:cs="Arial"/>
          <w:szCs w:val="22"/>
        </w:rPr>
      </w:pPr>
      <w:r w:rsidRPr="005532B2">
        <w:rPr>
          <w:rFonts w:cs="Arial"/>
          <w:szCs w:val="22"/>
        </w:rPr>
        <w:t>Full room rollout: ~£24m over Years 3–6.</w:t>
      </w:r>
    </w:p>
    <w:p w14:paraId="761BAA2B" w14:textId="77777777" w:rsidR="005532B2" w:rsidRPr="005532B2" w:rsidRDefault="005532B2" w:rsidP="00C86349">
      <w:pPr>
        <w:numPr>
          <w:ilvl w:val="0"/>
          <w:numId w:val="64"/>
        </w:numPr>
        <w:spacing w:line="360" w:lineRule="auto"/>
        <w:rPr>
          <w:rFonts w:cs="Arial"/>
          <w:szCs w:val="22"/>
        </w:rPr>
      </w:pPr>
      <w:r w:rsidRPr="005532B2">
        <w:rPr>
          <w:rFonts w:cs="Arial"/>
          <w:szCs w:val="22"/>
        </w:rPr>
        <w:t>M&amp;E upgrades: ~£5–7m concurrent with room works.</w:t>
      </w:r>
    </w:p>
    <w:p w14:paraId="1E5C2AD6" w14:textId="77777777" w:rsidR="005532B2" w:rsidRPr="005532B2" w:rsidRDefault="005532B2" w:rsidP="00C86349">
      <w:pPr>
        <w:numPr>
          <w:ilvl w:val="0"/>
          <w:numId w:val="64"/>
        </w:numPr>
        <w:spacing w:line="360" w:lineRule="auto"/>
        <w:rPr>
          <w:rFonts w:cs="Arial"/>
          <w:szCs w:val="22"/>
        </w:rPr>
      </w:pPr>
      <w:r w:rsidRPr="005532B2">
        <w:rPr>
          <w:rFonts w:cs="Arial"/>
          <w:szCs w:val="22"/>
        </w:rPr>
        <w:t>Sustainability retrofits: £300k–£500k early.</w:t>
      </w:r>
    </w:p>
    <w:p w14:paraId="50E406EB" w14:textId="77777777" w:rsidR="005532B2" w:rsidRPr="005532B2" w:rsidRDefault="005532B2" w:rsidP="00C86349">
      <w:pPr>
        <w:numPr>
          <w:ilvl w:val="0"/>
          <w:numId w:val="64"/>
        </w:numPr>
        <w:spacing w:line="360" w:lineRule="auto"/>
        <w:rPr>
          <w:rFonts w:cs="Arial"/>
          <w:szCs w:val="22"/>
        </w:rPr>
      </w:pPr>
      <w:r w:rsidRPr="005532B2">
        <w:rPr>
          <w:rFonts w:cs="Arial"/>
          <w:szCs w:val="22"/>
        </w:rPr>
        <w:t>Technology enhancements: ~£500k pilot; £5–6m rollout.</w:t>
      </w:r>
    </w:p>
    <w:p w14:paraId="56EA4188" w14:textId="77777777" w:rsidR="005532B2" w:rsidRPr="005532B2" w:rsidRDefault="005532B2" w:rsidP="00C86349">
      <w:pPr>
        <w:numPr>
          <w:ilvl w:val="0"/>
          <w:numId w:val="64"/>
        </w:numPr>
        <w:spacing w:line="360" w:lineRule="auto"/>
        <w:rPr>
          <w:rFonts w:cs="Arial"/>
          <w:szCs w:val="22"/>
        </w:rPr>
      </w:pPr>
      <w:r w:rsidRPr="005532B2">
        <w:rPr>
          <w:rFonts w:cs="Arial"/>
          <w:szCs w:val="22"/>
        </w:rPr>
        <w:lastRenderedPageBreak/>
        <w:t>Operational optimisation &amp; training: ~£250k/year.</w:t>
      </w:r>
    </w:p>
    <w:p w14:paraId="73E0E847" w14:textId="77777777" w:rsidR="005532B2" w:rsidRPr="005532B2" w:rsidRDefault="005532B2" w:rsidP="00C86349">
      <w:pPr>
        <w:numPr>
          <w:ilvl w:val="0"/>
          <w:numId w:val="64"/>
        </w:numPr>
        <w:spacing w:line="360" w:lineRule="auto"/>
        <w:rPr>
          <w:rFonts w:cs="Arial"/>
          <w:szCs w:val="22"/>
        </w:rPr>
      </w:pPr>
      <w:r w:rsidRPr="005532B2">
        <w:rPr>
          <w:rFonts w:cs="Arial"/>
          <w:szCs w:val="22"/>
        </w:rPr>
        <w:t>Change management support: ~£300k total.</w:t>
      </w:r>
    </w:p>
    <w:p w14:paraId="163BDEE3" w14:textId="77777777" w:rsidR="005532B2" w:rsidRPr="005532B2" w:rsidRDefault="005532B2" w:rsidP="00C86349">
      <w:pPr>
        <w:spacing w:line="360" w:lineRule="auto"/>
        <w:rPr>
          <w:rFonts w:cs="Arial"/>
          <w:szCs w:val="22"/>
        </w:rPr>
      </w:pPr>
      <w:r w:rsidRPr="005532B2">
        <w:rPr>
          <w:rFonts w:cs="Arial"/>
          <w:b/>
          <w:bCs/>
          <w:szCs w:val="22"/>
        </w:rPr>
        <w:t>Funding Mix</w:t>
      </w:r>
      <w:r w:rsidRPr="005532B2">
        <w:rPr>
          <w:rFonts w:cs="Arial"/>
          <w:szCs w:val="22"/>
        </w:rPr>
        <w:t>: Internal reserves, green/sustainability-linked loans, government grants, vendor financing.</w:t>
      </w:r>
      <w:r w:rsidRPr="005532B2">
        <w:rPr>
          <w:rFonts w:cs="Arial"/>
          <w:szCs w:val="22"/>
        </w:rPr>
        <w:br/>
      </w:r>
      <w:r w:rsidRPr="005532B2">
        <w:rPr>
          <w:rFonts w:cs="Arial"/>
          <w:b/>
          <w:bCs/>
          <w:szCs w:val="22"/>
        </w:rPr>
        <w:t>Payback Highlights</w:t>
      </w:r>
      <w:r w:rsidRPr="005532B2">
        <w:rPr>
          <w:rFonts w:cs="Arial"/>
          <w:szCs w:val="22"/>
        </w:rPr>
        <w:t>:</w:t>
      </w:r>
    </w:p>
    <w:p w14:paraId="11E25DF2" w14:textId="77777777" w:rsidR="005532B2" w:rsidRPr="005532B2" w:rsidRDefault="005532B2" w:rsidP="00C86349">
      <w:pPr>
        <w:numPr>
          <w:ilvl w:val="0"/>
          <w:numId w:val="65"/>
        </w:numPr>
        <w:spacing w:line="360" w:lineRule="auto"/>
        <w:rPr>
          <w:rFonts w:cs="Arial"/>
          <w:szCs w:val="22"/>
        </w:rPr>
      </w:pPr>
      <w:r w:rsidRPr="005532B2">
        <w:rPr>
          <w:rFonts w:cs="Arial"/>
          <w:szCs w:val="22"/>
        </w:rPr>
        <w:t>Public-area upgrades: ADR uplift payback 2–3 years (EP Consulting, 2023).</w:t>
      </w:r>
    </w:p>
    <w:p w14:paraId="343AB839" w14:textId="77777777" w:rsidR="005532B2" w:rsidRPr="005532B2" w:rsidRDefault="005532B2" w:rsidP="00C86349">
      <w:pPr>
        <w:numPr>
          <w:ilvl w:val="0"/>
          <w:numId w:val="65"/>
        </w:numPr>
        <w:spacing w:line="360" w:lineRule="auto"/>
        <w:rPr>
          <w:rFonts w:cs="Arial"/>
          <w:szCs w:val="22"/>
        </w:rPr>
      </w:pPr>
      <w:r w:rsidRPr="005532B2">
        <w:rPr>
          <w:rFonts w:cs="Arial"/>
          <w:szCs w:val="22"/>
        </w:rPr>
        <w:t>Room refurbishments: Pilot rooms 10% rate uplift; full rollout payback ~5 years phased (Operto, 2024).</w:t>
      </w:r>
    </w:p>
    <w:p w14:paraId="4BBA3C19" w14:textId="77777777" w:rsidR="005532B2" w:rsidRPr="005532B2" w:rsidRDefault="005532B2" w:rsidP="00C86349">
      <w:pPr>
        <w:numPr>
          <w:ilvl w:val="0"/>
          <w:numId w:val="65"/>
        </w:numPr>
        <w:spacing w:line="360" w:lineRule="auto"/>
        <w:rPr>
          <w:rFonts w:cs="Arial"/>
          <w:szCs w:val="22"/>
        </w:rPr>
      </w:pPr>
      <w:r w:rsidRPr="005532B2">
        <w:rPr>
          <w:rFonts w:cs="Arial"/>
          <w:szCs w:val="22"/>
        </w:rPr>
        <w:t>Energy projects: 15–20% savings; payback 2–3 years (Department for Energy Security and Net Zero, 2022).</w:t>
      </w:r>
    </w:p>
    <w:p w14:paraId="42A0594F" w14:textId="77777777" w:rsidR="005532B2" w:rsidRPr="005532B2" w:rsidRDefault="005532B2" w:rsidP="00C86349">
      <w:pPr>
        <w:numPr>
          <w:ilvl w:val="0"/>
          <w:numId w:val="65"/>
        </w:numPr>
        <w:spacing w:line="360" w:lineRule="auto"/>
        <w:rPr>
          <w:rFonts w:cs="Arial"/>
          <w:szCs w:val="22"/>
        </w:rPr>
      </w:pPr>
      <w:r w:rsidRPr="005532B2">
        <w:rPr>
          <w:rFonts w:cs="Arial"/>
          <w:szCs w:val="22"/>
        </w:rPr>
        <w:t>Technology: Operational efficiencies and ancillary revenue; payback 3–4 years (PwC, 2024).</w:t>
      </w:r>
    </w:p>
    <w:p w14:paraId="1C8EF774" w14:textId="77777777" w:rsidR="005532B2" w:rsidRPr="005532B2" w:rsidRDefault="005532B2" w:rsidP="00C86349">
      <w:pPr>
        <w:spacing w:line="360" w:lineRule="auto"/>
        <w:rPr>
          <w:rFonts w:cs="Arial"/>
          <w:szCs w:val="22"/>
        </w:rPr>
      </w:pPr>
      <w:r w:rsidRPr="005532B2">
        <w:rPr>
          <w:rFonts w:cs="Arial"/>
          <w:b/>
          <w:bCs/>
          <w:szCs w:val="22"/>
        </w:rPr>
        <w:t>Monitoring &amp; KPIs</w:t>
      </w:r>
      <w:r w:rsidRPr="005532B2">
        <w:rPr>
          <w:rFonts w:cs="Arial"/>
          <w:szCs w:val="22"/>
        </w:rPr>
        <w:t>:</w:t>
      </w:r>
    </w:p>
    <w:p w14:paraId="33B7E91E" w14:textId="77777777" w:rsidR="005532B2" w:rsidRPr="005532B2" w:rsidRDefault="005532B2" w:rsidP="00C86349">
      <w:pPr>
        <w:numPr>
          <w:ilvl w:val="0"/>
          <w:numId w:val="66"/>
        </w:numPr>
        <w:spacing w:line="360" w:lineRule="auto"/>
        <w:rPr>
          <w:rFonts w:cs="Arial"/>
          <w:szCs w:val="22"/>
        </w:rPr>
      </w:pPr>
      <w:r w:rsidRPr="005532B2">
        <w:rPr>
          <w:rFonts w:cs="Arial"/>
          <w:b/>
          <w:bCs/>
          <w:szCs w:val="22"/>
        </w:rPr>
        <w:t>Guest Metrics</w:t>
      </w:r>
      <w:r w:rsidRPr="005532B2">
        <w:rPr>
          <w:rFonts w:cs="Arial"/>
          <w:szCs w:val="22"/>
        </w:rPr>
        <w:t>: NPS, OTA scores, repeat stay rates (TripAdvisor, 2024).</w:t>
      </w:r>
    </w:p>
    <w:p w14:paraId="317704C8" w14:textId="77777777" w:rsidR="005532B2" w:rsidRPr="005532B2" w:rsidRDefault="005532B2" w:rsidP="00C86349">
      <w:pPr>
        <w:numPr>
          <w:ilvl w:val="0"/>
          <w:numId w:val="66"/>
        </w:numPr>
        <w:spacing w:line="360" w:lineRule="auto"/>
        <w:rPr>
          <w:rFonts w:cs="Arial"/>
          <w:szCs w:val="22"/>
        </w:rPr>
      </w:pPr>
      <w:r w:rsidRPr="005532B2">
        <w:rPr>
          <w:rFonts w:cs="Arial"/>
          <w:b/>
          <w:bCs/>
          <w:szCs w:val="22"/>
        </w:rPr>
        <w:t>Financial Metrics</w:t>
      </w:r>
      <w:r w:rsidRPr="005532B2">
        <w:rPr>
          <w:rFonts w:cs="Arial"/>
          <w:szCs w:val="22"/>
        </w:rPr>
        <w:t>: ADR, RevPAR, GOPPAR, OPEX/revenue ratio (Knight Frank, 2025).</w:t>
      </w:r>
    </w:p>
    <w:p w14:paraId="3DFF412D" w14:textId="77777777" w:rsidR="005532B2" w:rsidRPr="005532B2" w:rsidRDefault="005532B2" w:rsidP="00C86349">
      <w:pPr>
        <w:numPr>
          <w:ilvl w:val="0"/>
          <w:numId w:val="66"/>
        </w:numPr>
        <w:spacing w:line="360" w:lineRule="auto"/>
        <w:rPr>
          <w:rFonts w:cs="Arial"/>
          <w:szCs w:val="22"/>
        </w:rPr>
      </w:pPr>
      <w:r w:rsidRPr="005532B2">
        <w:rPr>
          <w:rFonts w:cs="Arial"/>
          <w:b/>
          <w:bCs/>
          <w:szCs w:val="22"/>
        </w:rPr>
        <w:t>Operational Metrics</w:t>
      </w:r>
      <w:r w:rsidRPr="005532B2">
        <w:rPr>
          <w:rFonts w:cs="Arial"/>
          <w:szCs w:val="22"/>
        </w:rPr>
        <w:t>: Maintenance incidents, energy/water use, staff engagement (CBRE, 2024).</w:t>
      </w:r>
    </w:p>
    <w:p w14:paraId="047430FF" w14:textId="77777777" w:rsidR="005532B2" w:rsidRPr="005532B2" w:rsidRDefault="005532B2" w:rsidP="00C86349">
      <w:pPr>
        <w:numPr>
          <w:ilvl w:val="0"/>
          <w:numId w:val="66"/>
        </w:numPr>
        <w:spacing w:line="360" w:lineRule="auto"/>
        <w:rPr>
          <w:rFonts w:cs="Arial"/>
          <w:szCs w:val="22"/>
        </w:rPr>
      </w:pPr>
      <w:r w:rsidRPr="005532B2">
        <w:rPr>
          <w:rFonts w:cs="Arial"/>
          <w:b/>
          <w:bCs/>
          <w:szCs w:val="22"/>
        </w:rPr>
        <w:t>Sustainability Metrics</w:t>
      </w:r>
      <w:r w:rsidRPr="005532B2">
        <w:rPr>
          <w:rFonts w:cs="Arial"/>
          <w:szCs w:val="22"/>
        </w:rPr>
        <w:t>: Carbon emissions, renewable energy usage, waste diversion (Savills, 2025).</w:t>
      </w:r>
    </w:p>
    <w:p w14:paraId="78884B59" w14:textId="77777777" w:rsidR="005532B2" w:rsidRPr="005532B2" w:rsidRDefault="005532B2" w:rsidP="00C86349">
      <w:pPr>
        <w:spacing w:line="360" w:lineRule="auto"/>
        <w:rPr>
          <w:rFonts w:cs="Arial"/>
          <w:szCs w:val="22"/>
        </w:rPr>
      </w:pPr>
      <w:r w:rsidRPr="005532B2">
        <w:rPr>
          <w:rFonts w:cs="Arial"/>
          <w:szCs w:val="22"/>
        </w:rPr>
        <w:t>Reporting cadence: Monthly operational dashboards, quarterly executive reviews, annual strategic evaluation. Use feedback loops and benchmarking against peer hotels to drive continuous improvement (Saunders, Lewis &amp; Thornhill, 2009).</w:t>
      </w:r>
    </w:p>
    <w:p w14:paraId="22EB8F50" w14:textId="77777777" w:rsidR="00F36328" w:rsidRPr="00C86349" w:rsidRDefault="00F36328" w:rsidP="00C86349">
      <w:pPr>
        <w:spacing w:line="360" w:lineRule="auto"/>
        <w:rPr>
          <w:rFonts w:cs="Arial"/>
          <w:szCs w:val="22"/>
        </w:rPr>
      </w:pPr>
    </w:p>
    <w:p w14:paraId="3EA04A08" w14:textId="77777777" w:rsidR="005532B2" w:rsidRPr="00C86349" w:rsidRDefault="005532B2" w:rsidP="00C86349">
      <w:pPr>
        <w:spacing w:line="360" w:lineRule="auto"/>
        <w:rPr>
          <w:rFonts w:cs="Arial"/>
          <w:szCs w:val="22"/>
        </w:rPr>
      </w:pPr>
    </w:p>
    <w:p w14:paraId="3E6DDCB7" w14:textId="77777777" w:rsidR="005532B2" w:rsidRPr="00C86349" w:rsidRDefault="005532B2" w:rsidP="00C86349">
      <w:pPr>
        <w:spacing w:line="360" w:lineRule="auto"/>
        <w:rPr>
          <w:rFonts w:cs="Arial"/>
          <w:szCs w:val="22"/>
        </w:rPr>
      </w:pPr>
    </w:p>
    <w:p w14:paraId="53AC0C4D" w14:textId="5D4FCA1B" w:rsidR="005532B2" w:rsidRPr="005532B2" w:rsidRDefault="005532B2" w:rsidP="00C86349">
      <w:pPr>
        <w:spacing w:line="360" w:lineRule="auto"/>
        <w:rPr>
          <w:rFonts w:cs="Arial"/>
          <w:b/>
          <w:bCs/>
          <w:szCs w:val="22"/>
        </w:rPr>
      </w:pPr>
      <w:r w:rsidRPr="005532B2">
        <w:rPr>
          <w:rFonts w:cs="Arial"/>
          <w:b/>
          <w:bCs/>
          <w:szCs w:val="22"/>
        </w:rPr>
        <w:t xml:space="preserve">Action Plan </w:t>
      </w:r>
    </w:p>
    <w:p w14:paraId="0A60BB9F" w14:textId="77777777" w:rsidR="005532B2" w:rsidRPr="005532B2" w:rsidRDefault="005532B2" w:rsidP="00C86349">
      <w:pPr>
        <w:spacing w:line="360" w:lineRule="auto"/>
        <w:rPr>
          <w:rFonts w:cs="Arial"/>
          <w:szCs w:val="22"/>
        </w:rPr>
      </w:pPr>
      <w:r w:rsidRPr="005532B2">
        <w:rPr>
          <w:rFonts w:cs="Arial"/>
          <w:szCs w:val="22"/>
        </w:rPr>
        <w:t xml:space="preserve">The following action plan summarises the key issues, recommended solutions, desired outcomes, indicative timescales and estimated costs. It provides a concise roadmap for </w:t>
      </w:r>
      <w:r w:rsidRPr="005532B2">
        <w:rPr>
          <w:rFonts w:cs="Arial"/>
          <w:szCs w:val="22"/>
        </w:rPr>
        <w:lastRenderedPageBreak/>
        <w:t>Hilton London Paddington’s leadership and project teams to plan and monitor implementation.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25"/>
        <w:gridCol w:w="2706"/>
        <w:gridCol w:w="1997"/>
        <w:gridCol w:w="1304"/>
        <w:gridCol w:w="1494"/>
      </w:tblGrid>
      <w:tr w:rsidR="005532B2" w:rsidRPr="005532B2" w14:paraId="069040F3" w14:textId="77777777" w:rsidTr="005532B2">
        <w:trPr>
          <w:tblHeader/>
          <w:tblCellSpacing w:w="15" w:type="dxa"/>
        </w:trPr>
        <w:tc>
          <w:tcPr>
            <w:tcW w:w="0" w:type="auto"/>
            <w:vAlign w:val="center"/>
            <w:hideMark/>
          </w:tcPr>
          <w:p w14:paraId="3C0A7E7B" w14:textId="77777777" w:rsidR="005532B2" w:rsidRPr="005532B2" w:rsidRDefault="005532B2" w:rsidP="00C86349">
            <w:pPr>
              <w:spacing w:line="360" w:lineRule="auto"/>
              <w:rPr>
                <w:rFonts w:cs="Arial"/>
                <w:b/>
                <w:bCs/>
                <w:szCs w:val="22"/>
              </w:rPr>
            </w:pPr>
            <w:r w:rsidRPr="005532B2">
              <w:rPr>
                <w:rFonts w:cs="Arial"/>
                <w:b/>
                <w:bCs/>
                <w:szCs w:val="22"/>
              </w:rPr>
              <w:t>Issue</w:t>
            </w:r>
          </w:p>
        </w:tc>
        <w:tc>
          <w:tcPr>
            <w:tcW w:w="0" w:type="auto"/>
            <w:vAlign w:val="center"/>
            <w:hideMark/>
          </w:tcPr>
          <w:p w14:paraId="79A3059A" w14:textId="77777777" w:rsidR="005532B2" w:rsidRPr="005532B2" w:rsidRDefault="005532B2" w:rsidP="00C86349">
            <w:pPr>
              <w:spacing w:line="360" w:lineRule="auto"/>
              <w:rPr>
                <w:rFonts w:cs="Arial"/>
                <w:b/>
                <w:bCs/>
                <w:szCs w:val="22"/>
              </w:rPr>
            </w:pPr>
            <w:r w:rsidRPr="005532B2">
              <w:rPr>
                <w:rFonts w:cs="Arial"/>
                <w:b/>
                <w:bCs/>
                <w:szCs w:val="22"/>
              </w:rPr>
              <w:t>Solution</w:t>
            </w:r>
          </w:p>
        </w:tc>
        <w:tc>
          <w:tcPr>
            <w:tcW w:w="0" w:type="auto"/>
            <w:vAlign w:val="center"/>
            <w:hideMark/>
          </w:tcPr>
          <w:p w14:paraId="7E1AEBBD" w14:textId="77777777" w:rsidR="005532B2" w:rsidRPr="005532B2" w:rsidRDefault="005532B2" w:rsidP="00C86349">
            <w:pPr>
              <w:spacing w:line="360" w:lineRule="auto"/>
              <w:rPr>
                <w:rFonts w:cs="Arial"/>
                <w:b/>
                <w:bCs/>
                <w:szCs w:val="22"/>
              </w:rPr>
            </w:pPr>
            <w:r w:rsidRPr="005532B2">
              <w:rPr>
                <w:rFonts w:cs="Arial"/>
                <w:b/>
                <w:bCs/>
                <w:szCs w:val="22"/>
              </w:rPr>
              <w:t>Desired Outcome</w:t>
            </w:r>
          </w:p>
        </w:tc>
        <w:tc>
          <w:tcPr>
            <w:tcW w:w="0" w:type="auto"/>
            <w:vAlign w:val="center"/>
            <w:hideMark/>
          </w:tcPr>
          <w:p w14:paraId="69D2A92B" w14:textId="77777777" w:rsidR="005532B2" w:rsidRPr="005532B2" w:rsidRDefault="005532B2" w:rsidP="00C86349">
            <w:pPr>
              <w:spacing w:line="360" w:lineRule="auto"/>
              <w:rPr>
                <w:rFonts w:cs="Arial"/>
                <w:b/>
                <w:bCs/>
                <w:szCs w:val="22"/>
              </w:rPr>
            </w:pPr>
            <w:r w:rsidRPr="005532B2">
              <w:rPr>
                <w:rFonts w:cs="Arial"/>
                <w:b/>
                <w:bCs/>
                <w:szCs w:val="22"/>
              </w:rPr>
              <w:t>Timescale</w:t>
            </w:r>
          </w:p>
        </w:tc>
        <w:tc>
          <w:tcPr>
            <w:tcW w:w="0" w:type="auto"/>
            <w:vAlign w:val="center"/>
            <w:hideMark/>
          </w:tcPr>
          <w:p w14:paraId="51B0CC08" w14:textId="77777777" w:rsidR="005532B2" w:rsidRPr="005532B2" w:rsidRDefault="005532B2" w:rsidP="00C86349">
            <w:pPr>
              <w:spacing w:line="360" w:lineRule="auto"/>
              <w:rPr>
                <w:rFonts w:cs="Arial"/>
                <w:b/>
                <w:bCs/>
                <w:szCs w:val="22"/>
              </w:rPr>
            </w:pPr>
            <w:r w:rsidRPr="005532B2">
              <w:rPr>
                <w:rFonts w:cs="Arial"/>
                <w:b/>
                <w:bCs/>
                <w:szCs w:val="22"/>
              </w:rPr>
              <w:t>Estimated Cost</w:t>
            </w:r>
          </w:p>
        </w:tc>
      </w:tr>
      <w:tr w:rsidR="005532B2" w:rsidRPr="005532B2" w14:paraId="1B6BA4CA" w14:textId="77777777" w:rsidTr="005532B2">
        <w:trPr>
          <w:tblCellSpacing w:w="15" w:type="dxa"/>
        </w:trPr>
        <w:tc>
          <w:tcPr>
            <w:tcW w:w="0" w:type="auto"/>
            <w:vAlign w:val="center"/>
            <w:hideMark/>
          </w:tcPr>
          <w:p w14:paraId="67186F49" w14:textId="77777777" w:rsidR="005532B2" w:rsidRPr="005532B2" w:rsidRDefault="005532B2" w:rsidP="00C86349">
            <w:pPr>
              <w:spacing w:line="360" w:lineRule="auto"/>
              <w:rPr>
                <w:rFonts w:cs="Arial"/>
                <w:szCs w:val="22"/>
              </w:rPr>
            </w:pPr>
            <w:r w:rsidRPr="005532B2">
              <w:rPr>
                <w:rFonts w:cs="Arial"/>
                <w:szCs w:val="22"/>
              </w:rPr>
              <w:t>Ageing public areas</w:t>
            </w:r>
          </w:p>
        </w:tc>
        <w:tc>
          <w:tcPr>
            <w:tcW w:w="0" w:type="auto"/>
            <w:vAlign w:val="center"/>
            <w:hideMark/>
          </w:tcPr>
          <w:p w14:paraId="2F722886" w14:textId="77777777" w:rsidR="005532B2" w:rsidRPr="005532B2" w:rsidRDefault="005532B2" w:rsidP="00C86349">
            <w:pPr>
              <w:spacing w:line="360" w:lineRule="auto"/>
              <w:rPr>
                <w:rFonts w:cs="Arial"/>
                <w:szCs w:val="22"/>
              </w:rPr>
            </w:pPr>
            <w:r w:rsidRPr="005532B2">
              <w:rPr>
                <w:rFonts w:cs="Arial"/>
                <w:szCs w:val="22"/>
              </w:rPr>
              <w:t>Phase 1 refurbishment of lobby, executive lounge, flagship suites (heritage-compliant design) (Operto, 2024; EP Consulting, 2023)</w:t>
            </w:r>
          </w:p>
        </w:tc>
        <w:tc>
          <w:tcPr>
            <w:tcW w:w="0" w:type="auto"/>
            <w:vAlign w:val="center"/>
            <w:hideMark/>
          </w:tcPr>
          <w:p w14:paraId="498970D3" w14:textId="77777777" w:rsidR="005532B2" w:rsidRPr="005532B2" w:rsidRDefault="005532B2" w:rsidP="00C86349">
            <w:pPr>
              <w:spacing w:line="360" w:lineRule="auto"/>
              <w:rPr>
                <w:rFonts w:cs="Arial"/>
                <w:szCs w:val="22"/>
              </w:rPr>
            </w:pPr>
            <w:r w:rsidRPr="005532B2">
              <w:rPr>
                <w:rFonts w:cs="Arial"/>
                <w:szCs w:val="22"/>
              </w:rPr>
              <w:t>Enhanced guest first impressions, higher ADR for premium spaces</w:t>
            </w:r>
          </w:p>
        </w:tc>
        <w:tc>
          <w:tcPr>
            <w:tcW w:w="0" w:type="auto"/>
            <w:vAlign w:val="center"/>
            <w:hideMark/>
          </w:tcPr>
          <w:p w14:paraId="38BA27D1" w14:textId="77777777" w:rsidR="005532B2" w:rsidRPr="005532B2" w:rsidRDefault="005532B2" w:rsidP="00C86349">
            <w:pPr>
              <w:spacing w:line="360" w:lineRule="auto"/>
              <w:rPr>
                <w:rFonts w:cs="Arial"/>
                <w:szCs w:val="22"/>
              </w:rPr>
            </w:pPr>
            <w:r w:rsidRPr="005532B2">
              <w:rPr>
                <w:rFonts w:cs="Arial"/>
                <w:szCs w:val="22"/>
              </w:rPr>
              <w:t>Year 1–2</w:t>
            </w:r>
          </w:p>
        </w:tc>
        <w:tc>
          <w:tcPr>
            <w:tcW w:w="0" w:type="auto"/>
            <w:vAlign w:val="center"/>
            <w:hideMark/>
          </w:tcPr>
          <w:p w14:paraId="58965C9C" w14:textId="77777777" w:rsidR="005532B2" w:rsidRPr="005532B2" w:rsidRDefault="005532B2" w:rsidP="00C86349">
            <w:pPr>
              <w:spacing w:line="360" w:lineRule="auto"/>
              <w:rPr>
                <w:rFonts w:cs="Arial"/>
                <w:szCs w:val="22"/>
              </w:rPr>
            </w:pPr>
            <w:r w:rsidRPr="005532B2">
              <w:rPr>
                <w:rFonts w:cs="Arial"/>
                <w:szCs w:val="22"/>
              </w:rPr>
              <w:t>£2–3 million</w:t>
            </w:r>
          </w:p>
        </w:tc>
      </w:tr>
      <w:tr w:rsidR="005532B2" w:rsidRPr="005532B2" w14:paraId="27D2777D" w14:textId="77777777" w:rsidTr="005532B2">
        <w:trPr>
          <w:tblCellSpacing w:w="15" w:type="dxa"/>
        </w:trPr>
        <w:tc>
          <w:tcPr>
            <w:tcW w:w="0" w:type="auto"/>
            <w:vAlign w:val="center"/>
            <w:hideMark/>
          </w:tcPr>
          <w:p w14:paraId="0B9DA43D" w14:textId="77777777" w:rsidR="005532B2" w:rsidRPr="005532B2" w:rsidRDefault="005532B2" w:rsidP="00C86349">
            <w:pPr>
              <w:spacing w:line="360" w:lineRule="auto"/>
              <w:rPr>
                <w:rFonts w:cs="Arial"/>
                <w:szCs w:val="22"/>
              </w:rPr>
            </w:pPr>
            <w:r w:rsidRPr="005532B2">
              <w:rPr>
                <w:rFonts w:cs="Arial"/>
                <w:szCs w:val="22"/>
              </w:rPr>
              <w:t>Outdated guestrooms</w:t>
            </w:r>
          </w:p>
        </w:tc>
        <w:tc>
          <w:tcPr>
            <w:tcW w:w="0" w:type="auto"/>
            <w:vAlign w:val="center"/>
            <w:hideMark/>
          </w:tcPr>
          <w:p w14:paraId="39B27D3F" w14:textId="77777777" w:rsidR="005532B2" w:rsidRPr="005532B2" w:rsidRDefault="005532B2" w:rsidP="00C86349">
            <w:pPr>
              <w:spacing w:line="360" w:lineRule="auto"/>
              <w:rPr>
                <w:rFonts w:cs="Arial"/>
                <w:szCs w:val="22"/>
              </w:rPr>
            </w:pPr>
            <w:r w:rsidRPr="005532B2">
              <w:rPr>
                <w:rFonts w:cs="Arial"/>
                <w:szCs w:val="22"/>
              </w:rPr>
              <w:t>Pilot refurbishment of ~25 rooms with new décor, HVAC, soundproofing, smart controls; gather guest/staff feedback (Operto, 2024)</w:t>
            </w:r>
          </w:p>
        </w:tc>
        <w:tc>
          <w:tcPr>
            <w:tcW w:w="0" w:type="auto"/>
            <w:vAlign w:val="center"/>
            <w:hideMark/>
          </w:tcPr>
          <w:p w14:paraId="0F7B9F80" w14:textId="77777777" w:rsidR="005532B2" w:rsidRPr="005532B2" w:rsidRDefault="005532B2" w:rsidP="00C86349">
            <w:pPr>
              <w:spacing w:line="360" w:lineRule="auto"/>
              <w:rPr>
                <w:rFonts w:cs="Arial"/>
                <w:szCs w:val="22"/>
              </w:rPr>
            </w:pPr>
            <w:r w:rsidRPr="005532B2">
              <w:rPr>
                <w:rFonts w:cs="Arial"/>
                <w:szCs w:val="22"/>
              </w:rPr>
              <w:t>Validate design, improve NPS in pilot rooms by 10–15%</w:t>
            </w:r>
          </w:p>
        </w:tc>
        <w:tc>
          <w:tcPr>
            <w:tcW w:w="0" w:type="auto"/>
            <w:vAlign w:val="center"/>
            <w:hideMark/>
          </w:tcPr>
          <w:p w14:paraId="14A29B2A" w14:textId="77777777" w:rsidR="005532B2" w:rsidRPr="005532B2" w:rsidRDefault="005532B2" w:rsidP="00C86349">
            <w:pPr>
              <w:spacing w:line="360" w:lineRule="auto"/>
              <w:rPr>
                <w:rFonts w:cs="Arial"/>
                <w:szCs w:val="22"/>
              </w:rPr>
            </w:pPr>
            <w:r w:rsidRPr="005532B2">
              <w:rPr>
                <w:rFonts w:cs="Arial"/>
                <w:szCs w:val="22"/>
              </w:rPr>
              <w:t>Year 2–3</w:t>
            </w:r>
          </w:p>
        </w:tc>
        <w:tc>
          <w:tcPr>
            <w:tcW w:w="0" w:type="auto"/>
            <w:vAlign w:val="center"/>
            <w:hideMark/>
          </w:tcPr>
          <w:p w14:paraId="3D274D6F" w14:textId="77777777" w:rsidR="005532B2" w:rsidRPr="005532B2" w:rsidRDefault="005532B2" w:rsidP="00C86349">
            <w:pPr>
              <w:spacing w:line="360" w:lineRule="auto"/>
              <w:rPr>
                <w:rFonts w:cs="Arial"/>
                <w:szCs w:val="22"/>
              </w:rPr>
            </w:pPr>
            <w:r w:rsidRPr="005532B2">
              <w:rPr>
                <w:rFonts w:cs="Arial"/>
                <w:szCs w:val="22"/>
              </w:rPr>
              <w:t>£1.5–2 million</w:t>
            </w:r>
          </w:p>
        </w:tc>
      </w:tr>
      <w:tr w:rsidR="005532B2" w:rsidRPr="005532B2" w14:paraId="4CED9DE0" w14:textId="77777777" w:rsidTr="005532B2">
        <w:trPr>
          <w:tblCellSpacing w:w="15" w:type="dxa"/>
        </w:trPr>
        <w:tc>
          <w:tcPr>
            <w:tcW w:w="0" w:type="auto"/>
            <w:vAlign w:val="center"/>
            <w:hideMark/>
          </w:tcPr>
          <w:p w14:paraId="503EB9EB" w14:textId="77777777" w:rsidR="005532B2" w:rsidRPr="005532B2" w:rsidRDefault="005532B2" w:rsidP="00C86349">
            <w:pPr>
              <w:spacing w:line="360" w:lineRule="auto"/>
              <w:rPr>
                <w:rFonts w:cs="Arial"/>
                <w:szCs w:val="22"/>
              </w:rPr>
            </w:pPr>
            <w:r w:rsidRPr="005532B2">
              <w:rPr>
                <w:rFonts w:cs="Arial"/>
                <w:szCs w:val="22"/>
              </w:rPr>
              <w:t>Remaining room inventory</w:t>
            </w:r>
          </w:p>
        </w:tc>
        <w:tc>
          <w:tcPr>
            <w:tcW w:w="0" w:type="auto"/>
            <w:vAlign w:val="center"/>
            <w:hideMark/>
          </w:tcPr>
          <w:p w14:paraId="116F5F77" w14:textId="77777777" w:rsidR="005532B2" w:rsidRPr="005532B2" w:rsidRDefault="005532B2" w:rsidP="00C86349">
            <w:pPr>
              <w:spacing w:line="360" w:lineRule="auto"/>
              <w:rPr>
                <w:rFonts w:cs="Arial"/>
                <w:szCs w:val="22"/>
              </w:rPr>
            </w:pPr>
            <w:r w:rsidRPr="005532B2">
              <w:rPr>
                <w:rFonts w:cs="Arial"/>
                <w:szCs w:val="22"/>
              </w:rPr>
              <w:t>Roll out refurbishment in batches (50–70 rooms/year), informed by pilot learnings (Operto, 2024; Savills, 2025)</w:t>
            </w:r>
          </w:p>
        </w:tc>
        <w:tc>
          <w:tcPr>
            <w:tcW w:w="0" w:type="auto"/>
            <w:vAlign w:val="center"/>
            <w:hideMark/>
          </w:tcPr>
          <w:p w14:paraId="78AE0BB4" w14:textId="77777777" w:rsidR="005532B2" w:rsidRPr="005532B2" w:rsidRDefault="005532B2" w:rsidP="00C86349">
            <w:pPr>
              <w:spacing w:line="360" w:lineRule="auto"/>
              <w:rPr>
                <w:rFonts w:cs="Arial"/>
                <w:szCs w:val="22"/>
              </w:rPr>
            </w:pPr>
            <w:r w:rsidRPr="005532B2">
              <w:rPr>
                <w:rFonts w:cs="Arial"/>
                <w:szCs w:val="22"/>
              </w:rPr>
              <w:t>Renewed rooms yield steady ADR/RevPAR uplift; minimise downtime</w:t>
            </w:r>
          </w:p>
        </w:tc>
        <w:tc>
          <w:tcPr>
            <w:tcW w:w="0" w:type="auto"/>
            <w:vAlign w:val="center"/>
            <w:hideMark/>
          </w:tcPr>
          <w:p w14:paraId="4803F06D" w14:textId="77777777" w:rsidR="005532B2" w:rsidRPr="005532B2" w:rsidRDefault="005532B2" w:rsidP="00C86349">
            <w:pPr>
              <w:spacing w:line="360" w:lineRule="auto"/>
              <w:rPr>
                <w:rFonts w:cs="Arial"/>
                <w:szCs w:val="22"/>
              </w:rPr>
            </w:pPr>
            <w:r w:rsidRPr="005532B2">
              <w:rPr>
                <w:rFonts w:cs="Arial"/>
                <w:szCs w:val="22"/>
              </w:rPr>
              <w:t>Years 3–6</w:t>
            </w:r>
          </w:p>
        </w:tc>
        <w:tc>
          <w:tcPr>
            <w:tcW w:w="0" w:type="auto"/>
            <w:vAlign w:val="center"/>
            <w:hideMark/>
          </w:tcPr>
          <w:p w14:paraId="5A2B5F23" w14:textId="70FB7F89" w:rsidR="005532B2" w:rsidRPr="005532B2" w:rsidRDefault="005532B2" w:rsidP="00C86349">
            <w:pPr>
              <w:spacing w:line="360" w:lineRule="auto"/>
              <w:rPr>
                <w:rFonts w:cs="Arial"/>
                <w:szCs w:val="22"/>
              </w:rPr>
            </w:pPr>
            <w:r w:rsidRPr="005532B2">
              <w:rPr>
                <w:rFonts w:cs="Arial"/>
                <w:szCs w:val="22"/>
              </w:rPr>
              <w:t>£6m/year)</w:t>
            </w:r>
          </w:p>
        </w:tc>
      </w:tr>
      <w:tr w:rsidR="005532B2" w:rsidRPr="005532B2" w14:paraId="1DB3DDE7" w14:textId="77777777" w:rsidTr="005532B2">
        <w:trPr>
          <w:tblCellSpacing w:w="15" w:type="dxa"/>
        </w:trPr>
        <w:tc>
          <w:tcPr>
            <w:tcW w:w="0" w:type="auto"/>
            <w:vAlign w:val="center"/>
            <w:hideMark/>
          </w:tcPr>
          <w:p w14:paraId="52CE843F" w14:textId="77777777" w:rsidR="005532B2" w:rsidRPr="005532B2" w:rsidRDefault="005532B2" w:rsidP="00C86349">
            <w:pPr>
              <w:spacing w:line="360" w:lineRule="auto"/>
              <w:rPr>
                <w:rFonts w:cs="Arial"/>
                <w:szCs w:val="22"/>
              </w:rPr>
            </w:pPr>
            <w:r w:rsidRPr="005532B2">
              <w:rPr>
                <w:rFonts w:cs="Arial"/>
                <w:szCs w:val="22"/>
              </w:rPr>
              <w:t>Mechanical &amp; Electrical systems</w:t>
            </w:r>
          </w:p>
        </w:tc>
        <w:tc>
          <w:tcPr>
            <w:tcW w:w="0" w:type="auto"/>
            <w:vAlign w:val="center"/>
            <w:hideMark/>
          </w:tcPr>
          <w:p w14:paraId="57B457FA" w14:textId="77777777" w:rsidR="005532B2" w:rsidRPr="005532B2" w:rsidRDefault="005532B2" w:rsidP="00C86349">
            <w:pPr>
              <w:spacing w:line="360" w:lineRule="auto"/>
              <w:rPr>
                <w:rFonts w:cs="Arial"/>
                <w:szCs w:val="22"/>
              </w:rPr>
            </w:pPr>
            <w:r w:rsidRPr="005532B2">
              <w:rPr>
                <w:rFonts w:cs="Arial"/>
                <w:szCs w:val="22"/>
              </w:rPr>
              <w:t>Incremental HVAC, elevator and lighting upgrades with predictive maintenance sensors (CBRE, 2024)</w:t>
            </w:r>
          </w:p>
        </w:tc>
        <w:tc>
          <w:tcPr>
            <w:tcW w:w="0" w:type="auto"/>
            <w:vAlign w:val="center"/>
            <w:hideMark/>
          </w:tcPr>
          <w:p w14:paraId="3C9FEBA9" w14:textId="77777777" w:rsidR="005532B2" w:rsidRPr="005532B2" w:rsidRDefault="005532B2" w:rsidP="00C86349">
            <w:pPr>
              <w:spacing w:line="360" w:lineRule="auto"/>
              <w:rPr>
                <w:rFonts w:cs="Arial"/>
                <w:szCs w:val="22"/>
              </w:rPr>
            </w:pPr>
            <w:r w:rsidRPr="005532B2">
              <w:rPr>
                <w:rFonts w:cs="Arial"/>
                <w:szCs w:val="22"/>
              </w:rPr>
              <w:t>Fewer breakdowns, reduced maintenance costs, energy savings</w:t>
            </w:r>
          </w:p>
        </w:tc>
        <w:tc>
          <w:tcPr>
            <w:tcW w:w="0" w:type="auto"/>
            <w:vAlign w:val="center"/>
            <w:hideMark/>
          </w:tcPr>
          <w:p w14:paraId="5E208411" w14:textId="77777777" w:rsidR="005532B2" w:rsidRPr="005532B2" w:rsidRDefault="005532B2" w:rsidP="00C86349">
            <w:pPr>
              <w:spacing w:line="360" w:lineRule="auto"/>
              <w:rPr>
                <w:rFonts w:cs="Arial"/>
                <w:szCs w:val="22"/>
              </w:rPr>
            </w:pPr>
            <w:r w:rsidRPr="005532B2">
              <w:rPr>
                <w:rFonts w:cs="Arial"/>
                <w:szCs w:val="22"/>
              </w:rPr>
              <w:t>Years 2–6 (aligned with refurb)</w:t>
            </w:r>
          </w:p>
        </w:tc>
        <w:tc>
          <w:tcPr>
            <w:tcW w:w="0" w:type="auto"/>
            <w:vAlign w:val="center"/>
            <w:hideMark/>
          </w:tcPr>
          <w:p w14:paraId="20775991" w14:textId="77777777" w:rsidR="005532B2" w:rsidRPr="005532B2" w:rsidRDefault="005532B2" w:rsidP="00C86349">
            <w:pPr>
              <w:spacing w:line="360" w:lineRule="auto"/>
              <w:rPr>
                <w:rFonts w:cs="Arial"/>
                <w:szCs w:val="22"/>
              </w:rPr>
            </w:pPr>
            <w:r w:rsidRPr="005532B2">
              <w:rPr>
                <w:rFonts w:cs="Arial"/>
                <w:szCs w:val="22"/>
              </w:rPr>
              <w:t>£5–7 million</w:t>
            </w:r>
          </w:p>
        </w:tc>
      </w:tr>
      <w:tr w:rsidR="005532B2" w:rsidRPr="005532B2" w14:paraId="3C23BE32" w14:textId="77777777" w:rsidTr="005532B2">
        <w:trPr>
          <w:tblCellSpacing w:w="15" w:type="dxa"/>
        </w:trPr>
        <w:tc>
          <w:tcPr>
            <w:tcW w:w="0" w:type="auto"/>
            <w:vAlign w:val="center"/>
            <w:hideMark/>
          </w:tcPr>
          <w:p w14:paraId="1854B2AC" w14:textId="77777777" w:rsidR="005532B2" w:rsidRPr="005532B2" w:rsidRDefault="005532B2" w:rsidP="00C86349">
            <w:pPr>
              <w:spacing w:line="360" w:lineRule="auto"/>
              <w:rPr>
                <w:rFonts w:cs="Arial"/>
                <w:szCs w:val="22"/>
              </w:rPr>
            </w:pPr>
            <w:r w:rsidRPr="005532B2">
              <w:rPr>
                <w:rFonts w:cs="Arial"/>
                <w:szCs w:val="22"/>
              </w:rPr>
              <w:t>High energy consumption</w:t>
            </w:r>
          </w:p>
        </w:tc>
        <w:tc>
          <w:tcPr>
            <w:tcW w:w="0" w:type="auto"/>
            <w:vAlign w:val="center"/>
            <w:hideMark/>
          </w:tcPr>
          <w:p w14:paraId="04573C77" w14:textId="77777777" w:rsidR="005532B2" w:rsidRPr="005532B2" w:rsidRDefault="005532B2" w:rsidP="00C86349">
            <w:pPr>
              <w:spacing w:line="360" w:lineRule="auto"/>
              <w:rPr>
                <w:rFonts w:cs="Arial"/>
                <w:szCs w:val="22"/>
              </w:rPr>
            </w:pPr>
            <w:r w:rsidRPr="005532B2">
              <w:rPr>
                <w:rFonts w:cs="Arial"/>
                <w:szCs w:val="22"/>
              </w:rPr>
              <w:t>LED lighting, smart controls, low-flow water fixtures, sub-metering (Department for Energy Security and Net Zero, 2022)</w:t>
            </w:r>
          </w:p>
        </w:tc>
        <w:tc>
          <w:tcPr>
            <w:tcW w:w="0" w:type="auto"/>
            <w:vAlign w:val="center"/>
            <w:hideMark/>
          </w:tcPr>
          <w:p w14:paraId="21B75BC0" w14:textId="77777777" w:rsidR="005532B2" w:rsidRPr="005532B2" w:rsidRDefault="005532B2" w:rsidP="00C86349">
            <w:pPr>
              <w:spacing w:line="360" w:lineRule="auto"/>
              <w:rPr>
                <w:rFonts w:cs="Arial"/>
                <w:szCs w:val="22"/>
              </w:rPr>
            </w:pPr>
            <w:r w:rsidRPr="005532B2">
              <w:rPr>
                <w:rFonts w:cs="Arial"/>
                <w:szCs w:val="22"/>
              </w:rPr>
              <w:t>15–20% reduction in energy/water use; meet sustainability targets</w:t>
            </w:r>
          </w:p>
        </w:tc>
        <w:tc>
          <w:tcPr>
            <w:tcW w:w="0" w:type="auto"/>
            <w:vAlign w:val="center"/>
            <w:hideMark/>
          </w:tcPr>
          <w:p w14:paraId="1247A946" w14:textId="77777777" w:rsidR="005532B2" w:rsidRPr="005532B2" w:rsidRDefault="005532B2" w:rsidP="00C86349">
            <w:pPr>
              <w:spacing w:line="360" w:lineRule="auto"/>
              <w:rPr>
                <w:rFonts w:cs="Arial"/>
                <w:szCs w:val="22"/>
              </w:rPr>
            </w:pPr>
            <w:r w:rsidRPr="005532B2">
              <w:rPr>
                <w:rFonts w:cs="Arial"/>
                <w:szCs w:val="22"/>
              </w:rPr>
              <w:t>Year 1–2</w:t>
            </w:r>
          </w:p>
        </w:tc>
        <w:tc>
          <w:tcPr>
            <w:tcW w:w="0" w:type="auto"/>
            <w:vAlign w:val="center"/>
            <w:hideMark/>
          </w:tcPr>
          <w:p w14:paraId="623591B5" w14:textId="77777777" w:rsidR="005532B2" w:rsidRPr="005532B2" w:rsidRDefault="005532B2" w:rsidP="00C86349">
            <w:pPr>
              <w:spacing w:line="360" w:lineRule="auto"/>
              <w:rPr>
                <w:rFonts w:cs="Arial"/>
                <w:szCs w:val="22"/>
              </w:rPr>
            </w:pPr>
            <w:r w:rsidRPr="005532B2">
              <w:rPr>
                <w:rFonts w:cs="Arial"/>
                <w:szCs w:val="22"/>
              </w:rPr>
              <w:t>£300k–£500k</w:t>
            </w:r>
          </w:p>
        </w:tc>
      </w:tr>
      <w:tr w:rsidR="005532B2" w:rsidRPr="005532B2" w14:paraId="222A3DBF" w14:textId="77777777" w:rsidTr="005532B2">
        <w:trPr>
          <w:tblCellSpacing w:w="15" w:type="dxa"/>
        </w:trPr>
        <w:tc>
          <w:tcPr>
            <w:tcW w:w="0" w:type="auto"/>
            <w:vAlign w:val="center"/>
            <w:hideMark/>
          </w:tcPr>
          <w:p w14:paraId="42445E27" w14:textId="77777777" w:rsidR="005532B2" w:rsidRPr="005532B2" w:rsidRDefault="005532B2" w:rsidP="00C86349">
            <w:pPr>
              <w:spacing w:line="360" w:lineRule="auto"/>
              <w:rPr>
                <w:rFonts w:cs="Arial"/>
                <w:szCs w:val="22"/>
              </w:rPr>
            </w:pPr>
            <w:r w:rsidRPr="005532B2">
              <w:rPr>
                <w:rFonts w:cs="Arial"/>
                <w:szCs w:val="22"/>
              </w:rPr>
              <w:lastRenderedPageBreak/>
              <w:t>Guest digital expectations</w:t>
            </w:r>
          </w:p>
        </w:tc>
        <w:tc>
          <w:tcPr>
            <w:tcW w:w="0" w:type="auto"/>
            <w:vAlign w:val="center"/>
            <w:hideMark/>
          </w:tcPr>
          <w:p w14:paraId="53DCDDC7" w14:textId="77777777" w:rsidR="005532B2" w:rsidRPr="005532B2" w:rsidRDefault="005532B2" w:rsidP="00C86349">
            <w:pPr>
              <w:spacing w:line="360" w:lineRule="auto"/>
              <w:rPr>
                <w:rFonts w:cs="Arial"/>
                <w:szCs w:val="22"/>
              </w:rPr>
            </w:pPr>
            <w:r w:rsidRPr="005532B2">
              <w:rPr>
                <w:rFonts w:cs="Arial"/>
                <w:szCs w:val="22"/>
              </w:rPr>
              <w:t>Deploy mobile check-in/key, in-room IoT controls, unified messaging platform; upgrade PMS integration (PwC, 2024)</w:t>
            </w:r>
          </w:p>
        </w:tc>
        <w:tc>
          <w:tcPr>
            <w:tcW w:w="0" w:type="auto"/>
            <w:vAlign w:val="center"/>
            <w:hideMark/>
          </w:tcPr>
          <w:p w14:paraId="5B34EC70" w14:textId="77777777" w:rsidR="005532B2" w:rsidRPr="005532B2" w:rsidRDefault="005532B2" w:rsidP="00C86349">
            <w:pPr>
              <w:spacing w:line="360" w:lineRule="auto"/>
              <w:rPr>
                <w:rFonts w:cs="Arial"/>
                <w:szCs w:val="22"/>
              </w:rPr>
            </w:pPr>
            <w:r w:rsidRPr="005532B2">
              <w:rPr>
                <w:rFonts w:cs="Arial"/>
                <w:szCs w:val="22"/>
              </w:rPr>
              <w:t>50%+ guest uptake of digital services; reduced front-desk queues; higher satisfaction</w:t>
            </w:r>
          </w:p>
        </w:tc>
        <w:tc>
          <w:tcPr>
            <w:tcW w:w="0" w:type="auto"/>
            <w:vAlign w:val="center"/>
            <w:hideMark/>
          </w:tcPr>
          <w:p w14:paraId="185F7A07" w14:textId="77777777" w:rsidR="005532B2" w:rsidRPr="005532B2" w:rsidRDefault="005532B2" w:rsidP="00C86349">
            <w:pPr>
              <w:spacing w:line="360" w:lineRule="auto"/>
              <w:rPr>
                <w:rFonts w:cs="Arial"/>
                <w:szCs w:val="22"/>
              </w:rPr>
            </w:pPr>
            <w:r w:rsidRPr="005532B2">
              <w:rPr>
                <w:rFonts w:cs="Arial"/>
                <w:szCs w:val="22"/>
              </w:rPr>
              <w:t>Pilot Year 2; full rollout Years 3–5</w:t>
            </w:r>
          </w:p>
        </w:tc>
        <w:tc>
          <w:tcPr>
            <w:tcW w:w="0" w:type="auto"/>
            <w:vAlign w:val="center"/>
            <w:hideMark/>
          </w:tcPr>
          <w:p w14:paraId="21D92341" w14:textId="77777777" w:rsidR="005532B2" w:rsidRPr="005532B2" w:rsidRDefault="005532B2" w:rsidP="00C86349">
            <w:pPr>
              <w:spacing w:line="360" w:lineRule="auto"/>
              <w:rPr>
                <w:rFonts w:cs="Arial"/>
                <w:szCs w:val="22"/>
              </w:rPr>
            </w:pPr>
            <w:r w:rsidRPr="005532B2">
              <w:rPr>
                <w:rFonts w:cs="Arial"/>
                <w:szCs w:val="22"/>
              </w:rPr>
              <w:t>~£500k pilot; £5–6m rollout</w:t>
            </w:r>
          </w:p>
        </w:tc>
      </w:tr>
      <w:tr w:rsidR="005532B2" w:rsidRPr="005532B2" w14:paraId="5CE38F21" w14:textId="77777777" w:rsidTr="005532B2">
        <w:trPr>
          <w:tblCellSpacing w:w="15" w:type="dxa"/>
        </w:trPr>
        <w:tc>
          <w:tcPr>
            <w:tcW w:w="0" w:type="auto"/>
            <w:vAlign w:val="center"/>
            <w:hideMark/>
          </w:tcPr>
          <w:p w14:paraId="498F86A7" w14:textId="77777777" w:rsidR="005532B2" w:rsidRPr="005532B2" w:rsidRDefault="005532B2" w:rsidP="00C86349">
            <w:pPr>
              <w:spacing w:line="360" w:lineRule="auto"/>
              <w:rPr>
                <w:rFonts w:cs="Arial"/>
                <w:szCs w:val="22"/>
              </w:rPr>
            </w:pPr>
            <w:r w:rsidRPr="005532B2">
              <w:rPr>
                <w:rFonts w:cs="Arial"/>
                <w:szCs w:val="22"/>
              </w:rPr>
              <w:t>Rising operating costs</w:t>
            </w:r>
          </w:p>
        </w:tc>
        <w:tc>
          <w:tcPr>
            <w:tcW w:w="0" w:type="auto"/>
            <w:vAlign w:val="center"/>
            <w:hideMark/>
          </w:tcPr>
          <w:p w14:paraId="222D8C56" w14:textId="77777777" w:rsidR="005532B2" w:rsidRPr="005532B2" w:rsidRDefault="005532B2" w:rsidP="00C86349">
            <w:pPr>
              <w:spacing w:line="360" w:lineRule="auto"/>
              <w:rPr>
                <w:rFonts w:cs="Arial"/>
                <w:szCs w:val="22"/>
              </w:rPr>
            </w:pPr>
            <w:r w:rsidRPr="005532B2">
              <w:rPr>
                <w:rFonts w:cs="Arial"/>
                <w:szCs w:val="22"/>
              </w:rPr>
              <w:t>Lean process reviews, workforce planning, strategic procurement, energy management system</w:t>
            </w:r>
          </w:p>
        </w:tc>
        <w:tc>
          <w:tcPr>
            <w:tcW w:w="0" w:type="auto"/>
            <w:vAlign w:val="center"/>
            <w:hideMark/>
          </w:tcPr>
          <w:p w14:paraId="486D86A6" w14:textId="77777777" w:rsidR="005532B2" w:rsidRPr="005532B2" w:rsidRDefault="005532B2" w:rsidP="00C86349">
            <w:pPr>
              <w:spacing w:line="360" w:lineRule="auto"/>
              <w:rPr>
                <w:rFonts w:cs="Arial"/>
                <w:szCs w:val="22"/>
              </w:rPr>
            </w:pPr>
            <w:r w:rsidRPr="005532B2">
              <w:rPr>
                <w:rFonts w:cs="Arial"/>
                <w:szCs w:val="22"/>
              </w:rPr>
              <w:t>10% reduction in variable costs; stabilised labour cost ratio; maintained service quality</w:t>
            </w:r>
          </w:p>
        </w:tc>
        <w:tc>
          <w:tcPr>
            <w:tcW w:w="0" w:type="auto"/>
            <w:vAlign w:val="center"/>
            <w:hideMark/>
          </w:tcPr>
          <w:p w14:paraId="2CD36C1E" w14:textId="77777777" w:rsidR="005532B2" w:rsidRPr="005532B2" w:rsidRDefault="005532B2" w:rsidP="00C86349">
            <w:pPr>
              <w:spacing w:line="360" w:lineRule="auto"/>
              <w:rPr>
                <w:rFonts w:cs="Arial"/>
                <w:szCs w:val="22"/>
              </w:rPr>
            </w:pPr>
            <w:r w:rsidRPr="005532B2">
              <w:rPr>
                <w:rFonts w:cs="Arial"/>
                <w:szCs w:val="22"/>
              </w:rPr>
              <w:t>Year 1 onwards; continuous</w:t>
            </w:r>
          </w:p>
        </w:tc>
        <w:tc>
          <w:tcPr>
            <w:tcW w:w="0" w:type="auto"/>
            <w:vAlign w:val="center"/>
            <w:hideMark/>
          </w:tcPr>
          <w:p w14:paraId="45E77E42" w14:textId="77777777" w:rsidR="005532B2" w:rsidRPr="005532B2" w:rsidRDefault="005532B2" w:rsidP="00C86349">
            <w:pPr>
              <w:spacing w:line="360" w:lineRule="auto"/>
              <w:rPr>
                <w:rFonts w:cs="Arial"/>
                <w:szCs w:val="22"/>
              </w:rPr>
            </w:pPr>
            <w:r w:rsidRPr="005532B2">
              <w:rPr>
                <w:rFonts w:cs="Arial"/>
                <w:szCs w:val="22"/>
              </w:rPr>
              <w:t>~£250k/year training &amp; consultancy</w:t>
            </w:r>
          </w:p>
        </w:tc>
      </w:tr>
      <w:tr w:rsidR="005532B2" w:rsidRPr="005532B2" w14:paraId="39F70EFB" w14:textId="77777777" w:rsidTr="005532B2">
        <w:trPr>
          <w:tblCellSpacing w:w="15" w:type="dxa"/>
        </w:trPr>
        <w:tc>
          <w:tcPr>
            <w:tcW w:w="0" w:type="auto"/>
            <w:vAlign w:val="center"/>
            <w:hideMark/>
          </w:tcPr>
          <w:p w14:paraId="20F6C712" w14:textId="77777777" w:rsidR="005532B2" w:rsidRPr="005532B2" w:rsidRDefault="005532B2" w:rsidP="00C86349">
            <w:pPr>
              <w:spacing w:line="360" w:lineRule="auto"/>
              <w:rPr>
                <w:rFonts w:cs="Arial"/>
                <w:szCs w:val="22"/>
              </w:rPr>
            </w:pPr>
            <w:r w:rsidRPr="005532B2">
              <w:rPr>
                <w:rFonts w:cs="Arial"/>
                <w:szCs w:val="22"/>
              </w:rPr>
              <w:t>Sustainability financing</w:t>
            </w:r>
          </w:p>
        </w:tc>
        <w:tc>
          <w:tcPr>
            <w:tcW w:w="0" w:type="auto"/>
            <w:vAlign w:val="center"/>
            <w:hideMark/>
          </w:tcPr>
          <w:p w14:paraId="363FCE76" w14:textId="77777777" w:rsidR="005532B2" w:rsidRPr="005532B2" w:rsidRDefault="005532B2" w:rsidP="00C86349">
            <w:pPr>
              <w:spacing w:line="360" w:lineRule="auto"/>
              <w:rPr>
                <w:rFonts w:cs="Arial"/>
                <w:szCs w:val="22"/>
              </w:rPr>
            </w:pPr>
            <w:r w:rsidRPr="005532B2">
              <w:rPr>
                <w:rFonts w:cs="Arial"/>
                <w:szCs w:val="22"/>
              </w:rPr>
              <w:t>Secure green loans, government grants, vendor financing for retrofits (Department for Energy Security and Net Zero, 2022; VDA-Telkonet, 2025)</w:t>
            </w:r>
          </w:p>
        </w:tc>
        <w:tc>
          <w:tcPr>
            <w:tcW w:w="0" w:type="auto"/>
            <w:vAlign w:val="center"/>
            <w:hideMark/>
          </w:tcPr>
          <w:p w14:paraId="48E0654D" w14:textId="773823E0" w:rsidR="005532B2" w:rsidRPr="005532B2" w:rsidRDefault="005532B2" w:rsidP="00C86349">
            <w:pPr>
              <w:spacing w:line="360" w:lineRule="auto"/>
              <w:rPr>
                <w:rFonts w:cs="Arial"/>
                <w:szCs w:val="22"/>
              </w:rPr>
            </w:pPr>
            <w:r w:rsidRPr="005532B2">
              <w:rPr>
                <w:rFonts w:cs="Arial"/>
                <w:szCs w:val="22"/>
              </w:rPr>
              <w:t xml:space="preserve">Reduced funding </w:t>
            </w:r>
            <w:r w:rsidR="00C86349" w:rsidRPr="005532B2">
              <w:rPr>
                <w:rFonts w:cs="Arial"/>
                <w:szCs w:val="22"/>
              </w:rPr>
              <w:t>burden:</w:t>
            </w:r>
            <w:r w:rsidRPr="005532B2">
              <w:rPr>
                <w:rFonts w:cs="Arial"/>
                <w:szCs w:val="22"/>
              </w:rPr>
              <w:t xml:space="preserve"> favourable loan terms tied to energy savings</w:t>
            </w:r>
          </w:p>
        </w:tc>
        <w:tc>
          <w:tcPr>
            <w:tcW w:w="0" w:type="auto"/>
            <w:vAlign w:val="center"/>
            <w:hideMark/>
          </w:tcPr>
          <w:p w14:paraId="639B0C0B" w14:textId="77777777" w:rsidR="005532B2" w:rsidRPr="005532B2" w:rsidRDefault="005532B2" w:rsidP="00C86349">
            <w:pPr>
              <w:spacing w:line="360" w:lineRule="auto"/>
              <w:rPr>
                <w:rFonts w:cs="Arial"/>
                <w:szCs w:val="22"/>
              </w:rPr>
            </w:pPr>
            <w:r w:rsidRPr="005532B2">
              <w:rPr>
                <w:rFonts w:cs="Arial"/>
                <w:szCs w:val="22"/>
              </w:rPr>
              <w:t>Year 1–2</w:t>
            </w:r>
          </w:p>
        </w:tc>
        <w:tc>
          <w:tcPr>
            <w:tcW w:w="0" w:type="auto"/>
            <w:vAlign w:val="center"/>
            <w:hideMark/>
          </w:tcPr>
          <w:p w14:paraId="4E29F05D" w14:textId="77777777" w:rsidR="005532B2" w:rsidRPr="005532B2" w:rsidRDefault="005532B2" w:rsidP="00C86349">
            <w:pPr>
              <w:spacing w:line="360" w:lineRule="auto"/>
              <w:rPr>
                <w:rFonts w:cs="Arial"/>
                <w:szCs w:val="22"/>
              </w:rPr>
            </w:pPr>
            <w:r w:rsidRPr="005532B2">
              <w:rPr>
                <w:rFonts w:cs="Arial"/>
                <w:szCs w:val="22"/>
              </w:rPr>
              <w:t>Incorporated into project budgets</w:t>
            </w:r>
          </w:p>
        </w:tc>
      </w:tr>
      <w:tr w:rsidR="005532B2" w:rsidRPr="005532B2" w14:paraId="35FD54E4" w14:textId="77777777" w:rsidTr="005532B2">
        <w:trPr>
          <w:tblCellSpacing w:w="15" w:type="dxa"/>
        </w:trPr>
        <w:tc>
          <w:tcPr>
            <w:tcW w:w="0" w:type="auto"/>
            <w:vAlign w:val="center"/>
            <w:hideMark/>
          </w:tcPr>
          <w:p w14:paraId="56067BF0" w14:textId="77777777" w:rsidR="005532B2" w:rsidRPr="005532B2" w:rsidRDefault="005532B2" w:rsidP="00C86349">
            <w:pPr>
              <w:spacing w:line="360" w:lineRule="auto"/>
              <w:rPr>
                <w:rFonts w:cs="Arial"/>
                <w:szCs w:val="22"/>
              </w:rPr>
            </w:pPr>
            <w:r w:rsidRPr="005532B2">
              <w:rPr>
                <w:rFonts w:cs="Arial"/>
                <w:szCs w:val="22"/>
              </w:rPr>
              <w:t>Change management</w:t>
            </w:r>
          </w:p>
        </w:tc>
        <w:tc>
          <w:tcPr>
            <w:tcW w:w="0" w:type="auto"/>
            <w:vAlign w:val="center"/>
            <w:hideMark/>
          </w:tcPr>
          <w:p w14:paraId="51CD8E56" w14:textId="77777777" w:rsidR="005532B2" w:rsidRPr="005532B2" w:rsidRDefault="005532B2" w:rsidP="00C86349">
            <w:pPr>
              <w:spacing w:line="360" w:lineRule="auto"/>
              <w:rPr>
                <w:rFonts w:cs="Arial"/>
                <w:szCs w:val="22"/>
              </w:rPr>
            </w:pPr>
            <w:r w:rsidRPr="005532B2">
              <w:rPr>
                <w:rFonts w:cs="Arial"/>
                <w:szCs w:val="22"/>
              </w:rPr>
              <w:t>Establish Steering Committee &amp; Sustainability Taskforce; communication plan; training; pilot feedback sessions; recognise early wins (Kotter, 1996; Hiatt, 2006)</w:t>
            </w:r>
          </w:p>
        </w:tc>
        <w:tc>
          <w:tcPr>
            <w:tcW w:w="0" w:type="auto"/>
            <w:vAlign w:val="center"/>
            <w:hideMark/>
          </w:tcPr>
          <w:p w14:paraId="55DA6583" w14:textId="77777777" w:rsidR="005532B2" w:rsidRPr="005532B2" w:rsidRDefault="005532B2" w:rsidP="00C86349">
            <w:pPr>
              <w:spacing w:line="360" w:lineRule="auto"/>
              <w:rPr>
                <w:rFonts w:cs="Arial"/>
                <w:szCs w:val="22"/>
              </w:rPr>
            </w:pPr>
            <w:r w:rsidRPr="005532B2">
              <w:rPr>
                <w:rFonts w:cs="Arial"/>
                <w:szCs w:val="22"/>
              </w:rPr>
              <w:t>Staff engagement, reduced resistance, sustained momentum across initiatives</w:t>
            </w:r>
          </w:p>
        </w:tc>
        <w:tc>
          <w:tcPr>
            <w:tcW w:w="0" w:type="auto"/>
            <w:vAlign w:val="center"/>
            <w:hideMark/>
          </w:tcPr>
          <w:p w14:paraId="36753E7D" w14:textId="77777777" w:rsidR="005532B2" w:rsidRPr="005532B2" w:rsidRDefault="005532B2" w:rsidP="00C86349">
            <w:pPr>
              <w:spacing w:line="360" w:lineRule="auto"/>
              <w:rPr>
                <w:rFonts w:cs="Arial"/>
                <w:szCs w:val="22"/>
              </w:rPr>
            </w:pPr>
            <w:r w:rsidRPr="005532B2">
              <w:rPr>
                <w:rFonts w:cs="Arial"/>
                <w:szCs w:val="22"/>
              </w:rPr>
              <w:t>Year 1–6 (ongoing)</w:t>
            </w:r>
          </w:p>
        </w:tc>
        <w:tc>
          <w:tcPr>
            <w:tcW w:w="0" w:type="auto"/>
            <w:vAlign w:val="center"/>
            <w:hideMark/>
          </w:tcPr>
          <w:p w14:paraId="4AEB0A77" w14:textId="77777777" w:rsidR="005532B2" w:rsidRPr="005532B2" w:rsidRDefault="005532B2" w:rsidP="00C86349">
            <w:pPr>
              <w:spacing w:line="360" w:lineRule="auto"/>
              <w:rPr>
                <w:rFonts w:cs="Arial"/>
                <w:szCs w:val="22"/>
              </w:rPr>
            </w:pPr>
            <w:r w:rsidRPr="005532B2">
              <w:rPr>
                <w:rFonts w:cs="Arial"/>
                <w:szCs w:val="22"/>
              </w:rPr>
              <w:t>~£300k total external support</w:t>
            </w:r>
          </w:p>
        </w:tc>
      </w:tr>
    </w:tbl>
    <w:p w14:paraId="52AE8A9D" w14:textId="77777777" w:rsidR="005532B2" w:rsidRPr="005532B2" w:rsidRDefault="005532B2" w:rsidP="00C86349">
      <w:pPr>
        <w:spacing w:line="360" w:lineRule="auto"/>
        <w:rPr>
          <w:rFonts w:cs="Arial"/>
          <w:szCs w:val="22"/>
        </w:rPr>
      </w:pPr>
      <w:r w:rsidRPr="005532B2">
        <w:rPr>
          <w:rFonts w:cs="Arial"/>
          <w:b/>
          <w:bCs/>
          <w:szCs w:val="22"/>
        </w:rPr>
        <w:t>Key Responsibilities &amp; Monitoring</w:t>
      </w:r>
    </w:p>
    <w:p w14:paraId="0D08966F" w14:textId="77777777" w:rsidR="005532B2" w:rsidRPr="005532B2" w:rsidRDefault="005532B2" w:rsidP="00C86349">
      <w:pPr>
        <w:numPr>
          <w:ilvl w:val="0"/>
          <w:numId w:val="67"/>
        </w:numPr>
        <w:spacing w:line="360" w:lineRule="auto"/>
        <w:rPr>
          <w:rFonts w:cs="Arial"/>
          <w:szCs w:val="22"/>
        </w:rPr>
      </w:pPr>
      <w:r w:rsidRPr="005532B2">
        <w:rPr>
          <w:rFonts w:cs="Arial"/>
          <w:b/>
          <w:bCs/>
          <w:szCs w:val="22"/>
        </w:rPr>
        <w:t>Steering Committee</w:t>
      </w:r>
      <w:r w:rsidRPr="005532B2">
        <w:rPr>
          <w:rFonts w:cs="Arial"/>
          <w:szCs w:val="22"/>
        </w:rPr>
        <w:t>: Overall governance, resource approval, quarterly review of KPIs (ADR, RevPAR, NPS, energy metrics) (Saunders, Lewis &amp; Thornhill, 2009).</w:t>
      </w:r>
    </w:p>
    <w:p w14:paraId="1D7FDB4C" w14:textId="264D239C" w:rsidR="005532B2" w:rsidRPr="005532B2" w:rsidRDefault="005532B2" w:rsidP="00C86349">
      <w:pPr>
        <w:numPr>
          <w:ilvl w:val="0"/>
          <w:numId w:val="67"/>
        </w:numPr>
        <w:spacing w:line="360" w:lineRule="auto"/>
        <w:rPr>
          <w:rFonts w:cs="Arial"/>
          <w:szCs w:val="22"/>
        </w:rPr>
      </w:pPr>
      <w:r w:rsidRPr="005532B2">
        <w:rPr>
          <w:rFonts w:cs="Arial"/>
          <w:b/>
          <w:bCs/>
          <w:szCs w:val="22"/>
        </w:rPr>
        <w:t>Project Teams</w:t>
      </w:r>
      <w:r w:rsidRPr="005532B2">
        <w:rPr>
          <w:rFonts w:cs="Arial"/>
          <w:szCs w:val="22"/>
        </w:rPr>
        <w:t xml:space="preserve">: Execute refurbishments, technology rollouts and sustainability measures, </w:t>
      </w:r>
      <w:r w:rsidR="00C86349" w:rsidRPr="005532B2">
        <w:rPr>
          <w:rFonts w:cs="Arial"/>
          <w:szCs w:val="22"/>
        </w:rPr>
        <w:t>consult</w:t>
      </w:r>
      <w:r w:rsidRPr="005532B2">
        <w:rPr>
          <w:rFonts w:cs="Arial"/>
          <w:szCs w:val="22"/>
        </w:rPr>
        <w:t xml:space="preserve"> with heritage consultants and vendors.</w:t>
      </w:r>
    </w:p>
    <w:p w14:paraId="4D0CA436" w14:textId="77777777" w:rsidR="005532B2" w:rsidRPr="005532B2" w:rsidRDefault="005532B2" w:rsidP="00C86349">
      <w:pPr>
        <w:numPr>
          <w:ilvl w:val="0"/>
          <w:numId w:val="67"/>
        </w:numPr>
        <w:spacing w:line="360" w:lineRule="auto"/>
        <w:rPr>
          <w:rFonts w:cs="Arial"/>
          <w:szCs w:val="22"/>
        </w:rPr>
      </w:pPr>
      <w:r w:rsidRPr="005532B2">
        <w:rPr>
          <w:rFonts w:cs="Arial"/>
          <w:b/>
          <w:bCs/>
          <w:szCs w:val="22"/>
        </w:rPr>
        <w:lastRenderedPageBreak/>
        <w:t>Sustainability Taskforce</w:t>
      </w:r>
      <w:r w:rsidRPr="005532B2">
        <w:rPr>
          <w:rFonts w:cs="Arial"/>
          <w:szCs w:val="22"/>
        </w:rPr>
        <w:t>: Oversee energy/water monitoring, financing compliance and reporting.</w:t>
      </w:r>
    </w:p>
    <w:p w14:paraId="79048EE5" w14:textId="77777777" w:rsidR="005532B2" w:rsidRPr="005532B2" w:rsidRDefault="005532B2" w:rsidP="00C86349">
      <w:pPr>
        <w:numPr>
          <w:ilvl w:val="0"/>
          <w:numId w:val="67"/>
        </w:numPr>
        <w:spacing w:line="360" w:lineRule="auto"/>
        <w:rPr>
          <w:rFonts w:cs="Arial"/>
          <w:szCs w:val="22"/>
        </w:rPr>
      </w:pPr>
      <w:r w:rsidRPr="005532B2">
        <w:rPr>
          <w:rFonts w:cs="Arial"/>
          <w:b/>
          <w:bCs/>
          <w:szCs w:val="22"/>
        </w:rPr>
        <w:t>Department Heads</w:t>
      </w:r>
      <w:r w:rsidRPr="005532B2">
        <w:rPr>
          <w:rFonts w:cs="Arial"/>
          <w:szCs w:val="22"/>
        </w:rPr>
        <w:t>: Lead operational improvements, staff training and feedback collection.</w:t>
      </w:r>
    </w:p>
    <w:p w14:paraId="58A2F25B" w14:textId="2C921ED0" w:rsidR="00A209CD" w:rsidRDefault="005532B2" w:rsidP="00C86349">
      <w:pPr>
        <w:spacing w:line="360" w:lineRule="auto"/>
        <w:rPr>
          <w:rFonts w:cs="Arial"/>
          <w:szCs w:val="22"/>
        </w:rPr>
      </w:pPr>
      <w:r w:rsidRPr="005532B2">
        <w:rPr>
          <w:rFonts w:cs="Arial"/>
          <w:szCs w:val="22"/>
        </w:rPr>
        <w:t>Progress is tracked via monthly dashboards for operational metrics (maintenance incidents, energy use, guest feedback trends) and quarterly executive reviews for financial and strategic alignment. Regular post-phase reviews ensure lessons inform subsequent actions. This concise action plan equips Hilton London Paddington to implement the recommendations effectively, balancing heritage preservation, guest experience enhancement and financial sustainability.</w:t>
      </w:r>
    </w:p>
    <w:p w14:paraId="43F11D81" w14:textId="77777777" w:rsidR="00E26FD7" w:rsidRPr="00A209CD" w:rsidRDefault="00E26FD7" w:rsidP="00C86349">
      <w:pPr>
        <w:spacing w:line="360" w:lineRule="auto"/>
        <w:rPr>
          <w:rFonts w:cs="Arial"/>
          <w:szCs w:val="22"/>
        </w:rPr>
      </w:pPr>
    </w:p>
    <w:p w14:paraId="7E387F65" w14:textId="77777777" w:rsidR="00A209CD" w:rsidRPr="00A209CD" w:rsidRDefault="00A209CD" w:rsidP="00C86349">
      <w:pPr>
        <w:spacing w:line="360" w:lineRule="auto"/>
        <w:rPr>
          <w:rFonts w:cs="Arial"/>
          <w:b/>
          <w:bCs/>
          <w:szCs w:val="22"/>
        </w:rPr>
      </w:pPr>
      <w:r w:rsidRPr="00A209CD">
        <w:rPr>
          <w:rFonts w:cs="Arial"/>
          <w:b/>
          <w:bCs/>
          <w:szCs w:val="22"/>
        </w:rPr>
        <w:t>Conclusion</w:t>
      </w:r>
    </w:p>
    <w:p w14:paraId="587C4CF0" w14:textId="77777777" w:rsidR="00A209CD" w:rsidRPr="00A209CD" w:rsidRDefault="00A209CD" w:rsidP="00C86349">
      <w:pPr>
        <w:spacing w:line="360" w:lineRule="auto"/>
        <w:rPr>
          <w:rFonts w:cs="Arial"/>
          <w:szCs w:val="22"/>
        </w:rPr>
      </w:pPr>
      <w:r w:rsidRPr="00A209CD">
        <w:rPr>
          <w:rFonts w:cs="Arial"/>
          <w:szCs w:val="22"/>
        </w:rPr>
        <w:t>The consultancy report has explored in depth the challenges currently faced by Hilton London Paddington, a flagship property within the wider Hilton international brand. Despite its prime location and rich history, the hotel has encountered a series of pressing operational issues that have begun to affect its reputation, guest satisfaction, and long-term sustainability. This includes outdated room infrastructure, service inconsistency, declining employee morale, and a slow adaptation to evolving technological and environmental expectations within the hospitality industry.</w:t>
      </w:r>
    </w:p>
    <w:p w14:paraId="33A067C8" w14:textId="77777777" w:rsidR="00A209CD" w:rsidRPr="00A209CD" w:rsidRDefault="00A209CD" w:rsidP="00C86349">
      <w:pPr>
        <w:spacing w:line="360" w:lineRule="auto"/>
        <w:rPr>
          <w:rFonts w:cs="Arial"/>
          <w:szCs w:val="22"/>
        </w:rPr>
      </w:pPr>
      <w:r w:rsidRPr="00A209CD">
        <w:rPr>
          <w:rFonts w:cs="Arial"/>
          <w:szCs w:val="22"/>
        </w:rPr>
        <w:t>Through comprehensive analysis—including a STEEPLED framework, SWOT, and TOWS matrices—this report has identified the root causes of these challenges, as well as the internal and external pressures influencing performance. The findings made clear that without timely intervention and a focused change strategy, the hotel risks falling further behind newer and more agile competitors in the London hospitality market.</w:t>
      </w:r>
    </w:p>
    <w:p w14:paraId="2BBA4045" w14:textId="77777777" w:rsidR="00A209CD" w:rsidRPr="00A209CD" w:rsidRDefault="00A209CD" w:rsidP="00C86349">
      <w:pPr>
        <w:spacing w:line="360" w:lineRule="auto"/>
        <w:rPr>
          <w:rFonts w:cs="Arial"/>
          <w:szCs w:val="22"/>
        </w:rPr>
      </w:pPr>
      <w:r w:rsidRPr="00A209CD">
        <w:rPr>
          <w:rFonts w:cs="Arial"/>
          <w:szCs w:val="22"/>
        </w:rPr>
        <w:t>It is important to note that while the report has highlighted various weaknesses and threats, it has also recognised that Hilton London Paddington remains a highly valuable asset with numerous strengths to build upon. These include strong brand affiliation with Hilton Worldwide, close transport links via Paddington Station and the Heathrow Express, and a loyal customer base attracted by the hotel’s historic charm and heritage. Furthermore, the hotel benefits from access to Hilton’s global support systems, marketing platforms, and loyalty programmes.</w:t>
      </w:r>
    </w:p>
    <w:p w14:paraId="23405E07" w14:textId="77777777" w:rsidR="00A209CD" w:rsidRPr="00A209CD" w:rsidRDefault="00A209CD" w:rsidP="00C86349">
      <w:pPr>
        <w:spacing w:line="360" w:lineRule="auto"/>
        <w:rPr>
          <w:rFonts w:cs="Arial"/>
          <w:szCs w:val="22"/>
        </w:rPr>
      </w:pPr>
      <w:r w:rsidRPr="00A209CD">
        <w:rPr>
          <w:rFonts w:cs="Arial"/>
          <w:szCs w:val="22"/>
        </w:rPr>
        <w:t xml:space="preserve">To address the identified issues, the report has presented a series of strategic recommendations. These include undertaking a phased room refurbishment programme, </w:t>
      </w:r>
      <w:r w:rsidRPr="00A209CD">
        <w:rPr>
          <w:rFonts w:cs="Arial"/>
          <w:szCs w:val="22"/>
        </w:rPr>
        <w:lastRenderedPageBreak/>
        <w:t>improving training and retention efforts for frontline staff, integrating smart technologies to streamline operations, and embedding sustainable practices to meet both environmental goals and guest expectations. Additionally, clear change management strategies have been proposed—based on Kotter’s 8-Step Model—to ensure the smooth implementation of new systems, alongside regular monitoring and feedback mechanisms to assess the success of each initiative.</w:t>
      </w:r>
    </w:p>
    <w:p w14:paraId="7763E68A" w14:textId="77777777" w:rsidR="00A209CD" w:rsidRPr="00A209CD" w:rsidRDefault="00A209CD" w:rsidP="00C86349">
      <w:pPr>
        <w:spacing w:line="360" w:lineRule="auto"/>
        <w:rPr>
          <w:rFonts w:cs="Arial"/>
          <w:szCs w:val="22"/>
        </w:rPr>
      </w:pPr>
      <w:r w:rsidRPr="00A209CD">
        <w:rPr>
          <w:rFonts w:cs="Arial"/>
          <w:szCs w:val="22"/>
        </w:rPr>
        <w:t>The action plan provided outlines practical steps that can be taken immediately and over the medium term, with cost estimates, timelines, and desired outcomes clearly set out. These recommendations are not only feasible for a hotel of Hilton London Paddington’s scale but are also aligned with broader industry standards and guest trends.</w:t>
      </w:r>
    </w:p>
    <w:p w14:paraId="4E903E95" w14:textId="77777777" w:rsidR="00A209CD" w:rsidRPr="00A209CD" w:rsidRDefault="00A209CD" w:rsidP="00C86349">
      <w:pPr>
        <w:spacing w:line="360" w:lineRule="auto"/>
        <w:rPr>
          <w:rFonts w:cs="Arial"/>
          <w:szCs w:val="22"/>
        </w:rPr>
      </w:pPr>
      <w:r w:rsidRPr="00A209CD">
        <w:rPr>
          <w:rFonts w:cs="Arial"/>
          <w:szCs w:val="22"/>
        </w:rPr>
        <w:t>In conclusion, Hilton London Paddington is at a pivotal crossroads. The challenges it faces are not insurmountable, but they do require decisive action. By implementing the solutions outlined in this report, the hotel has a real opportunity to reposition itself as a leading choice for both business and leisure travellers in the capital. With the right investment and leadership focus, Hilton London Paddington can modernise its operations, enhance staff satisfaction, and deliver a consistently high-quality guest experience that is both memorable and sustainable.</w:t>
      </w:r>
    </w:p>
    <w:p w14:paraId="0EBDBD1D" w14:textId="77777777" w:rsidR="00A209CD" w:rsidRPr="00A209CD" w:rsidRDefault="00A209CD" w:rsidP="00C86349">
      <w:pPr>
        <w:spacing w:line="360" w:lineRule="auto"/>
        <w:rPr>
          <w:rFonts w:cs="Arial"/>
          <w:szCs w:val="22"/>
        </w:rPr>
      </w:pPr>
      <w:r w:rsidRPr="00A209CD">
        <w:rPr>
          <w:rFonts w:cs="Arial"/>
          <w:szCs w:val="22"/>
        </w:rPr>
        <w:t>Finally, I would like to thank the leadership team at Hilton London Paddington for the opportunity to collaborate on this important project. It is hoped that the insights and recommendations shared will support the hotel in making informed, impactful changes that drive long-term success. Should further consultancy support be required, my firm remains available for ongoing strategic assistance.</w:t>
      </w:r>
    </w:p>
    <w:p w14:paraId="24DB8712" w14:textId="77777777" w:rsidR="00A209CD" w:rsidRPr="00C86349" w:rsidRDefault="00A209CD" w:rsidP="00C86349">
      <w:pPr>
        <w:spacing w:line="360" w:lineRule="auto"/>
        <w:rPr>
          <w:rFonts w:cs="Arial"/>
          <w:szCs w:val="22"/>
        </w:rPr>
      </w:pPr>
    </w:p>
    <w:p w14:paraId="44075DE9" w14:textId="77777777" w:rsidR="00A209CD" w:rsidRPr="00C86349" w:rsidRDefault="00A209CD" w:rsidP="00C86349">
      <w:pPr>
        <w:spacing w:line="360" w:lineRule="auto"/>
        <w:rPr>
          <w:rFonts w:cs="Arial"/>
          <w:szCs w:val="22"/>
        </w:rPr>
      </w:pPr>
    </w:p>
    <w:p w14:paraId="4F531C19" w14:textId="77777777" w:rsidR="00A209CD" w:rsidRPr="00C86349" w:rsidRDefault="00A209CD" w:rsidP="00C86349">
      <w:pPr>
        <w:spacing w:line="360" w:lineRule="auto"/>
        <w:rPr>
          <w:rFonts w:cs="Arial"/>
          <w:szCs w:val="22"/>
        </w:rPr>
      </w:pPr>
    </w:p>
    <w:p w14:paraId="2A50BCD1" w14:textId="77777777" w:rsidR="00A209CD" w:rsidRDefault="00A209CD" w:rsidP="00C86349">
      <w:pPr>
        <w:spacing w:line="360" w:lineRule="auto"/>
        <w:rPr>
          <w:rFonts w:cs="Arial"/>
          <w:szCs w:val="22"/>
        </w:rPr>
      </w:pPr>
    </w:p>
    <w:p w14:paraId="69BDE3D6" w14:textId="77777777" w:rsidR="00414E8C" w:rsidRPr="00C86349" w:rsidRDefault="00414E8C" w:rsidP="00C86349">
      <w:pPr>
        <w:spacing w:line="360" w:lineRule="auto"/>
        <w:rPr>
          <w:rFonts w:cs="Arial"/>
          <w:szCs w:val="22"/>
        </w:rPr>
      </w:pPr>
    </w:p>
    <w:p w14:paraId="1C43DFDE" w14:textId="77777777" w:rsidR="00A209CD" w:rsidRPr="00C86349" w:rsidRDefault="00A209CD" w:rsidP="00C86349">
      <w:pPr>
        <w:spacing w:line="360" w:lineRule="auto"/>
        <w:rPr>
          <w:rFonts w:cs="Arial"/>
          <w:szCs w:val="22"/>
        </w:rPr>
      </w:pPr>
    </w:p>
    <w:p w14:paraId="7129A55E" w14:textId="77777777" w:rsidR="00A209CD" w:rsidRPr="00C86349" w:rsidRDefault="00A209CD" w:rsidP="00C86349">
      <w:pPr>
        <w:spacing w:line="360" w:lineRule="auto"/>
        <w:rPr>
          <w:rFonts w:cs="Arial"/>
          <w:szCs w:val="22"/>
        </w:rPr>
      </w:pPr>
    </w:p>
    <w:p w14:paraId="2C657D45" w14:textId="77777777" w:rsidR="00A209CD" w:rsidRPr="00C86349" w:rsidRDefault="00A209CD" w:rsidP="00C86349">
      <w:pPr>
        <w:spacing w:line="360" w:lineRule="auto"/>
        <w:rPr>
          <w:rFonts w:cs="Arial"/>
          <w:szCs w:val="22"/>
        </w:rPr>
      </w:pPr>
    </w:p>
    <w:p w14:paraId="68717D9A" w14:textId="77777777" w:rsidR="005532B2" w:rsidRPr="005532B2" w:rsidRDefault="005532B2" w:rsidP="00C86349">
      <w:pPr>
        <w:spacing w:line="360" w:lineRule="auto"/>
        <w:rPr>
          <w:rFonts w:cs="Arial"/>
          <w:szCs w:val="22"/>
        </w:rPr>
      </w:pPr>
    </w:p>
    <w:p w14:paraId="0F65C77D" w14:textId="6D96FDE4" w:rsidR="001F00D1" w:rsidRPr="00C86349" w:rsidRDefault="001F00D1" w:rsidP="00C86349">
      <w:pPr>
        <w:spacing w:line="360" w:lineRule="auto"/>
        <w:rPr>
          <w:rFonts w:cs="Arial"/>
          <w:b/>
          <w:bCs/>
          <w:szCs w:val="22"/>
        </w:rPr>
      </w:pPr>
      <w:r w:rsidRPr="001F00D1">
        <w:rPr>
          <w:rFonts w:cs="Arial"/>
          <w:b/>
          <w:bCs/>
          <w:szCs w:val="22"/>
        </w:rPr>
        <w:lastRenderedPageBreak/>
        <w:t xml:space="preserve">Reference List </w:t>
      </w:r>
    </w:p>
    <w:p w14:paraId="03F87A6F" w14:textId="77777777" w:rsidR="00A209CD" w:rsidRPr="001F00D1" w:rsidRDefault="00A209CD" w:rsidP="00C86349">
      <w:pPr>
        <w:spacing w:line="360" w:lineRule="auto"/>
        <w:rPr>
          <w:rFonts w:cs="Arial"/>
          <w:b/>
          <w:bCs/>
          <w:szCs w:val="22"/>
        </w:rPr>
      </w:pPr>
    </w:p>
    <w:p w14:paraId="4EA2ADAC" w14:textId="77777777" w:rsidR="001F00D1" w:rsidRPr="001F00D1" w:rsidRDefault="001F00D1" w:rsidP="00C86349">
      <w:pPr>
        <w:spacing w:line="360" w:lineRule="auto"/>
        <w:rPr>
          <w:rFonts w:cs="Arial"/>
          <w:szCs w:val="22"/>
        </w:rPr>
      </w:pPr>
      <w:r w:rsidRPr="001F00D1">
        <w:rPr>
          <w:rFonts w:cs="Arial"/>
          <w:szCs w:val="22"/>
        </w:rPr>
        <w:t xml:space="preserve">Amin, M. and Nadarajah, D., 2023. </w:t>
      </w:r>
      <w:r w:rsidRPr="001F00D1">
        <w:rPr>
          <w:rFonts w:cs="Arial"/>
          <w:i/>
          <w:iCs/>
          <w:szCs w:val="22"/>
        </w:rPr>
        <w:t>Revitalising heritage hotels: The balance between tradition and transformation</w:t>
      </w:r>
      <w:r w:rsidRPr="001F00D1">
        <w:rPr>
          <w:rFonts w:cs="Arial"/>
          <w:szCs w:val="22"/>
        </w:rPr>
        <w:t xml:space="preserve">. </w:t>
      </w:r>
      <w:r w:rsidRPr="001F00D1">
        <w:rPr>
          <w:rFonts w:cs="Arial"/>
          <w:i/>
          <w:iCs/>
          <w:szCs w:val="22"/>
        </w:rPr>
        <w:t>International Journal of Hospitality Management</w:t>
      </w:r>
      <w:r w:rsidRPr="001F00D1">
        <w:rPr>
          <w:rFonts w:cs="Arial"/>
          <w:szCs w:val="22"/>
        </w:rPr>
        <w:t>, 108, p.103398.</w:t>
      </w:r>
    </w:p>
    <w:p w14:paraId="51ED8037" w14:textId="77777777" w:rsidR="001F00D1" w:rsidRPr="001F00D1" w:rsidRDefault="001F00D1" w:rsidP="00C86349">
      <w:pPr>
        <w:spacing w:line="360" w:lineRule="auto"/>
        <w:rPr>
          <w:rFonts w:cs="Arial"/>
          <w:szCs w:val="22"/>
        </w:rPr>
      </w:pPr>
      <w:r w:rsidRPr="001F00D1">
        <w:rPr>
          <w:rFonts w:cs="Arial"/>
          <w:szCs w:val="22"/>
        </w:rPr>
        <w:t xml:space="preserve">Baum, T., 2020. </w:t>
      </w:r>
      <w:r w:rsidRPr="001F00D1">
        <w:rPr>
          <w:rFonts w:cs="Arial"/>
          <w:i/>
          <w:iCs/>
          <w:szCs w:val="22"/>
        </w:rPr>
        <w:t>Hospitality employment 2020: Crisis and change</w:t>
      </w:r>
      <w:r w:rsidRPr="001F00D1">
        <w:rPr>
          <w:rFonts w:cs="Arial"/>
          <w:szCs w:val="22"/>
        </w:rPr>
        <w:t xml:space="preserve">. </w:t>
      </w:r>
      <w:r w:rsidRPr="001F00D1">
        <w:rPr>
          <w:rFonts w:cs="Arial"/>
          <w:i/>
          <w:iCs/>
          <w:szCs w:val="22"/>
        </w:rPr>
        <w:t>Worldwide Hospitality and Tourism Themes</w:t>
      </w:r>
      <w:r w:rsidRPr="001F00D1">
        <w:rPr>
          <w:rFonts w:cs="Arial"/>
          <w:szCs w:val="22"/>
        </w:rPr>
        <w:t>, 12(3), pp.337–344.</w:t>
      </w:r>
    </w:p>
    <w:p w14:paraId="1F5CAAEE" w14:textId="77777777" w:rsidR="001F00D1" w:rsidRPr="001F00D1" w:rsidRDefault="001F00D1" w:rsidP="00C86349">
      <w:pPr>
        <w:spacing w:line="360" w:lineRule="auto"/>
        <w:rPr>
          <w:rFonts w:cs="Arial"/>
          <w:szCs w:val="22"/>
        </w:rPr>
      </w:pPr>
      <w:r w:rsidRPr="001F00D1">
        <w:rPr>
          <w:rFonts w:cs="Arial"/>
          <w:szCs w:val="22"/>
        </w:rPr>
        <w:t xml:space="preserve">Bharwani, S. and Butt, N., 2012. </w:t>
      </w:r>
      <w:r w:rsidRPr="001F00D1">
        <w:rPr>
          <w:rFonts w:cs="Arial"/>
          <w:i/>
          <w:iCs/>
          <w:szCs w:val="22"/>
        </w:rPr>
        <w:t>Challenges for the global hospitality industry: An HR perspective</w:t>
      </w:r>
      <w:r w:rsidRPr="001F00D1">
        <w:rPr>
          <w:rFonts w:cs="Arial"/>
          <w:szCs w:val="22"/>
        </w:rPr>
        <w:t xml:space="preserve">. </w:t>
      </w:r>
      <w:r w:rsidRPr="001F00D1">
        <w:rPr>
          <w:rFonts w:cs="Arial"/>
          <w:i/>
          <w:iCs/>
          <w:szCs w:val="22"/>
        </w:rPr>
        <w:t>Worldwide Hospitality and Tourism Themes</w:t>
      </w:r>
      <w:r w:rsidRPr="001F00D1">
        <w:rPr>
          <w:rFonts w:cs="Arial"/>
          <w:szCs w:val="22"/>
        </w:rPr>
        <w:t>, 4(2), pp.150–162.</w:t>
      </w:r>
    </w:p>
    <w:p w14:paraId="411623FC" w14:textId="77777777" w:rsidR="001F00D1" w:rsidRPr="001F00D1" w:rsidRDefault="001F00D1" w:rsidP="00C86349">
      <w:pPr>
        <w:spacing w:line="360" w:lineRule="auto"/>
        <w:rPr>
          <w:rFonts w:cs="Arial"/>
          <w:szCs w:val="22"/>
        </w:rPr>
      </w:pPr>
      <w:r w:rsidRPr="001F00D1">
        <w:rPr>
          <w:rFonts w:cs="Arial"/>
          <w:szCs w:val="22"/>
        </w:rPr>
        <w:t xml:space="preserve">Bitner, M.J., 1992. </w:t>
      </w:r>
      <w:r w:rsidRPr="001F00D1">
        <w:rPr>
          <w:rFonts w:cs="Arial"/>
          <w:i/>
          <w:iCs/>
          <w:szCs w:val="22"/>
        </w:rPr>
        <w:t>Servicescapes: The impact of physical surroundings on customers and employees</w:t>
      </w:r>
      <w:r w:rsidRPr="001F00D1">
        <w:rPr>
          <w:rFonts w:cs="Arial"/>
          <w:szCs w:val="22"/>
        </w:rPr>
        <w:t xml:space="preserve">. </w:t>
      </w:r>
      <w:r w:rsidRPr="001F00D1">
        <w:rPr>
          <w:rFonts w:cs="Arial"/>
          <w:i/>
          <w:iCs/>
          <w:szCs w:val="22"/>
        </w:rPr>
        <w:t>Journal of Marketing</w:t>
      </w:r>
      <w:r w:rsidRPr="001F00D1">
        <w:rPr>
          <w:rFonts w:cs="Arial"/>
          <w:szCs w:val="22"/>
        </w:rPr>
        <w:t>, 56(2), pp.57–71.</w:t>
      </w:r>
    </w:p>
    <w:p w14:paraId="096F44E1" w14:textId="77777777" w:rsidR="001F00D1" w:rsidRPr="001F00D1" w:rsidRDefault="001F00D1" w:rsidP="00C86349">
      <w:pPr>
        <w:spacing w:line="360" w:lineRule="auto"/>
        <w:rPr>
          <w:rFonts w:cs="Arial"/>
          <w:szCs w:val="22"/>
        </w:rPr>
      </w:pPr>
      <w:r w:rsidRPr="001F00D1">
        <w:rPr>
          <w:rFonts w:cs="Arial"/>
          <w:szCs w:val="22"/>
        </w:rPr>
        <w:t xml:space="preserve">Bowie, D. and Buttle, F., 2011. </w:t>
      </w:r>
      <w:r w:rsidRPr="001F00D1">
        <w:rPr>
          <w:rFonts w:cs="Arial"/>
          <w:i/>
          <w:iCs/>
          <w:szCs w:val="22"/>
        </w:rPr>
        <w:t>Hospitality Marketing: Principles and Practice</w:t>
      </w:r>
      <w:r w:rsidRPr="001F00D1">
        <w:rPr>
          <w:rFonts w:cs="Arial"/>
          <w:szCs w:val="22"/>
        </w:rPr>
        <w:t>. 2nd ed. Oxford: Elsevier.</w:t>
      </w:r>
    </w:p>
    <w:p w14:paraId="0CB22669" w14:textId="77777777" w:rsidR="001F00D1" w:rsidRPr="001F00D1" w:rsidRDefault="001F00D1" w:rsidP="00C86349">
      <w:pPr>
        <w:spacing w:line="360" w:lineRule="auto"/>
        <w:rPr>
          <w:rFonts w:cs="Arial"/>
          <w:szCs w:val="22"/>
        </w:rPr>
      </w:pPr>
      <w:r w:rsidRPr="001F00D1">
        <w:rPr>
          <w:rFonts w:cs="Arial"/>
          <w:szCs w:val="22"/>
        </w:rPr>
        <w:t xml:space="preserve">British Hospitality Association, 2023. </w:t>
      </w:r>
      <w:r w:rsidRPr="001F00D1">
        <w:rPr>
          <w:rFonts w:cs="Arial"/>
          <w:i/>
          <w:iCs/>
          <w:szCs w:val="22"/>
        </w:rPr>
        <w:t>UK Hotel Market Overview</w:t>
      </w:r>
      <w:r w:rsidRPr="001F00D1">
        <w:rPr>
          <w:rFonts w:cs="Arial"/>
          <w:szCs w:val="22"/>
        </w:rPr>
        <w:t xml:space="preserve">. [online] Available at: </w:t>
      </w:r>
      <w:hyperlink r:id="rId6" w:tgtFrame="_new" w:history="1">
        <w:r w:rsidRPr="001F00D1">
          <w:rPr>
            <w:rStyle w:val="Hyperlink"/>
            <w:rFonts w:cs="Arial"/>
            <w:szCs w:val="22"/>
          </w:rPr>
          <w:t>https://www.bha.org.uk</w:t>
        </w:r>
      </w:hyperlink>
      <w:r w:rsidRPr="001F00D1">
        <w:rPr>
          <w:rFonts w:cs="Arial"/>
          <w:szCs w:val="22"/>
        </w:rPr>
        <w:t xml:space="preserve"> [Accessed 1 May 2025].</w:t>
      </w:r>
    </w:p>
    <w:p w14:paraId="2978463D" w14:textId="77777777" w:rsidR="001F00D1" w:rsidRPr="001F00D1" w:rsidRDefault="001F00D1" w:rsidP="00C86349">
      <w:pPr>
        <w:spacing w:line="360" w:lineRule="auto"/>
        <w:rPr>
          <w:rFonts w:cs="Arial"/>
          <w:szCs w:val="22"/>
        </w:rPr>
      </w:pPr>
      <w:r w:rsidRPr="001F00D1">
        <w:rPr>
          <w:rFonts w:cs="Arial"/>
          <w:szCs w:val="22"/>
        </w:rPr>
        <w:t xml:space="preserve">Buhalis, D. and Leung, R., 2018. </w:t>
      </w:r>
      <w:r w:rsidRPr="001F00D1">
        <w:rPr>
          <w:rFonts w:cs="Arial"/>
          <w:i/>
          <w:iCs/>
          <w:szCs w:val="22"/>
        </w:rPr>
        <w:t>Smart hospitality—Interconnectivity and interoperability towards an ecosystem</w:t>
      </w:r>
      <w:r w:rsidRPr="001F00D1">
        <w:rPr>
          <w:rFonts w:cs="Arial"/>
          <w:szCs w:val="22"/>
        </w:rPr>
        <w:t xml:space="preserve">. </w:t>
      </w:r>
      <w:r w:rsidRPr="001F00D1">
        <w:rPr>
          <w:rFonts w:cs="Arial"/>
          <w:i/>
          <w:iCs/>
          <w:szCs w:val="22"/>
        </w:rPr>
        <w:t>International Journal of Hospitality Management</w:t>
      </w:r>
      <w:r w:rsidRPr="001F00D1">
        <w:rPr>
          <w:rFonts w:cs="Arial"/>
          <w:szCs w:val="22"/>
        </w:rPr>
        <w:t>, 71, pp.41–50.</w:t>
      </w:r>
    </w:p>
    <w:p w14:paraId="062B5F91" w14:textId="77777777" w:rsidR="001F00D1" w:rsidRPr="001F00D1" w:rsidRDefault="001F00D1" w:rsidP="00C86349">
      <w:pPr>
        <w:spacing w:line="360" w:lineRule="auto"/>
        <w:rPr>
          <w:rFonts w:cs="Arial"/>
          <w:szCs w:val="22"/>
        </w:rPr>
      </w:pPr>
      <w:r w:rsidRPr="001F00D1">
        <w:rPr>
          <w:rFonts w:cs="Arial"/>
          <w:szCs w:val="22"/>
        </w:rPr>
        <w:t xml:space="preserve">CBRE, 2024. </w:t>
      </w:r>
      <w:r w:rsidRPr="001F00D1">
        <w:rPr>
          <w:rFonts w:cs="Arial"/>
          <w:i/>
          <w:iCs/>
          <w:szCs w:val="22"/>
        </w:rPr>
        <w:t>UK Hotel Trends Q1 Report 2024</w:t>
      </w:r>
      <w:r w:rsidRPr="001F00D1">
        <w:rPr>
          <w:rFonts w:cs="Arial"/>
          <w:szCs w:val="22"/>
        </w:rPr>
        <w:t>. [online] CBRE Group. Available at: https://www.cbre.com/research-and-reports [Accessed 2 May 2025].</w:t>
      </w:r>
    </w:p>
    <w:p w14:paraId="48FDE324" w14:textId="77777777" w:rsidR="001F00D1" w:rsidRPr="001F00D1" w:rsidRDefault="001F00D1" w:rsidP="00C86349">
      <w:pPr>
        <w:spacing w:line="360" w:lineRule="auto"/>
        <w:rPr>
          <w:rFonts w:cs="Arial"/>
          <w:szCs w:val="22"/>
        </w:rPr>
      </w:pPr>
      <w:r w:rsidRPr="001F00D1">
        <w:rPr>
          <w:rFonts w:cs="Arial"/>
          <w:szCs w:val="22"/>
        </w:rPr>
        <w:t xml:space="preserve">CIPD, 2023. </w:t>
      </w:r>
      <w:r w:rsidRPr="001F00D1">
        <w:rPr>
          <w:rFonts w:cs="Arial"/>
          <w:i/>
          <w:iCs/>
          <w:szCs w:val="22"/>
        </w:rPr>
        <w:t>Flexible Working Practices in UK Hospitality</w:t>
      </w:r>
      <w:r w:rsidRPr="001F00D1">
        <w:rPr>
          <w:rFonts w:cs="Arial"/>
          <w:szCs w:val="22"/>
        </w:rPr>
        <w:t xml:space="preserve">. [online] Available at: </w:t>
      </w:r>
      <w:hyperlink r:id="rId7" w:tgtFrame="_new" w:history="1">
        <w:r w:rsidRPr="001F00D1">
          <w:rPr>
            <w:rStyle w:val="Hyperlink"/>
            <w:rFonts w:cs="Arial"/>
            <w:szCs w:val="22"/>
          </w:rPr>
          <w:t>https://www.cipd.org</w:t>
        </w:r>
      </w:hyperlink>
      <w:r w:rsidRPr="001F00D1">
        <w:rPr>
          <w:rFonts w:cs="Arial"/>
          <w:szCs w:val="22"/>
        </w:rPr>
        <w:t xml:space="preserve"> [Accessed 10 May 2025].</w:t>
      </w:r>
    </w:p>
    <w:p w14:paraId="4EFFAF06" w14:textId="77777777" w:rsidR="001F00D1" w:rsidRPr="001F00D1" w:rsidRDefault="001F00D1" w:rsidP="00C86349">
      <w:pPr>
        <w:spacing w:line="360" w:lineRule="auto"/>
        <w:rPr>
          <w:rFonts w:cs="Arial"/>
          <w:szCs w:val="22"/>
        </w:rPr>
      </w:pPr>
      <w:r w:rsidRPr="001F00D1">
        <w:rPr>
          <w:rFonts w:cs="Arial"/>
          <w:szCs w:val="22"/>
        </w:rPr>
        <w:t xml:space="preserve">Collins, R., 2022. </w:t>
      </w:r>
      <w:r w:rsidRPr="001F00D1">
        <w:rPr>
          <w:rFonts w:cs="Arial"/>
          <w:i/>
          <w:iCs/>
          <w:szCs w:val="22"/>
        </w:rPr>
        <w:t>Navigating post-Covid recovery in UK hotels</w:t>
      </w:r>
      <w:r w:rsidRPr="001F00D1">
        <w:rPr>
          <w:rFonts w:cs="Arial"/>
          <w:szCs w:val="22"/>
        </w:rPr>
        <w:t xml:space="preserve">. </w:t>
      </w:r>
      <w:r w:rsidRPr="001F00D1">
        <w:rPr>
          <w:rFonts w:cs="Arial"/>
          <w:i/>
          <w:iCs/>
          <w:szCs w:val="22"/>
        </w:rPr>
        <w:t>Tourism Review International</w:t>
      </w:r>
      <w:r w:rsidRPr="001F00D1">
        <w:rPr>
          <w:rFonts w:cs="Arial"/>
          <w:szCs w:val="22"/>
        </w:rPr>
        <w:t>, 26(1), pp.55–69.</w:t>
      </w:r>
    </w:p>
    <w:p w14:paraId="41EA55F1" w14:textId="77777777" w:rsidR="001F00D1" w:rsidRPr="001F00D1" w:rsidRDefault="001F00D1" w:rsidP="00C86349">
      <w:pPr>
        <w:spacing w:line="360" w:lineRule="auto"/>
        <w:rPr>
          <w:rFonts w:cs="Arial"/>
          <w:szCs w:val="22"/>
        </w:rPr>
      </w:pPr>
      <w:r w:rsidRPr="001F00D1">
        <w:rPr>
          <w:rFonts w:cs="Arial"/>
          <w:szCs w:val="22"/>
        </w:rPr>
        <w:t xml:space="preserve">Cornell Hospitality Research, 2021. </w:t>
      </w:r>
      <w:r w:rsidRPr="001F00D1">
        <w:rPr>
          <w:rFonts w:cs="Arial"/>
          <w:i/>
          <w:iCs/>
          <w:szCs w:val="22"/>
        </w:rPr>
        <w:t>Digital Innovation in Legacy Hotels</w:t>
      </w:r>
      <w:r w:rsidRPr="001F00D1">
        <w:rPr>
          <w:rFonts w:cs="Arial"/>
          <w:szCs w:val="22"/>
        </w:rPr>
        <w:t>. Cornell University School of Hotel Administration.</w:t>
      </w:r>
    </w:p>
    <w:p w14:paraId="55EFD372" w14:textId="77777777" w:rsidR="001F00D1" w:rsidRPr="001F00D1" w:rsidRDefault="001F00D1" w:rsidP="00C86349">
      <w:pPr>
        <w:spacing w:line="360" w:lineRule="auto"/>
        <w:rPr>
          <w:rFonts w:cs="Arial"/>
          <w:szCs w:val="22"/>
        </w:rPr>
      </w:pPr>
      <w:r w:rsidRPr="001F00D1">
        <w:rPr>
          <w:rFonts w:cs="Arial"/>
          <w:szCs w:val="22"/>
        </w:rPr>
        <w:t xml:space="preserve">Department for Energy Security and Net Zero, 2022. </w:t>
      </w:r>
      <w:r w:rsidRPr="001F00D1">
        <w:rPr>
          <w:rFonts w:cs="Arial"/>
          <w:i/>
          <w:iCs/>
          <w:szCs w:val="22"/>
        </w:rPr>
        <w:t>Hospitality Energy Efficiency Toolkit</w:t>
      </w:r>
      <w:r w:rsidRPr="001F00D1">
        <w:rPr>
          <w:rFonts w:cs="Arial"/>
          <w:szCs w:val="22"/>
        </w:rPr>
        <w:t>. [online] Gov.uk. Available at: https://www.gov.uk/energy-efficiency-hospitality [Accessed 7 May 2025].</w:t>
      </w:r>
    </w:p>
    <w:p w14:paraId="6C8F8E88" w14:textId="77777777" w:rsidR="001F00D1" w:rsidRPr="001F00D1" w:rsidRDefault="001F00D1" w:rsidP="00C86349">
      <w:pPr>
        <w:spacing w:line="360" w:lineRule="auto"/>
        <w:rPr>
          <w:rFonts w:cs="Arial"/>
          <w:szCs w:val="22"/>
        </w:rPr>
      </w:pPr>
      <w:r w:rsidRPr="001F00D1">
        <w:rPr>
          <w:rFonts w:cs="Arial"/>
          <w:szCs w:val="22"/>
        </w:rPr>
        <w:t xml:space="preserve">Department for Transport, 2023. </w:t>
      </w:r>
      <w:r w:rsidRPr="001F00D1">
        <w:rPr>
          <w:rFonts w:cs="Arial"/>
          <w:i/>
          <w:iCs/>
          <w:szCs w:val="22"/>
        </w:rPr>
        <w:t>London Visitor Numbers and Mobility Report</w:t>
      </w:r>
      <w:r w:rsidRPr="001F00D1">
        <w:rPr>
          <w:rFonts w:cs="Arial"/>
          <w:szCs w:val="22"/>
        </w:rPr>
        <w:t>. [online] Available at: https://www.gov.uk/government/statistics [Accessed 5 May 2025].</w:t>
      </w:r>
    </w:p>
    <w:p w14:paraId="5A5BFA9B" w14:textId="20A9F3D5" w:rsidR="001F00D1" w:rsidRPr="001F00D1" w:rsidRDefault="001F00D1" w:rsidP="00C86349">
      <w:pPr>
        <w:spacing w:line="360" w:lineRule="auto"/>
        <w:rPr>
          <w:rFonts w:cs="Arial"/>
          <w:szCs w:val="22"/>
        </w:rPr>
      </w:pPr>
      <w:r w:rsidRPr="001F00D1">
        <w:rPr>
          <w:rFonts w:cs="Arial"/>
          <w:szCs w:val="22"/>
        </w:rPr>
        <w:lastRenderedPageBreak/>
        <w:t xml:space="preserve">Deloitte, 2023. </w:t>
      </w:r>
      <w:r w:rsidRPr="001F00D1">
        <w:rPr>
          <w:rFonts w:cs="Arial"/>
          <w:i/>
          <w:iCs/>
          <w:szCs w:val="22"/>
        </w:rPr>
        <w:t>UK Hotel Industry Outlook 2023–2026</w:t>
      </w:r>
      <w:r w:rsidRPr="001F00D1">
        <w:rPr>
          <w:rFonts w:cs="Arial"/>
          <w:szCs w:val="22"/>
        </w:rPr>
        <w:t xml:space="preserve">. [online] Available at: </w:t>
      </w:r>
      <w:hyperlink r:id="rId8" w:tgtFrame="_new" w:history="1">
        <w:r w:rsidRPr="001F00D1">
          <w:rPr>
            <w:rStyle w:val="Hyperlink"/>
            <w:rFonts w:cs="Arial"/>
            <w:szCs w:val="22"/>
          </w:rPr>
          <w:t>https://www2.deloitte.com</w:t>
        </w:r>
      </w:hyperlink>
      <w:r w:rsidRPr="001F00D1">
        <w:rPr>
          <w:rFonts w:cs="Arial"/>
          <w:szCs w:val="22"/>
        </w:rPr>
        <w:t xml:space="preserve"> [Accessed 30 </w:t>
      </w:r>
      <w:r w:rsidR="00414E8C">
        <w:rPr>
          <w:rFonts w:cs="Arial"/>
          <w:szCs w:val="22"/>
        </w:rPr>
        <w:t>may</w:t>
      </w:r>
      <w:r w:rsidRPr="001F00D1">
        <w:rPr>
          <w:rFonts w:cs="Arial"/>
          <w:szCs w:val="22"/>
        </w:rPr>
        <w:t xml:space="preserve"> 2025].</w:t>
      </w:r>
    </w:p>
    <w:p w14:paraId="15A9E840" w14:textId="77777777" w:rsidR="001F00D1" w:rsidRPr="001F00D1" w:rsidRDefault="001F00D1" w:rsidP="00C86349">
      <w:pPr>
        <w:spacing w:line="360" w:lineRule="auto"/>
        <w:rPr>
          <w:rFonts w:cs="Arial"/>
          <w:szCs w:val="22"/>
        </w:rPr>
      </w:pPr>
      <w:r w:rsidRPr="001F00D1">
        <w:rPr>
          <w:rFonts w:cs="Arial"/>
          <w:szCs w:val="22"/>
        </w:rPr>
        <w:t xml:space="preserve">EP Consulting, 2023. </w:t>
      </w:r>
      <w:r w:rsidRPr="001F00D1">
        <w:rPr>
          <w:rFonts w:cs="Arial"/>
          <w:i/>
          <w:iCs/>
          <w:szCs w:val="22"/>
        </w:rPr>
        <w:t>Heritage Hotel Redevelopment Guide 2023</w:t>
      </w:r>
      <w:r w:rsidRPr="001F00D1">
        <w:rPr>
          <w:rFonts w:cs="Arial"/>
          <w:szCs w:val="22"/>
        </w:rPr>
        <w:t>. London: EP Business in Hospitality.</w:t>
      </w:r>
    </w:p>
    <w:p w14:paraId="323F8DDB" w14:textId="77777777" w:rsidR="001F00D1" w:rsidRPr="001F00D1" w:rsidRDefault="001F00D1" w:rsidP="00C86349">
      <w:pPr>
        <w:spacing w:line="360" w:lineRule="auto"/>
        <w:rPr>
          <w:rFonts w:cs="Arial"/>
          <w:szCs w:val="22"/>
        </w:rPr>
      </w:pPr>
      <w:r w:rsidRPr="001F00D1">
        <w:rPr>
          <w:rFonts w:cs="Arial"/>
          <w:szCs w:val="22"/>
        </w:rPr>
        <w:t xml:space="preserve">Euromonitor International, 2024. </w:t>
      </w:r>
      <w:r w:rsidRPr="001F00D1">
        <w:rPr>
          <w:rFonts w:cs="Arial"/>
          <w:i/>
          <w:iCs/>
          <w:szCs w:val="22"/>
        </w:rPr>
        <w:t>UK Travel and Tourism Forecasts to 2028</w:t>
      </w:r>
      <w:r w:rsidRPr="001F00D1">
        <w:rPr>
          <w:rFonts w:cs="Arial"/>
          <w:szCs w:val="22"/>
        </w:rPr>
        <w:t>. London: Euromonitor.</w:t>
      </w:r>
    </w:p>
    <w:p w14:paraId="4B31E3A6" w14:textId="77777777" w:rsidR="001F00D1" w:rsidRPr="001F00D1" w:rsidRDefault="001F00D1" w:rsidP="00C86349">
      <w:pPr>
        <w:spacing w:line="360" w:lineRule="auto"/>
        <w:rPr>
          <w:rFonts w:cs="Arial"/>
          <w:szCs w:val="22"/>
        </w:rPr>
      </w:pPr>
      <w:r w:rsidRPr="001F00D1">
        <w:rPr>
          <w:rFonts w:cs="Arial"/>
          <w:szCs w:val="22"/>
        </w:rPr>
        <w:t xml:space="preserve">Evans, N., 2015. </w:t>
      </w:r>
      <w:r w:rsidRPr="001F00D1">
        <w:rPr>
          <w:rFonts w:cs="Arial"/>
          <w:i/>
          <w:iCs/>
          <w:szCs w:val="22"/>
        </w:rPr>
        <w:t>Strategic Management for Tourism, Hospitality and Events</w:t>
      </w:r>
      <w:r w:rsidRPr="001F00D1">
        <w:rPr>
          <w:rFonts w:cs="Arial"/>
          <w:szCs w:val="22"/>
        </w:rPr>
        <w:t>. 2nd ed. Oxford: Routledge.</w:t>
      </w:r>
    </w:p>
    <w:p w14:paraId="53F73005" w14:textId="77777777" w:rsidR="001F00D1" w:rsidRPr="001F00D1" w:rsidRDefault="001F00D1" w:rsidP="00C86349">
      <w:pPr>
        <w:spacing w:line="360" w:lineRule="auto"/>
        <w:rPr>
          <w:rFonts w:cs="Arial"/>
          <w:szCs w:val="22"/>
        </w:rPr>
      </w:pPr>
      <w:r w:rsidRPr="001F00D1">
        <w:rPr>
          <w:rFonts w:cs="Arial"/>
          <w:szCs w:val="22"/>
        </w:rPr>
        <w:t xml:space="preserve">Foroudi, P., 2020. </w:t>
      </w:r>
      <w:r w:rsidRPr="001F00D1">
        <w:rPr>
          <w:rFonts w:cs="Arial"/>
          <w:i/>
          <w:iCs/>
          <w:szCs w:val="22"/>
        </w:rPr>
        <w:t>Influence of digital technology on customer experience in hospitality</w:t>
      </w:r>
      <w:r w:rsidRPr="001F00D1">
        <w:rPr>
          <w:rFonts w:cs="Arial"/>
          <w:szCs w:val="22"/>
        </w:rPr>
        <w:t xml:space="preserve">. </w:t>
      </w:r>
      <w:r w:rsidRPr="001F00D1">
        <w:rPr>
          <w:rFonts w:cs="Arial"/>
          <w:i/>
          <w:iCs/>
          <w:szCs w:val="22"/>
        </w:rPr>
        <w:t>Journal of Business Research</w:t>
      </w:r>
      <w:r w:rsidRPr="001F00D1">
        <w:rPr>
          <w:rFonts w:cs="Arial"/>
          <w:szCs w:val="22"/>
        </w:rPr>
        <w:t>, 117, pp.478–488.</w:t>
      </w:r>
    </w:p>
    <w:p w14:paraId="4CFA0C0D" w14:textId="77777777" w:rsidR="001F00D1" w:rsidRPr="001F00D1" w:rsidRDefault="001F00D1" w:rsidP="00C86349">
      <w:pPr>
        <w:spacing w:line="360" w:lineRule="auto"/>
        <w:rPr>
          <w:rFonts w:cs="Arial"/>
          <w:szCs w:val="22"/>
        </w:rPr>
      </w:pPr>
      <w:r w:rsidRPr="001F00D1">
        <w:rPr>
          <w:rFonts w:cs="Arial"/>
          <w:szCs w:val="22"/>
        </w:rPr>
        <w:t xml:space="preserve">Goss-Turner, S. and Ritchie, C., 2021. </w:t>
      </w:r>
      <w:r w:rsidRPr="001F00D1">
        <w:rPr>
          <w:rFonts w:cs="Arial"/>
          <w:i/>
          <w:iCs/>
          <w:szCs w:val="22"/>
        </w:rPr>
        <w:t>Human Resource Management in the Hospitality Industry: A Guide to Best Practice</w:t>
      </w:r>
      <w:r w:rsidRPr="001F00D1">
        <w:rPr>
          <w:rFonts w:cs="Arial"/>
          <w:szCs w:val="22"/>
        </w:rPr>
        <w:t>. 3rd ed. London: Routledge.</w:t>
      </w:r>
    </w:p>
    <w:p w14:paraId="2FAD3F91" w14:textId="77777777" w:rsidR="001F00D1" w:rsidRPr="001F00D1" w:rsidRDefault="001F00D1" w:rsidP="00C86349">
      <w:pPr>
        <w:spacing w:line="360" w:lineRule="auto"/>
        <w:rPr>
          <w:rFonts w:cs="Arial"/>
          <w:szCs w:val="22"/>
        </w:rPr>
      </w:pPr>
      <w:r w:rsidRPr="001F00D1">
        <w:rPr>
          <w:rFonts w:cs="Arial"/>
          <w:szCs w:val="22"/>
        </w:rPr>
        <w:t xml:space="preserve">Grant Thornton, 2024. </w:t>
      </w:r>
      <w:r w:rsidRPr="001F00D1">
        <w:rPr>
          <w:rFonts w:cs="Arial"/>
          <w:i/>
          <w:iCs/>
          <w:szCs w:val="22"/>
        </w:rPr>
        <w:t>Hospitality Cost Pressures and Margin Outlook 2024</w:t>
      </w:r>
      <w:r w:rsidRPr="001F00D1">
        <w:rPr>
          <w:rFonts w:cs="Arial"/>
          <w:szCs w:val="22"/>
        </w:rPr>
        <w:t>. London: Grant Thornton UK LLP.</w:t>
      </w:r>
    </w:p>
    <w:p w14:paraId="246C6649" w14:textId="77777777" w:rsidR="001F00D1" w:rsidRPr="001F00D1" w:rsidRDefault="001F00D1" w:rsidP="00C86349">
      <w:pPr>
        <w:spacing w:line="360" w:lineRule="auto"/>
        <w:rPr>
          <w:rFonts w:cs="Arial"/>
          <w:szCs w:val="22"/>
        </w:rPr>
      </w:pPr>
      <w:r w:rsidRPr="001F00D1">
        <w:rPr>
          <w:rFonts w:cs="Arial"/>
          <w:szCs w:val="22"/>
        </w:rPr>
        <w:t xml:space="preserve">Hiatt, J., 2006. </w:t>
      </w:r>
      <w:r w:rsidRPr="001F00D1">
        <w:rPr>
          <w:rFonts w:cs="Arial"/>
          <w:i/>
          <w:iCs/>
          <w:szCs w:val="22"/>
        </w:rPr>
        <w:t>ADKAR: A Model for Change in Business, Government and Our Community</w:t>
      </w:r>
      <w:r w:rsidRPr="001F00D1">
        <w:rPr>
          <w:rFonts w:cs="Arial"/>
          <w:szCs w:val="22"/>
        </w:rPr>
        <w:t>. Loveland, CO: Prosci Research.</w:t>
      </w:r>
    </w:p>
    <w:p w14:paraId="6D9CB25E" w14:textId="7D93BCC5" w:rsidR="001F00D1" w:rsidRPr="001F00D1" w:rsidRDefault="001F00D1" w:rsidP="00C86349">
      <w:pPr>
        <w:spacing w:line="360" w:lineRule="auto"/>
        <w:rPr>
          <w:rFonts w:cs="Arial"/>
          <w:szCs w:val="22"/>
        </w:rPr>
      </w:pPr>
      <w:r w:rsidRPr="001F00D1">
        <w:rPr>
          <w:rFonts w:cs="Arial"/>
          <w:szCs w:val="22"/>
        </w:rPr>
        <w:t xml:space="preserve">Hilton, 2023. </w:t>
      </w:r>
      <w:r w:rsidRPr="001F00D1">
        <w:rPr>
          <w:rFonts w:cs="Arial"/>
          <w:i/>
          <w:iCs/>
          <w:szCs w:val="22"/>
        </w:rPr>
        <w:t>Hilton London Paddington – Fact Sheet and Press Pack</w:t>
      </w:r>
      <w:r w:rsidRPr="001F00D1">
        <w:rPr>
          <w:rFonts w:cs="Arial"/>
          <w:szCs w:val="22"/>
        </w:rPr>
        <w:t xml:space="preserve">. [online] Available at: https://www.hilton.com/en/hotels/lonpahi-hilton-london-paddington/ [Accessed 28 </w:t>
      </w:r>
      <w:r w:rsidR="00414E8C">
        <w:rPr>
          <w:rFonts w:cs="Arial"/>
          <w:szCs w:val="22"/>
        </w:rPr>
        <w:t>may</w:t>
      </w:r>
      <w:r w:rsidRPr="001F00D1">
        <w:rPr>
          <w:rFonts w:cs="Arial"/>
          <w:szCs w:val="22"/>
        </w:rPr>
        <w:t xml:space="preserve"> 2025].</w:t>
      </w:r>
    </w:p>
    <w:p w14:paraId="2F73B4AA" w14:textId="77777777" w:rsidR="001F00D1" w:rsidRPr="001F00D1" w:rsidRDefault="001F00D1" w:rsidP="00C86349">
      <w:pPr>
        <w:spacing w:line="360" w:lineRule="auto"/>
        <w:rPr>
          <w:rFonts w:cs="Arial"/>
          <w:szCs w:val="22"/>
        </w:rPr>
      </w:pPr>
      <w:r w:rsidRPr="001F00D1">
        <w:rPr>
          <w:rFonts w:cs="Arial"/>
          <w:szCs w:val="22"/>
        </w:rPr>
        <w:t xml:space="preserve">Hospitality Insights, 2023. </w:t>
      </w:r>
      <w:r w:rsidRPr="001F00D1">
        <w:rPr>
          <w:rFonts w:cs="Arial"/>
          <w:i/>
          <w:iCs/>
          <w:szCs w:val="22"/>
        </w:rPr>
        <w:t>Smart Energy Systems for Hotels</w:t>
      </w:r>
      <w:r w:rsidRPr="001F00D1">
        <w:rPr>
          <w:rFonts w:cs="Arial"/>
          <w:szCs w:val="22"/>
        </w:rPr>
        <w:t xml:space="preserve">. [online] Available at: </w:t>
      </w:r>
      <w:hyperlink r:id="rId9" w:tgtFrame="_new" w:history="1">
        <w:r w:rsidRPr="001F00D1">
          <w:rPr>
            <w:rStyle w:val="Hyperlink"/>
            <w:rFonts w:cs="Arial"/>
            <w:szCs w:val="22"/>
          </w:rPr>
          <w:t>https://www.hospitalityinsights.com</w:t>
        </w:r>
      </w:hyperlink>
      <w:r w:rsidRPr="001F00D1">
        <w:rPr>
          <w:rFonts w:cs="Arial"/>
          <w:szCs w:val="22"/>
        </w:rPr>
        <w:t xml:space="preserve"> [Accessed 5 May 2025].</w:t>
      </w:r>
    </w:p>
    <w:p w14:paraId="04E6A29F" w14:textId="77777777" w:rsidR="001F00D1" w:rsidRPr="001F00D1" w:rsidRDefault="001F00D1" w:rsidP="00C86349">
      <w:pPr>
        <w:spacing w:line="360" w:lineRule="auto"/>
        <w:rPr>
          <w:rFonts w:cs="Arial"/>
          <w:szCs w:val="22"/>
        </w:rPr>
      </w:pPr>
      <w:r w:rsidRPr="001F00D1">
        <w:rPr>
          <w:rFonts w:cs="Arial"/>
          <w:szCs w:val="22"/>
        </w:rPr>
        <w:t xml:space="preserve">HVS, 2024. </w:t>
      </w:r>
      <w:r w:rsidRPr="001F00D1">
        <w:rPr>
          <w:rFonts w:cs="Arial"/>
          <w:i/>
          <w:iCs/>
          <w:szCs w:val="22"/>
        </w:rPr>
        <w:t>Hotel Investment Outlook: UK &amp; Ireland 2024</w:t>
      </w:r>
      <w:r w:rsidRPr="001F00D1">
        <w:rPr>
          <w:rFonts w:cs="Arial"/>
          <w:szCs w:val="22"/>
        </w:rPr>
        <w:t xml:space="preserve">. [online] Available at: </w:t>
      </w:r>
      <w:hyperlink r:id="rId10" w:tgtFrame="_new" w:history="1">
        <w:r w:rsidRPr="001F00D1">
          <w:rPr>
            <w:rStyle w:val="Hyperlink"/>
            <w:rFonts w:cs="Arial"/>
            <w:szCs w:val="22"/>
          </w:rPr>
          <w:t>https://www.hvs.com</w:t>
        </w:r>
      </w:hyperlink>
      <w:r w:rsidRPr="001F00D1">
        <w:rPr>
          <w:rFonts w:cs="Arial"/>
          <w:szCs w:val="22"/>
        </w:rPr>
        <w:t xml:space="preserve"> [Accessed 1 May 2025].</w:t>
      </w:r>
    </w:p>
    <w:p w14:paraId="1EF95E78" w14:textId="77777777" w:rsidR="001F00D1" w:rsidRPr="001F00D1" w:rsidRDefault="001F00D1" w:rsidP="00C86349">
      <w:pPr>
        <w:spacing w:line="360" w:lineRule="auto"/>
        <w:rPr>
          <w:rFonts w:cs="Arial"/>
          <w:szCs w:val="22"/>
        </w:rPr>
      </w:pPr>
      <w:r w:rsidRPr="001F00D1">
        <w:rPr>
          <w:rFonts w:cs="Arial"/>
          <w:szCs w:val="22"/>
        </w:rPr>
        <w:t xml:space="preserve">Jones, P., Hillier, D. and Comfort, D., 2021. </w:t>
      </w:r>
      <w:r w:rsidRPr="001F00D1">
        <w:rPr>
          <w:rFonts w:cs="Arial"/>
          <w:i/>
          <w:iCs/>
          <w:szCs w:val="22"/>
        </w:rPr>
        <w:t>Sustainability in the hospitality industry</w:t>
      </w:r>
      <w:r w:rsidRPr="001F00D1">
        <w:rPr>
          <w:rFonts w:cs="Arial"/>
          <w:szCs w:val="22"/>
        </w:rPr>
        <w:t xml:space="preserve">. </w:t>
      </w:r>
      <w:r w:rsidRPr="001F00D1">
        <w:rPr>
          <w:rFonts w:cs="Arial"/>
          <w:i/>
          <w:iCs/>
          <w:szCs w:val="22"/>
        </w:rPr>
        <w:t>Journal of Retail &amp; Leisure Property</w:t>
      </w:r>
      <w:r w:rsidRPr="001F00D1">
        <w:rPr>
          <w:rFonts w:cs="Arial"/>
          <w:szCs w:val="22"/>
        </w:rPr>
        <w:t>, 10(3), pp.219–230.</w:t>
      </w:r>
    </w:p>
    <w:p w14:paraId="5FA9D79E" w14:textId="77777777" w:rsidR="001F00D1" w:rsidRPr="001F00D1" w:rsidRDefault="001F00D1" w:rsidP="00C86349">
      <w:pPr>
        <w:spacing w:line="360" w:lineRule="auto"/>
        <w:rPr>
          <w:rFonts w:cs="Arial"/>
          <w:szCs w:val="22"/>
        </w:rPr>
      </w:pPr>
      <w:r w:rsidRPr="001F00D1">
        <w:rPr>
          <w:rFonts w:cs="Arial"/>
          <w:szCs w:val="22"/>
        </w:rPr>
        <w:t xml:space="preserve">Kapiki, S.T., 2012. </w:t>
      </w:r>
      <w:r w:rsidRPr="001F00D1">
        <w:rPr>
          <w:rFonts w:cs="Arial"/>
          <w:i/>
          <w:iCs/>
          <w:szCs w:val="22"/>
        </w:rPr>
        <w:t>The impact of economic crisis on tourism and hospitality: Results from a study in Greece</w:t>
      </w:r>
      <w:r w:rsidRPr="001F00D1">
        <w:rPr>
          <w:rFonts w:cs="Arial"/>
          <w:szCs w:val="22"/>
        </w:rPr>
        <w:t xml:space="preserve">. </w:t>
      </w:r>
      <w:r w:rsidRPr="001F00D1">
        <w:rPr>
          <w:rFonts w:cs="Arial"/>
          <w:i/>
          <w:iCs/>
          <w:szCs w:val="22"/>
        </w:rPr>
        <w:t>Procedia Economics and Finance</w:t>
      </w:r>
      <w:r w:rsidRPr="001F00D1">
        <w:rPr>
          <w:rFonts w:cs="Arial"/>
          <w:szCs w:val="22"/>
        </w:rPr>
        <w:t>, 3, pp.239–248.</w:t>
      </w:r>
    </w:p>
    <w:p w14:paraId="11C1A0D1" w14:textId="77777777" w:rsidR="001F00D1" w:rsidRPr="001F00D1" w:rsidRDefault="001F00D1" w:rsidP="00C86349">
      <w:pPr>
        <w:spacing w:line="360" w:lineRule="auto"/>
        <w:rPr>
          <w:rFonts w:cs="Arial"/>
          <w:szCs w:val="22"/>
        </w:rPr>
      </w:pPr>
      <w:r w:rsidRPr="001F00D1">
        <w:rPr>
          <w:rFonts w:cs="Arial"/>
          <w:szCs w:val="22"/>
        </w:rPr>
        <w:t xml:space="preserve">Kotler, P., Bowen, J.T. and Makens, J.C., 2017. </w:t>
      </w:r>
      <w:r w:rsidRPr="001F00D1">
        <w:rPr>
          <w:rFonts w:cs="Arial"/>
          <w:i/>
          <w:iCs/>
          <w:szCs w:val="22"/>
        </w:rPr>
        <w:t>Marketing for Hospitality and Tourism</w:t>
      </w:r>
      <w:r w:rsidRPr="001F00D1">
        <w:rPr>
          <w:rFonts w:cs="Arial"/>
          <w:szCs w:val="22"/>
        </w:rPr>
        <w:t>. 7th ed. Harlow: Pearson.</w:t>
      </w:r>
    </w:p>
    <w:p w14:paraId="4C43324A" w14:textId="77777777" w:rsidR="001F00D1" w:rsidRPr="001F00D1" w:rsidRDefault="001F00D1" w:rsidP="00C86349">
      <w:pPr>
        <w:spacing w:line="360" w:lineRule="auto"/>
        <w:rPr>
          <w:rFonts w:cs="Arial"/>
          <w:szCs w:val="22"/>
        </w:rPr>
      </w:pPr>
      <w:r w:rsidRPr="001F00D1">
        <w:rPr>
          <w:rFonts w:cs="Arial"/>
          <w:szCs w:val="22"/>
        </w:rPr>
        <w:t xml:space="preserve">Kotter, J.P., 1996. </w:t>
      </w:r>
      <w:r w:rsidRPr="001F00D1">
        <w:rPr>
          <w:rFonts w:cs="Arial"/>
          <w:i/>
          <w:iCs/>
          <w:szCs w:val="22"/>
        </w:rPr>
        <w:t>Leading Change</w:t>
      </w:r>
      <w:r w:rsidRPr="001F00D1">
        <w:rPr>
          <w:rFonts w:cs="Arial"/>
          <w:szCs w:val="22"/>
        </w:rPr>
        <w:t>. Boston: Harvard Business Press.</w:t>
      </w:r>
    </w:p>
    <w:p w14:paraId="48ED1BD8" w14:textId="77777777" w:rsidR="001F00D1" w:rsidRPr="001F00D1" w:rsidRDefault="001F00D1" w:rsidP="00C86349">
      <w:pPr>
        <w:spacing w:line="360" w:lineRule="auto"/>
        <w:rPr>
          <w:rFonts w:cs="Arial"/>
          <w:szCs w:val="22"/>
        </w:rPr>
      </w:pPr>
      <w:r w:rsidRPr="001F00D1">
        <w:rPr>
          <w:rFonts w:cs="Arial"/>
          <w:szCs w:val="22"/>
        </w:rPr>
        <w:lastRenderedPageBreak/>
        <w:t xml:space="preserve">Liu, Y. and Mattila, A.S., 2019. </w:t>
      </w:r>
      <w:r w:rsidRPr="001F00D1">
        <w:rPr>
          <w:rFonts w:cs="Arial"/>
          <w:i/>
          <w:iCs/>
          <w:szCs w:val="22"/>
        </w:rPr>
        <w:t>Apple or Android? The impact of mobile brand and hotel app experience on consumer choice</w:t>
      </w:r>
      <w:r w:rsidRPr="001F00D1">
        <w:rPr>
          <w:rFonts w:cs="Arial"/>
          <w:szCs w:val="22"/>
        </w:rPr>
        <w:t xml:space="preserve">. </w:t>
      </w:r>
      <w:r w:rsidRPr="001F00D1">
        <w:rPr>
          <w:rFonts w:cs="Arial"/>
          <w:i/>
          <w:iCs/>
          <w:szCs w:val="22"/>
        </w:rPr>
        <w:t>International Journal of Hospitality Management</w:t>
      </w:r>
      <w:r w:rsidRPr="001F00D1">
        <w:rPr>
          <w:rFonts w:cs="Arial"/>
          <w:szCs w:val="22"/>
        </w:rPr>
        <w:t>, 80, pp.67–76.</w:t>
      </w:r>
    </w:p>
    <w:p w14:paraId="4B521AF0" w14:textId="77777777" w:rsidR="001F00D1" w:rsidRPr="001F00D1" w:rsidRDefault="001F00D1" w:rsidP="00C86349">
      <w:pPr>
        <w:spacing w:line="360" w:lineRule="auto"/>
        <w:rPr>
          <w:rFonts w:cs="Arial"/>
          <w:szCs w:val="22"/>
        </w:rPr>
      </w:pPr>
      <w:r w:rsidRPr="001F00D1">
        <w:rPr>
          <w:rFonts w:cs="Arial"/>
          <w:szCs w:val="22"/>
        </w:rPr>
        <w:t xml:space="preserve">López-Fernández, M.C., 2020. </w:t>
      </w:r>
      <w:r w:rsidRPr="001F00D1">
        <w:rPr>
          <w:rFonts w:cs="Arial"/>
          <w:i/>
          <w:iCs/>
          <w:szCs w:val="22"/>
        </w:rPr>
        <w:t>A review of smart hotel concepts and their application</w:t>
      </w:r>
      <w:r w:rsidRPr="001F00D1">
        <w:rPr>
          <w:rFonts w:cs="Arial"/>
          <w:szCs w:val="22"/>
        </w:rPr>
        <w:t xml:space="preserve">. </w:t>
      </w:r>
      <w:r w:rsidRPr="001F00D1">
        <w:rPr>
          <w:rFonts w:cs="Arial"/>
          <w:i/>
          <w:iCs/>
          <w:szCs w:val="22"/>
        </w:rPr>
        <w:t>Sustainability</w:t>
      </w:r>
      <w:r w:rsidRPr="001F00D1">
        <w:rPr>
          <w:rFonts w:cs="Arial"/>
          <w:szCs w:val="22"/>
        </w:rPr>
        <w:t>, 12(15), p.6016.</w:t>
      </w:r>
    </w:p>
    <w:p w14:paraId="27E0517D" w14:textId="77777777" w:rsidR="001F00D1" w:rsidRPr="001F00D1" w:rsidRDefault="001F00D1" w:rsidP="00C86349">
      <w:pPr>
        <w:spacing w:line="360" w:lineRule="auto"/>
        <w:rPr>
          <w:rFonts w:cs="Arial"/>
          <w:szCs w:val="22"/>
        </w:rPr>
      </w:pPr>
      <w:r w:rsidRPr="001F00D1">
        <w:rPr>
          <w:rFonts w:cs="Arial"/>
          <w:szCs w:val="22"/>
        </w:rPr>
        <w:t xml:space="preserve">Lucas, R. and Mansfield, S., 2021. </w:t>
      </w:r>
      <w:r w:rsidRPr="001F00D1">
        <w:rPr>
          <w:rFonts w:cs="Arial"/>
          <w:i/>
          <w:iCs/>
          <w:szCs w:val="22"/>
        </w:rPr>
        <w:t>The impact of Brexit and Covid-19 on UK hospitality recruitment</w:t>
      </w:r>
      <w:r w:rsidRPr="001F00D1">
        <w:rPr>
          <w:rFonts w:cs="Arial"/>
          <w:szCs w:val="22"/>
        </w:rPr>
        <w:t xml:space="preserve">. </w:t>
      </w:r>
      <w:r w:rsidRPr="001F00D1">
        <w:rPr>
          <w:rFonts w:cs="Arial"/>
          <w:i/>
          <w:iCs/>
          <w:szCs w:val="22"/>
        </w:rPr>
        <w:t>International Journal of Contemporary Hospitality Management</w:t>
      </w:r>
      <w:r w:rsidRPr="001F00D1">
        <w:rPr>
          <w:rFonts w:cs="Arial"/>
          <w:szCs w:val="22"/>
        </w:rPr>
        <w:t>, 33(12), pp.4569–4592.</w:t>
      </w:r>
    </w:p>
    <w:p w14:paraId="63A2FC41" w14:textId="77777777" w:rsidR="001F00D1" w:rsidRPr="001F00D1" w:rsidRDefault="001F00D1" w:rsidP="00C86349">
      <w:pPr>
        <w:spacing w:line="360" w:lineRule="auto"/>
        <w:rPr>
          <w:rFonts w:cs="Arial"/>
          <w:szCs w:val="22"/>
        </w:rPr>
      </w:pPr>
      <w:r w:rsidRPr="001F00D1">
        <w:rPr>
          <w:rFonts w:cs="Arial"/>
          <w:szCs w:val="22"/>
        </w:rPr>
        <w:t xml:space="preserve">Mintel, 2024. </w:t>
      </w:r>
      <w:r w:rsidRPr="001F00D1">
        <w:rPr>
          <w:rFonts w:cs="Arial"/>
          <w:i/>
          <w:iCs/>
          <w:szCs w:val="22"/>
        </w:rPr>
        <w:t>UK Hotels: Recovery and Competition Report 2024</w:t>
      </w:r>
      <w:r w:rsidRPr="001F00D1">
        <w:rPr>
          <w:rFonts w:cs="Arial"/>
          <w:szCs w:val="22"/>
        </w:rPr>
        <w:t>. London: Mintel Group Ltd.</w:t>
      </w:r>
    </w:p>
    <w:p w14:paraId="7EB42D44" w14:textId="77777777" w:rsidR="001F00D1" w:rsidRPr="001F00D1" w:rsidRDefault="001F00D1" w:rsidP="00C86349">
      <w:pPr>
        <w:spacing w:line="360" w:lineRule="auto"/>
        <w:rPr>
          <w:rFonts w:cs="Arial"/>
          <w:szCs w:val="22"/>
        </w:rPr>
      </w:pPr>
      <w:r w:rsidRPr="001F00D1">
        <w:rPr>
          <w:rFonts w:cs="Arial"/>
          <w:szCs w:val="22"/>
        </w:rPr>
        <w:t xml:space="preserve">Morrison, A.M., 2022. </w:t>
      </w:r>
      <w:r w:rsidRPr="001F00D1">
        <w:rPr>
          <w:rFonts w:cs="Arial"/>
          <w:i/>
          <w:iCs/>
          <w:szCs w:val="22"/>
        </w:rPr>
        <w:t>Hospitality and Travel Marketing</w:t>
      </w:r>
      <w:r w:rsidRPr="001F00D1">
        <w:rPr>
          <w:rFonts w:cs="Arial"/>
          <w:szCs w:val="22"/>
        </w:rPr>
        <w:t>. 5th ed. Boston: Cengage.</w:t>
      </w:r>
    </w:p>
    <w:p w14:paraId="613979DE" w14:textId="77777777" w:rsidR="001F00D1" w:rsidRPr="001F00D1" w:rsidRDefault="001F00D1" w:rsidP="00C86349">
      <w:pPr>
        <w:spacing w:line="360" w:lineRule="auto"/>
        <w:rPr>
          <w:rFonts w:cs="Arial"/>
          <w:szCs w:val="22"/>
        </w:rPr>
      </w:pPr>
      <w:r w:rsidRPr="001F00D1">
        <w:rPr>
          <w:rFonts w:cs="Arial"/>
          <w:szCs w:val="22"/>
        </w:rPr>
        <w:t xml:space="preserve">NHS, 2024. </w:t>
      </w:r>
      <w:r w:rsidRPr="001F00D1">
        <w:rPr>
          <w:rFonts w:cs="Arial"/>
          <w:i/>
          <w:iCs/>
          <w:szCs w:val="22"/>
        </w:rPr>
        <w:t>Workplace Mental Health and Shift Work in Hospitality</w:t>
      </w:r>
      <w:r w:rsidRPr="001F00D1">
        <w:rPr>
          <w:rFonts w:cs="Arial"/>
          <w:szCs w:val="22"/>
        </w:rPr>
        <w:t xml:space="preserve">. [online] Available at: </w:t>
      </w:r>
      <w:hyperlink r:id="rId11" w:tgtFrame="_new" w:history="1">
        <w:r w:rsidRPr="001F00D1">
          <w:rPr>
            <w:rStyle w:val="Hyperlink"/>
            <w:rFonts w:cs="Arial"/>
            <w:szCs w:val="22"/>
          </w:rPr>
          <w:t>https://www.nhs.uk</w:t>
        </w:r>
      </w:hyperlink>
      <w:r w:rsidRPr="001F00D1">
        <w:rPr>
          <w:rFonts w:cs="Arial"/>
          <w:szCs w:val="22"/>
        </w:rPr>
        <w:t xml:space="preserve"> [Accessed 10 May 2025].</w:t>
      </w:r>
    </w:p>
    <w:p w14:paraId="750536B3" w14:textId="77777777" w:rsidR="001F00D1" w:rsidRPr="001F00D1" w:rsidRDefault="001F00D1" w:rsidP="00C86349">
      <w:pPr>
        <w:spacing w:line="360" w:lineRule="auto"/>
        <w:rPr>
          <w:rFonts w:cs="Arial"/>
          <w:szCs w:val="22"/>
        </w:rPr>
      </w:pPr>
      <w:r w:rsidRPr="001F00D1">
        <w:rPr>
          <w:rFonts w:cs="Arial"/>
          <w:szCs w:val="22"/>
        </w:rPr>
        <w:t xml:space="preserve">Nikolova, R. and Metodiev, M., 2020. </w:t>
      </w:r>
      <w:r w:rsidRPr="001F00D1">
        <w:rPr>
          <w:rFonts w:cs="Arial"/>
          <w:i/>
          <w:iCs/>
          <w:szCs w:val="22"/>
        </w:rPr>
        <w:t>Digitalisation and guest satisfaction in heritage hotels</w:t>
      </w:r>
      <w:r w:rsidRPr="001F00D1">
        <w:rPr>
          <w:rFonts w:cs="Arial"/>
          <w:szCs w:val="22"/>
        </w:rPr>
        <w:t xml:space="preserve">. </w:t>
      </w:r>
      <w:r w:rsidRPr="001F00D1">
        <w:rPr>
          <w:rFonts w:cs="Arial"/>
          <w:i/>
          <w:iCs/>
          <w:szCs w:val="22"/>
        </w:rPr>
        <w:t>Tourism Today</w:t>
      </w:r>
      <w:r w:rsidRPr="001F00D1">
        <w:rPr>
          <w:rFonts w:cs="Arial"/>
          <w:szCs w:val="22"/>
        </w:rPr>
        <w:t>, 20(1), pp.45–58.</w:t>
      </w:r>
    </w:p>
    <w:p w14:paraId="6410774C" w14:textId="77777777" w:rsidR="001F00D1" w:rsidRPr="001F00D1" w:rsidRDefault="001F00D1" w:rsidP="00C86349">
      <w:pPr>
        <w:spacing w:line="360" w:lineRule="auto"/>
        <w:rPr>
          <w:rFonts w:cs="Arial"/>
          <w:szCs w:val="22"/>
        </w:rPr>
      </w:pPr>
      <w:r w:rsidRPr="001F00D1">
        <w:rPr>
          <w:rFonts w:cs="Arial"/>
          <w:szCs w:val="22"/>
        </w:rPr>
        <w:t xml:space="preserve">Operto, 2024. </w:t>
      </w:r>
      <w:r w:rsidRPr="001F00D1">
        <w:rPr>
          <w:rFonts w:cs="Arial"/>
          <w:i/>
          <w:iCs/>
          <w:szCs w:val="22"/>
        </w:rPr>
        <w:t>Hotel Modernisation and Smart Guest Technology Whitepaper</w:t>
      </w:r>
      <w:r w:rsidRPr="001F00D1">
        <w:rPr>
          <w:rFonts w:cs="Arial"/>
          <w:szCs w:val="22"/>
        </w:rPr>
        <w:t xml:space="preserve">. [online] Available at: </w:t>
      </w:r>
      <w:hyperlink r:id="rId12" w:tgtFrame="_new" w:history="1">
        <w:r w:rsidRPr="001F00D1">
          <w:rPr>
            <w:rStyle w:val="Hyperlink"/>
            <w:rFonts w:cs="Arial"/>
            <w:szCs w:val="22"/>
          </w:rPr>
          <w:t>https://www.operto.com</w:t>
        </w:r>
      </w:hyperlink>
      <w:r w:rsidRPr="001F00D1">
        <w:rPr>
          <w:rFonts w:cs="Arial"/>
          <w:szCs w:val="22"/>
        </w:rPr>
        <w:t xml:space="preserve"> [Accessed 3 May 2025].</w:t>
      </w:r>
    </w:p>
    <w:p w14:paraId="66BD8BA1" w14:textId="77777777" w:rsidR="001F00D1" w:rsidRPr="001F00D1" w:rsidRDefault="001F00D1" w:rsidP="00C86349">
      <w:pPr>
        <w:spacing w:line="360" w:lineRule="auto"/>
        <w:rPr>
          <w:rFonts w:cs="Arial"/>
          <w:szCs w:val="22"/>
        </w:rPr>
      </w:pPr>
      <w:r w:rsidRPr="001F00D1">
        <w:rPr>
          <w:rFonts w:cs="Arial"/>
          <w:szCs w:val="22"/>
        </w:rPr>
        <w:t xml:space="preserve">Oxford Economics, 2024. </w:t>
      </w:r>
      <w:r w:rsidRPr="001F00D1">
        <w:rPr>
          <w:rFonts w:cs="Arial"/>
          <w:i/>
          <w:iCs/>
          <w:szCs w:val="22"/>
        </w:rPr>
        <w:t>UK Hospitality Sector Forecasts Q2 2024</w:t>
      </w:r>
      <w:r w:rsidRPr="001F00D1">
        <w:rPr>
          <w:rFonts w:cs="Arial"/>
          <w:szCs w:val="22"/>
        </w:rPr>
        <w:t>. Oxford: Oxford Economics.</w:t>
      </w:r>
    </w:p>
    <w:p w14:paraId="10A28458" w14:textId="77777777" w:rsidR="001F00D1" w:rsidRPr="001F00D1" w:rsidRDefault="001F00D1" w:rsidP="00C86349">
      <w:pPr>
        <w:spacing w:line="360" w:lineRule="auto"/>
        <w:rPr>
          <w:rFonts w:cs="Arial"/>
          <w:szCs w:val="22"/>
        </w:rPr>
      </w:pPr>
      <w:r w:rsidRPr="001F00D1">
        <w:rPr>
          <w:rFonts w:cs="Arial"/>
          <w:szCs w:val="22"/>
        </w:rPr>
        <w:t xml:space="preserve">PwC, 2024. </w:t>
      </w:r>
      <w:r w:rsidRPr="001F00D1">
        <w:rPr>
          <w:rFonts w:cs="Arial"/>
          <w:i/>
          <w:iCs/>
          <w:szCs w:val="22"/>
        </w:rPr>
        <w:t>UK Hotels Forecast 2024–2025</w:t>
      </w:r>
      <w:r w:rsidRPr="001F00D1">
        <w:rPr>
          <w:rFonts w:cs="Arial"/>
          <w:szCs w:val="22"/>
        </w:rPr>
        <w:t xml:space="preserve">. [online] Available at: </w:t>
      </w:r>
      <w:hyperlink r:id="rId13" w:tgtFrame="_new" w:history="1">
        <w:r w:rsidRPr="001F00D1">
          <w:rPr>
            <w:rStyle w:val="Hyperlink"/>
            <w:rFonts w:cs="Arial"/>
            <w:szCs w:val="22"/>
          </w:rPr>
          <w:t>https://www.pwc.co.uk</w:t>
        </w:r>
      </w:hyperlink>
      <w:r w:rsidRPr="001F00D1">
        <w:rPr>
          <w:rFonts w:cs="Arial"/>
          <w:szCs w:val="22"/>
        </w:rPr>
        <w:t xml:space="preserve"> [Accessed 1 May 2025].</w:t>
      </w:r>
    </w:p>
    <w:p w14:paraId="45BBEA2D" w14:textId="77777777" w:rsidR="001F00D1" w:rsidRPr="001F00D1" w:rsidRDefault="001F00D1" w:rsidP="00C86349">
      <w:pPr>
        <w:spacing w:line="360" w:lineRule="auto"/>
        <w:rPr>
          <w:rFonts w:cs="Arial"/>
          <w:szCs w:val="22"/>
        </w:rPr>
      </w:pPr>
      <w:r w:rsidRPr="001F00D1">
        <w:rPr>
          <w:rFonts w:cs="Arial"/>
          <w:szCs w:val="22"/>
        </w:rPr>
        <w:t xml:space="preserve">Radisson Hotel Group, 2023. </w:t>
      </w:r>
      <w:r w:rsidRPr="001F00D1">
        <w:rPr>
          <w:rFonts w:cs="Arial"/>
          <w:i/>
          <w:iCs/>
          <w:szCs w:val="22"/>
        </w:rPr>
        <w:t>Sustainable Hotel Operations Guide</w:t>
      </w:r>
      <w:r w:rsidRPr="001F00D1">
        <w:rPr>
          <w:rFonts w:cs="Arial"/>
          <w:szCs w:val="22"/>
        </w:rPr>
        <w:t xml:space="preserve">. [online] Available at: </w:t>
      </w:r>
      <w:hyperlink r:id="rId14" w:tgtFrame="_new" w:history="1">
        <w:r w:rsidRPr="001F00D1">
          <w:rPr>
            <w:rStyle w:val="Hyperlink"/>
            <w:rFonts w:cs="Arial"/>
            <w:szCs w:val="22"/>
          </w:rPr>
          <w:t>https://www.radissonhotels.com</w:t>
        </w:r>
      </w:hyperlink>
      <w:r w:rsidRPr="001F00D1">
        <w:rPr>
          <w:rFonts w:cs="Arial"/>
          <w:szCs w:val="22"/>
        </w:rPr>
        <w:t xml:space="preserve"> [Accessed 10 May 2025].</w:t>
      </w:r>
    </w:p>
    <w:p w14:paraId="5513A1C1" w14:textId="77777777" w:rsidR="001F00D1" w:rsidRPr="001F00D1" w:rsidRDefault="001F00D1" w:rsidP="00C86349">
      <w:pPr>
        <w:spacing w:line="360" w:lineRule="auto"/>
        <w:rPr>
          <w:rFonts w:cs="Arial"/>
          <w:szCs w:val="22"/>
        </w:rPr>
      </w:pPr>
      <w:r w:rsidRPr="001F00D1">
        <w:rPr>
          <w:rFonts w:cs="Arial"/>
          <w:szCs w:val="22"/>
        </w:rPr>
        <w:t xml:space="preserve">Savills, 2025. </w:t>
      </w:r>
      <w:r w:rsidRPr="001F00D1">
        <w:rPr>
          <w:rFonts w:cs="Arial"/>
          <w:i/>
          <w:iCs/>
          <w:szCs w:val="22"/>
        </w:rPr>
        <w:t>UK Hotel Development Pipeline Report</w:t>
      </w:r>
      <w:r w:rsidRPr="001F00D1">
        <w:rPr>
          <w:rFonts w:cs="Arial"/>
          <w:szCs w:val="22"/>
        </w:rPr>
        <w:t>. London: Savills Plc.</w:t>
      </w:r>
    </w:p>
    <w:p w14:paraId="6D31480C" w14:textId="77777777" w:rsidR="001F00D1" w:rsidRPr="001F00D1" w:rsidRDefault="001F00D1" w:rsidP="00C86349">
      <w:pPr>
        <w:spacing w:line="360" w:lineRule="auto"/>
        <w:rPr>
          <w:rFonts w:cs="Arial"/>
          <w:szCs w:val="22"/>
        </w:rPr>
      </w:pPr>
      <w:r w:rsidRPr="001F00D1">
        <w:rPr>
          <w:rFonts w:cs="Arial"/>
          <w:szCs w:val="22"/>
        </w:rPr>
        <w:t xml:space="preserve">Saunders, M., Lewis, P. and Thornhill, A., 2009. </w:t>
      </w:r>
      <w:r w:rsidRPr="001F00D1">
        <w:rPr>
          <w:rFonts w:cs="Arial"/>
          <w:i/>
          <w:iCs/>
          <w:szCs w:val="22"/>
        </w:rPr>
        <w:t>Research Methods for Business Students</w:t>
      </w:r>
      <w:r w:rsidRPr="001F00D1">
        <w:rPr>
          <w:rFonts w:cs="Arial"/>
          <w:szCs w:val="22"/>
        </w:rPr>
        <w:t>. 5th ed. Harlow: Pearson Education.</w:t>
      </w:r>
    </w:p>
    <w:p w14:paraId="16A5D385" w14:textId="77777777" w:rsidR="001F00D1" w:rsidRPr="001F00D1" w:rsidRDefault="001F00D1" w:rsidP="00C86349">
      <w:pPr>
        <w:spacing w:line="360" w:lineRule="auto"/>
        <w:rPr>
          <w:rFonts w:cs="Arial"/>
          <w:szCs w:val="22"/>
        </w:rPr>
      </w:pPr>
      <w:r w:rsidRPr="001F00D1">
        <w:rPr>
          <w:rFonts w:cs="Arial"/>
          <w:szCs w:val="22"/>
        </w:rPr>
        <w:t xml:space="preserve">Shafiee, M.M. and Shamsudin, M.F., 2019. </w:t>
      </w:r>
      <w:r w:rsidRPr="001F00D1">
        <w:rPr>
          <w:rFonts w:cs="Arial"/>
          <w:i/>
          <w:iCs/>
          <w:szCs w:val="22"/>
        </w:rPr>
        <w:t>Smart hotels and digital guest experiences</w:t>
      </w:r>
      <w:r w:rsidRPr="001F00D1">
        <w:rPr>
          <w:rFonts w:cs="Arial"/>
          <w:szCs w:val="22"/>
        </w:rPr>
        <w:t xml:space="preserve">. </w:t>
      </w:r>
      <w:r w:rsidRPr="001F00D1">
        <w:rPr>
          <w:rFonts w:cs="Arial"/>
          <w:i/>
          <w:iCs/>
          <w:szCs w:val="22"/>
        </w:rPr>
        <w:t>Journal of Tourism Futures</w:t>
      </w:r>
      <w:r w:rsidRPr="001F00D1">
        <w:rPr>
          <w:rFonts w:cs="Arial"/>
          <w:szCs w:val="22"/>
        </w:rPr>
        <w:t>, 5(2), pp.105–115.</w:t>
      </w:r>
    </w:p>
    <w:p w14:paraId="72B0632A" w14:textId="77777777" w:rsidR="001F00D1" w:rsidRPr="001F00D1" w:rsidRDefault="001F00D1" w:rsidP="00C86349">
      <w:pPr>
        <w:spacing w:line="360" w:lineRule="auto"/>
        <w:rPr>
          <w:rFonts w:cs="Arial"/>
          <w:szCs w:val="22"/>
        </w:rPr>
      </w:pPr>
      <w:r w:rsidRPr="001F00D1">
        <w:rPr>
          <w:rFonts w:cs="Arial"/>
          <w:szCs w:val="22"/>
        </w:rPr>
        <w:t xml:space="preserve">Sigala, M., 2020. </w:t>
      </w:r>
      <w:r w:rsidRPr="001F00D1">
        <w:rPr>
          <w:rFonts w:cs="Arial"/>
          <w:i/>
          <w:iCs/>
          <w:szCs w:val="22"/>
        </w:rPr>
        <w:t>Social media and customer engagement in the hospitality industry</w:t>
      </w:r>
      <w:r w:rsidRPr="001F00D1">
        <w:rPr>
          <w:rFonts w:cs="Arial"/>
          <w:szCs w:val="22"/>
        </w:rPr>
        <w:t xml:space="preserve">. </w:t>
      </w:r>
      <w:r w:rsidRPr="001F00D1">
        <w:rPr>
          <w:rFonts w:cs="Arial"/>
          <w:i/>
          <w:iCs/>
          <w:szCs w:val="22"/>
        </w:rPr>
        <w:t>International Journal of Hospitality Management</w:t>
      </w:r>
      <w:r w:rsidRPr="001F00D1">
        <w:rPr>
          <w:rFonts w:cs="Arial"/>
          <w:szCs w:val="22"/>
        </w:rPr>
        <w:t>, 84, p.102328.</w:t>
      </w:r>
    </w:p>
    <w:p w14:paraId="73D937E4" w14:textId="77777777" w:rsidR="001F00D1" w:rsidRPr="001F00D1" w:rsidRDefault="001F00D1" w:rsidP="00C86349">
      <w:pPr>
        <w:spacing w:line="360" w:lineRule="auto"/>
        <w:rPr>
          <w:rFonts w:cs="Arial"/>
          <w:szCs w:val="22"/>
        </w:rPr>
      </w:pPr>
      <w:r w:rsidRPr="001F00D1">
        <w:rPr>
          <w:rFonts w:cs="Arial"/>
          <w:szCs w:val="22"/>
        </w:rPr>
        <w:lastRenderedPageBreak/>
        <w:t xml:space="preserve">Statista, 2025. </w:t>
      </w:r>
      <w:r w:rsidRPr="001F00D1">
        <w:rPr>
          <w:rFonts w:cs="Arial"/>
          <w:i/>
          <w:iCs/>
          <w:szCs w:val="22"/>
        </w:rPr>
        <w:t>UK Hotel Occupancy Rates by City 2020–2025</w:t>
      </w:r>
      <w:r w:rsidRPr="001F00D1">
        <w:rPr>
          <w:rFonts w:cs="Arial"/>
          <w:szCs w:val="22"/>
        </w:rPr>
        <w:t xml:space="preserve">. [online] Available at: </w:t>
      </w:r>
      <w:hyperlink r:id="rId15" w:tgtFrame="_new" w:history="1">
        <w:r w:rsidRPr="001F00D1">
          <w:rPr>
            <w:rStyle w:val="Hyperlink"/>
            <w:rFonts w:cs="Arial"/>
            <w:szCs w:val="22"/>
          </w:rPr>
          <w:t>https://www.statista.com</w:t>
        </w:r>
      </w:hyperlink>
      <w:r w:rsidRPr="001F00D1">
        <w:rPr>
          <w:rFonts w:cs="Arial"/>
          <w:szCs w:val="22"/>
        </w:rPr>
        <w:t xml:space="preserve"> [Accessed 3 May 2025].</w:t>
      </w:r>
    </w:p>
    <w:p w14:paraId="6F422CEC" w14:textId="77777777" w:rsidR="001F00D1" w:rsidRPr="001F00D1" w:rsidRDefault="001F00D1" w:rsidP="00C86349">
      <w:pPr>
        <w:spacing w:line="360" w:lineRule="auto"/>
        <w:rPr>
          <w:rFonts w:cs="Arial"/>
          <w:szCs w:val="22"/>
        </w:rPr>
      </w:pPr>
      <w:r w:rsidRPr="001F00D1">
        <w:rPr>
          <w:rFonts w:cs="Arial"/>
          <w:szCs w:val="22"/>
        </w:rPr>
        <w:t xml:space="preserve">Taylor, J., 2023. </w:t>
      </w:r>
      <w:r w:rsidRPr="001F00D1">
        <w:rPr>
          <w:rFonts w:cs="Arial"/>
          <w:i/>
          <w:iCs/>
          <w:szCs w:val="22"/>
        </w:rPr>
        <w:t>The impact of inflation on UK hospitality operations</w:t>
      </w:r>
      <w:r w:rsidRPr="001F00D1">
        <w:rPr>
          <w:rFonts w:cs="Arial"/>
          <w:szCs w:val="22"/>
        </w:rPr>
        <w:t xml:space="preserve">. </w:t>
      </w:r>
      <w:r w:rsidRPr="001F00D1">
        <w:rPr>
          <w:rFonts w:cs="Arial"/>
          <w:i/>
          <w:iCs/>
          <w:szCs w:val="22"/>
        </w:rPr>
        <w:t>Caterer and Hotelkeeper</w:t>
      </w:r>
      <w:r w:rsidRPr="001F00D1">
        <w:rPr>
          <w:rFonts w:cs="Arial"/>
          <w:szCs w:val="22"/>
        </w:rPr>
        <w:t>, 213(4972), pp.14–17.</w:t>
      </w:r>
    </w:p>
    <w:p w14:paraId="58C246C1" w14:textId="77777777" w:rsidR="001F00D1" w:rsidRPr="001F00D1" w:rsidRDefault="001F00D1" w:rsidP="00C86349">
      <w:pPr>
        <w:spacing w:line="360" w:lineRule="auto"/>
        <w:rPr>
          <w:rFonts w:cs="Arial"/>
          <w:szCs w:val="22"/>
        </w:rPr>
      </w:pPr>
      <w:r w:rsidRPr="001F00D1">
        <w:rPr>
          <w:rFonts w:cs="Arial"/>
          <w:szCs w:val="22"/>
        </w:rPr>
        <w:t xml:space="preserve">The Caterer, 2024. </w:t>
      </w:r>
      <w:r w:rsidRPr="001F00D1">
        <w:rPr>
          <w:rFonts w:cs="Arial"/>
          <w:i/>
          <w:iCs/>
          <w:szCs w:val="22"/>
        </w:rPr>
        <w:t>Hotel Technology Trends: Room Controls and Smart Energy</w:t>
      </w:r>
      <w:r w:rsidRPr="001F00D1">
        <w:rPr>
          <w:rFonts w:cs="Arial"/>
          <w:szCs w:val="22"/>
        </w:rPr>
        <w:t xml:space="preserve">. [online] Available at: </w:t>
      </w:r>
      <w:hyperlink r:id="rId16" w:tgtFrame="_new" w:history="1">
        <w:r w:rsidRPr="001F00D1">
          <w:rPr>
            <w:rStyle w:val="Hyperlink"/>
            <w:rFonts w:cs="Arial"/>
            <w:szCs w:val="22"/>
          </w:rPr>
          <w:t>https://www.thecaterer.com</w:t>
        </w:r>
      </w:hyperlink>
      <w:r w:rsidRPr="001F00D1">
        <w:rPr>
          <w:rFonts w:cs="Arial"/>
          <w:szCs w:val="22"/>
        </w:rPr>
        <w:t xml:space="preserve"> [Accessed 2 May 2025].</w:t>
      </w:r>
    </w:p>
    <w:p w14:paraId="30213F0B" w14:textId="11E15644" w:rsidR="001F00D1" w:rsidRPr="001F00D1" w:rsidRDefault="001F00D1" w:rsidP="00C86349">
      <w:pPr>
        <w:spacing w:line="360" w:lineRule="auto"/>
        <w:rPr>
          <w:rFonts w:cs="Arial"/>
          <w:szCs w:val="22"/>
        </w:rPr>
      </w:pPr>
      <w:r w:rsidRPr="001F00D1">
        <w:rPr>
          <w:rFonts w:cs="Arial"/>
          <w:szCs w:val="22"/>
        </w:rPr>
        <w:t xml:space="preserve">TripAdvisor, 2024. </w:t>
      </w:r>
      <w:r w:rsidRPr="001F00D1">
        <w:rPr>
          <w:rFonts w:cs="Arial"/>
          <w:i/>
          <w:iCs/>
          <w:szCs w:val="22"/>
        </w:rPr>
        <w:t>Hilton London Paddington Reviews</w:t>
      </w:r>
      <w:r w:rsidRPr="001F00D1">
        <w:rPr>
          <w:rFonts w:cs="Arial"/>
          <w:szCs w:val="22"/>
        </w:rPr>
        <w:t xml:space="preserve">. [online] Available at: </w:t>
      </w:r>
      <w:hyperlink r:id="rId17" w:tgtFrame="_new" w:history="1">
        <w:r w:rsidRPr="001F00D1">
          <w:rPr>
            <w:rStyle w:val="Hyperlink"/>
            <w:rFonts w:cs="Arial"/>
            <w:szCs w:val="22"/>
          </w:rPr>
          <w:t>https://www.tripadvisor.co.uk</w:t>
        </w:r>
      </w:hyperlink>
      <w:r w:rsidRPr="001F00D1">
        <w:rPr>
          <w:rFonts w:cs="Arial"/>
          <w:szCs w:val="22"/>
        </w:rPr>
        <w:t xml:space="preserve"> [Accessed 29 </w:t>
      </w:r>
      <w:r w:rsidR="00414E8C">
        <w:rPr>
          <w:rFonts w:cs="Arial"/>
          <w:szCs w:val="22"/>
        </w:rPr>
        <w:t>May</w:t>
      </w:r>
      <w:r w:rsidRPr="001F00D1">
        <w:rPr>
          <w:rFonts w:cs="Arial"/>
          <w:szCs w:val="22"/>
        </w:rPr>
        <w:t xml:space="preserve"> 2025].</w:t>
      </w:r>
    </w:p>
    <w:p w14:paraId="067C562D" w14:textId="77777777" w:rsidR="001F00D1" w:rsidRPr="001F00D1" w:rsidRDefault="001F00D1" w:rsidP="00C86349">
      <w:pPr>
        <w:spacing w:line="360" w:lineRule="auto"/>
        <w:rPr>
          <w:rFonts w:cs="Arial"/>
          <w:szCs w:val="22"/>
        </w:rPr>
      </w:pPr>
      <w:r w:rsidRPr="001F00D1">
        <w:rPr>
          <w:rFonts w:cs="Arial"/>
          <w:szCs w:val="22"/>
        </w:rPr>
        <w:t xml:space="preserve">Tussyadiah, I.P. and Park, S., 2018. </w:t>
      </w:r>
      <w:r w:rsidRPr="001F00D1">
        <w:rPr>
          <w:rFonts w:cs="Arial"/>
          <w:i/>
          <w:iCs/>
          <w:szCs w:val="22"/>
        </w:rPr>
        <w:t>Consumer evaluation of hotel service robots</w:t>
      </w:r>
      <w:r w:rsidRPr="001F00D1">
        <w:rPr>
          <w:rFonts w:cs="Arial"/>
          <w:szCs w:val="22"/>
        </w:rPr>
        <w:t xml:space="preserve">. </w:t>
      </w:r>
      <w:r w:rsidRPr="001F00D1">
        <w:rPr>
          <w:rFonts w:cs="Arial"/>
          <w:i/>
          <w:iCs/>
          <w:szCs w:val="22"/>
        </w:rPr>
        <w:t>International Journal of Contemporary Hospitality Management</w:t>
      </w:r>
      <w:r w:rsidRPr="001F00D1">
        <w:rPr>
          <w:rFonts w:cs="Arial"/>
          <w:szCs w:val="22"/>
        </w:rPr>
        <w:t>, 30(4), pp.1410–1431.</w:t>
      </w:r>
    </w:p>
    <w:p w14:paraId="6B02B345" w14:textId="77777777" w:rsidR="001F00D1" w:rsidRPr="001F00D1" w:rsidRDefault="001F00D1" w:rsidP="00C86349">
      <w:pPr>
        <w:spacing w:line="360" w:lineRule="auto"/>
        <w:rPr>
          <w:rFonts w:cs="Arial"/>
          <w:szCs w:val="22"/>
        </w:rPr>
      </w:pPr>
      <w:r w:rsidRPr="001F00D1">
        <w:rPr>
          <w:rFonts w:cs="Arial"/>
          <w:szCs w:val="22"/>
        </w:rPr>
        <w:t xml:space="preserve">UK Green Building Council, 2023. </w:t>
      </w:r>
      <w:r w:rsidRPr="001F00D1">
        <w:rPr>
          <w:rFonts w:cs="Arial"/>
          <w:i/>
          <w:iCs/>
          <w:szCs w:val="22"/>
        </w:rPr>
        <w:t>Net Zero Carbon Buildings: Hospitality Sector Guide</w:t>
      </w:r>
      <w:r w:rsidRPr="001F00D1">
        <w:rPr>
          <w:rFonts w:cs="Arial"/>
          <w:szCs w:val="22"/>
        </w:rPr>
        <w:t xml:space="preserve">. [online] Available at: </w:t>
      </w:r>
      <w:hyperlink r:id="rId18" w:tgtFrame="_new" w:history="1">
        <w:r w:rsidRPr="001F00D1">
          <w:rPr>
            <w:rStyle w:val="Hyperlink"/>
            <w:rFonts w:cs="Arial"/>
            <w:szCs w:val="22"/>
          </w:rPr>
          <w:t>https://www.ukgbc.org</w:t>
        </w:r>
      </w:hyperlink>
      <w:r w:rsidRPr="001F00D1">
        <w:rPr>
          <w:rFonts w:cs="Arial"/>
          <w:szCs w:val="22"/>
        </w:rPr>
        <w:t xml:space="preserve"> [Accessed 5 May 2025].</w:t>
      </w:r>
    </w:p>
    <w:p w14:paraId="61A43D60" w14:textId="77777777" w:rsidR="001F00D1" w:rsidRPr="001F00D1" w:rsidRDefault="001F00D1" w:rsidP="00C86349">
      <w:pPr>
        <w:spacing w:line="360" w:lineRule="auto"/>
        <w:rPr>
          <w:rFonts w:cs="Arial"/>
          <w:szCs w:val="22"/>
        </w:rPr>
      </w:pPr>
      <w:r w:rsidRPr="001F00D1">
        <w:rPr>
          <w:rFonts w:cs="Arial"/>
          <w:szCs w:val="22"/>
        </w:rPr>
        <w:t xml:space="preserve">UNWTO, 2023. </w:t>
      </w:r>
      <w:r w:rsidRPr="001F00D1">
        <w:rPr>
          <w:rFonts w:cs="Arial"/>
          <w:i/>
          <w:iCs/>
          <w:szCs w:val="22"/>
        </w:rPr>
        <w:t>Global Tourism Trends 2023–2025</w:t>
      </w:r>
      <w:r w:rsidRPr="001F00D1">
        <w:rPr>
          <w:rFonts w:cs="Arial"/>
          <w:szCs w:val="22"/>
        </w:rPr>
        <w:t xml:space="preserve">. [online] Available at: </w:t>
      </w:r>
      <w:hyperlink r:id="rId19" w:tgtFrame="_new" w:history="1">
        <w:r w:rsidRPr="001F00D1">
          <w:rPr>
            <w:rStyle w:val="Hyperlink"/>
            <w:rFonts w:cs="Arial"/>
            <w:szCs w:val="22"/>
          </w:rPr>
          <w:t>https://www.unwto.org</w:t>
        </w:r>
      </w:hyperlink>
      <w:r w:rsidRPr="001F00D1">
        <w:rPr>
          <w:rFonts w:cs="Arial"/>
          <w:szCs w:val="22"/>
        </w:rPr>
        <w:t xml:space="preserve"> [Accessed 5 May 2025].</w:t>
      </w:r>
    </w:p>
    <w:p w14:paraId="74D36782" w14:textId="77777777" w:rsidR="001F00D1" w:rsidRPr="001F00D1" w:rsidRDefault="001F00D1" w:rsidP="00C86349">
      <w:pPr>
        <w:spacing w:line="360" w:lineRule="auto"/>
        <w:rPr>
          <w:rFonts w:cs="Arial"/>
          <w:szCs w:val="22"/>
        </w:rPr>
      </w:pPr>
      <w:r w:rsidRPr="001F00D1">
        <w:rPr>
          <w:rFonts w:cs="Arial"/>
          <w:szCs w:val="22"/>
        </w:rPr>
        <w:t xml:space="preserve">VDA-Telkonet, 2025. </w:t>
      </w:r>
      <w:r w:rsidRPr="001F00D1">
        <w:rPr>
          <w:rFonts w:cs="Arial"/>
          <w:i/>
          <w:iCs/>
          <w:szCs w:val="22"/>
        </w:rPr>
        <w:t>Smart Building Systems for Hospitality</w:t>
      </w:r>
      <w:r w:rsidRPr="001F00D1">
        <w:rPr>
          <w:rFonts w:cs="Arial"/>
          <w:szCs w:val="22"/>
        </w:rPr>
        <w:t>. [online] Available at: https://www.vda.it/en/ [Accessed 7 May 2025].</w:t>
      </w:r>
    </w:p>
    <w:p w14:paraId="6D36EC0C" w14:textId="7EA5399E" w:rsidR="001F00D1" w:rsidRPr="001F00D1" w:rsidRDefault="001F00D1" w:rsidP="00C86349">
      <w:pPr>
        <w:spacing w:line="360" w:lineRule="auto"/>
        <w:rPr>
          <w:rFonts w:cs="Arial"/>
          <w:szCs w:val="22"/>
        </w:rPr>
      </w:pPr>
      <w:r w:rsidRPr="001F00D1">
        <w:rPr>
          <w:rFonts w:cs="Arial"/>
          <w:szCs w:val="22"/>
        </w:rPr>
        <w:t xml:space="preserve">VisitBritain, 2024. </w:t>
      </w:r>
      <w:r w:rsidRPr="001F00D1">
        <w:rPr>
          <w:rFonts w:cs="Arial"/>
          <w:i/>
          <w:iCs/>
          <w:szCs w:val="22"/>
        </w:rPr>
        <w:t>Inbound Tourism Statistics 2023–24</w:t>
      </w:r>
      <w:r w:rsidRPr="001F00D1">
        <w:rPr>
          <w:rFonts w:cs="Arial"/>
          <w:szCs w:val="22"/>
        </w:rPr>
        <w:t xml:space="preserve">. [online] Available at: </w:t>
      </w:r>
      <w:hyperlink r:id="rId20" w:tgtFrame="_new" w:history="1">
        <w:r w:rsidRPr="001F00D1">
          <w:rPr>
            <w:rStyle w:val="Hyperlink"/>
            <w:rFonts w:cs="Arial"/>
            <w:szCs w:val="22"/>
          </w:rPr>
          <w:t>https://www.visitbritain.org</w:t>
        </w:r>
      </w:hyperlink>
      <w:r w:rsidRPr="001F00D1">
        <w:rPr>
          <w:rFonts w:cs="Arial"/>
          <w:szCs w:val="22"/>
        </w:rPr>
        <w:t xml:space="preserve"> [Accessed 28 </w:t>
      </w:r>
      <w:r w:rsidR="00E26FD7">
        <w:rPr>
          <w:rFonts w:cs="Arial"/>
          <w:szCs w:val="22"/>
        </w:rPr>
        <w:t>may</w:t>
      </w:r>
      <w:r w:rsidRPr="001F00D1">
        <w:rPr>
          <w:rFonts w:cs="Arial"/>
          <w:szCs w:val="22"/>
        </w:rPr>
        <w:t xml:space="preserve"> 2025].</w:t>
      </w:r>
    </w:p>
    <w:p w14:paraId="6F0A7215" w14:textId="77777777" w:rsidR="001F00D1" w:rsidRPr="001F00D1" w:rsidRDefault="001F00D1" w:rsidP="00C86349">
      <w:pPr>
        <w:spacing w:line="360" w:lineRule="auto"/>
        <w:rPr>
          <w:rFonts w:cs="Arial"/>
          <w:szCs w:val="22"/>
        </w:rPr>
      </w:pPr>
      <w:r w:rsidRPr="001F00D1">
        <w:rPr>
          <w:rFonts w:cs="Arial"/>
          <w:szCs w:val="22"/>
        </w:rPr>
        <w:t xml:space="preserve">Wall, G. and Mathieson, A., 2019. </w:t>
      </w:r>
      <w:r w:rsidRPr="001F00D1">
        <w:rPr>
          <w:rFonts w:cs="Arial"/>
          <w:i/>
          <w:iCs/>
          <w:szCs w:val="22"/>
        </w:rPr>
        <w:t>Tourism: Change, Impacts and Opportunities</w:t>
      </w:r>
      <w:r w:rsidRPr="001F00D1">
        <w:rPr>
          <w:rFonts w:cs="Arial"/>
          <w:szCs w:val="22"/>
        </w:rPr>
        <w:t>. 2nd ed. Harlow: Pearson.</w:t>
      </w:r>
    </w:p>
    <w:p w14:paraId="7EC774DB" w14:textId="77777777" w:rsidR="001F00D1" w:rsidRPr="001F00D1" w:rsidRDefault="001F00D1" w:rsidP="00C86349">
      <w:pPr>
        <w:spacing w:line="360" w:lineRule="auto"/>
        <w:rPr>
          <w:rFonts w:cs="Arial"/>
          <w:szCs w:val="22"/>
        </w:rPr>
      </w:pPr>
      <w:r w:rsidRPr="001F00D1">
        <w:rPr>
          <w:rFonts w:cs="Arial"/>
          <w:szCs w:val="22"/>
        </w:rPr>
        <w:t xml:space="preserve">World Travel &amp; Tourism Council (WTTC), 2023. </w:t>
      </w:r>
      <w:r w:rsidRPr="001F00D1">
        <w:rPr>
          <w:rFonts w:cs="Arial"/>
          <w:i/>
          <w:iCs/>
          <w:szCs w:val="22"/>
        </w:rPr>
        <w:t>Economic Impact of Travel and Tourism: United Kingdom 2023</w:t>
      </w:r>
      <w:r w:rsidRPr="001F00D1">
        <w:rPr>
          <w:rFonts w:cs="Arial"/>
          <w:szCs w:val="22"/>
        </w:rPr>
        <w:t xml:space="preserve">. [online] Available at: </w:t>
      </w:r>
      <w:hyperlink r:id="rId21" w:tgtFrame="_new" w:history="1">
        <w:r w:rsidRPr="001F00D1">
          <w:rPr>
            <w:rStyle w:val="Hyperlink"/>
            <w:rFonts w:cs="Arial"/>
            <w:szCs w:val="22"/>
          </w:rPr>
          <w:t>https://wttc.org</w:t>
        </w:r>
      </w:hyperlink>
      <w:r w:rsidRPr="001F00D1">
        <w:rPr>
          <w:rFonts w:cs="Arial"/>
          <w:szCs w:val="22"/>
        </w:rPr>
        <w:t xml:space="preserve"> [Accessed 1 May 2025].</w:t>
      </w:r>
    </w:p>
    <w:p w14:paraId="44DADEAF" w14:textId="77777777" w:rsidR="001F00D1" w:rsidRPr="001F00D1" w:rsidRDefault="001F00D1" w:rsidP="00C86349">
      <w:pPr>
        <w:spacing w:line="360" w:lineRule="auto"/>
        <w:rPr>
          <w:rFonts w:cs="Arial"/>
          <w:szCs w:val="22"/>
        </w:rPr>
      </w:pPr>
      <w:r w:rsidRPr="001F00D1">
        <w:rPr>
          <w:rFonts w:cs="Arial"/>
          <w:szCs w:val="22"/>
        </w:rPr>
        <w:t xml:space="preserve">Zeng, Z., Glaister, K.W. and Miao, Z., 2020. </w:t>
      </w:r>
      <w:r w:rsidRPr="001F00D1">
        <w:rPr>
          <w:rFonts w:cs="Arial"/>
          <w:i/>
          <w:iCs/>
          <w:szCs w:val="22"/>
        </w:rPr>
        <w:t>Strategic responses of the hotel sector to COVID-19</w:t>
      </w:r>
      <w:r w:rsidRPr="001F00D1">
        <w:rPr>
          <w:rFonts w:cs="Arial"/>
          <w:szCs w:val="22"/>
        </w:rPr>
        <w:t xml:space="preserve">. </w:t>
      </w:r>
      <w:r w:rsidRPr="001F00D1">
        <w:rPr>
          <w:rFonts w:cs="Arial"/>
          <w:i/>
          <w:iCs/>
          <w:szCs w:val="22"/>
        </w:rPr>
        <w:t>International Journal of Hospitality Management</w:t>
      </w:r>
      <w:r w:rsidRPr="001F00D1">
        <w:rPr>
          <w:rFonts w:cs="Arial"/>
          <w:szCs w:val="22"/>
        </w:rPr>
        <w:t>, 91, p.102660.</w:t>
      </w:r>
    </w:p>
    <w:p w14:paraId="33512D8E" w14:textId="77777777" w:rsidR="005532B2" w:rsidRPr="00F36328" w:rsidRDefault="005532B2" w:rsidP="00F36328"/>
    <w:sectPr w:rsidR="005532B2" w:rsidRPr="00F363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303465"/>
    <w:multiLevelType w:val="multilevel"/>
    <w:tmpl w:val="6D583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526295"/>
    <w:multiLevelType w:val="multilevel"/>
    <w:tmpl w:val="6F2C5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F068DB"/>
    <w:multiLevelType w:val="multilevel"/>
    <w:tmpl w:val="F3D60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1C0B26"/>
    <w:multiLevelType w:val="multilevel"/>
    <w:tmpl w:val="AB12462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14E1F0E"/>
    <w:multiLevelType w:val="multilevel"/>
    <w:tmpl w:val="16AAE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5D476B"/>
    <w:multiLevelType w:val="multilevel"/>
    <w:tmpl w:val="0A4E9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340D27"/>
    <w:multiLevelType w:val="multilevel"/>
    <w:tmpl w:val="6C009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C836D8"/>
    <w:multiLevelType w:val="multilevel"/>
    <w:tmpl w:val="6A8E2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AE31E8"/>
    <w:multiLevelType w:val="multilevel"/>
    <w:tmpl w:val="9A4E2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51B59D6"/>
    <w:multiLevelType w:val="multilevel"/>
    <w:tmpl w:val="3AFA08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69C0748"/>
    <w:multiLevelType w:val="multilevel"/>
    <w:tmpl w:val="04FEC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8314F4B"/>
    <w:multiLevelType w:val="multilevel"/>
    <w:tmpl w:val="58401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A7C4AE4"/>
    <w:multiLevelType w:val="multilevel"/>
    <w:tmpl w:val="C1240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C1C21E6"/>
    <w:multiLevelType w:val="multilevel"/>
    <w:tmpl w:val="6730F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C44067B"/>
    <w:multiLevelType w:val="multilevel"/>
    <w:tmpl w:val="B9D25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F60576B"/>
    <w:multiLevelType w:val="multilevel"/>
    <w:tmpl w:val="C1C4F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4492D32"/>
    <w:multiLevelType w:val="multilevel"/>
    <w:tmpl w:val="3D484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6135CAE"/>
    <w:multiLevelType w:val="multilevel"/>
    <w:tmpl w:val="AC9EA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7B509EA"/>
    <w:multiLevelType w:val="multilevel"/>
    <w:tmpl w:val="18D28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7C90AB0"/>
    <w:multiLevelType w:val="multilevel"/>
    <w:tmpl w:val="5EC8B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B2606A8"/>
    <w:multiLevelType w:val="multilevel"/>
    <w:tmpl w:val="1A989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D0319DC"/>
    <w:multiLevelType w:val="multilevel"/>
    <w:tmpl w:val="66425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D7E6D92"/>
    <w:multiLevelType w:val="multilevel"/>
    <w:tmpl w:val="6F86D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E577A3D"/>
    <w:multiLevelType w:val="multilevel"/>
    <w:tmpl w:val="ADD2F5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EFC2B00"/>
    <w:multiLevelType w:val="multilevel"/>
    <w:tmpl w:val="C44C5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F59212D"/>
    <w:multiLevelType w:val="multilevel"/>
    <w:tmpl w:val="FE6E5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1927C33"/>
    <w:multiLevelType w:val="multilevel"/>
    <w:tmpl w:val="0D689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5373B6B"/>
    <w:multiLevelType w:val="multilevel"/>
    <w:tmpl w:val="731A1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5D16022"/>
    <w:multiLevelType w:val="multilevel"/>
    <w:tmpl w:val="A2228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75870CC"/>
    <w:multiLevelType w:val="multilevel"/>
    <w:tmpl w:val="442E2F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B945765"/>
    <w:multiLevelType w:val="multilevel"/>
    <w:tmpl w:val="E8D82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D04107B"/>
    <w:multiLevelType w:val="multilevel"/>
    <w:tmpl w:val="E19CC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E3E0D95"/>
    <w:multiLevelType w:val="multilevel"/>
    <w:tmpl w:val="93D6F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18E1F0E"/>
    <w:multiLevelType w:val="multilevel"/>
    <w:tmpl w:val="299A5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1B278D2"/>
    <w:multiLevelType w:val="multilevel"/>
    <w:tmpl w:val="A446A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1C555D3"/>
    <w:multiLevelType w:val="multilevel"/>
    <w:tmpl w:val="AC9C4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20B6DE5"/>
    <w:multiLevelType w:val="multilevel"/>
    <w:tmpl w:val="8D72C8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42C5423C"/>
    <w:multiLevelType w:val="multilevel"/>
    <w:tmpl w:val="762CF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3B53C76"/>
    <w:multiLevelType w:val="multilevel"/>
    <w:tmpl w:val="9B2A3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52B52A8"/>
    <w:multiLevelType w:val="multilevel"/>
    <w:tmpl w:val="97B69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A3E66C0"/>
    <w:multiLevelType w:val="multilevel"/>
    <w:tmpl w:val="58F04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CBE5934"/>
    <w:multiLevelType w:val="multilevel"/>
    <w:tmpl w:val="B7EAF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0725F59"/>
    <w:multiLevelType w:val="multilevel"/>
    <w:tmpl w:val="6D9EE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1A45965"/>
    <w:multiLevelType w:val="multilevel"/>
    <w:tmpl w:val="741E4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4B561ED"/>
    <w:multiLevelType w:val="multilevel"/>
    <w:tmpl w:val="25A802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55E171B9"/>
    <w:multiLevelType w:val="multilevel"/>
    <w:tmpl w:val="2BF47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9013638"/>
    <w:multiLevelType w:val="multilevel"/>
    <w:tmpl w:val="69CC4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ACF7C81"/>
    <w:multiLevelType w:val="multilevel"/>
    <w:tmpl w:val="8340A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E064D31"/>
    <w:multiLevelType w:val="multilevel"/>
    <w:tmpl w:val="2B7A31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619149BB"/>
    <w:multiLevelType w:val="multilevel"/>
    <w:tmpl w:val="BE846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2714667"/>
    <w:multiLevelType w:val="multilevel"/>
    <w:tmpl w:val="34A4D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6FE6BB0"/>
    <w:multiLevelType w:val="multilevel"/>
    <w:tmpl w:val="14FED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7475E8A"/>
    <w:multiLevelType w:val="multilevel"/>
    <w:tmpl w:val="3B1C0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7A86FB7"/>
    <w:multiLevelType w:val="multilevel"/>
    <w:tmpl w:val="25B4D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98C780E"/>
    <w:multiLevelType w:val="multilevel"/>
    <w:tmpl w:val="E9C4C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A6A40F7"/>
    <w:multiLevelType w:val="multilevel"/>
    <w:tmpl w:val="0352BB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6A726BA3"/>
    <w:multiLevelType w:val="multilevel"/>
    <w:tmpl w:val="5A90D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D5A59D7"/>
    <w:multiLevelType w:val="multilevel"/>
    <w:tmpl w:val="C0B80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E767FCA"/>
    <w:multiLevelType w:val="multilevel"/>
    <w:tmpl w:val="99FCD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15645BD"/>
    <w:multiLevelType w:val="multilevel"/>
    <w:tmpl w:val="70E47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1B92822"/>
    <w:multiLevelType w:val="multilevel"/>
    <w:tmpl w:val="9CF88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32D59EC"/>
    <w:multiLevelType w:val="multilevel"/>
    <w:tmpl w:val="03A2A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45D5A09"/>
    <w:multiLevelType w:val="multilevel"/>
    <w:tmpl w:val="B5226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64867EC"/>
    <w:multiLevelType w:val="multilevel"/>
    <w:tmpl w:val="4590F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68F139D"/>
    <w:multiLevelType w:val="multilevel"/>
    <w:tmpl w:val="2AEAD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97017A0"/>
    <w:multiLevelType w:val="multilevel"/>
    <w:tmpl w:val="1ABAC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BFE0665"/>
    <w:multiLevelType w:val="multilevel"/>
    <w:tmpl w:val="25B03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407944">
    <w:abstractNumId w:val="48"/>
  </w:num>
  <w:num w:numId="2" w16cid:durableId="1074625778">
    <w:abstractNumId w:val="23"/>
  </w:num>
  <w:num w:numId="3" w16cid:durableId="948660299">
    <w:abstractNumId w:val="65"/>
  </w:num>
  <w:num w:numId="4" w16cid:durableId="94061691">
    <w:abstractNumId w:val="62"/>
  </w:num>
  <w:num w:numId="5" w16cid:durableId="1132137756">
    <w:abstractNumId w:val="7"/>
  </w:num>
  <w:num w:numId="6" w16cid:durableId="2025279938">
    <w:abstractNumId w:val="3"/>
  </w:num>
  <w:num w:numId="7" w16cid:durableId="1845440902">
    <w:abstractNumId w:val="46"/>
  </w:num>
  <w:num w:numId="8" w16cid:durableId="1390300544">
    <w:abstractNumId w:val="44"/>
  </w:num>
  <w:num w:numId="9" w16cid:durableId="908425400">
    <w:abstractNumId w:val="56"/>
  </w:num>
  <w:num w:numId="10" w16cid:durableId="1294293335">
    <w:abstractNumId w:val="1"/>
  </w:num>
  <w:num w:numId="11" w16cid:durableId="740636468">
    <w:abstractNumId w:val="26"/>
  </w:num>
  <w:num w:numId="12" w16cid:durableId="1025980375">
    <w:abstractNumId w:val="64"/>
  </w:num>
  <w:num w:numId="13" w16cid:durableId="174806646">
    <w:abstractNumId w:val="57"/>
  </w:num>
  <w:num w:numId="14" w16cid:durableId="110781225">
    <w:abstractNumId w:val="34"/>
  </w:num>
  <w:num w:numId="15" w16cid:durableId="1873106410">
    <w:abstractNumId w:val="60"/>
  </w:num>
  <w:num w:numId="16" w16cid:durableId="1428962613">
    <w:abstractNumId w:val="41"/>
  </w:num>
  <w:num w:numId="17" w16cid:durableId="34237197">
    <w:abstractNumId w:val="52"/>
  </w:num>
  <w:num w:numId="18" w16cid:durableId="1707411085">
    <w:abstractNumId w:val="11"/>
  </w:num>
  <w:num w:numId="19" w16cid:durableId="1612323926">
    <w:abstractNumId w:val="61"/>
  </w:num>
  <w:num w:numId="20" w16cid:durableId="935673300">
    <w:abstractNumId w:val="39"/>
  </w:num>
  <w:num w:numId="21" w16cid:durableId="1589657665">
    <w:abstractNumId w:val="30"/>
  </w:num>
  <w:num w:numId="22" w16cid:durableId="1586956571">
    <w:abstractNumId w:val="38"/>
  </w:num>
  <w:num w:numId="23" w16cid:durableId="1053045780">
    <w:abstractNumId w:val="66"/>
  </w:num>
  <w:num w:numId="24" w16cid:durableId="363167503">
    <w:abstractNumId w:val="8"/>
  </w:num>
  <w:num w:numId="25" w16cid:durableId="755713461">
    <w:abstractNumId w:val="35"/>
  </w:num>
  <w:num w:numId="26" w16cid:durableId="105316909">
    <w:abstractNumId w:val="49"/>
  </w:num>
  <w:num w:numId="27" w16cid:durableId="688684559">
    <w:abstractNumId w:val="13"/>
  </w:num>
  <w:num w:numId="28" w16cid:durableId="880165516">
    <w:abstractNumId w:val="42"/>
  </w:num>
  <w:num w:numId="29" w16cid:durableId="880554621">
    <w:abstractNumId w:val="21"/>
  </w:num>
  <w:num w:numId="30" w16cid:durableId="434323690">
    <w:abstractNumId w:val="20"/>
  </w:num>
  <w:num w:numId="31" w16cid:durableId="1269504371">
    <w:abstractNumId w:val="2"/>
  </w:num>
  <w:num w:numId="32" w16cid:durableId="1382438160">
    <w:abstractNumId w:val="0"/>
  </w:num>
  <w:num w:numId="33" w16cid:durableId="1286306028">
    <w:abstractNumId w:val="14"/>
  </w:num>
  <w:num w:numId="34" w16cid:durableId="1822622958">
    <w:abstractNumId w:val="33"/>
  </w:num>
  <w:num w:numId="35" w16cid:durableId="1940599825">
    <w:abstractNumId w:val="31"/>
  </w:num>
  <w:num w:numId="36" w16cid:durableId="417210426">
    <w:abstractNumId w:val="29"/>
  </w:num>
  <w:num w:numId="37" w16cid:durableId="1746681083">
    <w:abstractNumId w:val="10"/>
  </w:num>
  <w:num w:numId="38" w16cid:durableId="825781961">
    <w:abstractNumId w:val="15"/>
  </w:num>
  <w:num w:numId="39" w16cid:durableId="1361976446">
    <w:abstractNumId w:val="37"/>
  </w:num>
  <w:num w:numId="40" w16cid:durableId="1937707242">
    <w:abstractNumId w:val="16"/>
  </w:num>
  <w:num w:numId="41" w16cid:durableId="25495848">
    <w:abstractNumId w:val="9"/>
  </w:num>
  <w:num w:numId="42" w16cid:durableId="921643157">
    <w:abstractNumId w:val="63"/>
  </w:num>
  <w:num w:numId="43" w16cid:durableId="1224027330">
    <w:abstractNumId w:val="25"/>
  </w:num>
  <w:num w:numId="44" w16cid:durableId="1320696771">
    <w:abstractNumId w:val="32"/>
  </w:num>
  <w:num w:numId="45" w16cid:durableId="349189245">
    <w:abstractNumId w:val="47"/>
  </w:num>
  <w:num w:numId="46" w16cid:durableId="1135220345">
    <w:abstractNumId w:val="50"/>
  </w:num>
  <w:num w:numId="47" w16cid:durableId="1559974158">
    <w:abstractNumId w:val="51"/>
  </w:num>
  <w:num w:numId="48" w16cid:durableId="178853108">
    <w:abstractNumId w:val="43"/>
  </w:num>
  <w:num w:numId="49" w16cid:durableId="1217551178">
    <w:abstractNumId w:val="6"/>
  </w:num>
  <w:num w:numId="50" w16cid:durableId="1187909530">
    <w:abstractNumId w:val="53"/>
  </w:num>
  <w:num w:numId="51" w16cid:durableId="1550875619">
    <w:abstractNumId w:val="24"/>
  </w:num>
  <w:num w:numId="52" w16cid:durableId="2017682072">
    <w:abstractNumId w:val="5"/>
  </w:num>
  <w:num w:numId="53" w16cid:durableId="1877542358">
    <w:abstractNumId w:val="55"/>
  </w:num>
  <w:num w:numId="54" w16cid:durableId="2099904822">
    <w:abstractNumId w:val="4"/>
  </w:num>
  <w:num w:numId="55" w16cid:durableId="371076137">
    <w:abstractNumId w:val="18"/>
  </w:num>
  <w:num w:numId="56" w16cid:durableId="1598176924">
    <w:abstractNumId w:val="58"/>
  </w:num>
  <w:num w:numId="57" w16cid:durableId="1373772972">
    <w:abstractNumId w:val="28"/>
  </w:num>
  <w:num w:numId="58" w16cid:durableId="2033459473">
    <w:abstractNumId w:val="12"/>
  </w:num>
  <w:num w:numId="59" w16cid:durableId="298457083">
    <w:abstractNumId w:val="27"/>
  </w:num>
  <w:num w:numId="60" w16cid:durableId="2048479793">
    <w:abstractNumId w:val="22"/>
  </w:num>
  <w:num w:numId="61" w16cid:durableId="587037515">
    <w:abstractNumId w:val="45"/>
  </w:num>
  <w:num w:numId="62" w16cid:durableId="2051565853">
    <w:abstractNumId w:val="36"/>
  </w:num>
  <w:num w:numId="63" w16cid:durableId="49380154">
    <w:abstractNumId w:val="40"/>
  </w:num>
  <w:num w:numId="64" w16cid:durableId="1169641122">
    <w:abstractNumId w:val="19"/>
  </w:num>
  <w:num w:numId="65" w16cid:durableId="1645041019">
    <w:abstractNumId w:val="54"/>
  </w:num>
  <w:num w:numId="66" w16cid:durableId="1108231142">
    <w:abstractNumId w:val="17"/>
  </w:num>
  <w:num w:numId="67" w16cid:durableId="1584342526">
    <w:abstractNumId w:val="5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54B"/>
    <w:rsid w:val="001F00D1"/>
    <w:rsid w:val="00414E8C"/>
    <w:rsid w:val="00456A67"/>
    <w:rsid w:val="004B00A3"/>
    <w:rsid w:val="005532B2"/>
    <w:rsid w:val="005B331D"/>
    <w:rsid w:val="007835A1"/>
    <w:rsid w:val="00A209CD"/>
    <w:rsid w:val="00A263C4"/>
    <w:rsid w:val="00C20064"/>
    <w:rsid w:val="00C86349"/>
    <w:rsid w:val="00D43580"/>
    <w:rsid w:val="00E1354B"/>
    <w:rsid w:val="00E26FD7"/>
    <w:rsid w:val="00F36328"/>
    <w:rsid w:val="00F45976"/>
    <w:rsid w:val="00F960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E52E8A"/>
  <w15:chartTrackingRefBased/>
  <w15:docId w15:val="{FFDA5065-75E8-440A-9A63-1041E6B1E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sz w:val="22"/>
    </w:rPr>
  </w:style>
  <w:style w:type="paragraph" w:styleId="Heading1">
    <w:name w:val="heading 1"/>
    <w:basedOn w:val="Normal"/>
    <w:next w:val="Normal"/>
    <w:link w:val="Heading1Char"/>
    <w:uiPriority w:val="9"/>
    <w:qFormat/>
    <w:rsid w:val="00E135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35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35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35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35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35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35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35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35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35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35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35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35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35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35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35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35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354B"/>
    <w:rPr>
      <w:rFonts w:eastAsiaTheme="majorEastAsia" w:cstheme="majorBidi"/>
      <w:color w:val="272727" w:themeColor="text1" w:themeTint="D8"/>
    </w:rPr>
  </w:style>
  <w:style w:type="paragraph" w:styleId="Title">
    <w:name w:val="Title"/>
    <w:basedOn w:val="Normal"/>
    <w:next w:val="Normal"/>
    <w:link w:val="TitleChar"/>
    <w:uiPriority w:val="10"/>
    <w:qFormat/>
    <w:rsid w:val="00E135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35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35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35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354B"/>
    <w:pPr>
      <w:spacing w:before="160"/>
      <w:jc w:val="center"/>
    </w:pPr>
    <w:rPr>
      <w:i/>
      <w:iCs/>
      <w:color w:val="404040" w:themeColor="text1" w:themeTint="BF"/>
    </w:rPr>
  </w:style>
  <w:style w:type="character" w:customStyle="1" w:styleId="QuoteChar">
    <w:name w:val="Quote Char"/>
    <w:basedOn w:val="DefaultParagraphFont"/>
    <w:link w:val="Quote"/>
    <w:uiPriority w:val="29"/>
    <w:rsid w:val="00E1354B"/>
    <w:rPr>
      <w:i/>
      <w:iCs/>
      <w:color w:val="404040" w:themeColor="text1" w:themeTint="BF"/>
    </w:rPr>
  </w:style>
  <w:style w:type="paragraph" w:styleId="ListParagraph">
    <w:name w:val="List Paragraph"/>
    <w:basedOn w:val="Normal"/>
    <w:uiPriority w:val="34"/>
    <w:qFormat/>
    <w:rsid w:val="00E1354B"/>
    <w:pPr>
      <w:ind w:left="720"/>
      <w:contextualSpacing/>
    </w:pPr>
  </w:style>
  <w:style w:type="character" w:styleId="IntenseEmphasis">
    <w:name w:val="Intense Emphasis"/>
    <w:basedOn w:val="DefaultParagraphFont"/>
    <w:uiPriority w:val="21"/>
    <w:qFormat/>
    <w:rsid w:val="00E1354B"/>
    <w:rPr>
      <w:i/>
      <w:iCs/>
      <w:color w:val="0F4761" w:themeColor="accent1" w:themeShade="BF"/>
    </w:rPr>
  </w:style>
  <w:style w:type="paragraph" w:styleId="IntenseQuote">
    <w:name w:val="Intense Quote"/>
    <w:basedOn w:val="Normal"/>
    <w:next w:val="Normal"/>
    <w:link w:val="IntenseQuoteChar"/>
    <w:uiPriority w:val="30"/>
    <w:qFormat/>
    <w:rsid w:val="00E135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354B"/>
    <w:rPr>
      <w:i/>
      <w:iCs/>
      <w:color w:val="0F4761" w:themeColor="accent1" w:themeShade="BF"/>
    </w:rPr>
  </w:style>
  <w:style w:type="character" w:styleId="IntenseReference">
    <w:name w:val="Intense Reference"/>
    <w:basedOn w:val="DefaultParagraphFont"/>
    <w:uiPriority w:val="32"/>
    <w:qFormat/>
    <w:rsid w:val="00E1354B"/>
    <w:rPr>
      <w:b/>
      <w:bCs/>
      <w:smallCaps/>
      <w:color w:val="0F4761" w:themeColor="accent1" w:themeShade="BF"/>
      <w:spacing w:val="5"/>
    </w:rPr>
  </w:style>
  <w:style w:type="character" w:styleId="Hyperlink">
    <w:name w:val="Hyperlink"/>
    <w:basedOn w:val="DefaultParagraphFont"/>
    <w:uiPriority w:val="99"/>
    <w:unhideWhenUsed/>
    <w:rsid w:val="00E1354B"/>
    <w:rPr>
      <w:color w:val="467886" w:themeColor="hyperlink"/>
      <w:u w:val="single"/>
    </w:rPr>
  </w:style>
  <w:style w:type="character" w:styleId="UnresolvedMention">
    <w:name w:val="Unresolved Mention"/>
    <w:basedOn w:val="DefaultParagraphFont"/>
    <w:uiPriority w:val="99"/>
    <w:semiHidden/>
    <w:unhideWhenUsed/>
    <w:rsid w:val="00E1354B"/>
    <w:rPr>
      <w:color w:val="605E5C"/>
      <w:shd w:val="clear" w:color="auto" w:fill="E1DFDD"/>
    </w:rPr>
  </w:style>
  <w:style w:type="paragraph" w:styleId="NormalWeb">
    <w:name w:val="Normal (Web)"/>
    <w:basedOn w:val="Normal"/>
    <w:uiPriority w:val="99"/>
    <w:unhideWhenUsed/>
    <w:rsid w:val="005532B2"/>
    <w:pPr>
      <w:spacing w:before="100" w:beforeAutospacing="1" w:after="100" w:afterAutospacing="1" w:line="240" w:lineRule="auto"/>
    </w:pPr>
    <w:rPr>
      <w:rFonts w:ascii="Times New Roman" w:eastAsia="Times New Roman" w:hAnsi="Times New Roman" w:cs="Times New Roman"/>
      <w:kern w:val="0"/>
      <w:sz w:val="24"/>
      <w:lang w:eastAsia="en-GB"/>
      <w14:ligatures w14:val="none"/>
    </w:rPr>
  </w:style>
  <w:style w:type="character" w:styleId="Strong">
    <w:name w:val="Strong"/>
    <w:basedOn w:val="DefaultParagraphFont"/>
    <w:uiPriority w:val="22"/>
    <w:qFormat/>
    <w:rsid w:val="005532B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2691524">
      <w:bodyDiv w:val="1"/>
      <w:marLeft w:val="0"/>
      <w:marRight w:val="0"/>
      <w:marTop w:val="0"/>
      <w:marBottom w:val="0"/>
      <w:divBdr>
        <w:top w:val="none" w:sz="0" w:space="0" w:color="auto"/>
        <w:left w:val="none" w:sz="0" w:space="0" w:color="auto"/>
        <w:bottom w:val="none" w:sz="0" w:space="0" w:color="auto"/>
        <w:right w:val="none" w:sz="0" w:space="0" w:color="auto"/>
      </w:divBdr>
    </w:div>
    <w:div w:id="257175107">
      <w:bodyDiv w:val="1"/>
      <w:marLeft w:val="0"/>
      <w:marRight w:val="0"/>
      <w:marTop w:val="0"/>
      <w:marBottom w:val="0"/>
      <w:divBdr>
        <w:top w:val="none" w:sz="0" w:space="0" w:color="auto"/>
        <w:left w:val="none" w:sz="0" w:space="0" w:color="auto"/>
        <w:bottom w:val="none" w:sz="0" w:space="0" w:color="auto"/>
        <w:right w:val="none" w:sz="0" w:space="0" w:color="auto"/>
      </w:divBdr>
    </w:div>
    <w:div w:id="305202110">
      <w:bodyDiv w:val="1"/>
      <w:marLeft w:val="0"/>
      <w:marRight w:val="0"/>
      <w:marTop w:val="0"/>
      <w:marBottom w:val="0"/>
      <w:divBdr>
        <w:top w:val="none" w:sz="0" w:space="0" w:color="auto"/>
        <w:left w:val="none" w:sz="0" w:space="0" w:color="auto"/>
        <w:bottom w:val="none" w:sz="0" w:space="0" w:color="auto"/>
        <w:right w:val="none" w:sz="0" w:space="0" w:color="auto"/>
      </w:divBdr>
    </w:div>
    <w:div w:id="376859738">
      <w:bodyDiv w:val="1"/>
      <w:marLeft w:val="0"/>
      <w:marRight w:val="0"/>
      <w:marTop w:val="0"/>
      <w:marBottom w:val="0"/>
      <w:divBdr>
        <w:top w:val="none" w:sz="0" w:space="0" w:color="auto"/>
        <w:left w:val="none" w:sz="0" w:space="0" w:color="auto"/>
        <w:bottom w:val="none" w:sz="0" w:space="0" w:color="auto"/>
        <w:right w:val="none" w:sz="0" w:space="0" w:color="auto"/>
      </w:divBdr>
    </w:div>
    <w:div w:id="455833168">
      <w:bodyDiv w:val="1"/>
      <w:marLeft w:val="0"/>
      <w:marRight w:val="0"/>
      <w:marTop w:val="0"/>
      <w:marBottom w:val="0"/>
      <w:divBdr>
        <w:top w:val="none" w:sz="0" w:space="0" w:color="auto"/>
        <w:left w:val="none" w:sz="0" w:space="0" w:color="auto"/>
        <w:bottom w:val="none" w:sz="0" w:space="0" w:color="auto"/>
        <w:right w:val="none" w:sz="0" w:space="0" w:color="auto"/>
      </w:divBdr>
    </w:div>
    <w:div w:id="509299580">
      <w:bodyDiv w:val="1"/>
      <w:marLeft w:val="0"/>
      <w:marRight w:val="0"/>
      <w:marTop w:val="0"/>
      <w:marBottom w:val="0"/>
      <w:divBdr>
        <w:top w:val="none" w:sz="0" w:space="0" w:color="auto"/>
        <w:left w:val="none" w:sz="0" w:space="0" w:color="auto"/>
        <w:bottom w:val="none" w:sz="0" w:space="0" w:color="auto"/>
        <w:right w:val="none" w:sz="0" w:space="0" w:color="auto"/>
      </w:divBdr>
      <w:divsChild>
        <w:div w:id="475102900">
          <w:marLeft w:val="0"/>
          <w:marRight w:val="0"/>
          <w:marTop w:val="0"/>
          <w:marBottom w:val="0"/>
          <w:divBdr>
            <w:top w:val="none" w:sz="0" w:space="0" w:color="auto"/>
            <w:left w:val="none" w:sz="0" w:space="0" w:color="auto"/>
            <w:bottom w:val="none" w:sz="0" w:space="0" w:color="auto"/>
            <w:right w:val="none" w:sz="0" w:space="0" w:color="auto"/>
          </w:divBdr>
          <w:divsChild>
            <w:div w:id="691877402">
              <w:marLeft w:val="0"/>
              <w:marRight w:val="0"/>
              <w:marTop w:val="0"/>
              <w:marBottom w:val="0"/>
              <w:divBdr>
                <w:top w:val="none" w:sz="0" w:space="0" w:color="auto"/>
                <w:left w:val="none" w:sz="0" w:space="0" w:color="auto"/>
                <w:bottom w:val="none" w:sz="0" w:space="0" w:color="auto"/>
                <w:right w:val="none" w:sz="0" w:space="0" w:color="auto"/>
              </w:divBdr>
            </w:div>
          </w:divsChild>
        </w:div>
        <w:div w:id="607352522">
          <w:marLeft w:val="0"/>
          <w:marRight w:val="0"/>
          <w:marTop w:val="0"/>
          <w:marBottom w:val="0"/>
          <w:divBdr>
            <w:top w:val="none" w:sz="0" w:space="0" w:color="auto"/>
            <w:left w:val="none" w:sz="0" w:space="0" w:color="auto"/>
            <w:bottom w:val="none" w:sz="0" w:space="0" w:color="auto"/>
            <w:right w:val="none" w:sz="0" w:space="0" w:color="auto"/>
          </w:divBdr>
          <w:divsChild>
            <w:div w:id="1476600378">
              <w:marLeft w:val="0"/>
              <w:marRight w:val="0"/>
              <w:marTop w:val="0"/>
              <w:marBottom w:val="0"/>
              <w:divBdr>
                <w:top w:val="none" w:sz="0" w:space="0" w:color="auto"/>
                <w:left w:val="none" w:sz="0" w:space="0" w:color="auto"/>
                <w:bottom w:val="none" w:sz="0" w:space="0" w:color="auto"/>
                <w:right w:val="none" w:sz="0" w:space="0" w:color="auto"/>
              </w:divBdr>
            </w:div>
          </w:divsChild>
        </w:div>
        <w:div w:id="2140801352">
          <w:marLeft w:val="0"/>
          <w:marRight w:val="0"/>
          <w:marTop w:val="0"/>
          <w:marBottom w:val="0"/>
          <w:divBdr>
            <w:top w:val="none" w:sz="0" w:space="0" w:color="auto"/>
            <w:left w:val="none" w:sz="0" w:space="0" w:color="auto"/>
            <w:bottom w:val="none" w:sz="0" w:space="0" w:color="auto"/>
            <w:right w:val="none" w:sz="0" w:space="0" w:color="auto"/>
          </w:divBdr>
          <w:divsChild>
            <w:div w:id="776873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2790060">
      <w:bodyDiv w:val="1"/>
      <w:marLeft w:val="0"/>
      <w:marRight w:val="0"/>
      <w:marTop w:val="0"/>
      <w:marBottom w:val="0"/>
      <w:divBdr>
        <w:top w:val="none" w:sz="0" w:space="0" w:color="auto"/>
        <w:left w:val="none" w:sz="0" w:space="0" w:color="auto"/>
        <w:bottom w:val="none" w:sz="0" w:space="0" w:color="auto"/>
        <w:right w:val="none" w:sz="0" w:space="0" w:color="auto"/>
      </w:divBdr>
      <w:divsChild>
        <w:div w:id="1929458851">
          <w:marLeft w:val="0"/>
          <w:marRight w:val="0"/>
          <w:marTop w:val="0"/>
          <w:marBottom w:val="0"/>
          <w:divBdr>
            <w:top w:val="none" w:sz="0" w:space="0" w:color="auto"/>
            <w:left w:val="none" w:sz="0" w:space="0" w:color="auto"/>
            <w:bottom w:val="none" w:sz="0" w:space="0" w:color="auto"/>
            <w:right w:val="none" w:sz="0" w:space="0" w:color="auto"/>
          </w:divBdr>
          <w:divsChild>
            <w:div w:id="1493136722">
              <w:marLeft w:val="0"/>
              <w:marRight w:val="0"/>
              <w:marTop w:val="0"/>
              <w:marBottom w:val="0"/>
              <w:divBdr>
                <w:top w:val="none" w:sz="0" w:space="0" w:color="auto"/>
                <w:left w:val="none" w:sz="0" w:space="0" w:color="auto"/>
                <w:bottom w:val="none" w:sz="0" w:space="0" w:color="auto"/>
                <w:right w:val="none" w:sz="0" w:space="0" w:color="auto"/>
              </w:divBdr>
            </w:div>
          </w:divsChild>
        </w:div>
        <w:div w:id="89205101">
          <w:marLeft w:val="0"/>
          <w:marRight w:val="0"/>
          <w:marTop w:val="0"/>
          <w:marBottom w:val="0"/>
          <w:divBdr>
            <w:top w:val="none" w:sz="0" w:space="0" w:color="auto"/>
            <w:left w:val="none" w:sz="0" w:space="0" w:color="auto"/>
            <w:bottom w:val="none" w:sz="0" w:space="0" w:color="auto"/>
            <w:right w:val="none" w:sz="0" w:space="0" w:color="auto"/>
          </w:divBdr>
          <w:divsChild>
            <w:div w:id="795951339">
              <w:marLeft w:val="0"/>
              <w:marRight w:val="0"/>
              <w:marTop w:val="0"/>
              <w:marBottom w:val="0"/>
              <w:divBdr>
                <w:top w:val="none" w:sz="0" w:space="0" w:color="auto"/>
                <w:left w:val="none" w:sz="0" w:space="0" w:color="auto"/>
                <w:bottom w:val="none" w:sz="0" w:space="0" w:color="auto"/>
                <w:right w:val="none" w:sz="0" w:space="0" w:color="auto"/>
              </w:divBdr>
            </w:div>
          </w:divsChild>
        </w:div>
        <w:div w:id="964896802">
          <w:marLeft w:val="0"/>
          <w:marRight w:val="0"/>
          <w:marTop w:val="0"/>
          <w:marBottom w:val="0"/>
          <w:divBdr>
            <w:top w:val="none" w:sz="0" w:space="0" w:color="auto"/>
            <w:left w:val="none" w:sz="0" w:space="0" w:color="auto"/>
            <w:bottom w:val="none" w:sz="0" w:space="0" w:color="auto"/>
            <w:right w:val="none" w:sz="0" w:space="0" w:color="auto"/>
          </w:divBdr>
          <w:divsChild>
            <w:div w:id="208942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0567556">
      <w:bodyDiv w:val="1"/>
      <w:marLeft w:val="0"/>
      <w:marRight w:val="0"/>
      <w:marTop w:val="0"/>
      <w:marBottom w:val="0"/>
      <w:divBdr>
        <w:top w:val="none" w:sz="0" w:space="0" w:color="auto"/>
        <w:left w:val="none" w:sz="0" w:space="0" w:color="auto"/>
        <w:bottom w:val="none" w:sz="0" w:space="0" w:color="auto"/>
        <w:right w:val="none" w:sz="0" w:space="0" w:color="auto"/>
      </w:divBdr>
    </w:div>
    <w:div w:id="1230262769">
      <w:bodyDiv w:val="1"/>
      <w:marLeft w:val="0"/>
      <w:marRight w:val="0"/>
      <w:marTop w:val="0"/>
      <w:marBottom w:val="0"/>
      <w:divBdr>
        <w:top w:val="none" w:sz="0" w:space="0" w:color="auto"/>
        <w:left w:val="none" w:sz="0" w:space="0" w:color="auto"/>
        <w:bottom w:val="none" w:sz="0" w:space="0" w:color="auto"/>
        <w:right w:val="none" w:sz="0" w:space="0" w:color="auto"/>
      </w:divBdr>
      <w:divsChild>
        <w:div w:id="779298960">
          <w:marLeft w:val="0"/>
          <w:marRight w:val="0"/>
          <w:marTop w:val="0"/>
          <w:marBottom w:val="0"/>
          <w:divBdr>
            <w:top w:val="none" w:sz="0" w:space="0" w:color="auto"/>
            <w:left w:val="none" w:sz="0" w:space="0" w:color="auto"/>
            <w:bottom w:val="none" w:sz="0" w:space="0" w:color="auto"/>
            <w:right w:val="none" w:sz="0" w:space="0" w:color="auto"/>
          </w:divBdr>
          <w:divsChild>
            <w:div w:id="1945726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0579189">
      <w:bodyDiv w:val="1"/>
      <w:marLeft w:val="0"/>
      <w:marRight w:val="0"/>
      <w:marTop w:val="0"/>
      <w:marBottom w:val="0"/>
      <w:divBdr>
        <w:top w:val="none" w:sz="0" w:space="0" w:color="auto"/>
        <w:left w:val="none" w:sz="0" w:space="0" w:color="auto"/>
        <w:bottom w:val="none" w:sz="0" w:space="0" w:color="auto"/>
        <w:right w:val="none" w:sz="0" w:space="0" w:color="auto"/>
      </w:divBdr>
    </w:div>
    <w:div w:id="1725980719">
      <w:bodyDiv w:val="1"/>
      <w:marLeft w:val="0"/>
      <w:marRight w:val="0"/>
      <w:marTop w:val="0"/>
      <w:marBottom w:val="0"/>
      <w:divBdr>
        <w:top w:val="none" w:sz="0" w:space="0" w:color="auto"/>
        <w:left w:val="none" w:sz="0" w:space="0" w:color="auto"/>
        <w:bottom w:val="none" w:sz="0" w:space="0" w:color="auto"/>
        <w:right w:val="none" w:sz="0" w:space="0" w:color="auto"/>
      </w:divBdr>
    </w:div>
    <w:div w:id="1835950326">
      <w:bodyDiv w:val="1"/>
      <w:marLeft w:val="0"/>
      <w:marRight w:val="0"/>
      <w:marTop w:val="0"/>
      <w:marBottom w:val="0"/>
      <w:divBdr>
        <w:top w:val="none" w:sz="0" w:space="0" w:color="auto"/>
        <w:left w:val="none" w:sz="0" w:space="0" w:color="auto"/>
        <w:bottom w:val="none" w:sz="0" w:space="0" w:color="auto"/>
        <w:right w:val="none" w:sz="0" w:space="0" w:color="auto"/>
      </w:divBdr>
    </w:div>
    <w:div w:id="1874879254">
      <w:bodyDiv w:val="1"/>
      <w:marLeft w:val="0"/>
      <w:marRight w:val="0"/>
      <w:marTop w:val="0"/>
      <w:marBottom w:val="0"/>
      <w:divBdr>
        <w:top w:val="none" w:sz="0" w:space="0" w:color="auto"/>
        <w:left w:val="none" w:sz="0" w:space="0" w:color="auto"/>
        <w:bottom w:val="none" w:sz="0" w:space="0" w:color="auto"/>
        <w:right w:val="none" w:sz="0" w:space="0" w:color="auto"/>
      </w:divBdr>
    </w:div>
    <w:div w:id="1933119675">
      <w:bodyDiv w:val="1"/>
      <w:marLeft w:val="0"/>
      <w:marRight w:val="0"/>
      <w:marTop w:val="0"/>
      <w:marBottom w:val="0"/>
      <w:divBdr>
        <w:top w:val="none" w:sz="0" w:space="0" w:color="auto"/>
        <w:left w:val="none" w:sz="0" w:space="0" w:color="auto"/>
        <w:bottom w:val="none" w:sz="0" w:space="0" w:color="auto"/>
        <w:right w:val="none" w:sz="0" w:space="0" w:color="auto"/>
      </w:divBdr>
    </w:div>
    <w:div w:id="2101488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deloitte.com" TargetMode="External"/><Relationship Id="rId13" Type="http://schemas.openxmlformats.org/officeDocument/2006/relationships/hyperlink" Target="https://www.pwc.co.uk" TargetMode="External"/><Relationship Id="rId18" Type="http://schemas.openxmlformats.org/officeDocument/2006/relationships/hyperlink" Target="https://www.ukgbc.org" TargetMode="External"/><Relationship Id="rId3" Type="http://schemas.openxmlformats.org/officeDocument/2006/relationships/settings" Target="settings.xml"/><Relationship Id="rId21" Type="http://schemas.openxmlformats.org/officeDocument/2006/relationships/hyperlink" Target="https://wttc.org" TargetMode="External"/><Relationship Id="rId7" Type="http://schemas.openxmlformats.org/officeDocument/2006/relationships/hyperlink" Target="https://www.cipd.org" TargetMode="External"/><Relationship Id="rId12" Type="http://schemas.openxmlformats.org/officeDocument/2006/relationships/hyperlink" Target="https://www.operto.com" TargetMode="External"/><Relationship Id="rId17" Type="http://schemas.openxmlformats.org/officeDocument/2006/relationships/hyperlink" Target="https://www.tripadvisor.co.uk" TargetMode="External"/><Relationship Id="rId2" Type="http://schemas.openxmlformats.org/officeDocument/2006/relationships/styles" Target="styles.xml"/><Relationship Id="rId16" Type="http://schemas.openxmlformats.org/officeDocument/2006/relationships/hyperlink" Target="https://www.thecaterer.com" TargetMode="External"/><Relationship Id="rId20" Type="http://schemas.openxmlformats.org/officeDocument/2006/relationships/hyperlink" Target="https://www.visitbritain.org" TargetMode="External"/><Relationship Id="rId1" Type="http://schemas.openxmlformats.org/officeDocument/2006/relationships/numbering" Target="numbering.xml"/><Relationship Id="rId6" Type="http://schemas.openxmlformats.org/officeDocument/2006/relationships/hyperlink" Target="https://www.bha.org.uk" TargetMode="External"/><Relationship Id="rId11" Type="http://schemas.openxmlformats.org/officeDocument/2006/relationships/hyperlink" Target="https://www.nhs.uk" TargetMode="External"/><Relationship Id="rId5" Type="http://schemas.openxmlformats.org/officeDocument/2006/relationships/image" Target="media/image1.png"/><Relationship Id="rId15" Type="http://schemas.openxmlformats.org/officeDocument/2006/relationships/hyperlink" Target="https://www.statista.com" TargetMode="External"/><Relationship Id="rId23" Type="http://schemas.openxmlformats.org/officeDocument/2006/relationships/theme" Target="theme/theme1.xml"/><Relationship Id="rId10" Type="http://schemas.openxmlformats.org/officeDocument/2006/relationships/hyperlink" Target="https://www.hvs.com" TargetMode="External"/><Relationship Id="rId19" Type="http://schemas.openxmlformats.org/officeDocument/2006/relationships/hyperlink" Target="https://www.unwto.org" TargetMode="External"/><Relationship Id="rId4" Type="http://schemas.openxmlformats.org/officeDocument/2006/relationships/webSettings" Target="webSettings.xml"/><Relationship Id="rId9" Type="http://schemas.openxmlformats.org/officeDocument/2006/relationships/hyperlink" Target="https://www.hospitalityinsights.com" TargetMode="External"/><Relationship Id="rId14" Type="http://schemas.openxmlformats.org/officeDocument/2006/relationships/hyperlink" Target="https://www.radissonhotels.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28</Pages>
  <Words>6670</Words>
  <Characters>44493</Characters>
  <Application>Microsoft Office Word</Application>
  <DocSecurity>0</DocSecurity>
  <Lines>1034</Lines>
  <Paragraphs>422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Judge</dc:creator>
  <cp:keywords/>
  <dc:description/>
  <cp:lastModifiedBy>shereen garraghan</cp:lastModifiedBy>
  <cp:revision>3</cp:revision>
  <dcterms:created xsi:type="dcterms:W3CDTF">2025-06-13T14:05:00Z</dcterms:created>
  <dcterms:modified xsi:type="dcterms:W3CDTF">2025-06-20T19:37:00Z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9d01eba8-6513-4970-92e3-7b1d515c10a0</vt:lpwstr>
  </property>
</Properties>
</file>