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8A44FE">
      <w:pPr>
        <w:tabs>
          <w:tab w:val="left" w:pos="6540"/>
        </w:tabs>
        <w:spacing w:line="360" w:lineRule="auto"/>
        <w:rPr>
          <w:rFonts w:ascii="Arial" w:hAnsi="Arial" w:cs="Arial"/>
          <w:sz w:val="28"/>
          <w:szCs w:val="28"/>
        </w:rPr>
      </w:pPr>
    </w:p>
    <w:p w14:paraId="27888C86" w14:textId="29AC38E2" w:rsidR="00EB12BC" w:rsidRPr="00CF6A60" w:rsidRDefault="0CF0A3E4" w:rsidP="008A44FE">
      <w:pPr>
        <w:tabs>
          <w:tab w:val="left" w:pos="6540"/>
        </w:tabs>
        <w:spacing w:line="360" w:lineRule="auto"/>
        <w:rPr>
          <w:rFonts w:ascii="Arial" w:hAnsi="Arial" w:cs="Arial"/>
          <w:sz w:val="28"/>
          <w:szCs w:val="28"/>
          <w:lang w:val="nl-NL"/>
        </w:rPr>
      </w:pPr>
      <w:r w:rsidRPr="0CF0A3E4">
        <w:rPr>
          <w:rFonts w:ascii="Arial" w:hAnsi="Arial" w:cs="Arial"/>
          <w:b/>
          <w:bCs/>
          <w:sz w:val="28"/>
          <w:szCs w:val="28"/>
          <w:lang w:val="nl-NL"/>
        </w:rPr>
        <w:t>Student name</w:t>
      </w:r>
      <w:r w:rsidRPr="0CF0A3E4">
        <w:rPr>
          <w:rFonts w:ascii="Arial" w:hAnsi="Arial" w:cs="Arial"/>
          <w:sz w:val="28"/>
          <w:szCs w:val="28"/>
          <w:lang w:val="nl-NL"/>
        </w:rPr>
        <w:t xml:space="preserve">: </w:t>
      </w:r>
      <w:r w:rsidR="008A44FE">
        <w:rPr>
          <w:rFonts w:ascii="Arial" w:hAnsi="Arial" w:cs="Arial"/>
          <w:sz w:val="28"/>
          <w:szCs w:val="28"/>
          <w:lang w:val="nl-NL"/>
        </w:rPr>
        <w:t>R</w:t>
      </w:r>
      <w:r w:rsidRPr="0CF0A3E4">
        <w:rPr>
          <w:rFonts w:ascii="Arial" w:hAnsi="Arial" w:cs="Arial"/>
          <w:sz w:val="28"/>
          <w:szCs w:val="28"/>
          <w:lang w:val="nl-NL"/>
        </w:rPr>
        <w:t xml:space="preserve">obson De Souza Silva </w:t>
      </w:r>
    </w:p>
    <w:p w14:paraId="3C83A8A7" w14:textId="714E4D2F" w:rsidR="00EB12BC" w:rsidRPr="00D25CA3" w:rsidRDefault="00EB12BC" w:rsidP="008A44FE">
      <w:pPr>
        <w:tabs>
          <w:tab w:val="left" w:pos="6540"/>
        </w:tabs>
        <w:spacing w:line="360" w:lineRule="auto"/>
        <w:rPr>
          <w:rFonts w:ascii="Arial" w:hAnsi="Arial" w:cs="Arial"/>
          <w:sz w:val="28"/>
          <w:szCs w:val="28"/>
          <w:lang w:val="nl-NL"/>
        </w:rPr>
      </w:pPr>
      <w:r w:rsidRPr="00D25CA3">
        <w:rPr>
          <w:rFonts w:ascii="Arial" w:hAnsi="Arial" w:cs="Arial"/>
          <w:b/>
          <w:bCs/>
          <w:sz w:val="28"/>
          <w:szCs w:val="28"/>
          <w:lang w:val="nl-NL"/>
        </w:rPr>
        <w:t>Student ID</w:t>
      </w:r>
      <w:r w:rsidRPr="00D25CA3">
        <w:rPr>
          <w:rFonts w:ascii="Arial" w:hAnsi="Arial" w:cs="Arial"/>
          <w:sz w:val="28"/>
          <w:szCs w:val="28"/>
          <w:lang w:val="nl-NL"/>
        </w:rPr>
        <w:t>:</w:t>
      </w:r>
      <w:r w:rsidR="00CF6A60" w:rsidRPr="00D25CA3">
        <w:rPr>
          <w:rFonts w:ascii="Arial" w:hAnsi="Arial" w:cs="Arial"/>
          <w:sz w:val="28"/>
          <w:szCs w:val="28"/>
          <w:lang w:val="nl-NL"/>
        </w:rPr>
        <w:t>24265</w:t>
      </w:r>
      <w:r w:rsidR="00D25CA3">
        <w:rPr>
          <w:rFonts w:ascii="Arial" w:hAnsi="Arial" w:cs="Arial"/>
          <w:sz w:val="28"/>
          <w:szCs w:val="28"/>
          <w:lang w:val="nl-NL"/>
        </w:rPr>
        <w:t>85</w:t>
      </w:r>
    </w:p>
    <w:p w14:paraId="21E9DC72" w14:textId="77777777" w:rsidR="00EB12BC" w:rsidRPr="00D25CA3" w:rsidRDefault="00EB12BC" w:rsidP="008A44FE">
      <w:pPr>
        <w:tabs>
          <w:tab w:val="left" w:pos="6540"/>
        </w:tabs>
        <w:spacing w:line="360" w:lineRule="auto"/>
        <w:rPr>
          <w:rFonts w:ascii="Arial" w:hAnsi="Arial" w:cs="Arial"/>
          <w:sz w:val="28"/>
          <w:szCs w:val="28"/>
          <w:lang w:val="nl-NL"/>
        </w:rPr>
      </w:pPr>
    </w:p>
    <w:p w14:paraId="23BAC9B9" w14:textId="1A16F847" w:rsidR="00EB12BC" w:rsidRPr="005934B1" w:rsidRDefault="0CF0A3E4" w:rsidP="008A44FE">
      <w:pPr>
        <w:tabs>
          <w:tab w:val="left" w:pos="6540"/>
        </w:tabs>
        <w:spacing w:line="360" w:lineRule="auto"/>
        <w:rPr>
          <w:rFonts w:ascii="Arial" w:hAnsi="Arial" w:cs="Arial"/>
          <w:sz w:val="28"/>
          <w:szCs w:val="28"/>
        </w:rPr>
      </w:pPr>
      <w:r w:rsidRPr="0CF0A3E4">
        <w:rPr>
          <w:rFonts w:ascii="Arial" w:hAnsi="Arial" w:cs="Arial"/>
          <w:b/>
          <w:bCs/>
          <w:sz w:val="28"/>
          <w:szCs w:val="28"/>
        </w:rPr>
        <w:t>Module name</w:t>
      </w:r>
      <w:r w:rsidRPr="0CF0A3E4">
        <w:rPr>
          <w:rFonts w:ascii="Arial" w:hAnsi="Arial" w:cs="Arial"/>
          <w:sz w:val="28"/>
          <w:szCs w:val="28"/>
        </w:rPr>
        <w:t>: Introduction to Physiology</w:t>
      </w:r>
    </w:p>
    <w:p w14:paraId="4FD97C8C" w14:textId="0C71F858" w:rsidR="00EB12BC" w:rsidRPr="00C03A91" w:rsidRDefault="0CF0A3E4" w:rsidP="008A44FE">
      <w:pPr>
        <w:tabs>
          <w:tab w:val="left" w:pos="6540"/>
        </w:tabs>
        <w:spacing w:line="360" w:lineRule="auto"/>
        <w:rPr>
          <w:rFonts w:ascii="Arial" w:hAnsi="Arial" w:cs="Arial"/>
          <w:sz w:val="28"/>
          <w:szCs w:val="28"/>
        </w:rPr>
      </w:pPr>
      <w:r w:rsidRPr="0CF0A3E4">
        <w:rPr>
          <w:rFonts w:ascii="Arial" w:hAnsi="Arial" w:cs="Arial"/>
          <w:b/>
          <w:bCs/>
          <w:sz w:val="28"/>
          <w:szCs w:val="28"/>
        </w:rPr>
        <w:t xml:space="preserve">Module code: </w:t>
      </w:r>
      <w:r w:rsidRPr="0CF0A3E4">
        <w:rPr>
          <w:rFonts w:ascii="Arial" w:hAnsi="Arial" w:cs="Arial"/>
          <w:sz w:val="28"/>
          <w:szCs w:val="28"/>
        </w:rPr>
        <w:t>BMHP5023</w:t>
      </w:r>
    </w:p>
    <w:p w14:paraId="658BE57E" w14:textId="619355DD" w:rsidR="00EB12BC" w:rsidRPr="00C03A91" w:rsidRDefault="0CF0A3E4" w:rsidP="008A44FE">
      <w:pPr>
        <w:tabs>
          <w:tab w:val="left" w:pos="6540"/>
        </w:tabs>
        <w:spacing w:line="360" w:lineRule="auto"/>
        <w:rPr>
          <w:rFonts w:ascii="Arial" w:hAnsi="Arial" w:cs="Arial"/>
          <w:sz w:val="28"/>
          <w:szCs w:val="28"/>
        </w:rPr>
      </w:pPr>
      <w:r w:rsidRPr="0CF0A3E4">
        <w:rPr>
          <w:rFonts w:ascii="Arial" w:hAnsi="Arial" w:cs="Arial"/>
          <w:b/>
          <w:bCs/>
          <w:sz w:val="28"/>
          <w:szCs w:val="28"/>
        </w:rPr>
        <w:t xml:space="preserve">Lecturer name:  </w:t>
      </w:r>
      <w:r w:rsidRPr="0CF0A3E4">
        <w:rPr>
          <w:rFonts w:ascii="Arial" w:hAnsi="Arial" w:cs="Arial"/>
          <w:sz w:val="28"/>
          <w:szCs w:val="28"/>
        </w:rPr>
        <w:t>Shaila Hussain</w:t>
      </w:r>
    </w:p>
    <w:p w14:paraId="5AFF31F9" w14:textId="77777777" w:rsidR="001B7A40" w:rsidRPr="00C03A91" w:rsidRDefault="001B7A40" w:rsidP="008A44FE">
      <w:pPr>
        <w:tabs>
          <w:tab w:val="left" w:pos="6540"/>
        </w:tabs>
        <w:spacing w:line="360" w:lineRule="auto"/>
        <w:rPr>
          <w:rFonts w:ascii="Arial" w:hAnsi="Arial" w:cs="Arial"/>
          <w:b/>
          <w:bCs/>
          <w:sz w:val="28"/>
          <w:szCs w:val="28"/>
        </w:rPr>
      </w:pPr>
    </w:p>
    <w:p w14:paraId="53B923F4" w14:textId="2BE8CFE4" w:rsidR="001B7A40" w:rsidRPr="008D6859" w:rsidRDefault="001B7A40" w:rsidP="008A44FE">
      <w:pPr>
        <w:tabs>
          <w:tab w:val="left" w:pos="6540"/>
        </w:tabs>
        <w:spacing w:line="360" w:lineRule="auto"/>
        <w:rPr>
          <w:rFonts w:ascii="Arial" w:hAnsi="Arial" w:cs="Arial"/>
          <w:sz w:val="28"/>
          <w:szCs w:val="28"/>
        </w:rPr>
      </w:pPr>
      <w:r w:rsidRPr="00C03A91">
        <w:rPr>
          <w:rFonts w:ascii="Arial" w:hAnsi="Arial" w:cs="Arial"/>
          <w:b/>
          <w:bCs/>
          <w:sz w:val="28"/>
          <w:szCs w:val="28"/>
        </w:rPr>
        <w:t>Assessment:</w:t>
      </w:r>
      <w:r w:rsidR="008D6859">
        <w:rPr>
          <w:rFonts w:ascii="Arial" w:hAnsi="Arial" w:cs="Arial"/>
          <w:b/>
          <w:bCs/>
          <w:sz w:val="28"/>
          <w:szCs w:val="28"/>
        </w:rPr>
        <w:t xml:space="preserve"> </w:t>
      </w:r>
      <w:r w:rsidR="008D6859">
        <w:rPr>
          <w:rFonts w:ascii="Arial" w:hAnsi="Arial" w:cs="Arial"/>
          <w:sz w:val="28"/>
          <w:szCs w:val="28"/>
        </w:rPr>
        <w:t xml:space="preserve">Case to Study Diabetes </w:t>
      </w:r>
    </w:p>
    <w:p w14:paraId="36E012A0" w14:textId="4D376276" w:rsidR="000C4EDA" w:rsidRPr="00C03A91" w:rsidRDefault="000C4EDA" w:rsidP="008A44FE">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42A8432" w14:textId="3DC67A3B" w:rsidR="000C4EDA" w:rsidRDefault="680ABCAF" w:rsidP="680ABCAF">
      <w:pPr>
        <w:pStyle w:val="Heading1"/>
        <w:numPr>
          <w:ilvl w:val="0"/>
          <w:numId w:val="10"/>
        </w:numPr>
        <w:spacing w:line="360" w:lineRule="auto"/>
        <w:rPr>
          <w:rFonts w:cs="Arial"/>
        </w:rPr>
      </w:pPr>
      <w:r w:rsidRPr="680ABCAF">
        <w:rPr>
          <w:rFonts w:cs="Arial"/>
        </w:rPr>
        <w:lastRenderedPageBreak/>
        <w:t xml:space="preserve">Introduction </w:t>
      </w:r>
    </w:p>
    <w:p w14:paraId="1A5AAC81" w14:textId="7FECCBB5" w:rsidR="680ABCAF" w:rsidRDefault="680ABCAF" w:rsidP="680ABCAF"/>
    <w:p w14:paraId="3C1C2F1A" w14:textId="1FFDD66D" w:rsidR="680ABCAF" w:rsidRDefault="680ABCAF" w:rsidP="680ABCAF"/>
    <w:p w14:paraId="40F87201" w14:textId="502461FB" w:rsidR="680ABCAF" w:rsidRDefault="0CF0A3E4" w:rsidP="0CF0A3E4">
      <w:pPr>
        <w:spacing w:line="360" w:lineRule="auto"/>
        <w:rPr>
          <w:rFonts w:ascii="Arial" w:eastAsia="Arial" w:hAnsi="Arial" w:cs="Arial"/>
          <w:b/>
          <w:bCs/>
          <w:i/>
          <w:iCs/>
          <w:sz w:val="28"/>
          <w:szCs w:val="28"/>
        </w:rPr>
      </w:pPr>
      <w:r w:rsidRPr="0CF0A3E4">
        <w:rPr>
          <w:rFonts w:ascii="Arial" w:eastAsia="Arial" w:hAnsi="Arial" w:cs="Arial"/>
          <w:b/>
          <w:bCs/>
          <w:i/>
          <w:iCs/>
          <w:sz w:val="28"/>
          <w:szCs w:val="28"/>
        </w:rPr>
        <w:t>Diabetes:</w:t>
      </w:r>
    </w:p>
    <w:p w14:paraId="04A95D49" w14:textId="77777777" w:rsidR="00A30028" w:rsidRPr="00A30028" w:rsidRDefault="00A30028" w:rsidP="00A30028">
      <w:pPr>
        <w:spacing w:line="360" w:lineRule="auto"/>
        <w:jc w:val="both"/>
        <w:rPr>
          <w:rFonts w:ascii="Arial" w:eastAsia="Arial" w:hAnsi="Arial" w:cs="Arial"/>
          <w:sz w:val="22"/>
        </w:rPr>
      </w:pPr>
      <w:r w:rsidRPr="00A30028">
        <w:rPr>
          <w:rFonts w:ascii="Arial" w:eastAsia="Arial" w:hAnsi="Arial" w:cs="Arial"/>
          <w:sz w:val="22"/>
        </w:rPr>
        <w:t>Diabetes is a long</w:t>
      </w:r>
      <w:r w:rsidRPr="00A30028">
        <w:rPr>
          <w:rFonts w:ascii="Cambria Math" w:eastAsia="Arial" w:hAnsi="Cambria Math" w:cs="Cambria Math"/>
          <w:sz w:val="22"/>
        </w:rPr>
        <w:t>‑</w:t>
      </w:r>
      <w:r w:rsidRPr="00A30028">
        <w:rPr>
          <w:rFonts w:ascii="Arial" w:eastAsia="Arial" w:hAnsi="Arial" w:cs="Arial"/>
          <w:sz w:val="22"/>
        </w:rPr>
        <w:t>term metabolic condition where blood glucose stays higher than it should, gradually damaging the heart, blood vessels, eyes, kidneys and nerves. According to the WHO, type 2 diabetes is the most common form and usually appears in adulthood when the body becomes resistant to insulin or cannot produce enough of it. Its global rise over the past three decades has affected countries at every income level. Type 1 diabetes is different: it is an autoimmune condition where the pancreas produces little or no insulin, meaning lifelong insulin therapy is essential.</w:t>
      </w:r>
    </w:p>
    <w:p w14:paraId="706C5B76" w14:textId="77777777" w:rsidR="00A30028" w:rsidRPr="00A30028" w:rsidRDefault="00A30028" w:rsidP="00A30028">
      <w:pPr>
        <w:spacing w:line="360" w:lineRule="auto"/>
        <w:jc w:val="both"/>
        <w:rPr>
          <w:rFonts w:ascii="Arial" w:eastAsia="Arial" w:hAnsi="Arial" w:cs="Arial"/>
          <w:sz w:val="22"/>
        </w:rPr>
      </w:pPr>
    </w:p>
    <w:p w14:paraId="011753FB" w14:textId="07FDA293" w:rsidR="00A30028" w:rsidRDefault="00A30028" w:rsidP="00A30028">
      <w:pPr>
        <w:spacing w:line="360" w:lineRule="auto"/>
        <w:jc w:val="both"/>
        <w:rPr>
          <w:rFonts w:ascii="Arial" w:eastAsia="Arial" w:hAnsi="Arial" w:cs="Arial"/>
          <w:sz w:val="22"/>
        </w:rPr>
      </w:pPr>
      <w:r w:rsidRPr="00A30028">
        <w:rPr>
          <w:rFonts w:ascii="Arial" w:eastAsia="Arial" w:hAnsi="Arial" w:cs="Arial"/>
          <w:sz w:val="22"/>
        </w:rPr>
        <w:t>Symptoms can be easy to overlook—especially in type 2 diabetes—but often include increased thirst, frequent urination, tiredness, unexplained weight loss and blurred vision. These signs should prompt early testing, as timely diagnosis helps reduce long</w:t>
      </w:r>
      <w:r w:rsidRPr="00A30028">
        <w:rPr>
          <w:rFonts w:ascii="Cambria Math" w:eastAsia="Arial" w:hAnsi="Cambria Math" w:cs="Cambria Math"/>
          <w:sz w:val="22"/>
        </w:rPr>
        <w:t>‑</w:t>
      </w:r>
      <w:r w:rsidRPr="00A30028">
        <w:rPr>
          <w:rFonts w:ascii="Arial" w:eastAsia="Arial" w:hAnsi="Arial" w:cs="Arial"/>
          <w:sz w:val="22"/>
        </w:rPr>
        <w:t>term complications. Diagnosis typically relies on blood tests such as fasting plasma glucose, random glucose and HbA1c, which support both initial classification and ongoing management, as highlighted by WHO.</w:t>
      </w:r>
    </w:p>
    <w:p w14:paraId="7B2282EA" w14:textId="5F70AFDB" w:rsidR="00BC58A1" w:rsidRDefault="0CF0A3E4" w:rsidP="0CF0A3E4">
      <w:pPr>
        <w:spacing w:line="360" w:lineRule="auto"/>
        <w:jc w:val="both"/>
        <w:rPr>
          <w:rFonts w:ascii="Arial" w:eastAsia="Arial" w:hAnsi="Arial" w:cs="Arial"/>
          <w:sz w:val="22"/>
        </w:rPr>
      </w:pPr>
      <w:r w:rsidRPr="0CF0A3E4">
        <w:rPr>
          <w:rFonts w:ascii="Arial" w:eastAsia="Arial" w:hAnsi="Arial" w:cs="Arial"/>
          <w:sz w:val="22"/>
        </w:rPr>
        <w:t>Long-term complications arise from chronic hyperglycaemia and include cardiovascular disease, retinopathy, nephropathy and neuropathy; addressing modifiable risks—healthy diet, regular physical activity, maintaining a healthy weight and avoiding tobacco—can prevent or delay type 2 diabetes and reduce complication rates.  Public-health responses emphasise screening, patient education, lifestyle interventions and, where needed, pharmacotherapy to achieve glycaemic targets and lessen the global burden of disease.</w:t>
      </w:r>
    </w:p>
    <w:p w14:paraId="208CC1B6" w14:textId="4EEC1743" w:rsidR="00254B84" w:rsidRPr="00BC58A1" w:rsidRDefault="00254B84" w:rsidP="0CF0A3E4">
      <w:pPr>
        <w:spacing w:line="360" w:lineRule="auto"/>
        <w:jc w:val="both"/>
        <w:rPr>
          <w:rFonts w:ascii="Arial" w:eastAsia="Arial" w:hAnsi="Arial" w:cs="Arial"/>
          <w:sz w:val="22"/>
        </w:rPr>
      </w:pPr>
      <w:r w:rsidRPr="00254B84">
        <w:rPr>
          <w:rFonts w:ascii="Arial" w:eastAsia="Arial" w:hAnsi="Arial" w:cs="Arial"/>
          <w:sz w:val="22"/>
        </w:rPr>
        <w:t>The March 2025 National Diabetes Audit (NDA) update provides an overview of diabetes care in England for the 15</w:t>
      </w:r>
      <w:r w:rsidRPr="00254B84">
        <w:rPr>
          <w:rFonts w:ascii="Cambria Math" w:eastAsia="Arial" w:hAnsi="Cambria Math" w:cs="Cambria Math"/>
          <w:sz w:val="22"/>
        </w:rPr>
        <w:t>‑</w:t>
      </w:r>
      <w:r w:rsidRPr="00254B84">
        <w:rPr>
          <w:rFonts w:ascii="Arial" w:eastAsia="Arial" w:hAnsi="Arial" w:cs="Arial"/>
          <w:sz w:val="22"/>
        </w:rPr>
        <w:t>month period up to March 2024. As a major national audit, the NDA uses primary care data to assess how well GP practices are meeting NICE expectations for high</w:t>
      </w:r>
      <w:r w:rsidRPr="00254B84">
        <w:rPr>
          <w:rFonts w:ascii="Cambria Math" w:eastAsia="Arial" w:hAnsi="Cambria Math" w:cs="Cambria Math"/>
          <w:sz w:val="22"/>
        </w:rPr>
        <w:t>‑</w:t>
      </w:r>
      <w:r w:rsidRPr="00254B84">
        <w:rPr>
          <w:rFonts w:ascii="Arial" w:eastAsia="Arial" w:hAnsi="Arial" w:cs="Arial"/>
          <w:sz w:val="22"/>
        </w:rPr>
        <w:t>quality diabetes management. This includes monitoring delivery of the nine recommended care processes and progress towards the three core treatment targets. With 98.2% of GP practices contributing data, the update offers a reliable national picture of current performance and highlights areas where diabetes care is improving or requires further attention</w:t>
      </w:r>
      <w:r w:rsidR="00861A0E">
        <w:rPr>
          <w:rFonts w:ascii="Arial" w:eastAsia="Arial" w:hAnsi="Arial" w:cs="Arial"/>
          <w:sz w:val="22"/>
        </w:rPr>
        <w:t>.</w:t>
      </w:r>
    </w:p>
    <w:p w14:paraId="3ECDA50D" w14:textId="77777777" w:rsidR="00E932B6" w:rsidRDefault="00E932B6" w:rsidP="0CF0A3E4">
      <w:pPr>
        <w:spacing w:line="360" w:lineRule="auto"/>
        <w:jc w:val="both"/>
        <w:rPr>
          <w:rFonts w:ascii="Arial" w:eastAsia="Arial" w:hAnsi="Arial" w:cs="Arial"/>
          <w:sz w:val="22"/>
        </w:rPr>
      </w:pPr>
    </w:p>
    <w:p w14:paraId="0A8528B1" w14:textId="4CB46E93" w:rsidR="00C03A91" w:rsidRDefault="00FD7392" w:rsidP="0CF0A3E4">
      <w:pPr>
        <w:spacing w:line="360" w:lineRule="auto"/>
        <w:jc w:val="both"/>
        <w:rPr>
          <w:rFonts w:ascii="Arial" w:eastAsia="Arial" w:hAnsi="Arial" w:cs="Arial"/>
          <w:sz w:val="22"/>
        </w:rPr>
      </w:pPr>
      <w:r>
        <w:rPr>
          <w:noProof/>
        </w:rPr>
        <w:lastRenderedPageBreak/>
        <w:drawing>
          <wp:inline distT="0" distB="0" distL="0" distR="0" wp14:anchorId="07C4075D" wp14:editId="414AEA6A">
            <wp:extent cx="6276975" cy="3810000"/>
            <wp:effectExtent l="0" t="0" r="0" b="0"/>
            <wp:docPr id="3732710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271028" name="Picture 373271028"/>
                    <pic:cNvPicPr/>
                  </pic:nvPicPr>
                  <pic:blipFill>
                    <a:blip r:embed="rId9">
                      <a:extLst>
                        <a:ext uri="{28A0092B-C50C-407E-A947-70E740481C1C}">
                          <a14:useLocalDpi xmlns:a14="http://schemas.microsoft.com/office/drawing/2010/main"/>
                        </a:ext>
                      </a:extLst>
                    </a:blip>
                    <a:stretch>
                      <a:fillRect/>
                    </a:stretch>
                  </pic:blipFill>
                  <pic:spPr>
                    <a:xfrm>
                      <a:off x="0" y="0"/>
                      <a:ext cx="6276975" cy="3810000"/>
                    </a:xfrm>
                    <a:prstGeom prst="rect">
                      <a:avLst/>
                    </a:prstGeom>
                  </pic:spPr>
                </pic:pic>
              </a:graphicData>
            </a:graphic>
          </wp:inline>
        </w:drawing>
      </w:r>
    </w:p>
    <w:p w14:paraId="0763DBB1" w14:textId="70BA0372" w:rsidR="007A7297" w:rsidRPr="00C03A91" w:rsidRDefault="007A7297" w:rsidP="0CF0A3E4">
      <w:pPr>
        <w:tabs>
          <w:tab w:val="left" w:pos="6540"/>
        </w:tabs>
        <w:spacing w:line="360" w:lineRule="auto"/>
        <w:jc w:val="both"/>
        <w:rPr>
          <w:rFonts w:ascii="Arial" w:hAnsi="Arial" w:cs="Arial"/>
          <w:b/>
          <w:bCs/>
          <w:i/>
          <w:iCs/>
          <w:color w:val="171717" w:themeColor="background2" w:themeShade="1A"/>
          <w:sz w:val="28"/>
          <w:szCs w:val="28"/>
        </w:rPr>
      </w:pPr>
    </w:p>
    <w:p w14:paraId="540BB090" w14:textId="63B0050B" w:rsidR="007A7297" w:rsidRPr="00C03A91" w:rsidRDefault="0CF0A3E4" w:rsidP="0CF0A3E4">
      <w:pPr>
        <w:tabs>
          <w:tab w:val="left" w:pos="6540"/>
        </w:tabs>
        <w:spacing w:line="360" w:lineRule="auto"/>
        <w:jc w:val="both"/>
        <w:rPr>
          <w:rFonts w:ascii="Arial" w:hAnsi="Arial" w:cs="Arial"/>
          <w:b/>
          <w:bCs/>
          <w:i/>
          <w:iCs/>
          <w:color w:val="8EAADB" w:themeColor="accent1" w:themeTint="99"/>
          <w:sz w:val="28"/>
          <w:szCs w:val="28"/>
        </w:rPr>
      </w:pPr>
      <w:r w:rsidRPr="0CF0A3E4">
        <w:rPr>
          <w:rFonts w:ascii="Arial" w:hAnsi="Arial" w:cs="Arial"/>
          <w:b/>
          <w:bCs/>
          <w:i/>
          <w:iCs/>
          <w:color w:val="171717" w:themeColor="background2" w:themeShade="1A"/>
          <w:sz w:val="28"/>
          <w:szCs w:val="28"/>
        </w:rPr>
        <w:t>Relate it to the endocrine system</w:t>
      </w:r>
    </w:p>
    <w:p w14:paraId="233C3C4D" w14:textId="32A73E74" w:rsidR="007A7297" w:rsidRPr="00C03A91" w:rsidRDefault="0CF0A3E4" w:rsidP="0CF0A3E4">
      <w:pPr>
        <w:tabs>
          <w:tab w:val="left" w:pos="6540"/>
        </w:tabs>
        <w:spacing w:line="360" w:lineRule="auto"/>
        <w:jc w:val="both"/>
        <w:rPr>
          <w:rFonts w:ascii="Arial" w:hAnsi="Arial" w:cs="Arial"/>
          <w:b/>
          <w:bCs/>
          <w:color w:val="8EAADB" w:themeColor="accent1" w:themeTint="99"/>
          <w:sz w:val="22"/>
        </w:rPr>
      </w:pPr>
      <w:r w:rsidRPr="0CF0A3E4">
        <w:rPr>
          <w:rFonts w:ascii="Arial" w:eastAsia="Arial" w:hAnsi="Arial" w:cs="Arial"/>
          <w:sz w:val="22"/>
        </w:rPr>
        <w:t xml:space="preserve">Type 2 diabetes (T2D) arises from a progressive interplay between peripheral insulin resistance and failing pancreatic β‑cells, which together disrupt glucose homeostasis. Initially, metabolic stressors associated with metabolic syndrome—notably central obesity, dyslipidaemia, hypertension and impaired glucose tolerance—drive compensatory hyperinsulinemia as β‑cells increase insulin output to maintain normoglycaemia. Over time, chronic nutrient excess, biotoxicity and glucotoxicity, together with inflammatory and oxidative signals, impair β‑cell function and reduce β‑cell mass, so insulin secretion becomes inadequate for prevailing insulin resistance and hyperglycaemia ensues. The severity of β‑cell dysfunction correlates with the intensity and duration of metabolic syndrome features, explaining why individuals with greater central adiposity, more pronounced dyslipidaemia or longer exposure to insulin resistance progress more rapidly to overt T2D. Clinically, this pathophysiology underpins the heterogeneity of T2D presentation and treatment response: some patients benefit primarily from insulin‑sensitizing interventions, while others require therapies that preserve or replace β‑cell function. Preventive strategies that reduce adiposity, improve lipid profiles and lower blood pressure therefore not only mitigate cardiovascular risk but also relieve β‑cell stress and delay or prevent progression to T2D. Population‑level </w:t>
      </w:r>
      <w:r w:rsidRPr="0CF0A3E4">
        <w:rPr>
          <w:rFonts w:ascii="Arial" w:eastAsia="Arial" w:hAnsi="Arial" w:cs="Arial"/>
          <w:sz w:val="22"/>
        </w:rPr>
        <w:lastRenderedPageBreak/>
        <w:t>surveillance and targeted interventions for high‑risk groups remain essential to curb the rising burden of T2D linked to metabolic syndrome. (Diabetes UK, 2024; World Health Organization, 2024; GOV.UK, 2025).</w:t>
      </w:r>
      <w:r w:rsidRPr="0CF0A3E4">
        <w:rPr>
          <w:rFonts w:ascii="Arial" w:hAnsi="Arial" w:cs="Arial"/>
          <w:color w:val="8EAADB" w:themeColor="accent1" w:themeTint="99"/>
          <w:sz w:val="22"/>
        </w:rPr>
        <w:t xml:space="preserve"> </w:t>
      </w:r>
    </w:p>
    <w:p w14:paraId="35B29F3A" w14:textId="2F7462BC" w:rsidR="007A7297" w:rsidRPr="00C03A91" w:rsidRDefault="007A7297" w:rsidP="0CF0A3E4">
      <w:pPr>
        <w:tabs>
          <w:tab w:val="left" w:pos="6540"/>
        </w:tabs>
        <w:spacing w:line="360" w:lineRule="auto"/>
        <w:jc w:val="both"/>
        <w:rPr>
          <w:rFonts w:ascii="Arial" w:hAnsi="Arial" w:cs="Arial"/>
          <w:b/>
          <w:bCs/>
          <w:color w:val="8EAADB" w:themeColor="accent1" w:themeTint="99"/>
          <w:sz w:val="22"/>
        </w:rPr>
      </w:pPr>
    </w:p>
    <w:p w14:paraId="6AFAC76D" w14:textId="77777777" w:rsidR="00C03A91" w:rsidRPr="00C03A91" w:rsidRDefault="00C03A91" w:rsidP="0CF0A3E4">
      <w:pPr>
        <w:tabs>
          <w:tab w:val="left" w:pos="6540"/>
        </w:tabs>
        <w:spacing w:line="360" w:lineRule="auto"/>
        <w:rPr>
          <w:rFonts w:ascii="Arial" w:hAnsi="Arial" w:cs="Arial"/>
          <w:b/>
          <w:bCs/>
          <w:color w:val="8EAADB" w:themeColor="accent1" w:themeTint="99"/>
          <w:sz w:val="22"/>
        </w:rPr>
      </w:pPr>
    </w:p>
    <w:p w14:paraId="2D95E97C" w14:textId="0116D9CF" w:rsidR="00C03A91" w:rsidRPr="00C03A91" w:rsidRDefault="0CF0A3E4" w:rsidP="00C03A91">
      <w:pPr>
        <w:pStyle w:val="Heading1"/>
        <w:spacing w:line="360" w:lineRule="auto"/>
        <w:rPr>
          <w:rFonts w:cs="Arial"/>
        </w:rPr>
      </w:pPr>
      <w:r w:rsidRPr="0CF0A3E4">
        <w:rPr>
          <w:rFonts w:cs="Arial"/>
        </w:rPr>
        <w:t>2. Blood Sugar Regulation</w:t>
      </w:r>
    </w:p>
    <w:p w14:paraId="05D87D34" w14:textId="1FB1AF63" w:rsidR="0CF0A3E4" w:rsidRDefault="0CF0A3E4" w:rsidP="0CF0A3E4"/>
    <w:p w14:paraId="10061398" w14:textId="6F726B28"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Blood glucose is kept within a narrow range by a negative‑feedback system centred on the pancreas, liver and target tissues. The pancreatic β‑cells secrete insulin when blood glucose rises (for example after a meal). Insulin promotes glucose uptake into muscle and adipose cells, stimulates glycogen synthesis in the liver and muscle, and suppresses hepatic glucose production. These actions lower blood glucose toward the set point.</w:t>
      </w:r>
    </w:p>
    <w:p w14:paraId="2D15430D" w14:textId="018F37BD"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When blood glucose falls (fasting or between meals), pancreatic α‑cells release glucagon. Glucagon stimulates glycogenolysis (breakdown of liver glycogen) and gluconeogenesis (new glucose synthesis from amino acids and glycerol) in the liver, raising circulating glucose to meet brain and tissue needs. Rising glucose then inhibits further glucagon release, completing the feedback loop.  Smith, J. (2019).</w:t>
      </w:r>
    </w:p>
    <w:p w14:paraId="2465958D" w14:textId="23417B91"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 xml:space="preserve"> </w:t>
      </w:r>
    </w:p>
    <w:p w14:paraId="66D8307E" w14:textId="707CB1A2" w:rsidR="0CF0A3E4" w:rsidRDefault="0CF0A3E4" w:rsidP="0CF0A3E4">
      <w:pPr>
        <w:spacing w:before="240" w:after="240" w:line="360" w:lineRule="auto"/>
        <w:jc w:val="both"/>
        <w:rPr>
          <w:rFonts w:ascii="Arial" w:eastAsia="Arial" w:hAnsi="Arial" w:cs="Arial"/>
          <w:b/>
          <w:bCs/>
          <w:i/>
          <w:iCs/>
          <w:sz w:val="22"/>
        </w:rPr>
      </w:pPr>
      <w:r w:rsidRPr="0CF0A3E4">
        <w:rPr>
          <w:rFonts w:ascii="Arial" w:eastAsia="Arial" w:hAnsi="Arial" w:cs="Arial"/>
          <w:b/>
          <w:bCs/>
          <w:i/>
          <w:iCs/>
          <w:sz w:val="22"/>
        </w:rPr>
        <w:t>Key mechanisms and timing</w:t>
      </w:r>
    </w:p>
    <w:p w14:paraId="2F3B8FB5" w14:textId="1FB5CC96"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 Immediate post‑prandial (after eating): insulin secretion increases; glucose is taken up and stored as glycogen or converted to fat.</w:t>
      </w:r>
    </w:p>
    <w:p w14:paraId="4D645F7A" w14:textId="17688CED" w:rsidR="0CF0A3E4" w:rsidRDefault="0CF0A3E4" w:rsidP="0CF0A3E4">
      <w:pPr>
        <w:spacing w:line="360" w:lineRule="auto"/>
        <w:jc w:val="both"/>
        <w:rPr>
          <w:rFonts w:ascii="Arial" w:eastAsia="Arial" w:hAnsi="Arial" w:cs="Arial"/>
          <w:sz w:val="22"/>
        </w:rPr>
      </w:pPr>
      <w:r w:rsidRPr="0CF0A3E4">
        <w:rPr>
          <w:rFonts w:ascii="Arial" w:eastAsia="Arial" w:hAnsi="Arial" w:cs="Arial"/>
          <w:sz w:val="22"/>
        </w:rPr>
        <w:t>• Fasting or exercise: glucagon and sympathetic signals increase; liver supplies glucose via glycogenolysis and gluconeogenesis.</w:t>
      </w:r>
    </w:p>
    <w:p w14:paraId="06DA6B2E" w14:textId="4033F272" w:rsidR="0CF0A3E4" w:rsidRDefault="0CF0A3E4" w:rsidP="0CF0A3E4"/>
    <w:p w14:paraId="2C7B4D77" w14:textId="77777777" w:rsidR="00C03A91" w:rsidRPr="00C03A91" w:rsidRDefault="00C03A91" w:rsidP="00C03A91">
      <w:pPr>
        <w:tabs>
          <w:tab w:val="left" w:pos="6540"/>
        </w:tabs>
        <w:spacing w:line="360" w:lineRule="auto"/>
        <w:rPr>
          <w:rFonts w:ascii="Arial" w:hAnsi="Arial" w:cs="Arial"/>
          <w:sz w:val="22"/>
        </w:rPr>
      </w:pPr>
    </w:p>
    <w:p w14:paraId="381CCE5B" w14:textId="0417323A" w:rsidR="000C4EDA" w:rsidRPr="00C03A91" w:rsidRDefault="0CF0A3E4" w:rsidP="00C03A91">
      <w:pPr>
        <w:pStyle w:val="Heading1"/>
        <w:spacing w:line="360" w:lineRule="auto"/>
        <w:rPr>
          <w:rFonts w:cs="Arial"/>
        </w:rPr>
      </w:pPr>
      <w:r w:rsidRPr="0CF0A3E4">
        <w:rPr>
          <w:rFonts w:cs="Arial"/>
        </w:rPr>
        <w:t xml:space="preserve">3. Cellular Metabolism </w:t>
      </w:r>
    </w:p>
    <w:p w14:paraId="43BCEFB3" w14:textId="7C3F1E0D" w:rsidR="0CF0A3E4" w:rsidRDefault="0CF0A3E4" w:rsidP="0CF0A3E4"/>
    <w:p w14:paraId="577EC614" w14:textId="243C9DF6" w:rsidR="0CF0A3E4" w:rsidRDefault="0CF0A3E4" w:rsidP="0CF0A3E4">
      <w:pPr>
        <w:spacing w:before="240" w:after="240"/>
        <w:jc w:val="both"/>
        <w:rPr>
          <w:rFonts w:ascii="Arial" w:eastAsia="Arial" w:hAnsi="Arial" w:cs="Arial"/>
          <w:sz w:val="22"/>
        </w:rPr>
      </w:pPr>
      <w:r w:rsidRPr="0CF0A3E4">
        <w:rPr>
          <w:rFonts w:ascii="Arial" w:eastAsia="Arial" w:hAnsi="Arial" w:cs="Arial"/>
          <w:sz w:val="22"/>
        </w:rPr>
        <w:t xml:space="preserve">Cells turn the food you eat into usable energy so your body can move, think and repair itself. The main fuel is </w:t>
      </w:r>
      <w:r w:rsidR="007C4FC1" w:rsidRPr="0CF0A3E4">
        <w:rPr>
          <w:rFonts w:ascii="Arial" w:eastAsia="Arial" w:hAnsi="Arial" w:cs="Arial"/>
          <w:sz w:val="22"/>
        </w:rPr>
        <w:t>glucose;</w:t>
      </w:r>
      <w:r w:rsidRPr="0CF0A3E4">
        <w:rPr>
          <w:rFonts w:ascii="Arial" w:eastAsia="Arial" w:hAnsi="Arial" w:cs="Arial"/>
          <w:sz w:val="22"/>
        </w:rPr>
        <w:t xml:space="preserve"> </w:t>
      </w:r>
      <w:r w:rsidR="008A44FE" w:rsidRPr="0CF0A3E4">
        <w:rPr>
          <w:rFonts w:ascii="Arial" w:eastAsia="Arial" w:hAnsi="Arial" w:cs="Arial"/>
          <w:sz w:val="22"/>
        </w:rPr>
        <w:t>some</w:t>
      </w:r>
      <w:r w:rsidRPr="0CF0A3E4">
        <w:rPr>
          <w:rFonts w:ascii="Arial" w:eastAsia="Arial" w:hAnsi="Arial" w:cs="Arial"/>
          <w:sz w:val="22"/>
        </w:rPr>
        <w:t xml:space="preserve"> sugar from carbohydrates. Your cells break glucose down step </w:t>
      </w:r>
      <w:r w:rsidRPr="0CF0A3E4">
        <w:rPr>
          <w:rFonts w:ascii="Arial" w:eastAsia="Arial" w:hAnsi="Arial" w:cs="Arial"/>
          <w:sz w:val="22"/>
        </w:rPr>
        <w:lastRenderedPageBreak/>
        <w:t>by step and capture the released energy in a molecule called ATP, which acts like a rechargeable battery for cellular work.</w:t>
      </w:r>
    </w:p>
    <w:p w14:paraId="3E85EC63" w14:textId="20EA023B" w:rsidR="0CF0A3E4" w:rsidRDefault="0CF0A3E4" w:rsidP="0CF0A3E4">
      <w:pPr>
        <w:spacing w:before="240" w:after="240"/>
        <w:jc w:val="both"/>
        <w:rPr>
          <w:rFonts w:ascii="Arial" w:eastAsia="Arial" w:hAnsi="Arial" w:cs="Arial"/>
          <w:sz w:val="22"/>
        </w:rPr>
      </w:pPr>
      <w:r w:rsidRPr="0CF0A3E4">
        <w:rPr>
          <w:rFonts w:ascii="Arial" w:eastAsia="Arial" w:hAnsi="Arial" w:cs="Arial"/>
          <w:sz w:val="22"/>
        </w:rPr>
        <w:t xml:space="preserve">The process has three clear stages. First, glycolysis in the cell fluid splits one glucose into two smaller molecules called pyruvate, producing a small amount of ATP and some energy carriers (NADH). Next, pyruvate enters the mitochondria and is converted into acetyl‑CoA, which feeds the citric acid cycle (Krebs cycle). That cycle strips electrons from the fuel and makes more NADH and FADH₂ plus a little extra ATP. Finally, the electron transport chain on the inner mitochondrial membrane uses those electrons to pump protons and create a gradient. ATP synthase then uses that gradient to make most of the ATP. Oxygen is essential here because it accepts the spent electrons and becomes water. </w:t>
      </w:r>
    </w:p>
    <w:p w14:paraId="058F74B1" w14:textId="6CCE677E" w:rsidR="0CF0A3E4" w:rsidRDefault="0CF0A3E4" w:rsidP="0CF0A3E4">
      <w:pPr>
        <w:spacing w:before="240" w:after="240"/>
        <w:jc w:val="both"/>
        <w:rPr>
          <w:rFonts w:ascii="Arial" w:eastAsia="Arial" w:hAnsi="Arial" w:cs="Arial"/>
          <w:b/>
          <w:bCs/>
          <w:sz w:val="22"/>
        </w:rPr>
      </w:pPr>
      <w:r w:rsidRPr="0CF0A3E4">
        <w:rPr>
          <w:rFonts w:ascii="Arial" w:eastAsia="Arial" w:hAnsi="Arial" w:cs="Arial"/>
          <w:b/>
          <w:bCs/>
          <w:sz w:val="22"/>
        </w:rPr>
        <w:t>Why this matters in everyday terms:</w:t>
      </w:r>
    </w:p>
    <w:p w14:paraId="76835F37" w14:textId="34F894B6" w:rsidR="0CF0A3E4" w:rsidRDefault="0CF0A3E4" w:rsidP="0CF0A3E4">
      <w:pPr>
        <w:jc w:val="both"/>
        <w:rPr>
          <w:rFonts w:ascii="Arial" w:eastAsia="Arial" w:hAnsi="Arial" w:cs="Arial"/>
          <w:sz w:val="22"/>
        </w:rPr>
      </w:pPr>
      <w:r w:rsidRPr="0CF0A3E4">
        <w:rPr>
          <w:rFonts w:ascii="Arial" w:eastAsia="Arial" w:hAnsi="Arial" w:cs="Arial"/>
          <w:sz w:val="22"/>
        </w:rPr>
        <w:t xml:space="preserve">When you exercise, your muscles demand more ATP, so these pathways speed up. If oxygen is limited (very intense exercise), cells rely more on glycolysis and produce lactate, which gives less ATP and causes fatigue. Healthy mitochondria and a steady oxygen supply let cells make lots of ATP efficiently; when these fail, tissues struggle and fatigue or disease can </w:t>
      </w:r>
      <w:r w:rsidR="008A44FE" w:rsidRPr="0CF0A3E4">
        <w:rPr>
          <w:rFonts w:ascii="Arial" w:eastAsia="Arial" w:hAnsi="Arial" w:cs="Arial"/>
          <w:sz w:val="22"/>
        </w:rPr>
        <w:t>follow</w:t>
      </w:r>
      <w:r w:rsidR="008A44FE" w:rsidRPr="0CF0A3E4">
        <w:rPr>
          <w:rFonts w:eastAsia="Times New Roman" w:cs="Times New Roman"/>
          <w:szCs w:val="24"/>
        </w:rPr>
        <w:t>. (</w:t>
      </w:r>
      <w:hyperlink r:id="rId10">
        <w:r w:rsidRPr="0CF0A3E4">
          <w:rPr>
            <w:rStyle w:val="Hyperlink"/>
            <w:rFonts w:ascii="Arial" w:eastAsia="Arial" w:hAnsi="Arial" w:cs="Arial"/>
            <w:sz w:val="22"/>
          </w:rPr>
          <w:t>https://www.osmosis.org)</w:t>
        </w:r>
      </w:hyperlink>
    </w:p>
    <w:p w14:paraId="6B5D5CE3" w14:textId="487B3CF2" w:rsidR="00F44C8F" w:rsidRDefault="00F44C8F" w:rsidP="0CF0A3E4">
      <w:pPr>
        <w:tabs>
          <w:tab w:val="left" w:pos="6540"/>
        </w:tabs>
        <w:spacing w:line="360" w:lineRule="auto"/>
        <w:rPr>
          <w:rFonts w:ascii="Arial" w:hAnsi="Arial" w:cs="Arial"/>
          <w:color w:val="8EAADB" w:themeColor="accent1" w:themeTint="99"/>
          <w:sz w:val="22"/>
        </w:rPr>
      </w:pPr>
    </w:p>
    <w:p w14:paraId="3F8483EE" w14:textId="77777777" w:rsidR="00F44C8F" w:rsidRPr="00F44C8F" w:rsidRDefault="00F44C8F" w:rsidP="00F44C8F">
      <w:pPr>
        <w:tabs>
          <w:tab w:val="left" w:pos="6540"/>
        </w:tabs>
        <w:spacing w:line="360" w:lineRule="auto"/>
        <w:rPr>
          <w:rFonts w:ascii="Arial" w:hAnsi="Arial" w:cs="Arial"/>
          <w:color w:val="8EAADB" w:themeColor="accent1" w:themeTint="99"/>
          <w:sz w:val="22"/>
        </w:rPr>
      </w:pPr>
    </w:p>
    <w:p w14:paraId="73E0D78A" w14:textId="00DBD802" w:rsidR="0CF0A3E4" w:rsidRDefault="0CF0A3E4" w:rsidP="0CF0A3E4">
      <w:pPr>
        <w:pStyle w:val="Heading1"/>
        <w:spacing w:line="360" w:lineRule="auto"/>
        <w:rPr>
          <w:rFonts w:cs="Arial"/>
        </w:rPr>
      </w:pPr>
      <w:r w:rsidRPr="0CF0A3E4">
        <w:rPr>
          <w:rFonts w:cs="Arial"/>
        </w:rPr>
        <w:t>4. Recording and tracking blood sugar levels for type 2 diabetes</w:t>
      </w:r>
    </w:p>
    <w:p w14:paraId="7435E979" w14:textId="3C0E3976" w:rsidR="0CF0A3E4" w:rsidRDefault="0CF0A3E4" w:rsidP="0CF0A3E4"/>
    <w:p w14:paraId="09B849B0" w14:textId="2853CFD5" w:rsidR="0CF0A3E4" w:rsidRDefault="0CF0A3E4" w:rsidP="0CF0A3E4">
      <w:pPr>
        <w:spacing w:line="360" w:lineRule="auto"/>
        <w:jc w:val="both"/>
        <w:rPr>
          <w:rFonts w:ascii="Arial" w:eastAsia="Arial" w:hAnsi="Arial" w:cs="Arial"/>
          <w:sz w:val="22"/>
        </w:rPr>
      </w:pPr>
      <w:r w:rsidRPr="0CF0A3E4">
        <w:rPr>
          <w:rFonts w:ascii="Arial" w:eastAsia="Arial" w:hAnsi="Arial" w:cs="Arial"/>
          <w:sz w:val="22"/>
        </w:rPr>
        <w:t>Knowing your blood sugar levels lets you make timely decisions about diet, activity and medication, reduces the risk of acute events such as hypoglycaemia or hyperglycaemia, and lowers the long‑term risk of complications including cardiovascular disease, kidney damage and vision loss. (World Health Organization, 2024; Diabetes UK, 2024)</w:t>
      </w:r>
    </w:p>
    <w:p w14:paraId="60D3D34A" w14:textId="32EF3284"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For people with Type 2 diabetes who use insulin or medications that can cause low blood sugar, tracking glucose is essential for safety. It helps them:</w:t>
      </w:r>
    </w:p>
    <w:p w14:paraId="7D90F6E2" w14:textId="4E2DF6EC" w:rsidR="0CF0A3E4" w:rsidRDefault="0CF0A3E4" w:rsidP="0CF0A3E4">
      <w:pPr>
        <w:pStyle w:val="ListParagraph"/>
        <w:numPr>
          <w:ilvl w:val="0"/>
          <w:numId w:val="2"/>
        </w:numPr>
        <w:spacing w:before="240" w:after="240" w:line="360" w:lineRule="auto"/>
        <w:jc w:val="both"/>
        <w:rPr>
          <w:rFonts w:ascii="Arial" w:eastAsia="Arial" w:hAnsi="Arial" w:cs="Arial"/>
          <w:sz w:val="22"/>
        </w:rPr>
      </w:pPr>
      <w:r w:rsidRPr="0CF0A3E4">
        <w:rPr>
          <w:rFonts w:ascii="Arial" w:eastAsia="Arial" w:hAnsi="Arial" w:cs="Arial"/>
          <w:sz w:val="22"/>
        </w:rPr>
        <w:t xml:space="preserve"> Identify patterns of lows or highs before adjusting medication</w:t>
      </w:r>
    </w:p>
    <w:p w14:paraId="60CA37F5" w14:textId="65668F9D" w:rsidR="0CF0A3E4" w:rsidRDefault="0CF0A3E4" w:rsidP="0CF0A3E4">
      <w:pPr>
        <w:pStyle w:val="ListParagraph"/>
        <w:numPr>
          <w:ilvl w:val="0"/>
          <w:numId w:val="2"/>
        </w:numPr>
        <w:spacing w:before="240" w:after="240" w:line="360" w:lineRule="auto"/>
        <w:jc w:val="both"/>
        <w:rPr>
          <w:rFonts w:ascii="Arial" w:eastAsia="Arial" w:hAnsi="Arial" w:cs="Arial"/>
          <w:sz w:val="22"/>
        </w:rPr>
      </w:pPr>
      <w:r w:rsidRPr="0CF0A3E4">
        <w:rPr>
          <w:rFonts w:ascii="Arial" w:eastAsia="Arial" w:hAnsi="Arial" w:cs="Arial"/>
          <w:sz w:val="22"/>
        </w:rPr>
        <w:t>Avoid changing doses based on a single reading</w:t>
      </w:r>
    </w:p>
    <w:p w14:paraId="7A0FDE1F" w14:textId="51F96B31" w:rsidR="0CF0A3E4" w:rsidRDefault="0CF0A3E4" w:rsidP="0CF0A3E4">
      <w:pPr>
        <w:pStyle w:val="ListParagraph"/>
        <w:numPr>
          <w:ilvl w:val="0"/>
          <w:numId w:val="2"/>
        </w:numPr>
        <w:spacing w:before="240" w:after="240" w:line="360" w:lineRule="auto"/>
        <w:jc w:val="both"/>
        <w:rPr>
          <w:rFonts w:ascii="Arial" w:eastAsia="Arial" w:hAnsi="Arial" w:cs="Arial"/>
          <w:sz w:val="22"/>
        </w:rPr>
      </w:pPr>
      <w:r w:rsidRPr="0CF0A3E4">
        <w:rPr>
          <w:rFonts w:ascii="Arial" w:eastAsia="Arial" w:hAnsi="Arial" w:cs="Arial"/>
          <w:sz w:val="22"/>
        </w:rPr>
        <w:t>Share accurate data with clinicians for safe medication review</w:t>
      </w:r>
    </w:p>
    <w:p w14:paraId="28ADE996" w14:textId="74EC885C" w:rsidR="0CF0A3E4" w:rsidRDefault="0CF0A3E4" w:rsidP="0CF0A3E4">
      <w:pPr>
        <w:spacing w:line="360" w:lineRule="auto"/>
        <w:jc w:val="both"/>
        <w:rPr>
          <w:rFonts w:ascii="Arial" w:eastAsia="Arial" w:hAnsi="Arial" w:cs="Arial"/>
          <w:sz w:val="22"/>
        </w:rPr>
      </w:pPr>
      <w:r w:rsidRPr="0CF0A3E4">
        <w:rPr>
          <w:rFonts w:ascii="Arial" w:eastAsia="Arial" w:hAnsi="Arial" w:cs="Arial"/>
          <w:sz w:val="22"/>
        </w:rPr>
        <w:t>Guidance emphasises that people should never adjust long‑term medication based on one reading, but rather look for patterns and consult their diabetes team</w:t>
      </w:r>
    </w:p>
    <w:p w14:paraId="7992066B" w14:textId="451DED5B"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Tracking helps individuals see the impact of:</w:t>
      </w:r>
    </w:p>
    <w:p w14:paraId="78190C8A" w14:textId="16352C2B" w:rsidR="0CF0A3E4" w:rsidRDefault="0CF0A3E4" w:rsidP="0CF0A3E4">
      <w:pPr>
        <w:pStyle w:val="ListParagraph"/>
        <w:numPr>
          <w:ilvl w:val="0"/>
          <w:numId w:val="1"/>
        </w:numPr>
        <w:spacing w:after="0" w:line="360" w:lineRule="auto"/>
        <w:jc w:val="both"/>
        <w:rPr>
          <w:rFonts w:ascii="Arial" w:eastAsia="Arial" w:hAnsi="Arial" w:cs="Arial"/>
          <w:sz w:val="22"/>
        </w:rPr>
      </w:pPr>
      <w:r w:rsidRPr="0CF0A3E4">
        <w:rPr>
          <w:rFonts w:ascii="Arial" w:eastAsia="Arial" w:hAnsi="Arial" w:cs="Arial"/>
          <w:sz w:val="22"/>
        </w:rPr>
        <w:lastRenderedPageBreak/>
        <w:t>Meals and carbohydrate load</w:t>
      </w:r>
    </w:p>
    <w:p w14:paraId="782CC848" w14:textId="78DBD68B" w:rsidR="0CF0A3E4" w:rsidRDefault="0CF0A3E4" w:rsidP="0CF0A3E4">
      <w:pPr>
        <w:pStyle w:val="ListParagraph"/>
        <w:numPr>
          <w:ilvl w:val="0"/>
          <w:numId w:val="1"/>
        </w:numPr>
        <w:spacing w:after="0" w:line="360" w:lineRule="auto"/>
        <w:jc w:val="both"/>
        <w:rPr>
          <w:rFonts w:ascii="Arial" w:eastAsia="Arial" w:hAnsi="Arial" w:cs="Arial"/>
          <w:sz w:val="22"/>
        </w:rPr>
      </w:pPr>
      <w:r w:rsidRPr="0CF0A3E4">
        <w:rPr>
          <w:rFonts w:ascii="Arial" w:eastAsia="Arial" w:hAnsi="Arial" w:cs="Arial"/>
          <w:sz w:val="22"/>
        </w:rPr>
        <w:t>Physical activity</w:t>
      </w:r>
    </w:p>
    <w:p w14:paraId="06FEAD5F" w14:textId="2E9E2670" w:rsidR="0CF0A3E4" w:rsidRDefault="0CF0A3E4" w:rsidP="0CF0A3E4">
      <w:pPr>
        <w:pStyle w:val="ListParagraph"/>
        <w:numPr>
          <w:ilvl w:val="0"/>
          <w:numId w:val="1"/>
        </w:numPr>
        <w:spacing w:after="0" w:line="360" w:lineRule="auto"/>
        <w:jc w:val="both"/>
        <w:rPr>
          <w:rFonts w:ascii="Arial" w:eastAsia="Arial" w:hAnsi="Arial" w:cs="Arial"/>
          <w:sz w:val="22"/>
        </w:rPr>
      </w:pPr>
      <w:r w:rsidRPr="0CF0A3E4">
        <w:rPr>
          <w:rFonts w:ascii="Arial" w:eastAsia="Arial" w:hAnsi="Arial" w:cs="Arial"/>
          <w:sz w:val="22"/>
        </w:rPr>
        <w:t>Stress</w:t>
      </w:r>
    </w:p>
    <w:p w14:paraId="74C3FA7C" w14:textId="4CBC71A3" w:rsidR="0CF0A3E4" w:rsidRDefault="0CF0A3E4" w:rsidP="0CF0A3E4">
      <w:pPr>
        <w:pStyle w:val="ListParagraph"/>
        <w:numPr>
          <w:ilvl w:val="0"/>
          <w:numId w:val="1"/>
        </w:numPr>
        <w:spacing w:after="0" w:line="360" w:lineRule="auto"/>
        <w:jc w:val="both"/>
        <w:rPr>
          <w:rFonts w:ascii="Arial" w:eastAsia="Arial" w:hAnsi="Arial" w:cs="Arial"/>
          <w:sz w:val="22"/>
        </w:rPr>
      </w:pPr>
      <w:r w:rsidRPr="0CF0A3E4">
        <w:rPr>
          <w:rFonts w:ascii="Arial" w:eastAsia="Arial" w:hAnsi="Arial" w:cs="Arial"/>
          <w:sz w:val="22"/>
        </w:rPr>
        <w:t>Illness</w:t>
      </w:r>
    </w:p>
    <w:p w14:paraId="12C9E36B" w14:textId="4C0278E5" w:rsidR="0CF0A3E4" w:rsidRDefault="0CF0A3E4" w:rsidP="0CF0A3E4">
      <w:pPr>
        <w:pStyle w:val="ListParagraph"/>
        <w:numPr>
          <w:ilvl w:val="0"/>
          <w:numId w:val="1"/>
        </w:numPr>
        <w:spacing w:after="0" w:line="360" w:lineRule="auto"/>
        <w:jc w:val="both"/>
        <w:rPr>
          <w:rFonts w:ascii="Arial" w:eastAsia="Arial" w:hAnsi="Arial" w:cs="Arial"/>
          <w:sz w:val="22"/>
        </w:rPr>
      </w:pPr>
      <w:r w:rsidRPr="0CF0A3E4">
        <w:rPr>
          <w:rFonts w:ascii="Arial" w:eastAsia="Arial" w:hAnsi="Arial" w:cs="Arial"/>
          <w:sz w:val="22"/>
        </w:rPr>
        <w:t>Sleep</w:t>
      </w:r>
    </w:p>
    <w:p w14:paraId="5D60FE7F" w14:textId="7952C202" w:rsidR="0CF0A3E4" w:rsidRDefault="0CF0A3E4" w:rsidP="0CF0A3E4">
      <w:pPr>
        <w:pStyle w:val="ListParagraph"/>
        <w:numPr>
          <w:ilvl w:val="0"/>
          <w:numId w:val="1"/>
        </w:numPr>
        <w:spacing w:after="0" w:line="360" w:lineRule="auto"/>
        <w:jc w:val="both"/>
        <w:rPr>
          <w:rFonts w:ascii="Arial" w:eastAsia="Arial" w:hAnsi="Arial" w:cs="Arial"/>
          <w:sz w:val="22"/>
        </w:rPr>
      </w:pPr>
      <w:r w:rsidRPr="0CF0A3E4">
        <w:rPr>
          <w:rFonts w:ascii="Arial" w:eastAsia="Arial" w:hAnsi="Arial" w:cs="Arial"/>
          <w:sz w:val="22"/>
        </w:rPr>
        <w:t>Alcohol</w:t>
      </w:r>
    </w:p>
    <w:p w14:paraId="1785DC54" w14:textId="3E2EDA58"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CGMs provide charts and graphs that make these relationships visible, helping people understand their body’s responses and make informed choices</w:t>
      </w:r>
    </w:p>
    <w:p w14:paraId="4C7B3CA0" w14:textId="3A908F2A" w:rsidR="0CF0A3E4" w:rsidRDefault="0CF0A3E4" w:rsidP="0CF0A3E4">
      <w:pPr>
        <w:spacing w:before="240" w:after="240" w:line="360" w:lineRule="auto"/>
        <w:jc w:val="both"/>
      </w:pPr>
      <w:r w:rsidRPr="0CF0A3E4">
        <w:rPr>
          <w:rFonts w:ascii="Arial" w:eastAsia="Arial" w:hAnsi="Arial" w:cs="Arial"/>
          <w:sz w:val="22"/>
        </w:rPr>
        <w:t>Tracking and recording blood sugar levels is essential because it helps people with Type 2 diabetes understand how their body responds to food, activity, medication, and daily routines. Regular monitoring keeps glucose within a safe range, supports correct medication use, and helps prevent both short‑term problems like hypos and long‑term complications such as heart or kidney disease. Without tracking, dangerous highs or lows could go unnoticed, treatment decisions would be less safe, and the risk of serious health complications would increase</w:t>
      </w:r>
      <w:r w:rsidRPr="0CF0A3E4">
        <w:rPr>
          <w:rFonts w:eastAsia="Times New Roman" w:cs="Times New Roman"/>
          <w:szCs w:val="24"/>
        </w:rPr>
        <w:t>. (NICE, 2022; American Diabetes Association, 2023).</w:t>
      </w:r>
    </w:p>
    <w:p w14:paraId="6BFD20B0" w14:textId="08A4D3C4" w:rsidR="0CF0A3E4" w:rsidRDefault="0CF0A3E4" w:rsidP="0CF0A3E4">
      <w:pPr>
        <w:spacing w:before="240" w:after="240"/>
        <w:rPr>
          <w:rFonts w:eastAsia="Times New Roman" w:cs="Times New Roman"/>
          <w:szCs w:val="24"/>
        </w:rPr>
      </w:pPr>
    </w:p>
    <w:p w14:paraId="189B8F71" w14:textId="77777777" w:rsidR="001B7A40" w:rsidRPr="00C03A91" w:rsidRDefault="001B7A40" w:rsidP="00C03A91">
      <w:pPr>
        <w:spacing w:line="360" w:lineRule="auto"/>
        <w:rPr>
          <w:rFonts w:ascii="Arial" w:hAnsi="Arial" w:cs="Arial"/>
        </w:rPr>
      </w:pPr>
    </w:p>
    <w:p w14:paraId="012D50EF" w14:textId="4B5AEE0C" w:rsidR="001B7A40" w:rsidRPr="00C03A91" w:rsidRDefault="0CF0A3E4" w:rsidP="0CF0A3E4">
      <w:pPr>
        <w:pStyle w:val="Heading1"/>
        <w:spacing w:line="360" w:lineRule="auto"/>
        <w:rPr>
          <w:rFonts w:eastAsia="Arial" w:cs="Arial"/>
        </w:rPr>
      </w:pPr>
      <w:r w:rsidRPr="0CF0A3E4">
        <w:rPr>
          <w:rFonts w:eastAsia="Arial" w:cs="Arial"/>
        </w:rPr>
        <w:t>5. Recommendations</w:t>
      </w:r>
    </w:p>
    <w:p w14:paraId="4099638E" w14:textId="5FEE44E4" w:rsidR="0CF0A3E4" w:rsidRDefault="0CF0A3E4" w:rsidP="0CF0A3E4">
      <w:pPr>
        <w:spacing w:before="240" w:after="240"/>
        <w:rPr>
          <w:rFonts w:ascii="Arial" w:eastAsia="Arial" w:hAnsi="Arial" w:cs="Arial"/>
          <w:sz w:val="22"/>
        </w:rPr>
      </w:pPr>
      <w:r w:rsidRPr="0CF0A3E4">
        <w:rPr>
          <w:rFonts w:ascii="Arial" w:eastAsia="Arial" w:hAnsi="Arial" w:cs="Arial"/>
          <w:sz w:val="22"/>
        </w:rPr>
        <w:t>Below are practical, evidence‑based strategies from health and social care that can help a person with Type 2 diabetes improve their overall health, wellbeing, and long‑term outcomes. Each recommendation links to lifestyle changes known to support safer diabetes management.</w:t>
      </w:r>
    </w:p>
    <w:p w14:paraId="58E78646" w14:textId="50A0E58E" w:rsidR="0CF0A3E4" w:rsidRDefault="0CF0A3E4" w:rsidP="0CF0A3E4">
      <w:pPr>
        <w:spacing w:before="240" w:after="240"/>
        <w:rPr>
          <w:rFonts w:ascii="Arial" w:eastAsia="Arial" w:hAnsi="Arial" w:cs="Arial"/>
          <w:sz w:val="22"/>
        </w:rPr>
      </w:pPr>
      <w:r w:rsidRPr="0CF0A3E4">
        <w:rPr>
          <w:rFonts w:ascii="Arial" w:eastAsia="Arial" w:hAnsi="Arial" w:cs="Arial"/>
          <w:sz w:val="22"/>
        </w:rPr>
        <w:t>Encourage the person to continue tracking and recording their blood sugar levels using a finger‑prick meter and/or a CGM. (Diabetes UK, 2024; NHS, 2023).</w:t>
      </w:r>
    </w:p>
    <w:p w14:paraId="7A93817E" w14:textId="3B7DBC0E" w:rsidR="0CF0A3E4" w:rsidRDefault="0CF0A3E4" w:rsidP="0CF0A3E4">
      <w:pPr>
        <w:spacing w:before="240" w:after="240"/>
        <w:rPr>
          <w:rFonts w:ascii="Arial" w:eastAsia="Arial" w:hAnsi="Arial" w:cs="Arial"/>
          <w:sz w:val="22"/>
        </w:rPr>
      </w:pPr>
    </w:p>
    <w:p w14:paraId="0909252B" w14:textId="1D770423" w:rsidR="0CF0A3E4" w:rsidRDefault="0CF0A3E4" w:rsidP="0CF0A3E4">
      <w:pPr>
        <w:spacing w:before="240" w:after="240"/>
        <w:rPr>
          <w:rFonts w:ascii="Arial" w:eastAsia="Arial" w:hAnsi="Arial" w:cs="Arial"/>
          <w:b/>
          <w:bCs/>
          <w:i/>
          <w:iCs/>
          <w:sz w:val="22"/>
        </w:rPr>
      </w:pPr>
      <w:r w:rsidRPr="0CF0A3E4">
        <w:rPr>
          <w:rFonts w:ascii="Arial" w:eastAsia="Arial" w:hAnsi="Arial" w:cs="Arial"/>
          <w:b/>
          <w:bCs/>
          <w:i/>
          <w:iCs/>
          <w:sz w:val="22"/>
        </w:rPr>
        <w:t>Why this helps</w:t>
      </w:r>
    </w:p>
    <w:p w14:paraId="53E01F51" w14:textId="5031D8C1" w:rsidR="0CF0A3E4" w:rsidRDefault="0CF0A3E4" w:rsidP="0CF0A3E4">
      <w:pPr>
        <w:spacing w:before="240" w:after="240"/>
        <w:rPr>
          <w:rFonts w:ascii="Arial" w:eastAsia="Arial" w:hAnsi="Arial" w:cs="Arial"/>
          <w:sz w:val="22"/>
        </w:rPr>
      </w:pPr>
      <w:r w:rsidRPr="0CF0A3E4">
        <w:rPr>
          <w:rFonts w:ascii="Arial" w:eastAsia="Arial" w:hAnsi="Arial" w:cs="Arial"/>
          <w:sz w:val="22"/>
        </w:rPr>
        <w:t>• Supports safe medication use</w:t>
      </w:r>
    </w:p>
    <w:p w14:paraId="1C32BFF4" w14:textId="5A6045C0" w:rsidR="0CF0A3E4" w:rsidRDefault="0CF0A3E4" w:rsidP="0CF0A3E4">
      <w:pPr>
        <w:spacing w:before="240" w:after="240"/>
        <w:rPr>
          <w:rFonts w:ascii="Arial" w:eastAsia="Arial" w:hAnsi="Arial" w:cs="Arial"/>
          <w:sz w:val="22"/>
        </w:rPr>
      </w:pPr>
      <w:r w:rsidRPr="0CF0A3E4">
        <w:rPr>
          <w:rFonts w:ascii="Arial" w:eastAsia="Arial" w:hAnsi="Arial" w:cs="Arial"/>
          <w:sz w:val="22"/>
        </w:rPr>
        <w:t>• Helps identify patterns related to food, activity, stress, and illness</w:t>
      </w:r>
    </w:p>
    <w:p w14:paraId="1401C9E9" w14:textId="7ABF837D" w:rsidR="0CF0A3E4" w:rsidRDefault="0CF0A3E4" w:rsidP="0CF0A3E4">
      <w:pPr>
        <w:spacing w:before="240" w:after="240"/>
        <w:rPr>
          <w:rFonts w:ascii="Arial" w:eastAsia="Arial" w:hAnsi="Arial" w:cs="Arial"/>
          <w:sz w:val="22"/>
        </w:rPr>
      </w:pPr>
      <w:r w:rsidRPr="0CF0A3E4">
        <w:rPr>
          <w:rFonts w:ascii="Arial" w:eastAsia="Arial" w:hAnsi="Arial" w:cs="Arial"/>
          <w:sz w:val="22"/>
        </w:rPr>
        <w:t>• Reduces the risk of hypo‑ and hyperglycaemia</w:t>
      </w:r>
    </w:p>
    <w:p w14:paraId="0744BE75" w14:textId="21E757DE" w:rsidR="0CF0A3E4" w:rsidRDefault="0CF0A3E4" w:rsidP="0CF0A3E4">
      <w:pPr>
        <w:spacing w:before="240" w:after="240"/>
        <w:rPr>
          <w:rFonts w:ascii="Arial" w:eastAsia="Arial" w:hAnsi="Arial" w:cs="Arial"/>
          <w:sz w:val="22"/>
        </w:rPr>
      </w:pPr>
      <w:r w:rsidRPr="0CF0A3E4">
        <w:rPr>
          <w:rFonts w:ascii="Arial" w:eastAsia="Arial" w:hAnsi="Arial" w:cs="Arial"/>
          <w:sz w:val="22"/>
        </w:rPr>
        <w:t>Support the person to adopt a diet rich in vegetables, whole grains, lean proteins, and fibre, while reducing sugary foods and refined carbohydrates. (World Health Organization, 2023).</w:t>
      </w:r>
    </w:p>
    <w:p w14:paraId="50B9CF7A" w14:textId="0ABA234B" w:rsidR="0CF0A3E4" w:rsidRDefault="0CF0A3E4" w:rsidP="0CF0A3E4">
      <w:pPr>
        <w:spacing w:before="240" w:after="240"/>
        <w:rPr>
          <w:rFonts w:ascii="Arial" w:eastAsia="Arial" w:hAnsi="Arial" w:cs="Arial"/>
          <w:b/>
          <w:bCs/>
          <w:i/>
          <w:iCs/>
          <w:sz w:val="22"/>
        </w:rPr>
      </w:pPr>
      <w:r w:rsidRPr="0CF0A3E4">
        <w:rPr>
          <w:rFonts w:ascii="Arial" w:eastAsia="Arial" w:hAnsi="Arial" w:cs="Arial"/>
          <w:b/>
          <w:bCs/>
          <w:i/>
          <w:iCs/>
          <w:sz w:val="22"/>
        </w:rPr>
        <w:lastRenderedPageBreak/>
        <w:t>Why this helps</w:t>
      </w:r>
    </w:p>
    <w:p w14:paraId="34716BE4" w14:textId="20481F70" w:rsidR="0CF0A3E4" w:rsidRDefault="0CF0A3E4" w:rsidP="0CF0A3E4">
      <w:pPr>
        <w:spacing w:before="240" w:after="240"/>
        <w:rPr>
          <w:rFonts w:ascii="Arial" w:eastAsia="Arial" w:hAnsi="Arial" w:cs="Arial"/>
          <w:sz w:val="22"/>
        </w:rPr>
      </w:pPr>
      <w:r w:rsidRPr="0CF0A3E4">
        <w:rPr>
          <w:rFonts w:ascii="Arial" w:eastAsia="Arial" w:hAnsi="Arial" w:cs="Arial"/>
          <w:sz w:val="22"/>
        </w:rPr>
        <w:t>• Prevents sharp blood sugar spikes</w:t>
      </w:r>
    </w:p>
    <w:p w14:paraId="21FAB43B" w14:textId="3C695304" w:rsidR="0CF0A3E4" w:rsidRDefault="0CF0A3E4" w:rsidP="0CF0A3E4">
      <w:pPr>
        <w:spacing w:before="240" w:after="240"/>
        <w:rPr>
          <w:rFonts w:ascii="Arial" w:eastAsia="Arial" w:hAnsi="Arial" w:cs="Arial"/>
          <w:sz w:val="22"/>
        </w:rPr>
      </w:pPr>
      <w:r w:rsidRPr="0CF0A3E4">
        <w:rPr>
          <w:rFonts w:ascii="Arial" w:eastAsia="Arial" w:hAnsi="Arial" w:cs="Arial"/>
          <w:sz w:val="22"/>
        </w:rPr>
        <w:t>• Supports weight management</w:t>
      </w:r>
    </w:p>
    <w:p w14:paraId="2B891EF7" w14:textId="514282B5" w:rsidR="0CF0A3E4" w:rsidRDefault="0CF0A3E4" w:rsidP="0CF0A3E4">
      <w:pPr>
        <w:spacing w:before="240" w:after="240"/>
        <w:rPr>
          <w:rFonts w:ascii="Arial" w:eastAsia="Arial" w:hAnsi="Arial" w:cs="Arial"/>
          <w:sz w:val="22"/>
        </w:rPr>
      </w:pPr>
      <w:r w:rsidRPr="0CF0A3E4">
        <w:rPr>
          <w:rFonts w:ascii="Arial" w:eastAsia="Arial" w:hAnsi="Arial" w:cs="Arial"/>
          <w:sz w:val="22"/>
        </w:rPr>
        <w:t>• Improves insulin sensitivity</w:t>
      </w:r>
    </w:p>
    <w:p w14:paraId="54935636" w14:textId="0AC719AE" w:rsidR="0CF0A3E4" w:rsidRDefault="0CF0A3E4" w:rsidP="0CF0A3E4">
      <w:pPr>
        <w:spacing w:before="240" w:after="240" w:line="360" w:lineRule="auto"/>
        <w:jc w:val="both"/>
        <w:rPr>
          <w:rFonts w:ascii="Arial" w:eastAsia="Arial" w:hAnsi="Arial" w:cs="Arial"/>
          <w:b/>
          <w:bCs/>
          <w:i/>
          <w:iCs/>
          <w:sz w:val="22"/>
        </w:rPr>
      </w:pPr>
      <w:r w:rsidRPr="0CF0A3E4">
        <w:rPr>
          <w:rFonts w:ascii="Arial" w:eastAsia="Arial" w:hAnsi="Arial" w:cs="Arial"/>
          <w:b/>
          <w:bCs/>
          <w:i/>
          <w:iCs/>
          <w:sz w:val="22"/>
        </w:rPr>
        <w:t>Health‑promotion approach</w:t>
      </w:r>
    </w:p>
    <w:p w14:paraId="0C9D391C" w14:textId="79D70D36" w:rsidR="0CF0A3E4" w:rsidRDefault="0CF0A3E4" w:rsidP="0CF0A3E4">
      <w:pPr>
        <w:spacing w:line="360" w:lineRule="auto"/>
        <w:jc w:val="both"/>
        <w:rPr>
          <w:rFonts w:ascii="Arial" w:eastAsia="Arial" w:hAnsi="Arial" w:cs="Arial"/>
          <w:sz w:val="22"/>
        </w:rPr>
      </w:pPr>
      <w:r w:rsidRPr="0CF0A3E4">
        <w:rPr>
          <w:rFonts w:ascii="Arial" w:eastAsia="Arial" w:hAnsi="Arial" w:cs="Arial"/>
          <w:sz w:val="22"/>
        </w:rPr>
        <w:t>Offer access to a dietitian, structured education (e.g., DESMOND), or culturally appropriate meal‑planning resources.</w:t>
      </w:r>
    </w:p>
    <w:p w14:paraId="2BC0768A" w14:textId="6FCEB148"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Effective management of Type 2 diabetes requires a combination of medical interventions, lifestyle adjustments, and ongoing support from health and social care services. One of the most important interventions is adopting a balanced, lower‑glycaemic diet. Reducing refined carbohydrates and increasing fibre, vegetables, whole grains, and lean proteins helps stabilise blood glucose levels and prevents sharp post‑meal spikes (NICE, 2022; Diabetes UK, 2024). This dietary approach also supports gradual weight loss, which can significantly improve insulin sensitivity and overall glycaemic control.</w:t>
      </w:r>
    </w:p>
    <w:p w14:paraId="7C95C292" w14:textId="5723AC27"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Increasing physical activity is another key lifestyle change. Regular exercise such as walking, swimming, or cycling improves the body’s ability to use insulin and lowers blood glucose levels (World Health Organization, 2023). Even small increases in daily movement, such as short walks after meals, can have a meaningful impact. For individuals who are overweight, structured weight‑management programmes can help them achieve a 5–10% reduction in body weight, which is associated with improved glucose control and reduced long‑term complications (NICE, 2022).</w:t>
      </w:r>
    </w:p>
    <w:p w14:paraId="0454D0A5" w14:textId="099FFC3F" w:rsidR="0CF0A3E4" w:rsidRDefault="0CF0A3E4" w:rsidP="0CF0A3E4">
      <w:pPr>
        <w:spacing w:before="240" w:after="240" w:line="360" w:lineRule="auto"/>
        <w:jc w:val="both"/>
        <w:rPr>
          <w:rFonts w:ascii="Arial" w:eastAsia="Arial" w:hAnsi="Arial" w:cs="Arial"/>
          <w:sz w:val="22"/>
        </w:rPr>
      </w:pPr>
      <w:r w:rsidRPr="0CF0A3E4">
        <w:rPr>
          <w:rFonts w:ascii="Arial" w:eastAsia="Arial" w:hAnsi="Arial" w:cs="Arial"/>
          <w:sz w:val="22"/>
        </w:rPr>
        <w:t>Medication adherence is also essential. Ensuring individuals understand how and when to take their medication reduces the risk of hypoglycaemia and supports stable blood glucose levels (American Diabetes Association, 2023). Alongside this, regular blood glucose monitoring—through finger‑prick testing or continuous glucose monitoring—helps individuals recognise patterns, respond to high or low readings, and make informed decisions about food, activity, and medication (NHS, 2023).</w:t>
      </w:r>
    </w:p>
    <w:p w14:paraId="09340200" w14:textId="7F0AB56D" w:rsidR="0CF0A3E4" w:rsidRDefault="0CF0A3E4" w:rsidP="0CF0A3E4">
      <w:pPr>
        <w:spacing w:line="360" w:lineRule="auto"/>
        <w:jc w:val="both"/>
        <w:rPr>
          <w:rFonts w:ascii="Arial" w:eastAsia="Arial" w:hAnsi="Arial" w:cs="Arial"/>
          <w:sz w:val="22"/>
        </w:rPr>
      </w:pPr>
      <w:r w:rsidRPr="0CF0A3E4">
        <w:rPr>
          <w:rFonts w:ascii="Arial" w:eastAsia="Arial" w:hAnsi="Arial" w:cs="Arial"/>
          <w:sz w:val="22"/>
        </w:rPr>
        <w:t>Additional lifestyle interventions include smoking cessation and reducing alcohol intake, both of which lower cardiovascular risk and help stabilise glucose levels (World Health Organization, 2023). Emotional wellbeing should also be prioritised, as stress can negatively affect blood sugar control. Access to counselling, peer support, or structured diabetes education programmes can improve motivation and self‑management (Diabetes UK, 2024).</w:t>
      </w:r>
    </w:p>
    <w:p w14:paraId="54FBB05C" w14:textId="1D1819A6" w:rsidR="007A7297" w:rsidRPr="007A7297" w:rsidRDefault="0CF0A3E4" w:rsidP="0CF0A3E4">
      <w:pPr>
        <w:pStyle w:val="ListParagraph"/>
        <w:numPr>
          <w:ilvl w:val="0"/>
          <w:numId w:val="9"/>
        </w:numPr>
        <w:tabs>
          <w:tab w:val="left" w:pos="6540"/>
        </w:tabs>
        <w:spacing w:line="360" w:lineRule="auto"/>
        <w:rPr>
          <w:rFonts w:ascii="Arial" w:hAnsi="Arial" w:cs="Arial"/>
          <w:color w:val="8EAADB" w:themeColor="accent1" w:themeTint="99"/>
          <w:sz w:val="22"/>
        </w:rPr>
      </w:pPr>
      <w:r w:rsidRPr="0CF0A3E4">
        <w:rPr>
          <w:rFonts w:ascii="Arial" w:hAnsi="Arial" w:cs="Arial"/>
          <w:color w:val="8EAADB" w:themeColor="accent1" w:themeTint="99"/>
          <w:sz w:val="22"/>
        </w:rPr>
        <w:lastRenderedPageBreak/>
        <w:t xml:space="preserve"> </w:t>
      </w:r>
    </w:p>
    <w:p w14:paraId="6DBA6107" w14:textId="77777777" w:rsidR="00C03A91" w:rsidRPr="00C03A91" w:rsidRDefault="00C03A91" w:rsidP="00C03A91">
      <w:pPr>
        <w:spacing w:line="360" w:lineRule="auto"/>
        <w:rPr>
          <w:rFonts w:ascii="Arial" w:hAnsi="Arial" w:cs="Arial"/>
        </w:rPr>
      </w:pPr>
    </w:p>
    <w:p w14:paraId="4FDC46DA" w14:textId="714C0C2A" w:rsidR="0CF0A3E4" w:rsidRDefault="0CF0A3E4" w:rsidP="0CF0A3E4">
      <w:pPr>
        <w:spacing w:line="360" w:lineRule="auto"/>
        <w:rPr>
          <w:rFonts w:ascii="Arial" w:hAnsi="Arial" w:cs="Arial"/>
        </w:rPr>
      </w:pPr>
    </w:p>
    <w:p w14:paraId="7F2DF57F" w14:textId="2E635A53" w:rsidR="0CF0A3E4" w:rsidRDefault="0CF0A3E4" w:rsidP="0CF0A3E4">
      <w:pPr>
        <w:spacing w:line="360" w:lineRule="auto"/>
        <w:rPr>
          <w:rFonts w:ascii="Arial" w:hAnsi="Arial" w:cs="Arial"/>
        </w:rPr>
      </w:pPr>
    </w:p>
    <w:p w14:paraId="59F05989" w14:textId="19BD97AF" w:rsidR="001B7A40" w:rsidRPr="00C03A91" w:rsidRDefault="0CF0A3E4" w:rsidP="0CF0A3E4">
      <w:pPr>
        <w:pStyle w:val="Heading1"/>
        <w:spacing w:line="360" w:lineRule="auto"/>
        <w:jc w:val="both"/>
        <w:rPr>
          <w:rFonts w:eastAsia="Arial" w:cs="Arial"/>
          <w:sz w:val="22"/>
          <w:szCs w:val="22"/>
        </w:rPr>
      </w:pPr>
      <w:r w:rsidRPr="0CF0A3E4">
        <w:rPr>
          <w:rFonts w:eastAsia="Arial" w:cs="Arial"/>
          <w:sz w:val="22"/>
          <w:szCs w:val="22"/>
        </w:rPr>
        <w:t>6. Conclusion</w:t>
      </w:r>
    </w:p>
    <w:p w14:paraId="2A80693F" w14:textId="6BEFF1D4" w:rsidR="0CF0A3E4" w:rsidRDefault="0CF0A3E4" w:rsidP="0CF0A3E4"/>
    <w:p w14:paraId="1B51C709" w14:textId="2592A804" w:rsidR="0CF0A3E4" w:rsidRDefault="0CF0A3E4" w:rsidP="0CF0A3E4">
      <w:pPr>
        <w:spacing w:line="360" w:lineRule="auto"/>
        <w:jc w:val="both"/>
        <w:rPr>
          <w:rFonts w:ascii="Arial" w:eastAsia="Arial" w:hAnsi="Arial" w:cs="Arial"/>
          <w:sz w:val="22"/>
        </w:rPr>
      </w:pPr>
      <w:r w:rsidRPr="0CF0A3E4">
        <w:rPr>
          <w:rFonts w:ascii="Arial" w:eastAsia="Arial" w:hAnsi="Arial" w:cs="Arial"/>
          <w:sz w:val="22"/>
        </w:rPr>
        <w:t>In summary, effective management of Type 2 diabetes relies on a combination of medical interventions, regular monitoring, and sustainable lifestyle changes. By adopting healthier eating habits, increasing physical activity, maintaining a healthy weight, and taking medication as prescribed, individuals can significantly improve their blood glucose control and reduce the risk of long‑term complications. Regular blood sugar monitoring—whether through finger‑prick testing or continuous glucose monitoring—provides essential information that supports safe decision‑making and early detection of problems. Alongside this, emotional support, smoking cessation, reduced alcohol intake, and attendance at routine health checks all contribute to better overall wellbeing. Together, these evidence‑based strategies empower individuals to manage their diabetes more confidently and maintain a healthier, more independent life</w:t>
      </w:r>
    </w:p>
    <w:p w14:paraId="1970DE02" w14:textId="11876BAF" w:rsidR="001B7A40" w:rsidRPr="00C03A91" w:rsidRDefault="001B7A40" w:rsidP="0CF0A3E4">
      <w:pPr>
        <w:tabs>
          <w:tab w:val="left" w:pos="6540"/>
        </w:tabs>
        <w:spacing w:line="360" w:lineRule="auto"/>
        <w:rPr>
          <w:rFonts w:ascii="Arial" w:hAnsi="Arial" w:cs="Arial"/>
          <w:color w:val="8EAADB" w:themeColor="accent1" w:themeTint="99"/>
          <w:sz w:val="22"/>
        </w:rPr>
      </w:pPr>
    </w:p>
    <w:p w14:paraId="08E99182" w14:textId="037FE047" w:rsidR="001B7A40" w:rsidRPr="00C03A91" w:rsidRDefault="001B7A40" w:rsidP="00C03A91">
      <w:pPr>
        <w:spacing w:line="360" w:lineRule="auto"/>
        <w:rPr>
          <w:rFonts w:ascii="Arial" w:hAnsi="Arial" w:cs="Arial"/>
        </w:rPr>
      </w:pPr>
    </w:p>
    <w:p w14:paraId="251B3492" w14:textId="1669803D" w:rsidR="001B7A40" w:rsidRDefault="0CF0A3E4" w:rsidP="0CF0A3E4">
      <w:pPr>
        <w:pStyle w:val="Heading1"/>
        <w:spacing w:line="360" w:lineRule="auto"/>
        <w:rPr>
          <w:rFonts w:cs="Arial"/>
        </w:rPr>
      </w:pPr>
      <w:r>
        <w:t>References</w:t>
      </w:r>
    </w:p>
    <w:p w14:paraId="014D8915" w14:textId="5801B394" w:rsidR="38A33315" w:rsidRDefault="38A33315" w:rsidP="38A33315">
      <w:pPr>
        <w:pStyle w:val="ListParagraph"/>
        <w:ind w:left="960"/>
      </w:pPr>
    </w:p>
    <w:p w14:paraId="44E10AF9" w14:textId="04AF96C5" w:rsidR="38A33315" w:rsidRDefault="38A33315" w:rsidP="38A33315">
      <w:pPr>
        <w:pStyle w:val="ListParagraph"/>
        <w:ind w:left="960"/>
      </w:pPr>
    </w:p>
    <w:p w14:paraId="3E63C275" w14:textId="402C7A4B" w:rsidR="00BC58A1" w:rsidRDefault="0CF0A3E4" w:rsidP="0CF0A3E4">
      <w:pPr>
        <w:pStyle w:val="ListParagraph"/>
        <w:numPr>
          <w:ilvl w:val="0"/>
          <w:numId w:val="12"/>
        </w:numPr>
        <w:spacing w:line="360" w:lineRule="auto"/>
        <w:rPr>
          <w:rFonts w:ascii="Arial" w:eastAsia="Arial" w:hAnsi="Arial" w:cs="Arial"/>
          <w:sz w:val="22"/>
        </w:rPr>
      </w:pPr>
      <w:hyperlink r:id="rId11">
        <w:r w:rsidRPr="0CF0A3E4">
          <w:rPr>
            <w:rStyle w:val="Hyperlink"/>
            <w:rFonts w:ascii="Arial" w:eastAsia="Arial" w:hAnsi="Arial" w:cs="Arial"/>
            <w:sz w:val="22"/>
          </w:rPr>
          <w:t>https://librarysearch.uwtsd.ac.uk/discovery/researchAssistant</w:t>
        </w:r>
      </w:hyperlink>
      <w:r w:rsidRPr="0CF0A3E4">
        <w:rPr>
          <w:rFonts w:ascii="Arial" w:eastAsia="Arial" w:hAnsi="Arial" w:cs="Arial"/>
          <w:sz w:val="22"/>
        </w:rPr>
        <w:t>.</w:t>
      </w:r>
    </w:p>
    <w:p w14:paraId="5720D4FF" w14:textId="74C51DCF" w:rsidR="185030E8" w:rsidRDefault="185030E8" w:rsidP="0CF0A3E4">
      <w:pPr>
        <w:pStyle w:val="ListParagraph"/>
        <w:spacing w:line="360" w:lineRule="auto"/>
        <w:ind w:left="960"/>
        <w:rPr>
          <w:rFonts w:ascii="Arial" w:eastAsia="Arial" w:hAnsi="Arial" w:cs="Arial"/>
          <w:sz w:val="22"/>
        </w:rPr>
      </w:pPr>
    </w:p>
    <w:p w14:paraId="25887081" w14:textId="3159EA42" w:rsidR="185030E8" w:rsidRDefault="0CF0A3E4" w:rsidP="0CF0A3E4">
      <w:pPr>
        <w:pStyle w:val="ListParagraph"/>
        <w:numPr>
          <w:ilvl w:val="0"/>
          <w:numId w:val="7"/>
        </w:numPr>
        <w:spacing w:line="360" w:lineRule="auto"/>
        <w:rPr>
          <w:rFonts w:ascii="Arial" w:eastAsia="Arial" w:hAnsi="Arial" w:cs="Arial"/>
          <w:sz w:val="22"/>
        </w:rPr>
      </w:pPr>
      <w:r w:rsidRPr="0CF0A3E4">
        <w:rPr>
          <w:rFonts w:ascii="Arial" w:eastAsia="Arial" w:hAnsi="Arial" w:cs="Arial"/>
          <w:sz w:val="22"/>
        </w:rPr>
        <w:t xml:space="preserve">World Health Organization (2024) </w:t>
      </w:r>
      <w:r w:rsidRPr="0CF0A3E4">
        <w:rPr>
          <w:rStyle w:val="Emphasis"/>
          <w:rFonts w:ascii="Arial" w:eastAsia="Arial" w:hAnsi="Arial" w:cs="Arial"/>
          <w:sz w:val="22"/>
        </w:rPr>
        <w:t>Diabetes</w:t>
      </w:r>
      <w:r w:rsidRPr="0CF0A3E4">
        <w:rPr>
          <w:rFonts w:ascii="Arial" w:eastAsia="Arial" w:hAnsi="Arial" w:cs="Arial"/>
          <w:sz w:val="22"/>
        </w:rPr>
        <w:t xml:space="preserve">. WHO fact sheet, 14 November 2024. Available at: </w:t>
      </w:r>
      <w:r w:rsidRPr="0CF0A3E4">
        <w:rPr>
          <w:rStyle w:val="HTMLCode"/>
          <w:rFonts w:ascii="Arial" w:eastAsia="Arial" w:hAnsi="Arial" w:cs="Arial"/>
          <w:sz w:val="22"/>
          <w:szCs w:val="22"/>
        </w:rPr>
        <w:t>https://www.who.int/news-room/fact-sheets/detail/diabetes</w:t>
      </w:r>
      <w:r w:rsidRPr="0CF0A3E4">
        <w:rPr>
          <w:rFonts w:ascii="Arial" w:eastAsia="Arial" w:hAnsi="Arial" w:cs="Arial"/>
          <w:sz w:val="22"/>
        </w:rPr>
        <w:t xml:space="preserve"> (who.int in Bing) (Accessed: 1 March 2026).</w:t>
      </w:r>
    </w:p>
    <w:p w14:paraId="5AAD3BDC" w14:textId="76BEDE1E" w:rsidR="00BC58A1" w:rsidRPr="00997D09" w:rsidRDefault="0CF0A3E4" w:rsidP="0CF0A3E4">
      <w:pPr>
        <w:pStyle w:val="ListParagraph"/>
        <w:numPr>
          <w:ilvl w:val="0"/>
          <w:numId w:val="7"/>
        </w:numPr>
        <w:spacing w:before="240" w:after="240" w:line="360" w:lineRule="auto"/>
        <w:rPr>
          <w:rFonts w:ascii="Arial" w:eastAsia="Arial" w:hAnsi="Arial" w:cs="Arial"/>
          <w:sz w:val="22"/>
        </w:rPr>
      </w:pPr>
      <w:r w:rsidRPr="0CF0A3E4">
        <w:rPr>
          <w:rFonts w:ascii="Arial" w:eastAsia="Arial" w:hAnsi="Arial" w:cs="Arial"/>
          <w:b/>
          <w:bCs/>
          <w:sz w:val="22"/>
        </w:rPr>
        <w:t>Diabetes UK</w:t>
      </w:r>
      <w:r w:rsidRPr="0CF0A3E4">
        <w:rPr>
          <w:rFonts w:ascii="Arial" w:eastAsia="Arial" w:hAnsi="Arial" w:cs="Arial"/>
          <w:sz w:val="22"/>
        </w:rPr>
        <w:t xml:space="preserve"> (2024) </w:t>
      </w:r>
      <w:r w:rsidRPr="0CF0A3E4">
        <w:rPr>
          <w:rFonts w:ascii="Arial" w:eastAsia="Arial" w:hAnsi="Arial" w:cs="Arial"/>
          <w:i/>
          <w:iCs/>
          <w:sz w:val="22"/>
        </w:rPr>
        <w:t>Annual report and accounts 2023</w:t>
      </w:r>
      <w:r w:rsidRPr="0CF0A3E4">
        <w:rPr>
          <w:rFonts w:ascii="Arial" w:eastAsia="Arial" w:hAnsi="Arial" w:cs="Arial"/>
          <w:sz w:val="22"/>
        </w:rPr>
        <w:t xml:space="preserve">. Available at: </w:t>
      </w:r>
      <w:hyperlink r:id="rId12">
        <w:r w:rsidRPr="0CF0A3E4">
          <w:rPr>
            <w:rStyle w:val="Hyperlink"/>
            <w:rFonts w:ascii="Arial" w:eastAsia="Arial" w:hAnsi="Arial" w:cs="Arial"/>
            <w:sz w:val="22"/>
          </w:rPr>
          <w:t>https://www.diabetes.org.uk/sites/default/files/2024-07/Annual%20Report%202023%20-%20Final%20%281%29.pdf</w:t>
        </w:r>
      </w:hyperlink>
      <w:r w:rsidRPr="0CF0A3E4">
        <w:rPr>
          <w:rFonts w:ascii="Arial" w:eastAsia="Arial" w:hAnsi="Arial" w:cs="Arial"/>
          <w:sz w:val="22"/>
        </w:rPr>
        <w:t xml:space="preserve"> (Accessed: </w:t>
      </w:r>
      <w:r w:rsidRPr="0CF0A3E4">
        <w:rPr>
          <w:rFonts w:ascii="Arial" w:eastAsia="Arial" w:hAnsi="Arial" w:cs="Arial"/>
          <w:b/>
          <w:bCs/>
          <w:sz w:val="22"/>
        </w:rPr>
        <w:t>1 March 2026</w:t>
      </w:r>
      <w:r w:rsidRPr="0CF0A3E4">
        <w:rPr>
          <w:rFonts w:ascii="Arial" w:eastAsia="Arial" w:hAnsi="Arial" w:cs="Arial"/>
          <w:sz w:val="22"/>
        </w:rPr>
        <w:t>).</w:t>
      </w:r>
    </w:p>
    <w:p w14:paraId="4542FC57" w14:textId="04E70E3E" w:rsidR="00BC58A1" w:rsidRPr="00997D09" w:rsidRDefault="0CF0A3E4" w:rsidP="0CF0A3E4">
      <w:pPr>
        <w:pStyle w:val="ListParagraph"/>
        <w:numPr>
          <w:ilvl w:val="0"/>
          <w:numId w:val="7"/>
        </w:numPr>
        <w:spacing w:before="240" w:after="240" w:line="360" w:lineRule="auto"/>
        <w:rPr>
          <w:rFonts w:ascii="Arial" w:eastAsia="Arial" w:hAnsi="Arial" w:cs="Arial"/>
          <w:sz w:val="22"/>
        </w:rPr>
      </w:pPr>
      <w:r w:rsidRPr="0CF0A3E4">
        <w:rPr>
          <w:rFonts w:ascii="Arial" w:eastAsia="Arial" w:hAnsi="Arial" w:cs="Arial"/>
          <w:b/>
          <w:bCs/>
          <w:sz w:val="22"/>
        </w:rPr>
        <w:t>GOV.UK</w:t>
      </w:r>
      <w:r w:rsidRPr="0CF0A3E4">
        <w:rPr>
          <w:rFonts w:ascii="Arial" w:eastAsia="Arial" w:hAnsi="Arial" w:cs="Arial"/>
          <w:sz w:val="22"/>
        </w:rPr>
        <w:t xml:space="preserve"> (2025) </w:t>
      </w:r>
      <w:r w:rsidRPr="0CF0A3E4">
        <w:rPr>
          <w:rFonts w:ascii="Arial" w:eastAsia="Arial" w:hAnsi="Arial" w:cs="Arial"/>
          <w:i/>
          <w:iCs/>
          <w:sz w:val="22"/>
        </w:rPr>
        <w:t>Diabetes profile: statistical commentary — March 2025</w:t>
      </w:r>
      <w:r w:rsidRPr="0CF0A3E4">
        <w:rPr>
          <w:rFonts w:ascii="Arial" w:eastAsia="Arial" w:hAnsi="Arial" w:cs="Arial"/>
          <w:sz w:val="22"/>
        </w:rPr>
        <w:t xml:space="preserve">. Available at: </w:t>
      </w:r>
      <w:hyperlink r:id="rId13">
        <w:r w:rsidRPr="0CF0A3E4">
          <w:rPr>
            <w:rStyle w:val="Hyperlink"/>
            <w:rFonts w:ascii="Arial" w:eastAsia="Arial" w:hAnsi="Arial" w:cs="Arial"/>
            <w:sz w:val="22"/>
          </w:rPr>
          <w:t>https://www.gov.uk/government/statistics/diabetes-profile-update-</w:t>
        </w:r>
        <w:r w:rsidRPr="0CF0A3E4">
          <w:rPr>
            <w:rStyle w:val="Hyperlink"/>
            <w:rFonts w:ascii="Arial" w:eastAsia="Arial" w:hAnsi="Arial" w:cs="Arial"/>
            <w:sz w:val="22"/>
          </w:rPr>
          <w:lastRenderedPageBreak/>
          <w:t>march-2025/diabetes-profile-statistical-commentary-march-2025</w:t>
        </w:r>
      </w:hyperlink>
      <w:r w:rsidRPr="0CF0A3E4">
        <w:rPr>
          <w:rFonts w:ascii="Arial" w:eastAsia="Arial" w:hAnsi="Arial" w:cs="Arial"/>
          <w:sz w:val="22"/>
        </w:rPr>
        <w:t xml:space="preserve"> (Accessed: </w:t>
      </w:r>
      <w:r w:rsidRPr="0CF0A3E4">
        <w:rPr>
          <w:rFonts w:ascii="Arial" w:eastAsia="Arial" w:hAnsi="Arial" w:cs="Arial"/>
          <w:b/>
          <w:bCs/>
          <w:sz w:val="22"/>
        </w:rPr>
        <w:t>1 March 2026</w:t>
      </w:r>
      <w:r w:rsidRPr="0CF0A3E4">
        <w:rPr>
          <w:rFonts w:ascii="Arial" w:eastAsia="Arial" w:hAnsi="Arial" w:cs="Arial"/>
          <w:sz w:val="22"/>
        </w:rPr>
        <w:t>).</w:t>
      </w:r>
    </w:p>
    <w:p w14:paraId="62A39F41" w14:textId="7FA8F831" w:rsidR="00BC58A1" w:rsidRPr="00997D09" w:rsidRDefault="0CF0A3E4" w:rsidP="0CF0A3E4">
      <w:pPr>
        <w:pStyle w:val="ListParagraph"/>
        <w:numPr>
          <w:ilvl w:val="0"/>
          <w:numId w:val="7"/>
        </w:numPr>
        <w:spacing w:before="240" w:after="240" w:line="360" w:lineRule="auto"/>
        <w:rPr>
          <w:rFonts w:ascii="Arial" w:eastAsia="Arial" w:hAnsi="Arial" w:cs="Arial"/>
          <w:sz w:val="22"/>
        </w:rPr>
      </w:pPr>
      <w:r w:rsidRPr="0CF0A3E4">
        <w:rPr>
          <w:rFonts w:ascii="Arial" w:eastAsia="Arial" w:hAnsi="Arial" w:cs="Arial"/>
          <w:sz w:val="22"/>
        </w:rPr>
        <w:t xml:space="preserve">Rosengren, A. and </w:t>
      </w:r>
      <w:proofErr w:type="spellStart"/>
      <w:r w:rsidRPr="0CF0A3E4">
        <w:rPr>
          <w:rFonts w:ascii="Arial" w:eastAsia="Arial" w:hAnsi="Arial" w:cs="Arial"/>
          <w:sz w:val="22"/>
        </w:rPr>
        <w:t>Dikaiou</w:t>
      </w:r>
      <w:proofErr w:type="spellEnd"/>
      <w:r w:rsidRPr="0CF0A3E4">
        <w:rPr>
          <w:rFonts w:ascii="Arial" w:eastAsia="Arial" w:hAnsi="Arial" w:cs="Arial"/>
          <w:sz w:val="22"/>
        </w:rPr>
        <w:t xml:space="preserve">, P. (2023) Cardiovascular outcomes in type 1 and type 2 diabetes, </w:t>
      </w:r>
      <w:proofErr w:type="spellStart"/>
      <w:r w:rsidRPr="0CF0A3E4">
        <w:rPr>
          <w:rFonts w:ascii="Arial" w:eastAsia="Arial" w:hAnsi="Arial" w:cs="Arial"/>
          <w:sz w:val="22"/>
        </w:rPr>
        <w:t>Diabetologia</w:t>
      </w:r>
      <w:proofErr w:type="spellEnd"/>
      <w:r w:rsidRPr="0CF0A3E4">
        <w:rPr>
          <w:rFonts w:ascii="Arial" w:eastAsia="Arial" w:hAnsi="Arial" w:cs="Arial"/>
          <w:sz w:val="22"/>
        </w:rPr>
        <w:t xml:space="preserve">, 66(3), pp. 425–437. </w:t>
      </w:r>
      <w:proofErr w:type="spellStart"/>
      <w:r w:rsidRPr="0CF0A3E4">
        <w:rPr>
          <w:rFonts w:ascii="Arial" w:eastAsia="Arial" w:hAnsi="Arial" w:cs="Arial"/>
          <w:sz w:val="22"/>
        </w:rPr>
        <w:t>doi</w:t>
      </w:r>
      <w:proofErr w:type="spellEnd"/>
      <w:r w:rsidRPr="0CF0A3E4">
        <w:rPr>
          <w:rFonts w:ascii="Arial" w:eastAsia="Arial" w:hAnsi="Arial" w:cs="Arial"/>
          <w:sz w:val="22"/>
        </w:rPr>
        <w:t>: 10.1007/s00125-022-05857-5. (Accessed: 1 March 2026)</w:t>
      </w:r>
    </w:p>
    <w:p w14:paraId="7AA6EAC4" w14:textId="75A4789A" w:rsidR="00BC58A1" w:rsidRPr="00997D09" w:rsidRDefault="0CF0A3E4" w:rsidP="0CF0A3E4">
      <w:pPr>
        <w:pStyle w:val="ListParagraph"/>
        <w:numPr>
          <w:ilvl w:val="0"/>
          <w:numId w:val="7"/>
        </w:numPr>
        <w:spacing w:before="240" w:after="240" w:line="360" w:lineRule="auto"/>
        <w:rPr>
          <w:rFonts w:ascii="Arial" w:eastAsia="Arial" w:hAnsi="Arial" w:cs="Arial"/>
          <w:sz w:val="22"/>
        </w:rPr>
      </w:pPr>
      <w:r w:rsidRPr="0CF0A3E4">
        <w:rPr>
          <w:rFonts w:ascii="Arial" w:eastAsia="Arial" w:hAnsi="Arial" w:cs="Arial"/>
          <w:b/>
          <w:bCs/>
          <w:sz w:val="22"/>
        </w:rPr>
        <w:t xml:space="preserve"> </w:t>
      </w:r>
      <w:r w:rsidRPr="0CF0A3E4">
        <w:rPr>
          <w:rFonts w:ascii="Arial" w:eastAsia="Arial" w:hAnsi="Arial" w:cs="Arial"/>
          <w:sz w:val="22"/>
        </w:rPr>
        <w:t xml:space="preserve">Smith, J. (2019) </w:t>
      </w:r>
      <w:r w:rsidRPr="0CF0A3E4">
        <w:rPr>
          <w:rFonts w:ascii="Arial" w:eastAsia="Arial" w:hAnsi="Arial" w:cs="Arial"/>
          <w:i/>
          <w:iCs/>
          <w:sz w:val="22"/>
        </w:rPr>
        <w:t>Insulin and glucagon overview</w:t>
      </w:r>
      <w:r w:rsidRPr="0CF0A3E4">
        <w:rPr>
          <w:rFonts w:ascii="Arial" w:eastAsia="Arial" w:hAnsi="Arial" w:cs="Arial"/>
          <w:sz w:val="22"/>
        </w:rPr>
        <w:t xml:space="preserve">. Medical News Today. Available at: </w:t>
      </w:r>
      <w:hyperlink r:id="rId14" w:anchor="overview">
        <w:r w:rsidRPr="0CF0A3E4">
          <w:rPr>
            <w:rStyle w:val="Hyperlink"/>
            <w:rFonts w:ascii="Arial" w:eastAsia="Arial" w:hAnsi="Arial" w:cs="Arial"/>
            <w:sz w:val="22"/>
          </w:rPr>
          <w:t>https://www.medicalnewstoday.com/articles/316427#overview</w:t>
        </w:r>
      </w:hyperlink>
      <w:r w:rsidRPr="0CF0A3E4">
        <w:rPr>
          <w:rFonts w:ascii="Arial" w:eastAsia="Arial" w:hAnsi="Arial" w:cs="Arial"/>
          <w:sz w:val="22"/>
        </w:rPr>
        <w:t xml:space="preserve"> (Accessed: 1 March 2026).</w:t>
      </w:r>
    </w:p>
    <w:p w14:paraId="14219357" w14:textId="27E6F640" w:rsidR="00BC58A1" w:rsidRPr="00997D09" w:rsidRDefault="0CF0A3E4" w:rsidP="0CF0A3E4">
      <w:pPr>
        <w:pStyle w:val="ListParagraph"/>
        <w:numPr>
          <w:ilvl w:val="0"/>
          <w:numId w:val="7"/>
        </w:numPr>
        <w:spacing w:before="240" w:after="240" w:line="360" w:lineRule="auto"/>
        <w:rPr>
          <w:rFonts w:ascii="Arial" w:eastAsia="Arial" w:hAnsi="Arial" w:cs="Arial"/>
          <w:sz w:val="22"/>
        </w:rPr>
      </w:pPr>
      <w:r w:rsidRPr="0CF0A3E4">
        <w:rPr>
          <w:rFonts w:ascii="Arial" w:eastAsia="Arial" w:hAnsi="Arial" w:cs="Arial"/>
          <w:sz w:val="22"/>
        </w:rPr>
        <w:t xml:space="preserve">     Monash University (no date) The process of aerobic respiration. Available at: </w:t>
      </w:r>
      <w:hyperlink r:id="rId15">
        <w:r w:rsidRPr="0CF0A3E4">
          <w:rPr>
            <w:rStyle w:val="Hyperlink"/>
            <w:rFonts w:ascii="Arial" w:eastAsia="Arial" w:hAnsi="Arial" w:cs="Arial"/>
            <w:sz w:val="22"/>
          </w:rPr>
          <w:t>https://www.monash.edu</w:t>
        </w:r>
      </w:hyperlink>
      <w:r w:rsidRPr="0CF0A3E4">
        <w:rPr>
          <w:rFonts w:ascii="Arial" w:eastAsia="Arial" w:hAnsi="Arial" w:cs="Arial"/>
          <w:sz w:val="22"/>
        </w:rPr>
        <w:t xml:space="preserve"> (Accessed: 1 March 2026).</w:t>
      </w:r>
    </w:p>
    <w:p w14:paraId="6CBF6A47" w14:textId="2B07CC6A" w:rsidR="00BC58A1" w:rsidRPr="00997D09" w:rsidRDefault="0CF0A3E4" w:rsidP="0CF0A3E4">
      <w:pPr>
        <w:pStyle w:val="ListParagraph"/>
        <w:numPr>
          <w:ilvl w:val="0"/>
          <w:numId w:val="7"/>
        </w:numPr>
        <w:spacing w:before="240" w:after="240" w:line="360" w:lineRule="auto"/>
        <w:rPr>
          <w:rFonts w:ascii="Arial" w:eastAsia="Arial" w:hAnsi="Arial" w:cs="Arial"/>
          <w:sz w:val="22"/>
        </w:rPr>
      </w:pPr>
      <w:r w:rsidRPr="0CF0A3E4">
        <w:rPr>
          <w:rFonts w:ascii="Arial" w:eastAsia="Arial" w:hAnsi="Arial" w:cs="Arial"/>
          <w:sz w:val="22"/>
        </w:rPr>
        <w:t xml:space="preserve">Encyclopaedia Britannica (2026) Cellular respiration. 19 February 2026. Available at: </w:t>
      </w:r>
      <w:hyperlink r:id="rId16">
        <w:r w:rsidRPr="0CF0A3E4">
          <w:rPr>
            <w:rStyle w:val="Hyperlink"/>
            <w:rFonts w:ascii="Arial" w:eastAsia="Arial" w:hAnsi="Arial" w:cs="Arial"/>
            <w:sz w:val="22"/>
          </w:rPr>
          <w:t>https://www.britannica.com</w:t>
        </w:r>
      </w:hyperlink>
      <w:r w:rsidRPr="0CF0A3E4">
        <w:rPr>
          <w:rFonts w:ascii="Arial" w:eastAsia="Arial" w:hAnsi="Arial" w:cs="Arial"/>
          <w:sz w:val="22"/>
        </w:rPr>
        <w:t xml:space="preserve"> (Accessed: 1 March 2026).</w:t>
      </w:r>
    </w:p>
    <w:p w14:paraId="0D1EA764" w14:textId="70DC4BA9" w:rsidR="00BC58A1" w:rsidRPr="00997D09" w:rsidRDefault="0CF0A3E4" w:rsidP="0CF0A3E4">
      <w:pPr>
        <w:pStyle w:val="ListParagraph"/>
        <w:numPr>
          <w:ilvl w:val="0"/>
          <w:numId w:val="7"/>
        </w:numPr>
        <w:spacing w:before="240" w:after="240" w:line="360" w:lineRule="auto"/>
        <w:rPr>
          <w:rFonts w:ascii="Arial" w:eastAsia="Arial" w:hAnsi="Arial" w:cs="Arial"/>
          <w:sz w:val="22"/>
        </w:rPr>
      </w:pPr>
      <w:r w:rsidRPr="0CF0A3E4">
        <w:rPr>
          <w:rFonts w:ascii="Arial" w:eastAsia="Arial" w:hAnsi="Arial" w:cs="Arial"/>
          <w:sz w:val="22"/>
        </w:rPr>
        <w:t xml:space="preserve">Osmosis (2025) Cellular respiration: steps, process, and stages. Modified 21 August 2025. Available at: </w:t>
      </w:r>
      <w:hyperlink r:id="rId17">
        <w:r w:rsidRPr="0CF0A3E4">
          <w:rPr>
            <w:rStyle w:val="Hyperlink"/>
            <w:rFonts w:ascii="Arial" w:eastAsia="Arial" w:hAnsi="Arial" w:cs="Arial"/>
            <w:sz w:val="22"/>
          </w:rPr>
          <w:t>https://www.osmosis.org</w:t>
        </w:r>
      </w:hyperlink>
      <w:r w:rsidRPr="0CF0A3E4">
        <w:rPr>
          <w:rFonts w:ascii="Arial" w:eastAsia="Arial" w:hAnsi="Arial" w:cs="Arial"/>
          <w:sz w:val="22"/>
        </w:rPr>
        <w:t xml:space="preserve"> (Accessed: 1 March 2026).</w:t>
      </w:r>
    </w:p>
    <w:p w14:paraId="56932FC4" w14:textId="003136F5" w:rsidR="00BC58A1" w:rsidRPr="00997D09" w:rsidRDefault="0CF0A3E4" w:rsidP="0CF0A3E4">
      <w:pPr>
        <w:pStyle w:val="ListParagraph"/>
        <w:numPr>
          <w:ilvl w:val="0"/>
          <w:numId w:val="7"/>
        </w:numPr>
        <w:spacing w:before="240" w:after="240"/>
      </w:pPr>
      <w:r w:rsidRPr="0CF0A3E4">
        <w:rPr>
          <w:b/>
          <w:bCs/>
        </w:rPr>
        <w:t>World Health Organization</w:t>
      </w:r>
      <w:r w:rsidRPr="0CF0A3E4">
        <w:t xml:space="preserve"> (2024) </w:t>
      </w:r>
      <w:r w:rsidRPr="0CF0A3E4">
        <w:rPr>
          <w:i/>
          <w:iCs/>
        </w:rPr>
        <w:t>Diabetes</w:t>
      </w:r>
      <w:r w:rsidRPr="0CF0A3E4">
        <w:t xml:space="preserve">. WHO fact sheet. Available at: </w:t>
      </w:r>
      <w:hyperlink r:id="rId18">
        <w:r w:rsidRPr="0CF0A3E4">
          <w:rPr>
            <w:rStyle w:val="Hyperlink"/>
            <w:rFonts w:ascii="Consolas" w:eastAsia="Consolas" w:hAnsi="Consolas" w:cs="Consolas"/>
          </w:rPr>
          <w:t>https://www.who.int/news-room/fact-sheets/detail/diabetes</w:t>
        </w:r>
      </w:hyperlink>
      <w:r w:rsidRPr="0CF0A3E4">
        <w:t xml:space="preserve"> (who.int in Bing) (Accessed: 1 March 2026).</w:t>
      </w:r>
    </w:p>
    <w:p w14:paraId="20BDDAFB" w14:textId="256BD9F2" w:rsidR="00BC58A1" w:rsidRPr="00997D09" w:rsidRDefault="0CF0A3E4" w:rsidP="0CF0A3E4">
      <w:pPr>
        <w:pStyle w:val="ListParagraph"/>
        <w:numPr>
          <w:ilvl w:val="0"/>
          <w:numId w:val="7"/>
        </w:numPr>
        <w:spacing w:before="240" w:after="240"/>
      </w:pPr>
      <w:r w:rsidRPr="0CF0A3E4">
        <w:rPr>
          <w:b/>
          <w:bCs/>
        </w:rPr>
        <w:t>Diabetes UK</w:t>
      </w:r>
      <w:r w:rsidRPr="0CF0A3E4">
        <w:t xml:space="preserve"> (2024) </w:t>
      </w:r>
      <w:r w:rsidRPr="0CF0A3E4">
        <w:rPr>
          <w:i/>
          <w:iCs/>
        </w:rPr>
        <w:t>Annual report and accounts 2023</w:t>
      </w:r>
      <w:r w:rsidRPr="0CF0A3E4">
        <w:t xml:space="preserve">. Available at: </w:t>
      </w:r>
      <w:hyperlink r:id="rId19">
        <w:r w:rsidRPr="0CF0A3E4">
          <w:rPr>
            <w:rStyle w:val="Hyperlink"/>
          </w:rPr>
          <w:t>https://www.diabetes.org.uk/sites/default/files/2024-07/Annual%20Report%202023%20-%20Final%20%281%29.pdf</w:t>
        </w:r>
      </w:hyperlink>
      <w:r w:rsidRPr="0CF0A3E4">
        <w:t xml:space="preserve"> (Accessed: 1 March 2026).</w:t>
      </w:r>
    </w:p>
    <w:p w14:paraId="5C668B97" w14:textId="7C7AAC1C" w:rsidR="00BC58A1" w:rsidRPr="00997D09" w:rsidRDefault="0CF0A3E4" w:rsidP="0CF0A3E4">
      <w:pPr>
        <w:pStyle w:val="ListParagraph"/>
        <w:numPr>
          <w:ilvl w:val="0"/>
          <w:numId w:val="7"/>
        </w:numPr>
        <w:spacing w:before="240" w:after="240"/>
      </w:pPr>
      <w:r w:rsidRPr="0CF0A3E4">
        <w:rPr>
          <w:b/>
          <w:bCs/>
        </w:rPr>
        <w:t>GOV.UK</w:t>
      </w:r>
      <w:r w:rsidRPr="0CF0A3E4">
        <w:t xml:space="preserve"> (2025) </w:t>
      </w:r>
      <w:r w:rsidRPr="0CF0A3E4">
        <w:rPr>
          <w:i/>
          <w:iCs/>
        </w:rPr>
        <w:t>Diabetes profile: statistical commentary — March 2025</w:t>
      </w:r>
      <w:r w:rsidRPr="0CF0A3E4">
        <w:t xml:space="preserve">. Available at: </w:t>
      </w:r>
      <w:hyperlink r:id="rId20">
        <w:r w:rsidRPr="0CF0A3E4">
          <w:rPr>
            <w:rStyle w:val="Hyperlink"/>
          </w:rPr>
          <w:t>https://www.gov.uk/government/statistics/diabetes-profile-update-march-2025/diabetes-profile-statistical-commentary-march-2025</w:t>
        </w:r>
      </w:hyperlink>
      <w:r w:rsidRPr="0CF0A3E4">
        <w:t xml:space="preserve"> (Accessed: 1 March 2026).</w:t>
      </w:r>
    </w:p>
    <w:p w14:paraId="5A3742C6" w14:textId="678735AD" w:rsidR="00BC58A1" w:rsidRPr="00997D09" w:rsidRDefault="0CF0A3E4" w:rsidP="0CF0A3E4">
      <w:pPr>
        <w:pStyle w:val="ListParagraph"/>
        <w:numPr>
          <w:ilvl w:val="0"/>
          <w:numId w:val="7"/>
        </w:numPr>
        <w:spacing w:before="240" w:after="240"/>
      </w:pPr>
      <w:r w:rsidRPr="0CF0A3E4">
        <w:rPr>
          <w:b/>
          <w:bCs/>
        </w:rPr>
        <w:t xml:space="preserve">Rosengren, A. and </w:t>
      </w:r>
      <w:proofErr w:type="spellStart"/>
      <w:r w:rsidRPr="0CF0A3E4">
        <w:rPr>
          <w:b/>
          <w:bCs/>
        </w:rPr>
        <w:t>Dikaiou</w:t>
      </w:r>
      <w:proofErr w:type="spellEnd"/>
      <w:r w:rsidRPr="0CF0A3E4">
        <w:rPr>
          <w:b/>
          <w:bCs/>
        </w:rPr>
        <w:t>, P.</w:t>
      </w:r>
      <w:r w:rsidRPr="0CF0A3E4">
        <w:t xml:space="preserve"> (2023) ‘Cardiovascular outcomes in type 1 and type 2 diabetes’, </w:t>
      </w:r>
      <w:proofErr w:type="spellStart"/>
      <w:r w:rsidRPr="0CF0A3E4">
        <w:rPr>
          <w:i/>
          <w:iCs/>
        </w:rPr>
        <w:t>Diabetologia</w:t>
      </w:r>
      <w:proofErr w:type="spellEnd"/>
      <w:r w:rsidRPr="0CF0A3E4">
        <w:t xml:space="preserve">, 66(3), pp. 425–437. </w:t>
      </w:r>
      <w:proofErr w:type="spellStart"/>
      <w:r w:rsidRPr="0CF0A3E4">
        <w:t>doi</w:t>
      </w:r>
      <w:proofErr w:type="spellEnd"/>
      <w:r w:rsidRPr="0CF0A3E4">
        <w:t>: 10.1007/s00125-022-05857-5 (Accessed: 1 March 2026).</w:t>
      </w:r>
    </w:p>
    <w:p w14:paraId="10401445" w14:textId="10C3EB4A" w:rsidR="00BC58A1" w:rsidRPr="00997D09" w:rsidRDefault="0CF0A3E4" w:rsidP="0CF0A3E4">
      <w:pPr>
        <w:pStyle w:val="ListParagraph"/>
        <w:numPr>
          <w:ilvl w:val="0"/>
          <w:numId w:val="7"/>
        </w:numPr>
        <w:spacing w:before="240" w:after="240"/>
      </w:pPr>
      <w:r w:rsidRPr="0CF0A3E4">
        <w:rPr>
          <w:b/>
          <w:bCs/>
        </w:rPr>
        <w:t>Medical News Today</w:t>
      </w:r>
      <w:r w:rsidRPr="0CF0A3E4">
        <w:t xml:space="preserve"> (no date) </w:t>
      </w:r>
      <w:r w:rsidRPr="0CF0A3E4">
        <w:rPr>
          <w:i/>
          <w:iCs/>
        </w:rPr>
        <w:t>Insulin and glucagon overview</w:t>
      </w:r>
      <w:r w:rsidRPr="0CF0A3E4">
        <w:t xml:space="preserve">. Available at: </w:t>
      </w:r>
      <w:hyperlink r:id="rId21" w:anchor="overview">
        <w:r w:rsidRPr="0CF0A3E4">
          <w:rPr>
            <w:rStyle w:val="Hyperlink"/>
          </w:rPr>
          <w:t>https://www.medicalnewstoday.com/articles/316427#overview</w:t>
        </w:r>
      </w:hyperlink>
      <w:r w:rsidRPr="0CF0A3E4">
        <w:t xml:space="preserve"> (Accessed: 1 March 2026).</w:t>
      </w:r>
    </w:p>
    <w:p w14:paraId="773D5FB7" w14:textId="4EE0DBB1" w:rsidR="00BC58A1" w:rsidRPr="00997D09" w:rsidRDefault="0CF0A3E4" w:rsidP="0CF0A3E4">
      <w:pPr>
        <w:pStyle w:val="ListParagraph"/>
        <w:numPr>
          <w:ilvl w:val="0"/>
          <w:numId w:val="7"/>
        </w:numPr>
        <w:spacing w:before="240" w:after="240"/>
      </w:pPr>
      <w:r w:rsidRPr="0CF0A3E4">
        <w:rPr>
          <w:b/>
          <w:bCs/>
        </w:rPr>
        <w:t>Diabetes UK (2024)</w:t>
      </w:r>
      <w:r w:rsidRPr="0CF0A3E4">
        <w:t xml:space="preserve"> </w:t>
      </w:r>
      <w:r w:rsidRPr="0CF0A3E4">
        <w:rPr>
          <w:i/>
          <w:iCs/>
        </w:rPr>
        <w:t>Monitoring your blood sugar levels</w:t>
      </w:r>
      <w:r w:rsidRPr="0CF0A3E4">
        <w:t xml:space="preserve">. Diabetes UK. Available at: </w:t>
      </w:r>
      <w:hyperlink r:id="rId22">
        <w:r w:rsidRPr="0CF0A3E4">
          <w:rPr>
            <w:rStyle w:val="Hyperlink"/>
          </w:rPr>
          <w:t>https://www.diabetes.org.uk</w:t>
        </w:r>
      </w:hyperlink>
      <w:r w:rsidRPr="0CF0A3E4">
        <w:t xml:space="preserve"> (Accessed: 1 March2026).</w:t>
      </w:r>
    </w:p>
    <w:p w14:paraId="54873944" w14:textId="05E906CB" w:rsidR="00BC58A1" w:rsidRPr="00997D09" w:rsidRDefault="0CF0A3E4" w:rsidP="0CF0A3E4">
      <w:pPr>
        <w:pStyle w:val="ListParagraph"/>
        <w:numPr>
          <w:ilvl w:val="0"/>
          <w:numId w:val="7"/>
        </w:numPr>
        <w:spacing w:before="240" w:after="240"/>
      </w:pPr>
      <w:r w:rsidRPr="0CF0A3E4">
        <w:rPr>
          <w:b/>
          <w:bCs/>
        </w:rPr>
        <w:t>NHS (2023)</w:t>
      </w:r>
      <w:r w:rsidRPr="0CF0A3E4">
        <w:t xml:space="preserve"> </w:t>
      </w:r>
      <w:r w:rsidRPr="0CF0A3E4">
        <w:rPr>
          <w:i/>
          <w:iCs/>
        </w:rPr>
        <w:t>Type 2 diabetes – blood sugar testing</w:t>
      </w:r>
      <w:r w:rsidRPr="0CF0A3E4">
        <w:t xml:space="preserve">. NHS. Available at: </w:t>
      </w:r>
      <w:hyperlink r:id="rId23">
        <w:r w:rsidRPr="0CF0A3E4">
          <w:rPr>
            <w:rStyle w:val="Hyperlink"/>
          </w:rPr>
          <w:t>https://www.nhs.uk</w:t>
        </w:r>
      </w:hyperlink>
      <w:r w:rsidRPr="0CF0A3E4">
        <w:t xml:space="preserve"> (Accessed: 1 March 2026).</w:t>
      </w:r>
    </w:p>
    <w:p w14:paraId="33B14731" w14:textId="296D05DF" w:rsidR="00BC58A1" w:rsidRPr="00997D09" w:rsidRDefault="0CF0A3E4" w:rsidP="0CF0A3E4">
      <w:pPr>
        <w:pStyle w:val="ListParagraph"/>
        <w:numPr>
          <w:ilvl w:val="0"/>
          <w:numId w:val="7"/>
        </w:numPr>
        <w:spacing w:before="240" w:after="240"/>
      </w:pPr>
      <w:r w:rsidRPr="0CF0A3E4">
        <w:rPr>
          <w:b/>
          <w:bCs/>
        </w:rPr>
        <w:t>National Institute for Health and Care Excellence (NICE) (2022)</w:t>
      </w:r>
      <w:r w:rsidRPr="0CF0A3E4">
        <w:t xml:space="preserve"> </w:t>
      </w:r>
      <w:r w:rsidRPr="0CF0A3E4">
        <w:rPr>
          <w:i/>
          <w:iCs/>
        </w:rPr>
        <w:t>Type 2 diabetes in adults: management (NG28)</w:t>
      </w:r>
      <w:r w:rsidRPr="0CF0A3E4">
        <w:t xml:space="preserve">. NICE. Available at: </w:t>
      </w:r>
      <w:hyperlink r:id="rId24">
        <w:r w:rsidRPr="0CF0A3E4">
          <w:rPr>
            <w:rStyle w:val="Hyperlink"/>
          </w:rPr>
          <w:t>https://www.nice.org.uk</w:t>
        </w:r>
      </w:hyperlink>
      <w:r w:rsidRPr="0CF0A3E4">
        <w:t xml:space="preserve"> (Accessed: 1 March 2026).</w:t>
      </w:r>
    </w:p>
    <w:p w14:paraId="029495AD" w14:textId="380B43D1" w:rsidR="00BC58A1" w:rsidRPr="00997D09" w:rsidRDefault="0CF0A3E4" w:rsidP="0CF0A3E4">
      <w:pPr>
        <w:pStyle w:val="ListParagraph"/>
        <w:numPr>
          <w:ilvl w:val="0"/>
          <w:numId w:val="7"/>
        </w:numPr>
        <w:spacing w:before="240" w:after="240"/>
      </w:pPr>
      <w:r w:rsidRPr="0CF0A3E4">
        <w:rPr>
          <w:b/>
          <w:bCs/>
        </w:rPr>
        <w:t>American Diabetes Association (2023)</w:t>
      </w:r>
      <w:r w:rsidRPr="0CF0A3E4">
        <w:t xml:space="preserve"> </w:t>
      </w:r>
      <w:r w:rsidRPr="0CF0A3E4">
        <w:rPr>
          <w:i/>
          <w:iCs/>
        </w:rPr>
        <w:t>Standards of Medical Care in Diabetes</w:t>
      </w:r>
      <w:r w:rsidRPr="0CF0A3E4">
        <w:t>. Diabetes Care, 46</w:t>
      </w:r>
    </w:p>
    <w:p w14:paraId="00F596D0" w14:textId="2B40BCC8" w:rsidR="00BC58A1" w:rsidRPr="00997D09" w:rsidRDefault="0CF0A3E4" w:rsidP="0CF0A3E4">
      <w:pPr>
        <w:pStyle w:val="ListParagraph"/>
        <w:numPr>
          <w:ilvl w:val="0"/>
          <w:numId w:val="7"/>
        </w:numPr>
        <w:spacing w:before="240" w:after="240"/>
      </w:pPr>
      <w:r w:rsidRPr="0CF0A3E4">
        <w:rPr>
          <w:b/>
          <w:bCs/>
        </w:rPr>
        <w:t>World Health Organization (2023)</w:t>
      </w:r>
      <w:r w:rsidRPr="0CF0A3E4">
        <w:t xml:space="preserve"> </w:t>
      </w:r>
      <w:r w:rsidRPr="0CF0A3E4">
        <w:rPr>
          <w:i/>
          <w:iCs/>
        </w:rPr>
        <w:t>Diabetes fact sheet</w:t>
      </w:r>
      <w:r w:rsidRPr="0CF0A3E4">
        <w:t xml:space="preserve">. WHO. Available at: </w:t>
      </w:r>
      <w:hyperlink r:id="rId25">
        <w:r w:rsidRPr="0CF0A3E4">
          <w:rPr>
            <w:rStyle w:val="Hyperlink"/>
          </w:rPr>
          <w:t>https://www.who.int</w:t>
        </w:r>
      </w:hyperlink>
      <w:r w:rsidRPr="0CF0A3E4">
        <w:t xml:space="preserve"> (Accessed:  1 March 2026).</w:t>
      </w:r>
    </w:p>
    <w:p w14:paraId="70EDABA8" w14:textId="513A88D0" w:rsidR="00BC58A1" w:rsidRPr="00997D09" w:rsidRDefault="00BC58A1" w:rsidP="0CF0A3E4">
      <w:pPr>
        <w:spacing w:before="240" w:after="240"/>
        <w:ind w:left="720"/>
      </w:pPr>
    </w:p>
    <w:p w14:paraId="58A0B0A3" w14:textId="669664CD" w:rsidR="00BC58A1" w:rsidRPr="00997D09" w:rsidRDefault="00BC58A1" w:rsidP="0CF0A3E4">
      <w:pPr>
        <w:spacing w:before="240" w:after="240" w:line="360" w:lineRule="auto"/>
        <w:ind w:left="720"/>
      </w:pPr>
    </w:p>
    <w:p w14:paraId="07430833" w14:textId="237DA522" w:rsidR="00BC58A1" w:rsidRPr="00997D09" w:rsidRDefault="00BC58A1" w:rsidP="00BC58A1">
      <w:pPr>
        <w:ind w:left="600"/>
      </w:pPr>
    </w:p>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2F72B7" w14:textId="77777777" w:rsidR="00F15CF5" w:rsidRDefault="00F15CF5" w:rsidP="00C03A91">
      <w:pPr>
        <w:spacing w:after="0" w:line="240" w:lineRule="auto"/>
      </w:pPr>
      <w:r>
        <w:separator/>
      </w:r>
    </w:p>
  </w:endnote>
  <w:endnote w:type="continuationSeparator" w:id="0">
    <w:p w14:paraId="10A2EA4D" w14:textId="77777777" w:rsidR="00F15CF5" w:rsidRDefault="00F15CF5"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188A9" w14:textId="77777777" w:rsidR="00F15CF5" w:rsidRDefault="00F15CF5" w:rsidP="00C03A91">
      <w:pPr>
        <w:spacing w:after="0" w:line="240" w:lineRule="auto"/>
      </w:pPr>
      <w:r>
        <w:separator/>
      </w:r>
    </w:p>
  </w:footnote>
  <w:footnote w:type="continuationSeparator" w:id="0">
    <w:p w14:paraId="5C75765D" w14:textId="77777777" w:rsidR="00F15CF5" w:rsidRDefault="00F15CF5"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9y+vMNQCTsPwk3" int2:id="9ace63X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6950B"/>
    <w:multiLevelType w:val="hybridMultilevel"/>
    <w:tmpl w:val="99F4D332"/>
    <w:lvl w:ilvl="0" w:tplc="B698954A">
      <w:start w:val="1"/>
      <w:numFmt w:val="bullet"/>
      <w:lvlText w:val=""/>
      <w:lvlJc w:val="left"/>
      <w:pPr>
        <w:ind w:left="720" w:hanging="360"/>
      </w:pPr>
      <w:rPr>
        <w:rFonts w:ascii="Symbol" w:hAnsi="Symbol" w:hint="default"/>
      </w:rPr>
    </w:lvl>
    <w:lvl w:ilvl="1" w:tplc="C30A0FF6">
      <w:start w:val="1"/>
      <w:numFmt w:val="bullet"/>
      <w:lvlText w:val="o"/>
      <w:lvlJc w:val="left"/>
      <w:pPr>
        <w:ind w:left="1440" w:hanging="360"/>
      </w:pPr>
      <w:rPr>
        <w:rFonts w:ascii="Courier New" w:hAnsi="Courier New" w:hint="default"/>
      </w:rPr>
    </w:lvl>
    <w:lvl w:ilvl="2" w:tplc="B666E932">
      <w:start w:val="1"/>
      <w:numFmt w:val="bullet"/>
      <w:lvlText w:val=""/>
      <w:lvlJc w:val="left"/>
      <w:pPr>
        <w:ind w:left="2160" w:hanging="360"/>
      </w:pPr>
      <w:rPr>
        <w:rFonts w:ascii="Wingdings" w:hAnsi="Wingdings" w:hint="default"/>
      </w:rPr>
    </w:lvl>
    <w:lvl w:ilvl="3" w:tplc="CFDCDA6C">
      <w:start w:val="1"/>
      <w:numFmt w:val="bullet"/>
      <w:lvlText w:val=""/>
      <w:lvlJc w:val="left"/>
      <w:pPr>
        <w:ind w:left="2880" w:hanging="360"/>
      </w:pPr>
      <w:rPr>
        <w:rFonts w:ascii="Symbol" w:hAnsi="Symbol" w:hint="default"/>
      </w:rPr>
    </w:lvl>
    <w:lvl w:ilvl="4" w:tplc="15C2386A">
      <w:start w:val="1"/>
      <w:numFmt w:val="bullet"/>
      <w:lvlText w:val="o"/>
      <w:lvlJc w:val="left"/>
      <w:pPr>
        <w:ind w:left="3600" w:hanging="360"/>
      </w:pPr>
      <w:rPr>
        <w:rFonts w:ascii="Courier New" w:hAnsi="Courier New" w:hint="default"/>
      </w:rPr>
    </w:lvl>
    <w:lvl w:ilvl="5" w:tplc="B652EC96">
      <w:start w:val="1"/>
      <w:numFmt w:val="bullet"/>
      <w:lvlText w:val=""/>
      <w:lvlJc w:val="left"/>
      <w:pPr>
        <w:ind w:left="4320" w:hanging="360"/>
      </w:pPr>
      <w:rPr>
        <w:rFonts w:ascii="Wingdings" w:hAnsi="Wingdings" w:hint="default"/>
      </w:rPr>
    </w:lvl>
    <w:lvl w:ilvl="6" w:tplc="D8DCF0EE">
      <w:start w:val="1"/>
      <w:numFmt w:val="bullet"/>
      <w:lvlText w:val=""/>
      <w:lvlJc w:val="left"/>
      <w:pPr>
        <w:ind w:left="5040" w:hanging="360"/>
      </w:pPr>
      <w:rPr>
        <w:rFonts w:ascii="Symbol" w:hAnsi="Symbol" w:hint="default"/>
      </w:rPr>
    </w:lvl>
    <w:lvl w:ilvl="7" w:tplc="808A9DDA">
      <w:start w:val="1"/>
      <w:numFmt w:val="bullet"/>
      <w:lvlText w:val="o"/>
      <w:lvlJc w:val="left"/>
      <w:pPr>
        <w:ind w:left="5760" w:hanging="360"/>
      </w:pPr>
      <w:rPr>
        <w:rFonts w:ascii="Courier New" w:hAnsi="Courier New" w:hint="default"/>
      </w:rPr>
    </w:lvl>
    <w:lvl w:ilvl="8" w:tplc="1A547D48">
      <w:start w:val="1"/>
      <w:numFmt w:val="bullet"/>
      <w:lvlText w:val=""/>
      <w:lvlJc w:val="left"/>
      <w:pPr>
        <w:ind w:left="6480" w:hanging="360"/>
      </w:pPr>
      <w:rPr>
        <w:rFonts w:ascii="Wingdings" w:hAnsi="Wingdings" w:hint="default"/>
      </w:rPr>
    </w:lvl>
  </w:abstractNum>
  <w:abstractNum w:abstractNumId="1" w15:restartNumberingAfterBreak="0">
    <w:nsid w:val="278714FA"/>
    <w:multiLevelType w:val="hybridMultilevel"/>
    <w:tmpl w:val="AC62B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D7F0C9"/>
    <w:multiLevelType w:val="hybridMultilevel"/>
    <w:tmpl w:val="995034F0"/>
    <w:lvl w:ilvl="0" w:tplc="655C0BBA">
      <w:start w:val="1"/>
      <w:numFmt w:val="bullet"/>
      <w:lvlText w:val=""/>
      <w:lvlJc w:val="left"/>
      <w:pPr>
        <w:ind w:left="720" w:hanging="360"/>
      </w:pPr>
      <w:rPr>
        <w:rFonts w:ascii="Symbol" w:hAnsi="Symbol" w:hint="default"/>
      </w:rPr>
    </w:lvl>
    <w:lvl w:ilvl="1" w:tplc="27E6E500">
      <w:start w:val="1"/>
      <w:numFmt w:val="bullet"/>
      <w:lvlText w:val="o"/>
      <w:lvlJc w:val="left"/>
      <w:pPr>
        <w:ind w:left="1440" w:hanging="360"/>
      </w:pPr>
      <w:rPr>
        <w:rFonts w:ascii="Courier New" w:hAnsi="Courier New" w:hint="default"/>
      </w:rPr>
    </w:lvl>
    <w:lvl w:ilvl="2" w:tplc="DCE82AAC">
      <w:start w:val="1"/>
      <w:numFmt w:val="bullet"/>
      <w:lvlText w:val=""/>
      <w:lvlJc w:val="left"/>
      <w:pPr>
        <w:ind w:left="2160" w:hanging="360"/>
      </w:pPr>
      <w:rPr>
        <w:rFonts w:ascii="Wingdings" w:hAnsi="Wingdings" w:hint="default"/>
      </w:rPr>
    </w:lvl>
    <w:lvl w:ilvl="3" w:tplc="5EB812A2">
      <w:start w:val="1"/>
      <w:numFmt w:val="bullet"/>
      <w:lvlText w:val=""/>
      <w:lvlJc w:val="left"/>
      <w:pPr>
        <w:ind w:left="2880" w:hanging="360"/>
      </w:pPr>
      <w:rPr>
        <w:rFonts w:ascii="Symbol" w:hAnsi="Symbol" w:hint="default"/>
      </w:rPr>
    </w:lvl>
    <w:lvl w:ilvl="4" w:tplc="43A8E274">
      <w:start w:val="1"/>
      <w:numFmt w:val="bullet"/>
      <w:lvlText w:val="o"/>
      <w:lvlJc w:val="left"/>
      <w:pPr>
        <w:ind w:left="3600" w:hanging="360"/>
      </w:pPr>
      <w:rPr>
        <w:rFonts w:ascii="Courier New" w:hAnsi="Courier New" w:hint="default"/>
      </w:rPr>
    </w:lvl>
    <w:lvl w:ilvl="5" w:tplc="232EFEB8">
      <w:start w:val="1"/>
      <w:numFmt w:val="bullet"/>
      <w:lvlText w:val=""/>
      <w:lvlJc w:val="left"/>
      <w:pPr>
        <w:ind w:left="4320" w:hanging="360"/>
      </w:pPr>
      <w:rPr>
        <w:rFonts w:ascii="Wingdings" w:hAnsi="Wingdings" w:hint="default"/>
      </w:rPr>
    </w:lvl>
    <w:lvl w:ilvl="6" w:tplc="64741F80">
      <w:start w:val="1"/>
      <w:numFmt w:val="bullet"/>
      <w:lvlText w:val=""/>
      <w:lvlJc w:val="left"/>
      <w:pPr>
        <w:ind w:left="5040" w:hanging="360"/>
      </w:pPr>
      <w:rPr>
        <w:rFonts w:ascii="Symbol" w:hAnsi="Symbol" w:hint="default"/>
      </w:rPr>
    </w:lvl>
    <w:lvl w:ilvl="7" w:tplc="F96C285A">
      <w:start w:val="1"/>
      <w:numFmt w:val="bullet"/>
      <w:lvlText w:val="o"/>
      <w:lvlJc w:val="left"/>
      <w:pPr>
        <w:ind w:left="5760" w:hanging="360"/>
      </w:pPr>
      <w:rPr>
        <w:rFonts w:ascii="Courier New" w:hAnsi="Courier New" w:hint="default"/>
      </w:rPr>
    </w:lvl>
    <w:lvl w:ilvl="8" w:tplc="6B6C8F84">
      <w:start w:val="1"/>
      <w:numFmt w:val="bullet"/>
      <w:lvlText w:val=""/>
      <w:lvlJc w:val="left"/>
      <w:pPr>
        <w:ind w:left="6480" w:hanging="360"/>
      </w:pPr>
      <w:rPr>
        <w:rFonts w:ascii="Wingdings" w:hAnsi="Wingdings" w:hint="default"/>
      </w:rPr>
    </w:lvl>
  </w:abstractNum>
  <w:abstractNum w:abstractNumId="3" w15:restartNumberingAfterBreak="0">
    <w:nsid w:val="31E58FEB"/>
    <w:multiLevelType w:val="hybridMultilevel"/>
    <w:tmpl w:val="B934A9A8"/>
    <w:lvl w:ilvl="0" w:tplc="302EDA54">
      <w:start w:val="1"/>
      <w:numFmt w:val="bullet"/>
      <w:lvlText w:val=""/>
      <w:lvlJc w:val="left"/>
      <w:pPr>
        <w:ind w:left="720" w:hanging="360"/>
      </w:pPr>
      <w:rPr>
        <w:rFonts w:ascii="Symbol" w:hAnsi="Symbol" w:hint="default"/>
      </w:rPr>
    </w:lvl>
    <w:lvl w:ilvl="1" w:tplc="5FEC6CA4">
      <w:start w:val="1"/>
      <w:numFmt w:val="bullet"/>
      <w:lvlText w:val="o"/>
      <w:lvlJc w:val="left"/>
      <w:pPr>
        <w:ind w:left="1440" w:hanging="360"/>
      </w:pPr>
      <w:rPr>
        <w:rFonts w:ascii="Courier New" w:hAnsi="Courier New" w:hint="default"/>
      </w:rPr>
    </w:lvl>
    <w:lvl w:ilvl="2" w:tplc="71F08C72">
      <w:start w:val="1"/>
      <w:numFmt w:val="bullet"/>
      <w:lvlText w:val=""/>
      <w:lvlJc w:val="left"/>
      <w:pPr>
        <w:ind w:left="2160" w:hanging="360"/>
      </w:pPr>
      <w:rPr>
        <w:rFonts w:ascii="Wingdings" w:hAnsi="Wingdings" w:hint="default"/>
      </w:rPr>
    </w:lvl>
    <w:lvl w:ilvl="3" w:tplc="62C812A0">
      <w:start w:val="1"/>
      <w:numFmt w:val="bullet"/>
      <w:lvlText w:val=""/>
      <w:lvlJc w:val="left"/>
      <w:pPr>
        <w:ind w:left="2880" w:hanging="360"/>
      </w:pPr>
      <w:rPr>
        <w:rFonts w:ascii="Symbol" w:hAnsi="Symbol" w:hint="default"/>
      </w:rPr>
    </w:lvl>
    <w:lvl w:ilvl="4" w:tplc="DAE073A8">
      <w:start w:val="1"/>
      <w:numFmt w:val="bullet"/>
      <w:lvlText w:val="o"/>
      <w:lvlJc w:val="left"/>
      <w:pPr>
        <w:ind w:left="3600" w:hanging="360"/>
      </w:pPr>
      <w:rPr>
        <w:rFonts w:ascii="Courier New" w:hAnsi="Courier New" w:hint="default"/>
      </w:rPr>
    </w:lvl>
    <w:lvl w:ilvl="5" w:tplc="54B4DED0">
      <w:start w:val="1"/>
      <w:numFmt w:val="bullet"/>
      <w:lvlText w:val=""/>
      <w:lvlJc w:val="left"/>
      <w:pPr>
        <w:ind w:left="4320" w:hanging="360"/>
      </w:pPr>
      <w:rPr>
        <w:rFonts w:ascii="Wingdings" w:hAnsi="Wingdings" w:hint="default"/>
      </w:rPr>
    </w:lvl>
    <w:lvl w:ilvl="6" w:tplc="4FC25952">
      <w:start w:val="1"/>
      <w:numFmt w:val="bullet"/>
      <w:lvlText w:val=""/>
      <w:lvlJc w:val="left"/>
      <w:pPr>
        <w:ind w:left="5040" w:hanging="360"/>
      </w:pPr>
      <w:rPr>
        <w:rFonts w:ascii="Symbol" w:hAnsi="Symbol" w:hint="default"/>
      </w:rPr>
    </w:lvl>
    <w:lvl w:ilvl="7" w:tplc="231A29AA">
      <w:start w:val="1"/>
      <w:numFmt w:val="bullet"/>
      <w:lvlText w:val="o"/>
      <w:lvlJc w:val="left"/>
      <w:pPr>
        <w:ind w:left="5760" w:hanging="360"/>
      </w:pPr>
      <w:rPr>
        <w:rFonts w:ascii="Courier New" w:hAnsi="Courier New" w:hint="default"/>
      </w:rPr>
    </w:lvl>
    <w:lvl w:ilvl="8" w:tplc="D5383BFC">
      <w:start w:val="1"/>
      <w:numFmt w:val="bullet"/>
      <w:lvlText w:val=""/>
      <w:lvlJc w:val="left"/>
      <w:pPr>
        <w:ind w:left="6480" w:hanging="360"/>
      </w:pPr>
      <w:rPr>
        <w:rFonts w:ascii="Wingdings" w:hAnsi="Wingdings" w:hint="default"/>
      </w:rPr>
    </w:lvl>
  </w:abstractNum>
  <w:abstractNum w:abstractNumId="4" w15:restartNumberingAfterBreak="0">
    <w:nsid w:val="3960AC6C"/>
    <w:multiLevelType w:val="hybridMultilevel"/>
    <w:tmpl w:val="24288416"/>
    <w:lvl w:ilvl="0" w:tplc="E18A177A">
      <w:start w:val="1"/>
      <w:numFmt w:val="bullet"/>
      <w:lvlText w:val=""/>
      <w:lvlJc w:val="left"/>
      <w:pPr>
        <w:ind w:left="720" w:hanging="360"/>
      </w:pPr>
      <w:rPr>
        <w:rFonts w:ascii="Symbol" w:hAnsi="Symbol" w:hint="default"/>
      </w:rPr>
    </w:lvl>
    <w:lvl w:ilvl="1" w:tplc="1E9EEF40">
      <w:start w:val="1"/>
      <w:numFmt w:val="bullet"/>
      <w:lvlText w:val="o"/>
      <w:lvlJc w:val="left"/>
      <w:pPr>
        <w:ind w:left="1440" w:hanging="360"/>
      </w:pPr>
      <w:rPr>
        <w:rFonts w:ascii="Courier New" w:hAnsi="Courier New" w:hint="default"/>
      </w:rPr>
    </w:lvl>
    <w:lvl w:ilvl="2" w:tplc="F6804BF4">
      <w:start w:val="1"/>
      <w:numFmt w:val="bullet"/>
      <w:lvlText w:val=""/>
      <w:lvlJc w:val="left"/>
      <w:pPr>
        <w:ind w:left="2160" w:hanging="360"/>
      </w:pPr>
      <w:rPr>
        <w:rFonts w:ascii="Wingdings" w:hAnsi="Wingdings" w:hint="default"/>
      </w:rPr>
    </w:lvl>
    <w:lvl w:ilvl="3" w:tplc="6390E9FC">
      <w:start w:val="1"/>
      <w:numFmt w:val="bullet"/>
      <w:lvlText w:val=""/>
      <w:lvlJc w:val="left"/>
      <w:pPr>
        <w:ind w:left="2880" w:hanging="360"/>
      </w:pPr>
      <w:rPr>
        <w:rFonts w:ascii="Symbol" w:hAnsi="Symbol" w:hint="default"/>
      </w:rPr>
    </w:lvl>
    <w:lvl w:ilvl="4" w:tplc="0F9AFE7E">
      <w:start w:val="1"/>
      <w:numFmt w:val="bullet"/>
      <w:lvlText w:val="o"/>
      <w:lvlJc w:val="left"/>
      <w:pPr>
        <w:ind w:left="3600" w:hanging="360"/>
      </w:pPr>
      <w:rPr>
        <w:rFonts w:ascii="Courier New" w:hAnsi="Courier New" w:hint="default"/>
      </w:rPr>
    </w:lvl>
    <w:lvl w:ilvl="5" w:tplc="E054A0DE">
      <w:start w:val="1"/>
      <w:numFmt w:val="bullet"/>
      <w:lvlText w:val=""/>
      <w:lvlJc w:val="left"/>
      <w:pPr>
        <w:ind w:left="4320" w:hanging="360"/>
      </w:pPr>
      <w:rPr>
        <w:rFonts w:ascii="Wingdings" w:hAnsi="Wingdings" w:hint="default"/>
      </w:rPr>
    </w:lvl>
    <w:lvl w:ilvl="6" w:tplc="0A42D2A8">
      <w:start w:val="1"/>
      <w:numFmt w:val="bullet"/>
      <w:lvlText w:val=""/>
      <w:lvlJc w:val="left"/>
      <w:pPr>
        <w:ind w:left="5040" w:hanging="360"/>
      </w:pPr>
      <w:rPr>
        <w:rFonts w:ascii="Symbol" w:hAnsi="Symbol" w:hint="default"/>
      </w:rPr>
    </w:lvl>
    <w:lvl w:ilvl="7" w:tplc="1E309F7A">
      <w:start w:val="1"/>
      <w:numFmt w:val="bullet"/>
      <w:lvlText w:val="o"/>
      <w:lvlJc w:val="left"/>
      <w:pPr>
        <w:ind w:left="5760" w:hanging="360"/>
      </w:pPr>
      <w:rPr>
        <w:rFonts w:ascii="Courier New" w:hAnsi="Courier New" w:hint="default"/>
      </w:rPr>
    </w:lvl>
    <w:lvl w:ilvl="8" w:tplc="98FA4710">
      <w:start w:val="1"/>
      <w:numFmt w:val="bullet"/>
      <w:lvlText w:val=""/>
      <w:lvlJc w:val="left"/>
      <w:pPr>
        <w:ind w:left="6480" w:hanging="360"/>
      </w:pPr>
      <w:rPr>
        <w:rFonts w:ascii="Wingdings" w:hAnsi="Wingdings" w:hint="default"/>
      </w:rPr>
    </w:lvl>
  </w:abstractNum>
  <w:abstractNum w:abstractNumId="5" w15:restartNumberingAfterBreak="0">
    <w:nsid w:val="3A3C4DA7"/>
    <w:multiLevelType w:val="hybridMultilevel"/>
    <w:tmpl w:val="5C988D9A"/>
    <w:lvl w:ilvl="0" w:tplc="DC123B48">
      <w:start w:val="1"/>
      <w:numFmt w:val="bullet"/>
      <w:lvlText w:val=""/>
      <w:lvlJc w:val="left"/>
      <w:pPr>
        <w:ind w:left="720" w:hanging="360"/>
      </w:pPr>
      <w:rPr>
        <w:rFonts w:ascii="Symbol" w:hAnsi="Symbol" w:hint="default"/>
      </w:rPr>
    </w:lvl>
    <w:lvl w:ilvl="1" w:tplc="92B807CC">
      <w:start w:val="1"/>
      <w:numFmt w:val="bullet"/>
      <w:lvlText w:val="o"/>
      <w:lvlJc w:val="left"/>
      <w:pPr>
        <w:ind w:left="1440" w:hanging="360"/>
      </w:pPr>
      <w:rPr>
        <w:rFonts w:ascii="Courier New" w:hAnsi="Courier New" w:hint="default"/>
      </w:rPr>
    </w:lvl>
    <w:lvl w:ilvl="2" w:tplc="83A02A38">
      <w:start w:val="1"/>
      <w:numFmt w:val="bullet"/>
      <w:lvlText w:val=""/>
      <w:lvlJc w:val="left"/>
      <w:pPr>
        <w:ind w:left="2160" w:hanging="360"/>
      </w:pPr>
      <w:rPr>
        <w:rFonts w:ascii="Wingdings" w:hAnsi="Wingdings" w:hint="default"/>
      </w:rPr>
    </w:lvl>
    <w:lvl w:ilvl="3" w:tplc="0DC6B164">
      <w:start w:val="1"/>
      <w:numFmt w:val="bullet"/>
      <w:lvlText w:val=""/>
      <w:lvlJc w:val="left"/>
      <w:pPr>
        <w:ind w:left="2880" w:hanging="360"/>
      </w:pPr>
      <w:rPr>
        <w:rFonts w:ascii="Symbol" w:hAnsi="Symbol" w:hint="default"/>
      </w:rPr>
    </w:lvl>
    <w:lvl w:ilvl="4" w:tplc="D9983E8E">
      <w:start w:val="1"/>
      <w:numFmt w:val="bullet"/>
      <w:lvlText w:val="o"/>
      <w:lvlJc w:val="left"/>
      <w:pPr>
        <w:ind w:left="3600" w:hanging="360"/>
      </w:pPr>
      <w:rPr>
        <w:rFonts w:ascii="Courier New" w:hAnsi="Courier New" w:hint="default"/>
      </w:rPr>
    </w:lvl>
    <w:lvl w:ilvl="5" w:tplc="60FAD5CE">
      <w:start w:val="1"/>
      <w:numFmt w:val="bullet"/>
      <w:lvlText w:val=""/>
      <w:lvlJc w:val="left"/>
      <w:pPr>
        <w:ind w:left="4320" w:hanging="360"/>
      </w:pPr>
      <w:rPr>
        <w:rFonts w:ascii="Wingdings" w:hAnsi="Wingdings" w:hint="default"/>
      </w:rPr>
    </w:lvl>
    <w:lvl w:ilvl="6" w:tplc="DE82D028">
      <w:start w:val="1"/>
      <w:numFmt w:val="bullet"/>
      <w:lvlText w:val=""/>
      <w:lvlJc w:val="left"/>
      <w:pPr>
        <w:ind w:left="5040" w:hanging="360"/>
      </w:pPr>
      <w:rPr>
        <w:rFonts w:ascii="Symbol" w:hAnsi="Symbol" w:hint="default"/>
      </w:rPr>
    </w:lvl>
    <w:lvl w:ilvl="7" w:tplc="46DE4408">
      <w:start w:val="1"/>
      <w:numFmt w:val="bullet"/>
      <w:lvlText w:val="o"/>
      <w:lvlJc w:val="left"/>
      <w:pPr>
        <w:ind w:left="5760" w:hanging="360"/>
      </w:pPr>
      <w:rPr>
        <w:rFonts w:ascii="Courier New" w:hAnsi="Courier New" w:hint="default"/>
      </w:rPr>
    </w:lvl>
    <w:lvl w:ilvl="8" w:tplc="40DE131E">
      <w:start w:val="1"/>
      <w:numFmt w:val="bullet"/>
      <w:lvlText w:val=""/>
      <w:lvlJc w:val="left"/>
      <w:pPr>
        <w:ind w:left="6480" w:hanging="360"/>
      </w:pPr>
      <w:rPr>
        <w:rFonts w:ascii="Wingdings" w:hAnsi="Wingdings" w:hint="default"/>
      </w:rPr>
    </w:lvl>
  </w:abstractNum>
  <w:abstractNum w:abstractNumId="6" w15:restartNumberingAfterBreak="0">
    <w:nsid w:val="3AB56753"/>
    <w:multiLevelType w:val="hybridMultilevel"/>
    <w:tmpl w:val="94C2820A"/>
    <w:lvl w:ilvl="0" w:tplc="FFFFFFFF">
      <w:start w:val="1"/>
      <w:numFmt w:val="bullet"/>
      <w:lvlText w:val=""/>
      <w:lvlJc w:val="left"/>
      <w:pPr>
        <w:ind w:left="960" w:hanging="360"/>
      </w:pPr>
      <w:rPr>
        <w:rFonts w:ascii="Symbol" w:hAnsi="Symbol"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7" w15:restartNumberingAfterBreak="0">
    <w:nsid w:val="3D940A6D"/>
    <w:multiLevelType w:val="hybridMultilevel"/>
    <w:tmpl w:val="4FF0FC20"/>
    <w:lvl w:ilvl="0" w:tplc="FBE6606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8"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2850A6"/>
    <w:multiLevelType w:val="hybridMultilevel"/>
    <w:tmpl w:val="FFFFFFFF"/>
    <w:lvl w:ilvl="0" w:tplc="8AEADD2E">
      <w:start w:val="1"/>
      <w:numFmt w:val="bullet"/>
      <w:lvlText w:val=""/>
      <w:lvlJc w:val="left"/>
      <w:pPr>
        <w:ind w:left="1080" w:hanging="360"/>
      </w:pPr>
      <w:rPr>
        <w:rFonts w:ascii="Symbol" w:hAnsi="Symbol" w:hint="default"/>
      </w:rPr>
    </w:lvl>
    <w:lvl w:ilvl="1" w:tplc="B2585B8A">
      <w:start w:val="1"/>
      <w:numFmt w:val="bullet"/>
      <w:lvlText w:val="o"/>
      <w:lvlJc w:val="left"/>
      <w:pPr>
        <w:ind w:left="1800" w:hanging="360"/>
      </w:pPr>
      <w:rPr>
        <w:rFonts w:ascii="Courier New" w:hAnsi="Courier New" w:hint="default"/>
      </w:rPr>
    </w:lvl>
    <w:lvl w:ilvl="2" w:tplc="467C691E">
      <w:start w:val="1"/>
      <w:numFmt w:val="bullet"/>
      <w:lvlText w:val=""/>
      <w:lvlJc w:val="left"/>
      <w:pPr>
        <w:ind w:left="2520" w:hanging="360"/>
      </w:pPr>
      <w:rPr>
        <w:rFonts w:ascii="Wingdings" w:hAnsi="Wingdings" w:hint="default"/>
      </w:rPr>
    </w:lvl>
    <w:lvl w:ilvl="3" w:tplc="23144156">
      <w:start w:val="1"/>
      <w:numFmt w:val="bullet"/>
      <w:lvlText w:val=""/>
      <w:lvlJc w:val="left"/>
      <w:pPr>
        <w:ind w:left="3240" w:hanging="360"/>
      </w:pPr>
      <w:rPr>
        <w:rFonts w:ascii="Symbol" w:hAnsi="Symbol" w:hint="default"/>
      </w:rPr>
    </w:lvl>
    <w:lvl w:ilvl="4" w:tplc="0BFABFF8">
      <w:start w:val="1"/>
      <w:numFmt w:val="bullet"/>
      <w:lvlText w:val="o"/>
      <w:lvlJc w:val="left"/>
      <w:pPr>
        <w:ind w:left="3960" w:hanging="360"/>
      </w:pPr>
      <w:rPr>
        <w:rFonts w:ascii="Courier New" w:hAnsi="Courier New" w:hint="default"/>
      </w:rPr>
    </w:lvl>
    <w:lvl w:ilvl="5" w:tplc="41F01F44">
      <w:start w:val="1"/>
      <w:numFmt w:val="bullet"/>
      <w:lvlText w:val=""/>
      <w:lvlJc w:val="left"/>
      <w:pPr>
        <w:ind w:left="4680" w:hanging="360"/>
      </w:pPr>
      <w:rPr>
        <w:rFonts w:ascii="Wingdings" w:hAnsi="Wingdings" w:hint="default"/>
      </w:rPr>
    </w:lvl>
    <w:lvl w:ilvl="6" w:tplc="E3A85982">
      <w:start w:val="1"/>
      <w:numFmt w:val="bullet"/>
      <w:lvlText w:val=""/>
      <w:lvlJc w:val="left"/>
      <w:pPr>
        <w:ind w:left="5400" w:hanging="360"/>
      </w:pPr>
      <w:rPr>
        <w:rFonts w:ascii="Symbol" w:hAnsi="Symbol" w:hint="default"/>
      </w:rPr>
    </w:lvl>
    <w:lvl w:ilvl="7" w:tplc="2342244A">
      <w:start w:val="1"/>
      <w:numFmt w:val="bullet"/>
      <w:lvlText w:val="o"/>
      <w:lvlJc w:val="left"/>
      <w:pPr>
        <w:ind w:left="6120" w:hanging="360"/>
      </w:pPr>
      <w:rPr>
        <w:rFonts w:ascii="Courier New" w:hAnsi="Courier New" w:hint="default"/>
      </w:rPr>
    </w:lvl>
    <w:lvl w:ilvl="8" w:tplc="9156058E">
      <w:start w:val="1"/>
      <w:numFmt w:val="bullet"/>
      <w:lvlText w:val=""/>
      <w:lvlJc w:val="left"/>
      <w:pPr>
        <w:ind w:left="6840" w:hanging="360"/>
      </w:pPr>
      <w:rPr>
        <w:rFonts w:ascii="Wingdings" w:hAnsi="Wingdings" w:hint="default"/>
      </w:rPr>
    </w:lvl>
  </w:abstractNum>
  <w:abstractNum w:abstractNumId="10"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245F0F"/>
    <w:multiLevelType w:val="hybridMultilevel"/>
    <w:tmpl w:val="08DAD436"/>
    <w:lvl w:ilvl="0" w:tplc="BDD08E48">
      <w:start w:val="1"/>
      <w:numFmt w:val="bullet"/>
      <w:lvlText w:val=""/>
      <w:lvlJc w:val="left"/>
      <w:pPr>
        <w:ind w:left="720" w:hanging="360"/>
      </w:pPr>
      <w:rPr>
        <w:rFonts w:ascii="Symbol" w:hAnsi="Symbol" w:hint="default"/>
      </w:rPr>
    </w:lvl>
    <w:lvl w:ilvl="1" w:tplc="EEEC6BA8">
      <w:start w:val="1"/>
      <w:numFmt w:val="bullet"/>
      <w:lvlText w:val="o"/>
      <w:lvlJc w:val="left"/>
      <w:pPr>
        <w:ind w:left="1440" w:hanging="360"/>
      </w:pPr>
      <w:rPr>
        <w:rFonts w:ascii="Courier New" w:hAnsi="Courier New" w:hint="default"/>
      </w:rPr>
    </w:lvl>
    <w:lvl w:ilvl="2" w:tplc="9F728776">
      <w:start w:val="1"/>
      <w:numFmt w:val="bullet"/>
      <w:lvlText w:val=""/>
      <w:lvlJc w:val="left"/>
      <w:pPr>
        <w:ind w:left="2160" w:hanging="360"/>
      </w:pPr>
      <w:rPr>
        <w:rFonts w:ascii="Wingdings" w:hAnsi="Wingdings" w:hint="default"/>
      </w:rPr>
    </w:lvl>
    <w:lvl w:ilvl="3" w:tplc="57D85748">
      <w:start w:val="1"/>
      <w:numFmt w:val="bullet"/>
      <w:lvlText w:val=""/>
      <w:lvlJc w:val="left"/>
      <w:pPr>
        <w:ind w:left="2880" w:hanging="360"/>
      </w:pPr>
      <w:rPr>
        <w:rFonts w:ascii="Symbol" w:hAnsi="Symbol" w:hint="default"/>
      </w:rPr>
    </w:lvl>
    <w:lvl w:ilvl="4" w:tplc="B8DAF992">
      <w:start w:val="1"/>
      <w:numFmt w:val="bullet"/>
      <w:lvlText w:val="o"/>
      <w:lvlJc w:val="left"/>
      <w:pPr>
        <w:ind w:left="3600" w:hanging="360"/>
      </w:pPr>
      <w:rPr>
        <w:rFonts w:ascii="Courier New" w:hAnsi="Courier New" w:hint="default"/>
      </w:rPr>
    </w:lvl>
    <w:lvl w:ilvl="5" w:tplc="F372FDF2">
      <w:start w:val="1"/>
      <w:numFmt w:val="bullet"/>
      <w:lvlText w:val=""/>
      <w:lvlJc w:val="left"/>
      <w:pPr>
        <w:ind w:left="4320" w:hanging="360"/>
      </w:pPr>
      <w:rPr>
        <w:rFonts w:ascii="Wingdings" w:hAnsi="Wingdings" w:hint="default"/>
      </w:rPr>
    </w:lvl>
    <w:lvl w:ilvl="6" w:tplc="CB5E864E">
      <w:start w:val="1"/>
      <w:numFmt w:val="bullet"/>
      <w:lvlText w:val=""/>
      <w:lvlJc w:val="left"/>
      <w:pPr>
        <w:ind w:left="5040" w:hanging="360"/>
      </w:pPr>
      <w:rPr>
        <w:rFonts w:ascii="Symbol" w:hAnsi="Symbol" w:hint="default"/>
      </w:rPr>
    </w:lvl>
    <w:lvl w:ilvl="7" w:tplc="CC16212E">
      <w:start w:val="1"/>
      <w:numFmt w:val="bullet"/>
      <w:lvlText w:val="o"/>
      <w:lvlJc w:val="left"/>
      <w:pPr>
        <w:ind w:left="5760" w:hanging="360"/>
      </w:pPr>
      <w:rPr>
        <w:rFonts w:ascii="Courier New" w:hAnsi="Courier New" w:hint="default"/>
      </w:rPr>
    </w:lvl>
    <w:lvl w:ilvl="8" w:tplc="400A1AC0">
      <w:start w:val="1"/>
      <w:numFmt w:val="bullet"/>
      <w:lvlText w:val=""/>
      <w:lvlJc w:val="left"/>
      <w:pPr>
        <w:ind w:left="6480" w:hanging="360"/>
      </w:pPr>
      <w:rPr>
        <w:rFonts w:ascii="Wingdings" w:hAnsi="Wingdings" w:hint="default"/>
      </w:rPr>
    </w:lvl>
  </w:abstractNum>
  <w:num w:numId="1" w16cid:durableId="126317057">
    <w:abstractNumId w:val="5"/>
  </w:num>
  <w:num w:numId="2" w16cid:durableId="1660844125">
    <w:abstractNumId w:val="4"/>
  </w:num>
  <w:num w:numId="3" w16cid:durableId="1488936263">
    <w:abstractNumId w:val="3"/>
  </w:num>
  <w:num w:numId="4" w16cid:durableId="987824675">
    <w:abstractNumId w:val="0"/>
  </w:num>
  <w:num w:numId="5" w16cid:durableId="507910875">
    <w:abstractNumId w:val="11"/>
  </w:num>
  <w:num w:numId="6" w16cid:durableId="880021845">
    <w:abstractNumId w:val="2"/>
  </w:num>
  <w:num w:numId="7" w16cid:durableId="107312349">
    <w:abstractNumId w:val="9"/>
  </w:num>
  <w:num w:numId="8" w16cid:durableId="1452944685">
    <w:abstractNumId w:val="10"/>
  </w:num>
  <w:num w:numId="9" w16cid:durableId="1940680655">
    <w:abstractNumId w:val="8"/>
  </w:num>
  <w:num w:numId="10" w16cid:durableId="1840270680">
    <w:abstractNumId w:val="7"/>
  </w:num>
  <w:num w:numId="11" w16cid:durableId="1157497387">
    <w:abstractNumId w:val="1"/>
  </w:num>
  <w:num w:numId="12" w16cid:durableId="7908252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76AC0"/>
    <w:rsid w:val="000C4EDA"/>
    <w:rsid w:val="000D194F"/>
    <w:rsid w:val="001221CE"/>
    <w:rsid w:val="001B7A40"/>
    <w:rsid w:val="001F6DDB"/>
    <w:rsid w:val="00216C85"/>
    <w:rsid w:val="00254B84"/>
    <w:rsid w:val="00260374"/>
    <w:rsid w:val="00273EDD"/>
    <w:rsid w:val="00281944"/>
    <w:rsid w:val="002B0BA5"/>
    <w:rsid w:val="002C3965"/>
    <w:rsid w:val="002D1816"/>
    <w:rsid w:val="002D5EDB"/>
    <w:rsid w:val="00321C4C"/>
    <w:rsid w:val="00347915"/>
    <w:rsid w:val="0036318B"/>
    <w:rsid w:val="00370282"/>
    <w:rsid w:val="0038330B"/>
    <w:rsid w:val="00391C58"/>
    <w:rsid w:val="004039F9"/>
    <w:rsid w:val="004577F7"/>
    <w:rsid w:val="00467106"/>
    <w:rsid w:val="004A31E2"/>
    <w:rsid w:val="005247B0"/>
    <w:rsid w:val="00584071"/>
    <w:rsid w:val="005851AD"/>
    <w:rsid w:val="005934B1"/>
    <w:rsid w:val="00596BEF"/>
    <w:rsid w:val="006B7DDB"/>
    <w:rsid w:val="006F1868"/>
    <w:rsid w:val="007A7297"/>
    <w:rsid w:val="007C4FC1"/>
    <w:rsid w:val="007E7745"/>
    <w:rsid w:val="007F28A7"/>
    <w:rsid w:val="007F7EE7"/>
    <w:rsid w:val="0083416E"/>
    <w:rsid w:val="008353D4"/>
    <w:rsid w:val="0084117F"/>
    <w:rsid w:val="00861A0E"/>
    <w:rsid w:val="008A44FE"/>
    <w:rsid w:val="008D6859"/>
    <w:rsid w:val="00905FFC"/>
    <w:rsid w:val="00924408"/>
    <w:rsid w:val="00974676"/>
    <w:rsid w:val="00997D09"/>
    <w:rsid w:val="009D1D1E"/>
    <w:rsid w:val="009E4988"/>
    <w:rsid w:val="00A035FD"/>
    <w:rsid w:val="00A13FC8"/>
    <w:rsid w:val="00A30028"/>
    <w:rsid w:val="00A75821"/>
    <w:rsid w:val="00AA4DD8"/>
    <w:rsid w:val="00B06049"/>
    <w:rsid w:val="00B30AEA"/>
    <w:rsid w:val="00B829FF"/>
    <w:rsid w:val="00BC58A1"/>
    <w:rsid w:val="00C03A91"/>
    <w:rsid w:val="00C220AB"/>
    <w:rsid w:val="00C408A5"/>
    <w:rsid w:val="00CD2863"/>
    <w:rsid w:val="00CE7A90"/>
    <w:rsid w:val="00CF6A60"/>
    <w:rsid w:val="00D25CA3"/>
    <w:rsid w:val="00D535FA"/>
    <w:rsid w:val="00D73FB0"/>
    <w:rsid w:val="00D85128"/>
    <w:rsid w:val="00DA2A1E"/>
    <w:rsid w:val="00DB6D4B"/>
    <w:rsid w:val="00DD602B"/>
    <w:rsid w:val="00E2038D"/>
    <w:rsid w:val="00E932B6"/>
    <w:rsid w:val="00EA4FF0"/>
    <w:rsid w:val="00EB12BC"/>
    <w:rsid w:val="00EF3488"/>
    <w:rsid w:val="00EF7D62"/>
    <w:rsid w:val="00F07673"/>
    <w:rsid w:val="00F137E3"/>
    <w:rsid w:val="00F15CF5"/>
    <w:rsid w:val="00F41590"/>
    <w:rsid w:val="00F44C8F"/>
    <w:rsid w:val="00F46FB7"/>
    <w:rsid w:val="00FA35B1"/>
    <w:rsid w:val="00FD7392"/>
    <w:rsid w:val="0CF0A3E4"/>
    <w:rsid w:val="185030E8"/>
    <w:rsid w:val="38A33315"/>
    <w:rsid w:val="680ABC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7128E929-2E3D-42D3-8152-437AB4FF6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semiHidden/>
    <w:unhideWhenUsed/>
    <w:rsid w:val="00BC58A1"/>
    <w:pPr>
      <w:spacing w:before="100" w:beforeAutospacing="1" w:after="100" w:afterAutospacing="1" w:line="240" w:lineRule="auto"/>
    </w:pPr>
    <w:rPr>
      <w:rFonts w:eastAsia="Times New Roman" w:cs="Times New Roman"/>
      <w:szCs w:val="24"/>
      <w:lang w:eastAsia="ja-JP"/>
    </w:rPr>
  </w:style>
  <w:style w:type="character" w:styleId="Strong">
    <w:name w:val="Strong"/>
    <w:basedOn w:val="DefaultParagraphFont"/>
    <w:uiPriority w:val="22"/>
    <w:qFormat/>
    <w:rsid w:val="00BC58A1"/>
    <w:rPr>
      <w:b/>
      <w:bCs/>
    </w:rPr>
  </w:style>
  <w:style w:type="character" w:styleId="Emphasis">
    <w:name w:val="Emphasis"/>
    <w:basedOn w:val="DefaultParagraphFont"/>
    <w:uiPriority w:val="20"/>
    <w:qFormat/>
    <w:rsid w:val="00BC58A1"/>
    <w:rPr>
      <w:i/>
      <w:iCs/>
    </w:rPr>
  </w:style>
  <w:style w:type="character" w:styleId="HTMLCode">
    <w:name w:val="HTML Code"/>
    <w:basedOn w:val="DefaultParagraphFont"/>
    <w:uiPriority w:val="99"/>
    <w:semiHidden/>
    <w:unhideWhenUsed/>
    <w:rsid w:val="00BC58A1"/>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government/statistics/diabetes-profile-update-march-2025/diabetes-profile-statistical-commentary-march-2025" TargetMode="External"/><Relationship Id="rId18" Type="http://schemas.openxmlformats.org/officeDocument/2006/relationships/hyperlink" Target="https://www.who.int/news-room/fact-sheets/detail/diabet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medicalnewstoday.com/articles/316427" TargetMode="External"/><Relationship Id="rId7" Type="http://schemas.openxmlformats.org/officeDocument/2006/relationships/image" Target="media/image1.png"/><Relationship Id="rId12" Type="http://schemas.openxmlformats.org/officeDocument/2006/relationships/hyperlink" Target="https://www.diabetes.org.uk/sites/default/files/2024-07/Annual%20Report%202023%20-%20Final%20%281%29.pdf" TargetMode="External"/><Relationship Id="rId17" Type="http://schemas.openxmlformats.org/officeDocument/2006/relationships/hyperlink" Target="https://www.osmosis.org" TargetMode="External"/><Relationship Id="rId25" Type="http://schemas.openxmlformats.org/officeDocument/2006/relationships/hyperlink" Target="https://www.who.int/" TargetMode="External"/><Relationship Id="rId2" Type="http://schemas.openxmlformats.org/officeDocument/2006/relationships/styles" Target="styles.xml"/><Relationship Id="rId16" Type="http://schemas.openxmlformats.org/officeDocument/2006/relationships/hyperlink" Target="https://www.britannica.com" TargetMode="External"/><Relationship Id="rId20" Type="http://schemas.openxmlformats.org/officeDocument/2006/relationships/hyperlink" Target="https://www.gov.uk/government/statistics/diabetes-profile-update-march-2025/diabetes-profile-statistical-commentary-march-2025" TargetMode="External"/><Relationship Id="rId29"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researchAssistant" TargetMode="External"/><Relationship Id="rId24" Type="http://schemas.openxmlformats.org/officeDocument/2006/relationships/hyperlink" Target="https://www.nice.org.uk/" TargetMode="External"/><Relationship Id="rId5" Type="http://schemas.openxmlformats.org/officeDocument/2006/relationships/footnotes" Target="footnotes.xml"/><Relationship Id="rId15" Type="http://schemas.openxmlformats.org/officeDocument/2006/relationships/hyperlink" Target="https://www.monash.edu" TargetMode="External"/><Relationship Id="rId23" Type="http://schemas.openxmlformats.org/officeDocument/2006/relationships/hyperlink" Target="https://www.nhs.uk/" TargetMode="External"/><Relationship Id="rId28" Type="http://schemas.openxmlformats.org/officeDocument/2006/relationships/theme" Target="theme/theme1.xml"/><Relationship Id="rId10" Type="http://schemas.openxmlformats.org/officeDocument/2006/relationships/hyperlink" Target="https://www.osmosis.org" TargetMode="External"/><Relationship Id="rId19" Type="http://schemas.openxmlformats.org/officeDocument/2006/relationships/hyperlink" Target="https://www.diabetes.org.uk/sites/default/files/2024-07/Annual%20Report%202023%20-%20Final%20%281%29.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medicalnewstoday.com/articles/316427" TargetMode="External"/><Relationship Id="rId22" Type="http://schemas.openxmlformats.org/officeDocument/2006/relationships/hyperlink" Target="https://www.diabetes.org.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10</Pages>
  <Words>2243</Words>
  <Characters>14607</Characters>
  <Application>Microsoft Office Word</Application>
  <DocSecurity>0</DocSecurity>
  <Lines>292</Lines>
  <Paragraphs>102</Paragraphs>
  <ScaleCrop>false</ScaleCrop>
  <Company/>
  <LinksUpToDate>false</LinksUpToDate>
  <CharactersWithSpaces>16748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Robson Silva</cp:lastModifiedBy>
  <cp:revision>25</cp:revision>
  <dcterms:created xsi:type="dcterms:W3CDTF">2026-03-01T10:30:00Z</dcterms:created>
  <dcterms:modified xsi:type="dcterms:W3CDTF">2026-04-07T10:46:00Z</dcterms:modified>
</cp:coreProperties>
</file>