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BD15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97CB9E2" wp14:editId="40F3FC8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DA850E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C1332C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97CB9E2"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5DA850E0"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5C1332C1"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B2B9065" wp14:editId="014F6C3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2336E5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A1C6D8C"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B2B9065"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72336E5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A1C6D8C"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48BADC8" w14:textId="6CBD5375"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5EF7B886" wp14:editId="606EC325">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D01AEB2" w14:textId="77777777" w:rsidR="00530E16" w:rsidRDefault="004468F8">
                            <w:pPr>
                              <w:spacing w:after="0" w:line="240" w:lineRule="auto"/>
                              <w:textDirection w:val="btLr"/>
                            </w:pPr>
                            <w:r>
                              <w:rPr>
                                <w:rFonts w:ascii="Play" w:eastAsia="Play" w:hAnsi="Play" w:cs="Play"/>
                                <w:color w:val="262626"/>
                                <w:sz w:val="72"/>
                              </w:rPr>
                              <w:t>Individual Report</w:t>
                            </w:r>
                          </w:p>
                          <w:p w14:paraId="7497D0E1" w14:textId="77777777" w:rsidR="00530E16" w:rsidRDefault="004468F8">
                            <w:pPr>
                              <w:spacing w:before="120" w:line="277" w:lineRule="auto"/>
                              <w:textDirection w:val="btLr"/>
                            </w:pPr>
                            <w:r>
                              <w:rPr>
                                <w:color w:val="404040"/>
                                <w:sz w:val="36"/>
                              </w:rPr>
                              <w:t>Module Name: Digital Skills and Research Methods</w:t>
                            </w:r>
                          </w:p>
                          <w:p w14:paraId="7F354F6E" w14:textId="77777777" w:rsidR="00530E16" w:rsidRDefault="004468F8">
                            <w:pPr>
                              <w:spacing w:before="120" w:line="277" w:lineRule="auto"/>
                              <w:textDirection w:val="btLr"/>
                            </w:pPr>
                            <w:r>
                              <w:rPr>
                                <w:color w:val="404040"/>
                                <w:sz w:val="36"/>
                              </w:rPr>
                              <w:t>Module Code: LCHS 4007</w:t>
                            </w:r>
                          </w:p>
                          <w:p w14:paraId="3B352D5E" w14:textId="7152A887" w:rsidR="00530E16" w:rsidRDefault="004468F8">
                            <w:pPr>
                              <w:spacing w:before="120" w:line="277" w:lineRule="auto"/>
                              <w:textDirection w:val="btLr"/>
                            </w:pPr>
                            <w:r>
                              <w:rPr>
                                <w:color w:val="404040"/>
                                <w:sz w:val="36"/>
                              </w:rPr>
                              <w:t xml:space="preserve">Student name: </w:t>
                            </w:r>
                            <w:r w:rsidR="002F0983">
                              <w:rPr>
                                <w:color w:val="404040"/>
                                <w:sz w:val="36"/>
                              </w:rPr>
                              <w:t xml:space="preserve">Elizabeth </w:t>
                            </w:r>
                            <w:r w:rsidR="002B6DD8">
                              <w:rPr>
                                <w:color w:val="404040"/>
                                <w:sz w:val="36"/>
                              </w:rPr>
                              <w:t>Olutayeshe</w:t>
                            </w:r>
                          </w:p>
                          <w:p w14:paraId="021A331D" w14:textId="16E4570F" w:rsidR="00530E16" w:rsidRDefault="004468F8">
                            <w:pPr>
                              <w:spacing w:before="120" w:line="277" w:lineRule="auto"/>
                              <w:textDirection w:val="btLr"/>
                            </w:pPr>
                            <w:r>
                              <w:rPr>
                                <w:color w:val="404040"/>
                                <w:sz w:val="36"/>
                              </w:rPr>
                              <w:t>Student ID:</w:t>
                            </w:r>
                            <w:r w:rsidR="00C07E0F">
                              <w:rPr>
                                <w:color w:val="404040"/>
                                <w:sz w:val="36"/>
                              </w:rPr>
                              <w:t xml:space="preserve"> 2514334</w:t>
                            </w:r>
                          </w:p>
                          <w:p w14:paraId="42278958" w14:textId="15EE2857" w:rsidR="00530E16" w:rsidRDefault="004468F8">
                            <w:pPr>
                              <w:spacing w:before="120" w:line="277" w:lineRule="auto"/>
                              <w:textDirection w:val="btLr"/>
                            </w:pPr>
                            <w:r>
                              <w:rPr>
                                <w:color w:val="404040"/>
                                <w:sz w:val="36"/>
                              </w:rPr>
                              <w:t xml:space="preserve">Lecturer’s Name: </w:t>
                            </w:r>
                            <w:r w:rsidR="002F0983">
                              <w:rPr>
                                <w:color w:val="404040"/>
                                <w:sz w:val="36"/>
                              </w:rPr>
                              <w:t>Muhammed Khan</w:t>
                            </w:r>
                          </w:p>
                        </w:txbxContent>
                      </wps:txbx>
                      <wps:bodyPr spcFirstLastPara="1" wrap="square" lIns="0" tIns="0" rIns="0" bIns="0" anchor="t" anchorCtr="0">
                        <a:noAutofit/>
                      </wps:bodyPr>
                    </wps:wsp>
                  </a:graphicData>
                </a:graphic>
              </wp:anchor>
            </w:drawing>
          </mc:Choice>
          <mc:Fallback>
            <w:pict>
              <v:rect w14:anchorId="5EF7B886"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6D01AEB2" w14:textId="77777777" w:rsidR="00530E16" w:rsidRDefault="004468F8">
                      <w:pPr>
                        <w:spacing w:after="0" w:line="240" w:lineRule="auto"/>
                        <w:textDirection w:val="btLr"/>
                      </w:pPr>
                      <w:r>
                        <w:rPr>
                          <w:rFonts w:ascii="Play" w:eastAsia="Play" w:hAnsi="Play" w:cs="Play"/>
                          <w:color w:val="262626"/>
                          <w:sz w:val="72"/>
                        </w:rPr>
                        <w:t>Individual Report</w:t>
                      </w:r>
                    </w:p>
                    <w:p w14:paraId="7497D0E1" w14:textId="77777777" w:rsidR="00530E16" w:rsidRDefault="004468F8">
                      <w:pPr>
                        <w:spacing w:before="120" w:line="277" w:lineRule="auto"/>
                        <w:textDirection w:val="btLr"/>
                      </w:pPr>
                      <w:r>
                        <w:rPr>
                          <w:color w:val="404040"/>
                          <w:sz w:val="36"/>
                        </w:rPr>
                        <w:t>Module Name: Digital Skills and Research Methods</w:t>
                      </w:r>
                    </w:p>
                    <w:p w14:paraId="7F354F6E" w14:textId="77777777" w:rsidR="00530E16" w:rsidRDefault="004468F8">
                      <w:pPr>
                        <w:spacing w:before="120" w:line="277" w:lineRule="auto"/>
                        <w:textDirection w:val="btLr"/>
                      </w:pPr>
                      <w:r>
                        <w:rPr>
                          <w:color w:val="404040"/>
                          <w:sz w:val="36"/>
                        </w:rPr>
                        <w:t>Module Code: LCHS 4007</w:t>
                      </w:r>
                    </w:p>
                    <w:p w14:paraId="3B352D5E" w14:textId="7152A887" w:rsidR="00530E16" w:rsidRDefault="004468F8">
                      <w:pPr>
                        <w:spacing w:before="120" w:line="277" w:lineRule="auto"/>
                        <w:textDirection w:val="btLr"/>
                      </w:pPr>
                      <w:r>
                        <w:rPr>
                          <w:color w:val="404040"/>
                          <w:sz w:val="36"/>
                        </w:rPr>
                        <w:t xml:space="preserve">Student name: </w:t>
                      </w:r>
                      <w:r w:rsidR="002F0983">
                        <w:rPr>
                          <w:color w:val="404040"/>
                          <w:sz w:val="36"/>
                        </w:rPr>
                        <w:t xml:space="preserve">Elizabeth </w:t>
                      </w:r>
                      <w:r w:rsidR="002B6DD8">
                        <w:rPr>
                          <w:color w:val="404040"/>
                          <w:sz w:val="36"/>
                        </w:rPr>
                        <w:t>Olutayeshe</w:t>
                      </w:r>
                    </w:p>
                    <w:p w14:paraId="021A331D" w14:textId="16E4570F" w:rsidR="00530E16" w:rsidRDefault="004468F8">
                      <w:pPr>
                        <w:spacing w:before="120" w:line="277" w:lineRule="auto"/>
                        <w:textDirection w:val="btLr"/>
                      </w:pPr>
                      <w:r>
                        <w:rPr>
                          <w:color w:val="404040"/>
                          <w:sz w:val="36"/>
                        </w:rPr>
                        <w:t>Student ID:</w:t>
                      </w:r>
                      <w:r w:rsidR="00C07E0F">
                        <w:rPr>
                          <w:color w:val="404040"/>
                          <w:sz w:val="36"/>
                        </w:rPr>
                        <w:t xml:space="preserve"> 2514334</w:t>
                      </w:r>
                    </w:p>
                    <w:p w14:paraId="42278958" w14:textId="15EE2857" w:rsidR="00530E16" w:rsidRDefault="004468F8">
                      <w:pPr>
                        <w:spacing w:before="120" w:line="277" w:lineRule="auto"/>
                        <w:textDirection w:val="btLr"/>
                      </w:pPr>
                      <w:r>
                        <w:rPr>
                          <w:color w:val="404040"/>
                          <w:sz w:val="36"/>
                        </w:rPr>
                        <w:t xml:space="preserve">Lecturer’s Name: </w:t>
                      </w:r>
                      <w:r w:rsidR="002F0983">
                        <w:rPr>
                          <w:color w:val="404040"/>
                          <w:sz w:val="36"/>
                        </w:rPr>
                        <w:t>Muhammed Khan</w:t>
                      </w:r>
                    </w:p>
                  </w:txbxContent>
                </v:textbox>
                <w10:wrap anchorx="page" anchory="page"/>
              </v:rect>
            </w:pict>
          </mc:Fallback>
        </mc:AlternateContent>
      </w:r>
      <w:r>
        <w:br w:type="page"/>
      </w:r>
      <w:r w:rsidR="002F0983">
        <w:lastRenderedPageBreak/>
        <w:t xml:space="preserve"> </w:t>
      </w:r>
    </w:p>
    <w:p w14:paraId="0D96B910" w14:textId="77777777" w:rsidR="00530E16" w:rsidRDefault="00530E16">
      <w:pPr>
        <w:rPr>
          <w:rFonts w:ascii="Arial" w:eastAsia="Arial" w:hAnsi="Arial" w:cs="Arial"/>
        </w:rPr>
      </w:pPr>
    </w:p>
    <w:p w14:paraId="6A464166"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5698AC73" w14:textId="3971CC6D" w:rsidR="007515BC"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354579" w:history="1">
            <w:r w:rsidR="007515BC" w:rsidRPr="000D3A89">
              <w:rPr>
                <w:rStyle w:val="Hyperlink"/>
                <w:noProof/>
              </w:rPr>
              <w:t>Research Topic: Workforce shortages and burnout in the UK health and social care sector</w:t>
            </w:r>
            <w:r w:rsidR="007515BC">
              <w:rPr>
                <w:noProof/>
                <w:webHidden/>
              </w:rPr>
              <w:tab/>
            </w:r>
            <w:r w:rsidR="007515BC">
              <w:rPr>
                <w:noProof/>
                <w:webHidden/>
              </w:rPr>
              <w:fldChar w:fldCharType="begin"/>
            </w:r>
            <w:r w:rsidR="007515BC">
              <w:rPr>
                <w:noProof/>
                <w:webHidden/>
              </w:rPr>
              <w:instrText xml:space="preserve"> PAGEREF _Toc216354579 \h </w:instrText>
            </w:r>
            <w:r w:rsidR="007515BC">
              <w:rPr>
                <w:noProof/>
                <w:webHidden/>
              </w:rPr>
            </w:r>
            <w:r w:rsidR="007515BC">
              <w:rPr>
                <w:noProof/>
                <w:webHidden/>
              </w:rPr>
              <w:fldChar w:fldCharType="separate"/>
            </w:r>
            <w:r w:rsidR="007515BC">
              <w:rPr>
                <w:noProof/>
                <w:webHidden/>
              </w:rPr>
              <w:t>2</w:t>
            </w:r>
            <w:r w:rsidR="007515BC">
              <w:rPr>
                <w:noProof/>
                <w:webHidden/>
              </w:rPr>
              <w:fldChar w:fldCharType="end"/>
            </w:r>
          </w:hyperlink>
        </w:p>
        <w:p w14:paraId="3A1C8EC5" w14:textId="1CE02B44" w:rsidR="007515BC" w:rsidRDefault="007515BC">
          <w:pPr>
            <w:pStyle w:val="TOC1"/>
            <w:tabs>
              <w:tab w:val="right" w:leader="dot" w:pos="9016"/>
            </w:tabs>
            <w:rPr>
              <w:rFonts w:asciiTheme="minorHAnsi" w:eastAsiaTheme="minorEastAsia" w:hAnsiTheme="minorHAnsi" w:cstheme="minorBidi"/>
              <w:noProof/>
              <w:kern w:val="2"/>
              <w14:ligatures w14:val="standardContextual"/>
            </w:rPr>
          </w:pPr>
          <w:hyperlink w:anchor="_Toc216354580" w:history="1">
            <w:r w:rsidRPr="000D3A89">
              <w:rPr>
                <w:rStyle w:val="Hyperlink"/>
                <w:noProof/>
              </w:rPr>
              <w:t>Introduction</w:t>
            </w:r>
            <w:r>
              <w:rPr>
                <w:noProof/>
                <w:webHidden/>
              </w:rPr>
              <w:tab/>
            </w:r>
            <w:r>
              <w:rPr>
                <w:noProof/>
                <w:webHidden/>
              </w:rPr>
              <w:fldChar w:fldCharType="begin"/>
            </w:r>
            <w:r>
              <w:rPr>
                <w:noProof/>
                <w:webHidden/>
              </w:rPr>
              <w:instrText xml:space="preserve"> PAGEREF _Toc216354580 \h </w:instrText>
            </w:r>
            <w:r>
              <w:rPr>
                <w:noProof/>
                <w:webHidden/>
              </w:rPr>
            </w:r>
            <w:r>
              <w:rPr>
                <w:noProof/>
                <w:webHidden/>
              </w:rPr>
              <w:fldChar w:fldCharType="separate"/>
            </w:r>
            <w:r>
              <w:rPr>
                <w:noProof/>
                <w:webHidden/>
              </w:rPr>
              <w:t>2</w:t>
            </w:r>
            <w:r>
              <w:rPr>
                <w:noProof/>
                <w:webHidden/>
              </w:rPr>
              <w:fldChar w:fldCharType="end"/>
            </w:r>
          </w:hyperlink>
        </w:p>
        <w:p w14:paraId="749DF0FB" w14:textId="1A985AE4" w:rsidR="007515BC" w:rsidRDefault="007515BC">
          <w:pPr>
            <w:pStyle w:val="TOC2"/>
            <w:tabs>
              <w:tab w:val="right" w:leader="dot" w:pos="9016"/>
            </w:tabs>
            <w:rPr>
              <w:rFonts w:asciiTheme="minorHAnsi" w:eastAsiaTheme="minorEastAsia" w:hAnsiTheme="minorHAnsi" w:cstheme="minorBidi"/>
              <w:noProof/>
              <w:kern w:val="2"/>
              <w14:ligatures w14:val="standardContextual"/>
            </w:rPr>
          </w:pPr>
          <w:hyperlink w:anchor="_Toc216354581" w:history="1">
            <w:r w:rsidRPr="000D3A89">
              <w:rPr>
                <w:rStyle w:val="Hyperlink"/>
                <w:noProof/>
              </w:rPr>
              <w:t>Problem Statement</w:t>
            </w:r>
            <w:r>
              <w:rPr>
                <w:noProof/>
                <w:webHidden/>
              </w:rPr>
              <w:tab/>
            </w:r>
            <w:r>
              <w:rPr>
                <w:noProof/>
                <w:webHidden/>
              </w:rPr>
              <w:fldChar w:fldCharType="begin"/>
            </w:r>
            <w:r>
              <w:rPr>
                <w:noProof/>
                <w:webHidden/>
              </w:rPr>
              <w:instrText xml:space="preserve"> PAGEREF _Toc216354581 \h </w:instrText>
            </w:r>
            <w:r>
              <w:rPr>
                <w:noProof/>
                <w:webHidden/>
              </w:rPr>
            </w:r>
            <w:r>
              <w:rPr>
                <w:noProof/>
                <w:webHidden/>
              </w:rPr>
              <w:fldChar w:fldCharType="separate"/>
            </w:r>
            <w:r>
              <w:rPr>
                <w:noProof/>
                <w:webHidden/>
              </w:rPr>
              <w:t>2</w:t>
            </w:r>
            <w:r>
              <w:rPr>
                <w:noProof/>
                <w:webHidden/>
              </w:rPr>
              <w:fldChar w:fldCharType="end"/>
            </w:r>
          </w:hyperlink>
        </w:p>
        <w:p w14:paraId="6A32D015" w14:textId="75BE887E" w:rsidR="007515BC" w:rsidRDefault="007515BC">
          <w:pPr>
            <w:pStyle w:val="TOC2"/>
            <w:tabs>
              <w:tab w:val="right" w:leader="dot" w:pos="9016"/>
            </w:tabs>
            <w:rPr>
              <w:rFonts w:asciiTheme="minorHAnsi" w:eastAsiaTheme="minorEastAsia" w:hAnsiTheme="minorHAnsi" w:cstheme="minorBidi"/>
              <w:noProof/>
              <w:kern w:val="2"/>
              <w14:ligatures w14:val="standardContextual"/>
            </w:rPr>
          </w:pPr>
          <w:hyperlink w:anchor="_Toc216354582" w:history="1">
            <w:r w:rsidRPr="000D3A89">
              <w:rPr>
                <w:rStyle w:val="Hyperlink"/>
                <w:noProof/>
              </w:rPr>
              <w:t>Justification</w:t>
            </w:r>
            <w:r>
              <w:rPr>
                <w:noProof/>
                <w:webHidden/>
              </w:rPr>
              <w:tab/>
            </w:r>
            <w:r>
              <w:rPr>
                <w:noProof/>
                <w:webHidden/>
              </w:rPr>
              <w:fldChar w:fldCharType="begin"/>
            </w:r>
            <w:r>
              <w:rPr>
                <w:noProof/>
                <w:webHidden/>
              </w:rPr>
              <w:instrText xml:space="preserve"> PAGEREF _Toc216354582 \h </w:instrText>
            </w:r>
            <w:r>
              <w:rPr>
                <w:noProof/>
                <w:webHidden/>
              </w:rPr>
            </w:r>
            <w:r>
              <w:rPr>
                <w:noProof/>
                <w:webHidden/>
              </w:rPr>
              <w:fldChar w:fldCharType="separate"/>
            </w:r>
            <w:r>
              <w:rPr>
                <w:noProof/>
                <w:webHidden/>
              </w:rPr>
              <w:t>3</w:t>
            </w:r>
            <w:r>
              <w:rPr>
                <w:noProof/>
                <w:webHidden/>
              </w:rPr>
              <w:fldChar w:fldCharType="end"/>
            </w:r>
          </w:hyperlink>
        </w:p>
        <w:p w14:paraId="3A659C0E" w14:textId="43568E36" w:rsidR="007515BC" w:rsidRDefault="007515BC">
          <w:pPr>
            <w:pStyle w:val="TOC2"/>
            <w:tabs>
              <w:tab w:val="right" w:leader="dot" w:pos="9016"/>
            </w:tabs>
            <w:rPr>
              <w:rFonts w:asciiTheme="minorHAnsi" w:eastAsiaTheme="minorEastAsia" w:hAnsiTheme="minorHAnsi" w:cstheme="minorBidi"/>
              <w:noProof/>
              <w:kern w:val="2"/>
              <w14:ligatures w14:val="standardContextual"/>
            </w:rPr>
          </w:pPr>
          <w:hyperlink w:anchor="_Toc216354583" w:history="1">
            <w:r w:rsidRPr="000D3A89">
              <w:rPr>
                <w:rStyle w:val="Hyperlink"/>
                <w:noProof/>
              </w:rPr>
              <w:t>Information Sources and Justification</w:t>
            </w:r>
            <w:r>
              <w:rPr>
                <w:noProof/>
                <w:webHidden/>
              </w:rPr>
              <w:tab/>
            </w:r>
            <w:r>
              <w:rPr>
                <w:noProof/>
                <w:webHidden/>
              </w:rPr>
              <w:fldChar w:fldCharType="begin"/>
            </w:r>
            <w:r>
              <w:rPr>
                <w:noProof/>
                <w:webHidden/>
              </w:rPr>
              <w:instrText xml:space="preserve"> PAGEREF _Toc216354583 \h </w:instrText>
            </w:r>
            <w:r>
              <w:rPr>
                <w:noProof/>
                <w:webHidden/>
              </w:rPr>
            </w:r>
            <w:r>
              <w:rPr>
                <w:noProof/>
                <w:webHidden/>
              </w:rPr>
              <w:fldChar w:fldCharType="separate"/>
            </w:r>
            <w:r>
              <w:rPr>
                <w:noProof/>
                <w:webHidden/>
              </w:rPr>
              <w:t>4</w:t>
            </w:r>
            <w:r>
              <w:rPr>
                <w:noProof/>
                <w:webHidden/>
              </w:rPr>
              <w:fldChar w:fldCharType="end"/>
            </w:r>
          </w:hyperlink>
        </w:p>
        <w:p w14:paraId="6720AA89" w14:textId="463FBA2F" w:rsidR="007515BC" w:rsidRDefault="007515BC">
          <w:pPr>
            <w:pStyle w:val="TOC1"/>
            <w:tabs>
              <w:tab w:val="right" w:leader="dot" w:pos="9016"/>
            </w:tabs>
            <w:rPr>
              <w:rFonts w:asciiTheme="minorHAnsi" w:eastAsiaTheme="minorEastAsia" w:hAnsiTheme="minorHAnsi" w:cstheme="minorBidi"/>
              <w:noProof/>
              <w:kern w:val="2"/>
              <w14:ligatures w14:val="standardContextual"/>
            </w:rPr>
          </w:pPr>
          <w:hyperlink w:anchor="_Toc216354584" w:history="1">
            <w:r w:rsidRPr="000D3A89">
              <w:rPr>
                <w:rStyle w:val="Hyperlink"/>
                <w:noProof/>
              </w:rPr>
              <w:t xml:space="preserve">Task 2: </w:t>
            </w:r>
            <w:r w:rsidRPr="000D3A89">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_Toc216354584 \h </w:instrText>
            </w:r>
            <w:r>
              <w:rPr>
                <w:noProof/>
                <w:webHidden/>
              </w:rPr>
            </w:r>
            <w:r>
              <w:rPr>
                <w:noProof/>
                <w:webHidden/>
              </w:rPr>
              <w:fldChar w:fldCharType="separate"/>
            </w:r>
            <w:r>
              <w:rPr>
                <w:noProof/>
                <w:webHidden/>
              </w:rPr>
              <w:t>5</w:t>
            </w:r>
            <w:r>
              <w:rPr>
                <w:noProof/>
                <w:webHidden/>
              </w:rPr>
              <w:fldChar w:fldCharType="end"/>
            </w:r>
          </w:hyperlink>
        </w:p>
        <w:p w14:paraId="6B3B47B9" w14:textId="5ECAEA1E" w:rsidR="007515BC" w:rsidRDefault="007515BC">
          <w:pPr>
            <w:pStyle w:val="TOC2"/>
            <w:tabs>
              <w:tab w:val="right" w:leader="dot" w:pos="9016"/>
            </w:tabs>
            <w:rPr>
              <w:rFonts w:asciiTheme="minorHAnsi" w:eastAsiaTheme="minorEastAsia" w:hAnsiTheme="minorHAnsi" w:cstheme="minorBidi"/>
              <w:noProof/>
              <w:kern w:val="2"/>
              <w14:ligatures w14:val="standardContextual"/>
            </w:rPr>
          </w:pPr>
          <w:hyperlink w:anchor="_Toc216354585" w:history="1">
            <w:r w:rsidRPr="000D3A89">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_Toc216354585 \h </w:instrText>
            </w:r>
            <w:r>
              <w:rPr>
                <w:noProof/>
                <w:webHidden/>
              </w:rPr>
            </w:r>
            <w:r>
              <w:rPr>
                <w:noProof/>
                <w:webHidden/>
              </w:rPr>
              <w:fldChar w:fldCharType="separate"/>
            </w:r>
            <w:r>
              <w:rPr>
                <w:noProof/>
                <w:webHidden/>
              </w:rPr>
              <w:t>5</w:t>
            </w:r>
            <w:r>
              <w:rPr>
                <w:noProof/>
                <w:webHidden/>
              </w:rPr>
              <w:fldChar w:fldCharType="end"/>
            </w:r>
          </w:hyperlink>
        </w:p>
        <w:p w14:paraId="5C3B6B02" w14:textId="5A5F7F5E" w:rsidR="007515BC" w:rsidRDefault="007515BC">
          <w:pPr>
            <w:pStyle w:val="TOC1"/>
            <w:tabs>
              <w:tab w:val="right" w:leader="dot" w:pos="9016"/>
            </w:tabs>
            <w:rPr>
              <w:rFonts w:asciiTheme="minorHAnsi" w:eastAsiaTheme="minorEastAsia" w:hAnsiTheme="minorHAnsi" w:cstheme="minorBidi"/>
              <w:noProof/>
              <w:kern w:val="2"/>
              <w14:ligatures w14:val="standardContextual"/>
            </w:rPr>
          </w:pPr>
          <w:hyperlink w:anchor="_Toc216354586" w:history="1">
            <w:r w:rsidRPr="000D3A89">
              <w:rPr>
                <w:rStyle w:val="Hyperlink"/>
                <w:noProof/>
              </w:rPr>
              <w:t>Task 3: Data Collection</w:t>
            </w:r>
            <w:r>
              <w:rPr>
                <w:noProof/>
                <w:webHidden/>
              </w:rPr>
              <w:tab/>
            </w:r>
            <w:r>
              <w:rPr>
                <w:noProof/>
                <w:webHidden/>
              </w:rPr>
              <w:fldChar w:fldCharType="begin"/>
            </w:r>
            <w:r>
              <w:rPr>
                <w:noProof/>
                <w:webHidden/>
              </w:rPr>
              <w:instrText xml:space="preserve"> PAGEREF _Toc216354586 \h </w:instrText>
            </w:r>
            <w:r>
              <w:rPr>
                <w:noProof/>
                <w:webHidden/>
              </w:rPr>
            </w:r>
            <w:r>
              <w:rPr>
                <w:noProof/>
                <w:webHidden/>
              </w:rPr>
              <w:fldChar w:fldCharType="separate"/>
            </w:r>
            <w:r>
              <w:rPr>
                <w:noProof/>
                <w:webHidden/>
              </w:rPr>
              <w:t>6</w:t>
            </w:r>
            <w:r>
              <w:rPr>
                <w:noProof/>
                <w:webHidden/>
              </w:rPr>
              <w:fldChar w:fldCharType="end"/>
            </w:r>
          </w:hyperlink>
        </w:p>
        <w:p w14:paraId="6E850DA8" w14:textId="2C1ECF78" w:rsidR="007515BC" w:rsidRDefault="007515BC">
          <w:pPr>
            <w:pStyle w:val="TOC2"/>
            <w:tabs>
              <w:tab w:val="right" w:leader="dot" w:pos="9016"/>
            </w:tabs>
            <w:rPr>
              <w:rFonts w:asciiTheme="minorHAnsi" w:eastAsiaTheme="minorEastAsia" w:hAnsiTheme="minorHAnsi" w:cstheme="minorBidi"/>
              <w:noProof/>
              <w:kern w:val="2"/>
              <w14:ligatures w14:val="standardContextual"/>
            </w:rPr>
          </w:pPr>
          <w:hyperlink w:anchor="_Toc216354587" w:history="1">
            <w:r w:rsidRPr="000D3A89">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_Toc216354587 \h </w:instrText>
            </w:r>
            <w:r>
              <w:rPr>
                <w:noProof/>
                <w:webHidden/>
              </w:rPr>
            </w:r>
            <w:r>
              <w:rPr>
                <w:noProof/>
                <w:webHidden/>
              </w:rPr>
              <w:fldChar w:fldCharType="separate"/>
            </w:r>
            <w:r>
              <w:rPr>
                <w:noProof/>
                <w:webHidden/>
              </w:rPr>
              <w:t>6</w:t>
            </w:r>
            <w:r>
              <w:rPr>
                <w:noProof/>
                <w:webHidden/>
              </w:rPr>
              <w:fldChar w:fldCharType="end"/>
            </w:r>
          </w:hyperlink>
        </w:p>
        <w:p w14:paraId="0169CF62" w14:textId="5AC1D537" w:rsidR="007515BC" w:rsidRDefault="007515BC">
          <w:pPr>
            <w:pStyle w:val="TOC1"/>
            <w:tabs>
              <w:tab w:val="right" w:leader="dot" w:pos="9016"/>
            </w:tabs>
            <w:rPr>
              <w:rFonts w:asciiTheme="minorHAnsi" w:eastAsiaTheme="minorEastAsia" w:hAnsiTheme="minorHAnsi" w:cstheme="minorBidi"/>
              <w:noProof/>
              <w:kern w:val="2"/>
              <w14:ligatures w14:val="standardContextual"/>
            </w:rPr>
          </w:pPr>
          <w:hyperlink w:anchor="_Toc216354588" w:history="1">
            <w:r w:rsidRPr="000D3A89">
              <w:rPr>
                <w:rStyle w:val="Hyperlink"/>
                <w:noProof/>
              </w:rPr>
              <w:t>Conclusion</w:t>
            </w:r>
            <w:r>
              <w:rPr>
                <w:noProof/>
                <w:webHidden/>
              </w:rPr>
              <w:tab/>
            </w:r>
            <w:r>
              <w:rPr>
                <w:noProof/>
                <w:webHidden/>
              </w:rPr>
              <w:fldChar w:fldCharType="begin"/>
            </w:r>
            <w:r>
              <w:rPr>
                <w:noProof/>
                <w:webHidden/>
              </w:rPr>
              <w:instrText xml:space="preserve"> PAGEREF _Toc216354588 \h </w:instrText>
            </w:r>
            <w:r>
              <w:rPr>
                <w:noProof/>
                <w:webHidden/>
              </w:rPr>
            </w:r>
            <w:r>
              <w:rPr>
                <w:noProof/>
                <w:webHidden/>
              </w:rPr>
              <w:fldChar w:fldCharType="separate"/>
            </w:r>
            <w:r>
              <w:rPr>
                <w:noProof/>
                <w:webHidden/>
              </w:rPr>
              <w:t>7</w:t>
            </w:r>
            <w:r>
              <w:rPr>
                <w:noProof/>
                <w:webHidden/>
              </w:rPr>
              <w:fldChar w:fldCharType="end"/>
            </w:r>
          </w:hyperlink>
        </w:p>
        <w:p w14:paraId="5345A4EA" w14:textId="5A52063A" w:rsidR="007515BC" w:rsidRDefault="007515BC">
          <w:pPr>
            <w:pStyle w:val="TOC1"/>
            <w:tabs>
              <w:tab w:val="right" w:leader="dot" w:pos="9016"/>
            </w:tabs>
            <w:rPr>
              <w:rFonts w:asciiTheme="minorHAnsi" w:eastAsiaTheme="minorEastAsia" w:hAnsiTheme="minorHAnsi" w:cstheme="minorBidi"/>
              <w:noProof/>
              <w:kern w:val="2"/>
              <w14:ligatures w14:val="standardContextual"/>
            </w:rPr>
          </w:pPr>
          <w:hyperlink w:anchor="_Toc216354589" w:history="1">
            <w:r w:rsidRPr="000D3A89">
              <w:rPr>
                <w:rStyle w:val="Hyperlink"/>
                <w:noProof/>
              </w:rPr>
              <w:t>References</w:t>
            </w:r>
            <w:r>
              <w:rPr>
                <w:noProof/>
                <w:webHidden/>
              </w:rPr>
              <w:tab/>
            </w:r>
            <w:r>
              <w:rPr>
                <w:noProof/>
                <w:webHidden/>
              </w:rPr>
              <w:fldChar w:fldCharType="begin"/>
            </w:r>
            <w:r>
              <w:rPr>
                <w:noProof/>
                <w:webHidden/>
              </w:rPr>
              <w:instrText xml:space="preserve"> PAGEREF _Toc216354589 \h </w:instrText>
            </w:r>
            <w:r>
              <w:rPr>
                <w:noProof/>
                <w:webHidden/>
              </w:rPr>
            </w:r>
            <w:r>
              <w:rPr>
                <w:noProof/>
                <w:webHidden/>
              </w:rPr>
              <w:fldChar w:fldCharType="separate"/>
            </w:r>
            <w:r>
              <w:rPr>
                <w:noProof/>
                <w:webHidden/>
              </w:rPr>
              <w:t>8</w:t>
            </w:r>
            <w:r>
              <w:rPr>
                <w:noProof/>
                <w:webHidden/>
              </w:rPr>
              <w:fldChar w:fldCharType="end"/>
            </w:r>
          </w:hyperlink>
        </w:p>
        <w:p w14:paraId="15A0C9B7" w14:textId="31D47555" w:rsidR="00530E16" w:rsidRPr="00CF650B" w:rsidRDefault="004468F8">
          <w:r>
            <w:fldChar w:fldCharType="end"/>
          </w:r>
        </w:p>
      </w:sdtContent>
    </w:sdt>
    <w:p w14:paraId="546729AD" w14:textId="77777777" w:rsidR="00530E16" w:rsidRDefault="00530E16">
      <w:pPr>
        <w:rPr>
          <w:rFonts w:ascii="Arial" w:eastAsia="Arial" w:hAnsi="Arial" w:cs="Arial"/>
        </w:rPr>
      </w:pPr>
    </w:p>
    <w:p w14:paraId="14B6B488" w14:textId="77777777" w:rsidR="00530E16" w:rsidRDefault="00530E16">
      <w:pPr>
        <w:rPr>
          <w:rFonts w:ascii="Arial" w:eastAsia="Arial" w:hAnsi="Arial" w:cs="Arial"/>
        </w:rPr>
      </w:pPr>
    </w:p>
    <w:p w14:paraId="40388159" w14:textId="77777777" w:rsidR="00530E16" w:rsidRDefault="00530E16">
      <w:pPr>
        <w:rPr>
          <w:rFonts w:ascii="Arial" w:eastAsia="Arial" w:hAnsi="Arial" w:cs="Arial"/>
        </w:rPr>
      </w:pPr>
    </w:p>
    <w:p w14:paraId="52C71929" w14:textId="77777777" w:rsidR="00530E16" w:rsidRDefault="00530E16">
      <w:pPr>
        <w:rPr>
          <w:rFonts w:ascii="Arial" w:eastAsia="Arial" w:hAnsi="Arial" w:cs="Arial"/>
        </w:rPr>
      </w:pPr>
    </w:p>
    <w:p w14:paraId="3B1D0DF7" w14:textId="77777777" w:rsidR="00530E16" w:rsidRDefault="00530E16">
      <w:pPr>
        <w:rPr>
          <w:rFonts w:ascii="Arial" w:eastAsia="Arial" w:hAnsi="Arial" w:cs="Arial"/>
        </w:rPr>
      </w:pPr>
    </w:p>
    <w:p w14:paraId="64AD8EED" w14:textId="77777777" w:rsidR="00530E16" w:rsidRDefault="00530E16">
      <w:pPr>
        <w:rPr>
          <w:rFonts w:ascii="Arial" w:eastAsia="Arial" w:hAnsi="Arial" w:cs="Arial"/>
        </w:rPr>
      </w:pPr>
    </w:p>
    <w:p w14:paraId="7150FDE6" w14:textId="77777777" w:rsidR="00530E16" w:rsidRDefault="00530E16">
      <w:pPr>
        <w:rPr>
          <w:rFonts w:ascii="Arial" w:eastAsia="Arial" w:hAnsi="Arial" w:cs="Arial"/>
        </w:rPr>
      </w:pPr>
    </w:p>
    <w:p w14:paraId="4B295EA9" w14:textId="77777777" w:rsidR="00530E16" w:rsidRDefault="00530E16">
      <w:pPr>
        <w:rPr>
          <w:rFonts w:ascii="Arial" w:eastAsia="Arial" w:hAnsi="Arial" w:cs="Arial"/>
        </w:rPr>
      </w:pPr>
    </w:p>
    <w:p w14:paraId="0D2147D9" w14:textId="77777777" w:rsidR="00530E16" w:rsidRDefault="00530E16">
      <w:pPr>
        <w:rPr>
          <w:rFonts w:ascii="Arial" w:eastAsia="Arial" w:hAnsi="Arial" w:cs="Arial"/>
        </w:rPr>
      </w:pPr>
    </w:p>
    <w:p w14:paraId="50CE0A20" w14:textId="77777777" w:rsidR="00530E16" w:rsidRDefault="00530E16">
      <w:pPr>
        <w:rPr>
          <w:rFonts w:ascii="Arial" w:eastAsia="Arial" w:hAnsi="Arial" w:cs="Arial"/>
        </w:rPr>
      </w:pPr>
    </w:p>
    <w:p w14:paraId="0B67539B" w14:textId="77777777" w:rsidR="00530E16" w:rsidRDefault="00530E16">
      <w:pPr>
        <w:rPr>
          <w:rFonts w:ascii="Arial" w:eastAsia="Arial" w:hAnsi="Arial" w:cs="Arial"/>
        </w:rPr>
      </w:pPr>
    </w:p>
    <w:p w14:paraId="15FF1CF4" w14:textId="77777777" w:rsidR="00530E16" w:rsidRDefault="00530E16">
      <w:pPr>
        <w:rPr>
          <w:rFonts w:ascii="Arial" w:eastAsia="Arial" w:hAnsi="Arial" w:cs="Arial"/>
        </w:rPr>
      </w:pPr>
    </w:p>
    <w:p w14:paraId="018ED1C8"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5F1298C1" w14:textId="77777777" w:rsidR="00530E16" w:rsidRDefault="00530E16">
      <w:pPr>
        <w:rPr>
          <w:rFonts w:ascii="Arial" w:eastAsia="Arial" w:hAnsi="Arial" w:cs="Arial"/>
        </w:rPr>
      </w:pPr>
    </w:p>
    <w:p w14:paraId="677B1FAB" w14:textId="39605E0D" w:rsidR="00530E16" w:rsidRDefault="004468F8">
      <w:pPr>
        <w:pStyle w:val="Heading1"/>
      </w:pPr>
      <w:bookmarkStart w:id="0" w:name="_Toc216354579"/>
      <w:r>
        <w:lastRenderedPageBreak/>
        <w:t xml:space="preserve">Research Topic: </w:t>
      </w:r>
      <w:r w:rsidR="0059225A" w:rsidRPr="0059225A">
        <w:t>Workforce shortages and burnout in the UK health and social care secto</w:t>
      </w:r>
      <w:r w:rsidR="0059225A">
        <w:t>r</w:t>
      </w:r>
      <w:bookmarkEnd w:id="0"/>
    </w:p>
    <w:p w14:paraId="797ADC94" w14:textId="77777777" w:rsidR="00530E16" w:rsidRPr="004468F8" w:rsidRDefault="00BA0043">
      <w:pPr>
        <w:pStyle w:val="Heading1"/>
        <w:rPr>
          <w:sz w:val="32"/>
          <w:szCs w:val="32"/>
        </w:rPr>
      </w:pPr>
      <w:bookmarkStart w:id="1" w:name="_Toc216354580"/>
      <w:r>
        <w:rPr>
          <w:sz w:val="32"/>
          <w:szCs w:val="32"/>
        </w:rPr>
        <w:t>Introduction</w:t>
      </w:r>
      <w:bookmarkEnd w:id="1"/>
    </w:p>
    <w:p w14:paraId="665115E1" w14:textId="3EB375E1" w:rsidR="004468F8" w:rsidRPr="001C38EC" w:rsidRDefault="00FC5174" w:rsidP="00FC5174">
      <w:pPr>
        <w:spacing w:line="360" w:lineRule="auto"/>
        <w:rPr>
          <w:rFonts w:ascii="Arial" w:hAnsi="Arial" w:cs="Arial"/>
          <w:sz w:val="22"/>
          <w:szCs w:val="22"/>
        </w:rPr>
      </w:pPr>
      <w:r w:rsidRPr="001C38EC">
        <w:rPr>
          <w:rFonts w:ascii="Arial" w:hAnsi="Arial" w:cs="Arial"/>
          <w:sz w:val="22"/>
          <w:szCs w:val="22"/>
        </w:rPr>
        <w:t xml:space="preserve">The United Kingdom’s health and social care sector is experiencing a severe workforce crisis driven by chronic staff shortages, rising service demand and long-term underfunding. These pressures have intensified burnout among professionals, threatening the quality and sustainability of patient care. This report examines the causes and consequences of workforce shortages and burnout, outlines the groups most affected and highlights why research in this area is essential. Drawing on recent academic and policy sources, it explores how workforce pressures undermine staff wellbeing and patient outcomes while identifying appropriate research methodologies for studying these challenges within the UK health system framework </w:t>
      </w:r>
      <w:sdt>
        <w:sdtPr>
          <w:rPr>
            <w:rFonts w:ascii="Arial" w:hAnsi="Arial" w:cs="Arial"/>
            <w:color w:val="000000"/>
            <w:sz w:val="22"/>
            <w:szCs w:val="22"/>
          </w:rPr>
          <w:tag w:val="MENDELEY_CITATION_v3_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"/>
          <w:id w:val="713698535"/>
          <w:placeholder>
            <w:docPart w:val="DefaultPlaceholder_-1854013440"/>
          </w:placeholder>
        </w:sdtPr>
        <w:sdtContent>
          <w:r w:rsidR="00997DEC" w:rsidRPr="00997DEC">
            <w:rPr>
              <w:rFonts w:ascii="Arial" w:hAnsi="Arial" w:cs="Arial"/>
              <w:color w:val="000000"/>
              <w:sz w:val="22"/>
              <w:szCs w:val="22"/>
            </w:rPr>
            <w:t>(Iacobucci, 2023)</w:t>
          </w:r>
        </w:sdtContent>
      </w:sdt>
      <w:r w:rsidRPr="001C38EC">
        <w:rPr>
          <w:rFonts w:ascii="Arial" w:hAnsi="Arial" w:cs="Arial"/>
          <w:sz w:val="22"/>
          <w:szCs w:val="22"/>
        </w:rPr>
        <w:t>.</w:t>
      </w:r>
    </w:p>
    <w:p w14:paraId="5DA66DA7" w14:textId="77777777" w:rsidR="004468F8" w:rsidRDefault="004468F8" w:rsidP="004468F8"/>
    <w:p w14:paraId="54C97C81" w14:textId="77777777" w:rsidR="00530E16" w:rsidRDefault="004468F8">
      <w:pPr>
        <w:pStyle w:val="Heading2"/>
        <w:jc w:val="both"/>
      </w:pPr>
      <w:bookmarkStart w:id="2" w:name="_Toc216354581"/>
      <w:r>
        <w:t>Problem Statement</w:t>
      </w:r>
      <w:bookmarkEnd w:id="2"/>
    </w:p>
    <w:p w14:paraId="4B1D57CF" w14:textId="1D16C0BB" w:rsidR="00987297" w:rsidRPr="00B44534" w:rsidRDefault="00987297" w:rsidP="00987297">
      <w:pPr>
        <w:spacing w:line="360" w:lineRule="auto"/>
        <w:rPr>
          <w:rFonts w:ascii="Arial" w:hAnsi="Arial" w:cs="Arial"/>
          <w:sz w:val="22"/>
          <w:szCs w:val="22"/>
        </w:rPr>
      </w:pPr>
      <w:r w:rsidRPr="00987297">
        <w:rPr>
          <w:rFonts w:ascii="Arial" w:hAnsi="Arial" w:cs="Arial"/>
          <w:sz w:val="22"/>
          <w:szCs w:val="22"/>
        </w:rPr>
        <w:t xml:space="preserve">Workforce shortages and burnout have become some of the most urgent challenges in the UK health and social care sector. The NHS is currently operating </w:t>
      </w:r>
      <w:r w:rsidRPr="00B44534">
        <w:rPr>
          <w:rFonts w:ascii="Arial" w:hAnsi="Arial" w:cs="Arial"/>
          <w:sz w:val="22"/>
          <w:szCs w:val="22"/>
        </w:rPr>
        <w:t>with more than 110,000 vacancies, while adult social care faces around 152,000 unfilled posts</w:t>
      </w:r>
      <w:r w:rsidR="00FB3B1E" w:rsidRPr="00B4453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"/>
          <w:id w:val="1811204408"/>
          <w:placeholder>
            <w:docPart w:val="DefaultPlaceholder_-1854013440"/>
          </w:placeholder>
        </w:sdtPr>
        <w:sdtContent>
          <w:r w:rsidR="00997DEC" w:rsidRPr="00B44534">
            <w:rPr>
              <w:rFonts w:ascii="Arial" w:eastAsia="Times New Roman" w:hAnsi="Arial" w:cs="Arial"/>
              <w:color w:val="000000"/>
              <w:sz w:val="22"/>
            </w:rPr>
            <w:t>(NHS Workforce Nutshell | The King’s Fund, n.d.)</w:t>
          </w:r>
        </w:sdtContent>
      </w:sdt>
      <w:r w:rsidRPr="00B44534">
        <w:rPr>
          <w:rFonts w:ascii="Arial" w:hAnsi="Arial" w:cs="Arial"/>
          <w:sz w:val="22"/>
          <w:szCs w:val="22"/>
        </w:rPr>
        <w:t>. This significant shortfall has resulted in unsustainable workloads for staff, contributing to high stress levels, absenteeism and increased turnover. Burnout characterised by emotional exhaustion, depersonalisation and reduced professional effectiveness has become increasingly common among nurses, doctors, midwives, social care workers and wider support teams</w:t>
      </w:r>
      <w:r w:rsidR="002F0983" w:rsidRPr="00B4453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"/>
          <w:id w:val="587657052"/>
          <w:placeholder>
            <w:docPart w:val="DefaultPlaceholder_-1854013440"/>
          </w:placeholder>
        </w:sdtPr>
        <w:sdtContent>
          <w:r w:rsidR="00997DEC" w:rsidRPr="00B44534">
            <w:rPr>
              <w:rFonts w:ascii="Arial" w:eastAsia="Times New Roman" w:hAnsi="Arial" w:cs="Arial"/>
              <w:color w:val="000000"/>
              <w:sz w:val="22"/>
            </w:rPr>
            <w:t>(Maben &amp; Bridges, 2020)</w:t>
          </w:r>
          <w:r w:rsidR="00B3387A" w:rsidRPr="00B44534">
            <w:rPr>
              <w:rFonts w:ascii="Arial" w:eastAsia="Times New Roman" w:hAnsi="Arial" w:cs="Arial"/>
              <w:color w:val="000000"/>
              <w:sz w:val="22"/>
            </w:rPr>
            <w:t>.</w:t>
          </w:r>
        </w:sdtContent>
      </w:sdt>
    </w:p>
    <w:p w14:paraId="386F4C68" w14:textId="0242D3A4" w:rsidR="00987297" w:rsidRPr="00B44534" w:rsidRDefault="00987297" w:rsidP="00987297">
      <w:pPr>
        <w:spacing w:line="360" w:lineRule="auto"/>
        <w:rPr>
          <w:rFonts w:ascii="Arial" w:hAnsi="Arial" w:cs="Arial"/>
          <w:sz w:val="22"/>
          <w:szCs w:val="22"/>
        </w:rPr>
      </w:pPr>
      <w:r w:rsidRPr="00B44534">
        <w:rPr>
          <w:rFonts w:ascii="Arial" w:hAnsi="Arial" w:cs="Arial"/>
          <w:sz w:val="22"/>
          <w:szCs w:val="22"/>
        </w:rPr>
        <w:t>These workforce issues affect several groups across the system. Healthcare professionals experience chronic stress and emotional fatigue due to rising demand, insufficient staffing, and limited organisational support</w:t>
      </w:r>
      <w:r w:rsidR="00C77745" w:rsidRPr="00B4453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"/>
          <w:id w:val="-1253124201"/>
          <w:placeholder>
            <w:docPart w:val="DefaultPlaceholder_-1854013440"/>
          </w:placeholder>
        </w:sdtPr>
        <w:sdtContent>
          <w:r w:rsidR="00997DEC" w:rsidRPr="00B44534">
            <w:rPr>
              <w:rFonts w:ascii="Arial" w:eastAsia="Times New Roman" w:hAnsi="Arial" w:cs="Arial"/>
              <w:color w:val="000000"/>
              <w:sz w:val="22"/>
            </w:rPr>
            <w:t>(</w:t>
          </w:r>
          <w:r w:rsidR="00997DEC" w:rsidRPr="00B44534">
            <w:rPr>
              <w:rFonts w:ascii="Arial" w:eastAsia="Times New Roman" w:hAnsi="Arial" w:cs="Arial"/>
              <w:i/>
              <w:iCs/>
              <w:color w:val="000000"/>
              <w:sz w:val="22"/>
            </w:rPr>
            <w:t>Workforce Burnout and Resilience in the NHS and Social Care - Committees - UK Parliament</w:t>
          </w:r>
          <w:r w:rsidR="00997DEC" w:rsidRPr="00B44534">
            <w:rPr>
              <w:rFonts w:ascii="Arial" w:eastAsia="Times New Roman" w:hAnsi="Arial" w:cs="Arial"/>
              <w:color w:val="000000"/>
              <w:sz w:val="22"/>
            </w:rPr>
            <w:t>, n.d.)</w:t>
          </w:r>
        </w:sdtContent>
      </w:sdt>
      <w:r w:rsidRPr="00B44534">
        <w:rPr>
          <w:rFonts w:ascii="Arial" w:hAnsi="Arial" w:cs="Arial"/>
          <w:sz w:val="22"/>
          <w:szCs w:val="22"/>
        </w:rPr>
        <w:t>. Patients and service users are impacted through longer waiting times, reduced continuity of</w:t>
      </w:r>
      <w:r w:rsidR="002B6DD8" w:rsidRPr="00B44534">
        <w:rPr>
          <w:rFonts w:ascii="Arial" w:hAnsi="Arial" w:cs="Arial"/>
          <w:sz w:val="22"/>
          <w:szCs w:val="22"/>
        </w:rPr>
        <w:t xml:space="preserve"> </w:t>
      </w:r>
      <w:r w:rsidR="007974C4" w:rsidRPr="00B44534">
        <w:rPr>
          <w:rFonts w:ascii="Arial" w:hAnsi="Arial" w:cs="Arial"/>
          <w:sz w:val="22"/>
          <w:szCs w:val="22"/>
        </w:rPr>
        <w:t>uses</w:t>
      </w:r>
      <w:r w:rsidR="002B6DD8" w:rsidRPr="00B44534">
        <w:rPr>
          <w:rFonts w:ascii="Arial" w:hAnsi="Arial" w:cs="Arial"/>
          <w:sz w:val="22"/>
          <w:szCs w:val="22"/>
        </w:rPr>
        <w:t xml:space="preserve"> and care homes, shortages lead to escalating recruitment costs, reduced productivity and reputational damage. </w:t>
      </w:r>
    </w:p>
    <w:p w14:paraId="0FDD6222" w14:textId="58BDD999" w:rsidR="00987297" w:rsidRPr="00B44534" w:rsidRDefault="00987297" w:rsidP="00987297">
      <w:pPr>
        <w:spacing w:line="360" w:lineRule="auto"/>
        <w:rPr>
          <w:rFonts w:ascii="Arial" w:hAnsi="Arial" w:cs="Arial"/>
          <w:sz w:val="22"/>
          <w:szCs w:val="22"/>
        </w:rPr>
      </w:pPr>
      <w:r w:rsidRPr="00B44534">
        <w:rPr>
          <w:rFonts w:ascii="Arial" w:hAnsi="Arial" w:cs="Arial"/>
          <w:sz w:val="22"/>
          <w:szCs w:val="22"/>
        </w:rPr>
        <w:t>The scale of the problem is widely evidenced. A 2023 BMJ report found that nearly half of NHS staff felt unwell due to work related stress, while 40 percent of nurses were considering leaving the profession</w:t>
      </w:r>
      <w:r w:rsidR="00FA5AB0" w:rsidRPr="00B4453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"/>
          <w:id w:val="310139137"/>
          <w:placeholder>
            <w:docPart w:val="DefaultPlaceholder_-1854013440"/>
          </w:placeholder>
        </w:sdtPr>
        <w:sdtContent>
          <w:r w:rsidR="00997DEC" w:rsidRPr="00B44534">
            <w:rPr>
              <w:rFonts w:ascii="Arial" w:hAnsi="Arial" w:cs="Arial"/>
              <w:color w:val="000000"/>
              <w:sz w:val="22"/>
              <w:szCs w:val="22"/>
            </w:rPr>
            <w:t>(Iacobucci, 2023)</w:t>
          </w:r>
        </w:sdtContent>
      </w:sdt>
      <w:r w:rsidRPr="00B44534">
        <w:rPr>
          <w:rFonts w:ascii="Arial" w:hAnsi="Arial" w:cs="Arial"/>
          <w:sz w:val="22"/>
          <w:szCs w:val="22"/>
        </w:rPr>
        <w:t xml:space="preserve">. These figures highlight the seriousness of the </w:t>
      </w:r>
      <w:r w:rsidRPr="00B44534">
        <w:rPr>
          <w:rFonts w:ascii="Arial" w:hAnsi="Arial" w:cs="Arial"/>
          <w:sz w:val="22"/>
          <w:szCs w:val="22"/>
        </w:rPr>
        <w:lastRenderedPageBreak/>
        <w:t xml:space="preserve">workforce crisis and its implications for staff wellbeing, patient safety and the </w:t>
      </w:r>
      <w:r w:rsidR="001C38EC" w:rsidRPr="00B44534">
        <w:rPr>
          <w:rFonts w:ascii="Arial" w:hAnsi="Arial" w:cs="Arial"/>
          <w:sz w:val="22"/>
          <w:szCs w:val="22"/>
        </w:rPr>
        <w:t>long-term</w:t>
      </w:r>
      <w:r w:rsidRPr="00B44534">
        <w:rPr>
          <w:rFonts w:ascii="Arial" w:hAnsi="Arial" w:cs="Arial"/>
          <w:sz w:val="22"/>
          <w:szCs w:val="22"/>
        </w:rPr>
        <w:t xml:space="preserve"> sustainability of the UK health and social care system.</w:t>
      </w:r>
    </w:p>
    <w:p w14:paraId="39735E9D" w14:textId="77777777" w:rsidR="004468F8" w:rsidRPr="00B44534" w:rsidRDefault="004468F8" w:rsidP="004468F8">
      <w:pPr>
        <w:rPr>
          <w:rFonts w:ascii="Arial" w:hAnsi="Arial" w:cs="Arial"/>
        </w:rPr>
      </w:pPr>
    </w:p>
    <w:p w14:paraId="1A018C1F" w14:textId="77777777" w:rsidR="00530E16" w:rsidRPr="00B44534" w:rsidRDefault="004468F8">
      <w:pPr>
        <w:pStyle w:val="Heading2"/>
        <w:jc w:val="both"/>
        <w:rPr>
          <w:rFonts w:ascii="Arial" w:hAnsi="Arial" w:cs="Arial"/>
        </w:rPr>
      </w:pPr>
      <w:bookmarkStart w:id="3" w:name="_Toc216354582"/>
      <w:r w:rsidRPr="00B44534">
        <w:rPr>
          <w:rFonts w:ascii="Arial" w:hAnsi="Arial" w:cs="Arial"/>
        </w:rPr>
        <w:t>Justification</w:t>
      </w:r>
      <w:bookmarkEnd w:id="3"/>
    </w:p>
    <w:p w14:paraId="3DA42939" w14:textId="2625C42B" w:rsidR="00987297" w:rsidRPr="00B44534" w:rsidRDefault="00987297" w:rsidP="00987297">
      <w:pPr>
        <w:spacing w:line="360" w:lineRule="auto"/>
        <w:rPr>
          <w:rFonts w:ascii="Arial" w:hAnsi="Arial" w:cs="Arial"/>
          <w:sz w:val="22"/>
          <w:szCs w:val="22"/>
        </w:rPr>
      </w:pPr>
      <w:r w:rsidRPr="00B44534">
        <w:rPr>
          <w:rFonts w:ascii="Arial" w:hAnsi="Arial" w:cs="Arial"/>
          <w:sz w:val="22"/>
          <w:szCs w:val="22"/>
        </w:rPr>
        <w:t>Research into workforce shortages and burnout is essential because these problems directly influence the quality, safety and resilience of UK health and social care services. A stable and supported workforce underpins effective care delivery, yet ongoing staff shortages place patient outcomes at risk and threaten public trust in both the NHS and adult social care. Burnout further intensifies these issues: evidence from shows strong links between staff wellbeing, care quality, and patient satisfaction</w:t>
      </w:r>
      <w:r w:rsidR="00B44534" w:rsidRPr="00B44534">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"/>
          <w:id w:val="-837385024"/>
          <w:placeholder>
            <w:docPart w:val="1E12378773C26F4EA23ECBB94EDAECF5"/>
          </w:placeholder>
        </w:sdtPr>
        <w:sdtContent>
          <w:r w:rsidR="00B44534" w:rsidRPr="00B44534">
            <w:rPr>
              <w:rFonts w:ascii="Arial" w:eastAsia="Times New Roman" w:hAnsi="Arial" w:cs="Arial"/>
              <w:color w:val="000000"/>
              <w:sz w:val="22"/>
            </w:rPr>
            <w:t>(Michael West &amp; Dane Denise Coia, 2019)</w:t>
          </w:r>
          <w:r w:rsidR="00B44534">
            <w:rPr>
              <w:rFonts w:ascii="Arial" w:eastAsia="Times New Roman" w:hAnsi="Arial" w:cs="Arial"/>
              <w:color w:val="000000"/>
              <w:sz w:val="22"/>
            </w:rPr>
            <w:t>.</w:t>
          </w:r>
        </w:sdtContent>
      </w:sdt>
    </w:p>
    <w:p w14:paraId="5DCE3491" w14:textId="6B1C145D" w:rsidR="00987297" w:rsidRPr="00B44534" w:rsidRDefault="00987297" w:rsidP="00987297">
      <w:pPr>
        <w:spacing w:line="360" w:lineRule="auto"/>
        <w:rPr>
          <w:rFonts w:ascii="Arial" w:hAnsi="Arial" w:cs="Arial"/>
          <w:sz w:val="22"/>
          <w:szCs w:val="22"/>
        </w:rPr>
      </w:pPr>
      <w:r w:rsidRPr="00B44534">
        <w:rPr>
          <w:rFonts w:ascii="Arial" w:hAnsi="Arial" w:cs="Arial"/>
          <w:sz w:val="22"/>
          <w:szCs w:val="22"/>
        </w:rPr>
        <w:t xml:space="preserve">Understanding the underlying causes and consequences of burnout is critical for improving recruitment, retention and </w:t>
      </w:r>
      <w:r w:rsidR="00236C3E" w:rsidRPr="00B44534">
        <w:rPr>
          <w:rFonts w:ascii="Arial" w:hAnsi="Arial" w:cs="Arial"/>
          <w:sz w:val="22"/>
          <w:szCs w:val="22"/>
        </w:rPr>
        <w:t>long-term</w:t>
      </w:r>
      <w:r w:rsidRPr="00B44534">
        <w:rPr>
          <w:rFonts w:ascii="Arial" w:hAnsi="Arial" w:cs="Arial"/>
          <w:sz w:val="22"/>
          <w:szCs w:val="22"/>
        </w:rPr>
        <w:t xml:space="preserve"> workforce planning. National reforms such as the NHS Long Term Workforce Plan aim to expand training routes and improve retention, but these initiatives must be grounded in research that accurately reflects frontline realities. Studying this issue therefore supports national priorities around sustainability, equality and service improvement. Evidence based insights are necessary to ensure policy interventions are targeted, effective</w:t>
      </w:r>
      <w:r w:rsidR="003C222F">
        <w:rPr>
          <w:rFonts w:ascii="Arial" w:hAnsi="Arial" w:cs="Arial"/>
          <w:sz w:val="22"/>
          <w:szCs w:val="22"/>
        </w:rPr>
        <w:t xml:space="preserve"> </w:t>
      </w:r>
      <w:r w:rsidRPr="00B44534">
        <w:rPr>
          <w:rFonts w:ascii="Arial" w:hAnsi="Arial" w:cs="Arial"/>
          <w:sz w:val="22"/>
          <w:szCs w:val="22"/>
        </w:rPr>
        <w:t>and capable of meeting current and future workforce demands.</w:t>
      </w:r>
    </w:p>
    <w:p w14:paraId="14D26F68" w14:textId="77777777" w:rsidR="004468F8" w:rsidRPr="00B44534" w:rsidRDefault="004468F8" w:rsidP="004468F8">
      <w:pPr>
        <w:rPr>
          <w:rFonts w:ascii="Arial" w:hAnsi="Arial" w:cs="Arial"/>
        </w:rPr>
      </w:pPr>
    </w:p>
    <w:p w14:paraId="68089DD4" w14:textId="77777777" w:rsidR="00530E16" w:rsidRPr="00B44534" w:rsidRDefault="004468F8">
      <w:pPr>
        <w:pStyle w:val="Heading2"/>
        <w:jc w:val="both"/>
        <w:rPr>
          <w:rFonts w:ascii="Arial" w:hAnsi="Arial" w:cs="Arial"/>
        </w:rPr>
      </w:pPr>
      <w:bookmarkStart w:id="4" w:name="_Toc216354583"/>
      <w:r w:rsidRPr="00B44534">
        <w:rPr>
          <w:rFonts w:ascii="Arial" w:hAnsi="Arial" w:cs="Arial"/>
        </w:rPr>
        <w:t>Information Sources and Justification</w:t>
      </w:r>
      <w:bookmarkEnd w:id="4"/>
    </w:p>
    <w:p w14:paraId="43A1B94C" w14:textId="7072F0A2" w:rsidR="00987297" w:rsidRPr="00B44534" w:rsidRDefault="00987297" w:rsidP="00987297">
      <w:pPr>
        <w:spacing w:line="360" w:lineRule="auto"/>
        <w:rPr>
          <w:rFonts w:ascii="Arial" w:hAnsi="Arial" w:cs="Arial"/>
          <w:sz w:val="22"/>
          <w:szCs w:val="22"/>
        </w:rPr>
      </w:pPr>
      <w:r w:rsidRPr="00B44534">
        <w:rPr>
          <w:rFonts w:ascii="Arial" w:hAnsi="Arial" w:cs="Arial"/>
          <w:sz w:val="22"/>
          <w:szCs w:val="22"/>
        </w:rPr>
        <w:t>To support this research, three reputable and highly relevant sources have been selected. Together, they provide statistical evidence, policy context and frontline insight into the connections between staffing shortages and burnout.</w:t>
      </w:r>
    </w:p>
    <w:p w14:paraId="26BBE902" w14:textId="77777777" w:rsidR="00236C3E" w:rsidRPr="00B44534" w:rsidRDefault="00987297" w:rsidP="00236C3E">
      <w:pPr>
        <w:pStyle w:val="ListParagraph"/>
        <w:numPr>
          <w:ilvl w:val="0"/>
          <w:numId w:val="9"/>
        </w:numPr>
        <w:spacing w:line="360" w:lineRule="auto"/>
        <w:rPr>
          <w:rFonts w:ascii="Arial" w:hAnsi="Arial" w:cs="Arial"/>
          <w:sz w:val="22"/>
          <w:szCs w:val="22"/>
        </w:rPr>
      </w:pPr>
      <w:r w:rsidRPr="00B44534">
        <w:rPr>
          <w:rFonts w:ascii="Arial" w:hAnsi="Arial" w:cs="Arial"/>
          <w:sz w:val="22"/>
          <w:szCs w:val="22"/>
        </w:rPr>
        <w:t>The King’s Fund</w:t>
      </w:r>
      <w:r w:rsidR="00236C3E" w:rsidRPr="00B44534">
        <w:rPr>
          <w:rFonts w:ascii="Arial" w:hAnsi="Arial" w:cs="Arial"/>
          <w:sz w:val="22"/>
          <w:szCs w:val="22"/>
        </w:rPr>
        <w:t>-</w:t>
      </w:r>
      <w:r w:rsidRPr="00B44534">
        <w:rPr>
          <w:rFonts w:ascii="Arial" w:hAnsi="Arial" w:cs="Arial"/>
          <w:sz w:val="22"/>
          <w:szCs w:val="22"/>
        </w:rPr>
        <w:t>NHS Workforce: In a Nutshell</w:t>
      </w:r>
    </w:p>
    <w:p w14:paraId="2F099357" w14:textId="21419037" w:rsidR="003C222F" w:rsidRPr="003C222F" w:rsidRDefault="00987297" w:rsidP="003C222F">
      <w:pPr>
        <w:pStyle w:val="ListParagraph"/>
        <w:spacing w:line="360" w:lineRule="auto"/>
        <w:rPr>
          <w:rFonts w:ascii="Arial" w:hAnsi="Arial" w:cs="Arial"/>
          <w:color w:val="000000" w:themeColor="text1"/>
          <w:sz w:val="22"/>
          <w:szCs w:val="22"/>
        </w:rPr>
      </w:pPr>
      <w:r w:rsidRPr="00B44534">
        <w:rPr>
          <w:rFonts w:ascii="Arial" w:hAnsi="Arial" w:cs="Arial"/>
          <w:sz w:val="22"/>
          <w:szCs w:val="22"/>
        </w:rPr>
        <w:t xml:space="preserve">This source provides essential national statistics on NHS and adult social care vacancies, including the widely cited figures of more than 110,000 NHS vacancies and 152,000 social care </w:t>
      </w:r>
      <w:r w:rsidRPr="00B44534">
        <w:rPr>
          <w:rFonts w:ascii="Arial" w:hAnsi="Arial" w:cs="Arial"/>
          <w:color w:val="000000" w:themeColor="text1"/>
          <w:sz w:val="22"/>
          <w:szCs w:val="22"/>
        </w:rPr>
        <w:t>vacancies. It also outlines long standing pressures such as low pay, recruitment challenges, limited career progression, and rising service demand</w:t>
      </w:r>
      <w:r w:rsidR="00D10525" w:rsidRPr="00B44534">
        <w:rPr>
          <w:rFonts w:ascii="Arial" w:hAnsi="Arial" w:cs="Arial"/>
          <w:color w:val="000000" w:themeColor="text1"/>
          <w:sz w:val="22"/>
          <w:szCs w:val="22"/>
        </w:rPr>
        <w:t xml:space="preserve"> (</w:t>
      </w:r>
      <w:r w:rsidR="00C07E0F" w:rsidRPr="00B44534">
        <w:rPr>
          <w:rFonts w:ascii="Arial" w:hAnsi="Arial" w:cs="Arial"/>
          <w:color w:val="000000" w:themeColor="text1"/>
          <w:sz w:val="22"/>
          <w:szCs w:val="22"/>
        </w:rPr>
        <w:t>King</w:t>
      </w:r>
      <w:r w:rsidR="000D4573" w:rsidRPr="00B44534">
        <w:rPr>
          <w:rFonts w:ascii="Arial" w:hAnsi="Arial" w:cs="Arial"/>
          <w:color w:val="000000" w:themeColor="text1"/>
          <w:sz w:val="22"/>
          <w:szCs w:val="22"/>
        </w:rPr>
        <w:t>’ Fund</w:t>
      </w:r>
      <w:r w:rsidR="00D10525" w:rsidRPr="00B44534">
        <w:rPr>
          <w:rFonts w:ascii="Arial" w:hAnsi="Arial" w:cs="Arial"/>
          <w:color w:val="000000" w:themeColor="text1"/>
          <w:sz w:val="22"/>
          <w:szCs w:val="22"/>
        </w:rPr>
        <w:t xml:space="preserve">, </w:t>
      </w:r>
      <w:r w:rsidR="000D4573" w:rsidRPr="00B44534">
        <w:rPr>
          <w:rFonts w:ascii="Arial" w:hAnsi="Arial" w:cs="Arial"/>
          <w:color w:val="000000" w:themeColor="text1"/>
          <w:sz w:val="22"/>
          <w:szCs w:val="22"/>
        </w:rPr>
        <w:t>2023</w:t>
      </w:r>
      <w:r w:rsidR="00D10525" w:rsidRPr="00B44534">
        <w:rPr>
          <w:rFonts w:ascii="Arial" w:hAnsi="Arial" w:cs="Arial"/>
          <w:color w:val="000000" w:themeColor="text1"/>
          <w:sz w:val="22"/>
          <w:szCs w:val="22"/>
        </w:rPr>
        <w:t>).</w:t>
      </w:r>
    </w:p>
    <w:p w14:paraId="3B9C9EA8" w14:textId="2C870830" w:rsidR="00987297" w:rsidRDefault="00987297" w:rsidP="00236C3E">
      <w:pPr>
        <w:pStyle w:val="ListParagraph"/>
        <w:spacing w:line="360" w:lineRule="auto"/>
        <w:rPr>
          <w:rFonts w:ascii="Arial" w:hAnsi="Arial" w:cs="Arial"/>
          <w:sz w:val="22"/>
          <w:szCs w:val="22"/>
        </w:rPr>
      </w:pPr>
      <w:r w:rsidRPr="00B44534">
        <w:rPr>
          <w:rFonts w:ascii="Arial" w:hAnsi="Arial" w:cs="Arial"/>
          <w:sz w:val="22"/>
          <w:szCs w:val="22"/>
        </w:rPr>
        <w:t>The King’s Fund establishes the scale, underlying causes and persistence of workforce shortages, offering a factual foundation for analysing the problem</w:t>
      </w:r>
      <w:r w:rsidR="00236C3E" w:rsidRPr="00B44534">
        <w:rPr>
          <w:rFonts w:ascii="Arial" w:hAnsi="Arial" w:cs="Arial"/>
          <w:sz w:val="22"/>
          <w:szCs w:val="22"/>
        </w:rPr>
        <w:t xml:space="preserve"> and a</w:t>
      </w:r>
      <w:r w:rsidRPr="00B44534">
        <w:rPr>
          <w:rFonts w:ascii="Arial" w:hAnsi="Arial" w:cs="Arial"/>
          <w:sz w:val="22"/>
          <w:szCs w:val="22"/>
        </w:rPr>
        <w:t>s an independent and respected policy organisation, the King’s Fund provides reliable, unbiased workforce data suitable for academic research.</w:t>
      </w:r>
    </w:p>
    <w:p w14:paraId="04D64E50" w14:textId="77777777" w:rsidR="003C222F" w:rsidRPr="00B44534" w:rsidRDefault="003C222F" w:rsidP="00236C3E">
      <w:pPr>
        <w:pStyle w:val="ListParagraph"/>
        <w:spacing w:line="360" w:lineRule="auto"/>
        <w:rPr>
          <w:rFonts w:ascii="Arial" w:hAnsi="Arial" w:cs="Arial"/>
          <w:sz w:val="22"/>
          <w:szCs w:val="22"/>
        </w:rPr>
      </w:pPr>
    </w:p>
    <w:p w14:paraId="6D9D3763" w14:textId="08AFAAD3" w:rsidR="00987297" w:rsidRPr="00B44534" w:rsidRDefault="00987297" w:rsidP="00236C3E">
      <w:pPr>
        <w:pStyle w:val="ListParagraph"/>
        <w:numPr>
          <w:ilvl w:val="0"/>
          <w:numId w:val="9"/>
        </w:numPr>
        <w:spacing w:line="360" w:lineRule="auto"/>
        <w:rPr>
          <w:rFonts w:ascii="Arial" w:hAnsi="Arial" w:cs="Arial"/>
          <w:sz w:val="22"/>
          <w:szCs w:val="22"/>
        </w:rPr>
      </w:pPr>
      <w:r w:rsidRPr="00B44534">
        <w:rPr>
          <w:rFonts w:ascii="Arial" w:hAnsi="Arial" w:cs="Arial"/>
          <w:sz w:val="22"/>
          <w:szCs w:val="22"/>
        </w:rPr>
        <w:lastRenderedPageBreak/>
        <w:t>UK Parliament Health and Social Care Committee</w:t>
      </w:r>
      <w:r w:rsidR="00236C3E" w:rsidRPr="00B44534">
        <w:rPr>
          <w:rFonts w:ascii="Arial" w:hAnsi="Arial" w:cs="Arial"/>
          <w:sz w:val="22"/>
          <w:szCs w:val="22"/>
        </w:rPr>
        <w:t>-</w:t>
      </w:r>
      <w:r w:rsidR="003C222F">
        <w:rPr>
          <w:rFonts w:ascii="Arial" w:hAnsi="Arial" w:cs="Arial"/>
          <w:sz w:val="22"/>
          <w:szCs w:val="22"/>
        </w:rPr>
        <w:t xml:space="preserve"> </w:t>
      </w:r>
      <w:r w:rsidRPr="00B44534">
        <w:rPr>
          <w:rFonts w:ascii="Arial" w:hAnsi="Arial" w:cs="Arial"/>
          <w:sz w:val="22"/>
          <w:szCs w:val="22"/>
        </w:rPr>
        <w:t>Workforce Burnout and Resilience in the NHS and Social Care</w:t>
      </w:r>
    </w:p>
    <w:p w14:paraId="24DA5ABF" w14:textId="2BCD4F1F" w:rsidR="00987297" w:rsidRDefault="00987297" w:rsidP="00EE0D51">
      <w:pPr>
        <w:pStyle w:val="ListParagraph"/>
        <w:spacing w:line="360" w:lineRule="auto"/>
        <w:rPr>
          <w:rFonts w:ascii="Arial" w:hAnsi="Arial" w:cs="Arial"/>
          <w:color w:val="000000" w:themeColor="text1"/>
          <w:sz w:val="22"/>
          <w:szCs w:val="22"/>
        </w:rPr>
      </w:pPr>
      <w:r w:rsidRPr="00B44534">
        <w:rPr>
          <w:rFonts w:ascii="Arial" w:hAnsi="Arial" w:cs="Arial"/>
          <w:sz w:val="22"/>
          <w:szCs w:val="22"/>
        </w:rPr>
        <w:t xml:space="preserve">This parliamentary publication examines burnout across the sector using national survey data, expert testimony and organisational evidence. It highlights how understaffing, intense workloads and insufficient organisational support reduce </w:t>
      </w:r>
      <w:r w:rsidRPr="00B44534">
        <w:rPr>
          <w:rFonts w:ascii="Arial" w:hAnsi="Arial" w:cs="Arial"/>
          <w:color w:val="000000" w:themeColor="text1"/>
          <w:sz w:val="22"/>
          <w:szCs w:val="22"/>
        </w:rPr>
        <w:t>staff wellbeing and compromise patient safety</w:t>
      </w:r>
      <w:r w:rsidR="00D10525" w:rsidRPr="00B44534">
        <w:rPr>
          <w:rFonts w:ascii="Arial" w:hAnsi="Arial" w:cs="Arial"/>
          <w:color w:val="000000" w:themeColor="text1"/>
          <w:sz w:val="22"/>
          <w:szCs w:val="22"/>
        </w:rPr>
        <w:t xml:space="preserve"> (</w:t>
      </w:r>
      <w:r w:rsidR="000D4573" w:rsidRPr="00B44534">
        <w:rPr>
          <w:rFonts w:ascii="Arial" w:hAnsi="Arial" w:cs="Arial"/>
          <w:color w:val="000000" w:themeColor="text1"/>
          <w:sz w:val="22"/>
          <w:szCs w:val="22"/>
        </w:rPr>
        <w:t>Health and Social Care Committee</w:t>
      </w:r>
      <w:r w:rsidR="00D10525" w:rsidRPr="00B44534">
        <w:rPr>
          <w:rFonts w:ascii="Arial" w:hAnsi="Arial" w:cs="Arial"/>
          <w:color w:val="000000" w:themeColor="text1"/>
          <w:sz w:val="22"/>
          <w:szCs w:val="22"/>
        </w:rPr>
        <w:t xml:space="preserve">, </w:t>
      </w:r>
      <w:r w:rsidR="000D4573" w:rsidRPr="00B44534">
        <w:rPr>
          <w:rFonts w:ascii="Arial" w:hAnsi="Arial" w:cs="Arial"/>
          <w:color w:val="000000" w:themeColor="text1"/>
          <w:sz w:val="22"/>
          <w:szCs w:val="22"/>
        </w:rPr>
        <w:t>2021)</w:t>
      </w:r>
      <w:r w:rsidR="00D10525" w:rsidRPr="00B44534">
        <w:rPr>
          <w:rFonts w:ascii="Arial" w:hAnsi="Arial" w:cs="Arial"/>
          <w:color w:val="000000" w:themeColor="text1"/>
          <w:sz w:val="22"/>
          <w:szCs w:val="22"/>
        </w:rPr>
        <w:t>.</w:t>
      </w:r>
    </w:p>
    <w:p w14:paraId="6644AD7A" w14:textId="77777777" w:rsidR="003C222F" w:rsidRPr="00B44534" w:rsidRDefault="003C222F" w:rsidP="00EE0D51">
      <w:pPr>
        <w:pStyle w:val="ListParagraph"/>
        <w:spacing w:line="360" w:lineRule="auto"/>
        <w:rPr>
          <w:rFonts w:ascii="Arial" w:hAnsi="Arial" w:cs="Arial"/>
          <w:sz w:val="22"/>
          <w:szCs w:val="22"/>
        </w:rPr>
      </w:pPr>
    </w:p>
    <w:p w14:paraId="67D80563" w14:textId="643EF91B" w:rsidR="00987297" w:rsidRPr="00B44534" w:rsidRDefault="00987297" w:rsidP="00236C3E">
      <w:pPr>
        <w:pStyle w:val="ListParagraph"/>
        <w:numPr>
          <w:ilvl w:val="0"/>
          <w:numId w:val="9"/>
        </w:numPr>
        <w:spacing w:line="360" w:lineRule="auto"/>
        <w:rPr>
          <w:rFonts w:ascii="Arial" w:hAnsi="Arial" w:cs="Arial"/>
          <w:sz w:val="22"/>
          <w:szCs w:val="22"/>
        </w:rPr>
      </w:pPr>
      <w:r w:rsidRPr="00B44534">
        <w:rPr>
          <w:rFonts w:ascii="Arial" w:hAnsi="Arial" w:cs="Arial"/>
          <w:sz w:val="22"/>
          <w:szCs w:val="22"/>
        </w:rPr>
        <w:t xml:space="preserve">Maben and Bridges (2020) </w:t>
      </w:r>
      <w:r w:rsidR="0063106C" w:rsidRPr="00B44534">
        <w:rPr>
          <w:rFonts w:ascii="Arial" w:hAnsi="Arial" w:cs="Arial"/>
          <w:sz w:val="22"/>
          <w:szCs w:val="22"/>
        </w:rPr>
        <w:t xml:space="preserve">- </w:t>
      </w:r>
      <w:r w:rsidRPr="00B44534">
        <w:rPr>
          <w:rFonts w:ascii="Arial" w:hAnsi="Arial" w:cs="Arial"/>
          <w:sz w:val="22"/>
          <w:szCs w:val="22"/>
        </w:rPr>
        <w:t>COVID 19: Supporting Nurses Psychological and Mental Health</w:t>
      </w:r>
      <w:r w:rsidR="00EE0D51" w:rsidRPr="00B44534">
        <w:rPr>
          <w:rFonts w:ascii="Arial" w:hAnsi="Arial" w:cs="Arial"/>
          <w:sz w:val="22"/>
          <w:szCs w:val="22"/>
        </w:rPr>
        <w:t>.</w:t>
      </w:r>
    </w:p>
    <w:p w14:paraId="32ED7EA0" w14:textId="7E61291B" w:rsidR="00236C3E" w:rsidRPr="00B44534" w:rsidRDefault="00987297" w:rsidP="00236C3E">
      <w:pPr>
        <w:pStyle w:val="ListParagraph"/>
        <w:spacing w:line="360" w:lineRule="auto"/>
        <w:rPr>
          <w:rFonts w:ascii="Arial" w:hAnsi="Arial" w:cs="Arial"/>
          <w:sz w:val="22"/>
          <w:szCs w:val="22"/>
        </w:rPr>
      </w:pPr>
      <w:r w:rsidRPr="00B44534">
        <w:rPr>
          <w:rFonts w:ascii="Arial" w:hAnsi="Arial" w:cs="Arial"/>
          <w:sz w:val="22"/>
          <w:szCs w:val="22"/>
        </w:rPr>
        <w:t xml:space="preserve">This peer reviewed article explores how the COVID 19 pandemic affected the psychological wellbeing of nurses, revealing heightened stress, emotional exhaustion and increased intentions to leave the profession. It also demonstrates how </w:t>
      </w:r>
      <w:r w:rsidR="00236C3E" w:rsidRPr="00B44534">
        <w:rPr>
          <w:rFonts w:ascii="Arial" w:hAnsi="Arial" w:cs="Arial"/>
          <w:sz w:val="22"/>
          <w:szCs w:val="22"/>
        </w:rPr>
        <w:t>pre-existing</w:t>
      </w:r>
      <w:r w:rsidRPr="00B44534">
        <w:rPr>
          <w:rFonts w:ascii="Arial" w:hAnsi="Arial" w:cs="Arial"/>
          <w:sz w:val="22"/>
          <w:szCs w:val="22"/>
        </w:rPr>
        <w:t xml:space="preserve"> workforce strains were intensified during the pandemic.</w:t>
      </w:r>
    </w:p>
    <w:p w14:paraId="4AF8A666" w14:textId="5BE31D72" w:rsidR="00172AD1" w:rsidRPr="00B44534" w:rsidRDefault="00987297" w:rsidP="00236C3E">
      <w:pPr>
        <w:pStyle w:val="ListParagraph"/>
        <w:spacing w:line="360" w:lineRule="auto"/>
        <w:rPr>
          <w:rFonts w:ascii="Arial" w:hAnsi="Arial" w:cs="Arial"/>
          <w:sz w:val="22"/>
          <w:szCs w:val="22"/>
        </w:rPr>
      </w:pPr>
      <w:r w:rsidRPr="00B44534">
        <w:rPr>
          <w:rFonts w:ascii="Arial" w:hAnsi="Arial" w:cs="Arial"/>
          <w:sz w:val="22"/>
          <w:szCs w:val="22"/>
        </w:rPr>
        <w:t xml:space="preserve">It offers an </w:t>
      </w:r>
      <w:r w:rsidR="00236C3E" w:rsidRPr="00B44534">
        <w:rPr>
          <w:rFonts w:ascii="Arial" w:hAnsi="Arial" w:cs="Arial"/>
          <w:sz w:val="22"/>
          <w:szCs w:val="22"/>
        </w:rPr>
        <w:t>evidence-based</w:t>
      </w:r>
      <w:r w:rsidRPr="00B44534">
        <w:rPr>
          <w:rFonts w:ascii="Arial" w:hAnsi="Arial" w:cs="Arial"/>
          <w:sz w:val="22"/>
          <w:szCs w:val="22"/>
        </w:rPr>
        <w:t xml:space="preserve"> understanding of the multifactorial causes of burnout and shows how crisis conditions further destabilise an already stretched workforc</w:t>
      </w:r>
      <w:r w:rsidR="00236C3E" w:rsidRPr="00B44534">
        <w:rPr>
          <w:rFonts w:ascii="Arial" w:hAnsi="Arial" w:cs="Arial"/>
          <w:sz w:val="22"/>
          <w:szCs w:val="22"/>
        </w:rPr>
        <w:t>e and t</w:t>
      </w:r>
      <w:r w:rsidRPr="00B44534">
        <w:rPr>
          <w:rFonts w:ascii="Arial" w:hAnsi="Arial" w:cs="Arial"/>
          <w:sz w:val="22"/>
          <w:szCs w:val="22"/>
        </w:rPr>
        <w:t>he article was selected for its academic credibility, depth of analysis, and focus on frontline nursing experiences, contributing to a clearer understanding of how burnout develops in high pressure environments.</w:t>
      </w:r>
    </w:p>
    <w:p w14:paraId="40146D26" w14:textId="77777777" w:rsidR="004468F8" w:rsidRPr="00B44534" w:rsidRDefault="004468F8" w:rsidP="004468F8">
      <w:pPr>
        <w:pStyle w:val="Heading1"/>
        <w:jc w:val="both"/>
        <w:rPr>
          <w:rFonts w:ascii="Aptos" w:hAnsi="Aptos" w:cs="Arial"/>
          <w:sz w:val="32"/>
          <w:szCs w:val="32"/>
        </w:rPr>
      </w:pPr>
      <w:bookmarkStart w:id="5" w:name="_Toc216354584"/>
      <w:r w:rsidRPr="00B44534">
        <w:rPr>
          <w:rFonts w:ascii="Aptos" w:hAnsi="Aptos" w:cs="Arial"/>
          <w:sz w:val="32"/>
          <w:szCs w:val="32"/>
        </w:rPr>
        <w:t xml:space="preserve">Task 2: </w:t>
      </w:r>
      <w:r w:rsidR="00172AD1" w:rsidRPr="00B44534">
        <w:rPr>
          <w:rFonts w:ascii="Aptos" w:eastAsia="Aptos" w:hAnsi="Aptos" w:cs="Arial"/>
          <w:bCs/>
          <w:kern w:val="2"/>
          <w:sz w:val="32"/>
          <w:szCs w:val="32"/>
          <w:lang w:eastAsia="en-US"/>
          <w14:ligatures w14:val="standardContextual"/>
        </w:rPr>
        <w:t>Research M</w:t>
      </w:r>
      <w:r w:rsidRPr="00B44534">
        <w:rPr>
          <w:rFonts w:ascii="Aptos" w:eastAsia="Aptos" w:hAnsi="Aptos" w:cs="Arial"/>
          <w:bCs/>
          <w:kern w:val="2"/>
          <w:sz w:val="32"/>
          <w:szCs w:val="32"/>
          <w:lang w:eastAsia="en-US"/>
          <w14:ligatures w14:val="standardContextual"/>
        </w:rPr>
        <w:t>ethodologies</w:t>
      </w:r>
      <w:bookmarkEnd w:id="5"/>
    </w:p>
    <w:p w14:paraId="47FF04F8" w14:textId="34DFEDDA" w:rsidR="002053A6" w:rsidRPr="00B44534" w:rsidRDefault="002053A6" w:rsidP="002053A6">
      <w:pPr>
        <w:spacing w:line="360" w:lineRule="auto"/>
        <w:rPr>
          <w:rFonts w:ascii="Arial" w:hAnsi="Arial" w:cs="Arial"/>
          <w:sz w:val="22"/>
          <w:szCs w:val="22"/>
          <w:lang w:eastAsia="en-US"/>
        </w:rPr>
      </w:pPr>
      <w:r w:rsidRPr="00B44534">
        <w:rPr>
          <w:rFonts w:ascii="Arial" w:hAnsi="Arial" w:cs="Arial"/>
          <w:sz w:val="22"/>
          <w:szCs w:val="22"/>
          <w:lang w:eastAsia="en-US"/>
        </w:rPr>
        <w:t>Quantitative and qualitative research offer distinct ways of understanding issues in health and social care. Quantitative research involves collecting and analysing numerical data to identify trends, correlations and measurable relationships. It commonly uses structured tools such as surveys, questionnaires and statistical datasets</w:t>
      </w:r>
      <w:r w:rsidR="00D10525" w:rsidRPr="00B44534">
        <w:rPr>
          <w:rFonts w:ascii="Arial" w:hAnsi="Arial" w:cs="Arial"/>
          <w:sz w:val="22"/>
          <w:szCs w:val="22"/>
          <w:lang w:eastAsia="en-US"/>
        </w:rPr>
        <w:t xml:space="preserve"> (</w:t>
      </w:r>
      <w:r w:rsidR="002B6DD8" w:rsidRPr="00B44534">
        <w:rPr>
          <w:rFonts w:ascii="Arial" w:hAnsi="Arial" w:cs="Arial"/>
          <w:sz w:val="22"/>
          <w:szCs w:val="22"/>
          <w:lang w:eastAsia="en-US"/>
        </w:rPr>
        <w:t>Bryman, A.</w:t>
      </w:r>
      <w:r w:rsidR="00D10525" w:rsidRPr="00B44534">
        <w:rPr>
          <w:rFonts w:ascii="Arial" w:hAnsi="Arial" w:cs="Arial"/>
          <w:sz w:val="22"/>
          <w:szCs w:val="22"/>
          <w:lang w:eastAsia="en-US"/>
        </w:rPr>
        <w:t xml:space="preserve">, </w:t>
      </w:r>
      <w:r w:rsidR="002B6DD8" w:rsidRPr="00B44534">
        <w:rPr>
          <w:rFonts w:ascii="Arial" w:hAnsi="Arial" w:cs="Arial"/>
          <w:sz w:val="22"/>
          <w:szCs w:val="22"/>
          <w:lang w:eastAsia="en-US"/>
        </w:rPr>
        <w:t>2016)</w:t>
      </w:r>
      <w:r w:rsidR="00D10525" w:rsidRPr="00B44534">
        <w:rPr>
          <w:rFonts w:ascii="Arial" w:hAnsi="Arial" w:cs="Arial"/>
          <w:sz w:val="22"/>
          <w:szCs w:val="22"/>
          <w:lang w:eastAsia="en-US"/>
        </w:rPr>
        <w:t xml:space="preserve">. </w:t>
      </w:r>
      <w:r w:rsidRPr="00B44534">
        <w:rPr>
          <w:rFonts w:ascii="Arial" w:hAnsi="Arial" w:cs="Arial"/>
          <w:sz w:val="22"/>
          <w:szCs w:val="22"/>
          <w:lang w:eastAsia="en-US"/>
        </w:rPr>
        <w:t>In studies on workforce burnout, quantitative methods measure variables such as stress levels, absenteeism, or job satisfaction using standardised tools like the Maslach Burnout Inventory (MBI). This approach produces generalisable findings and helps identify the scale and prevalence of burnout across large groups of staff.</w:t>
      </w:r>
    </w:p>
    <w:p w14:paraId="227796E3" w14:textId="0DB49785" w:rsidR="004468F8" w:rsidRPr="00B44534" w:rsidRDefault="002053A6" w:rsidP="003C222F">
      <w:pPr>
        <w:spacing w:line="360" w:lineRule="auto"/>
        <w:rPr>
          <w:rFonts w:ascii="Arial" w:hAnsi="Arial" w:cs="Arial"/>
          <w:lang w:eastAsia="en-US"/>
        </w:rPr>
      </w:pPr>
      <w:r w:rsidRPr="00B44534">
        <w:rPr>
          <w:rFonts w:ascii="Arial" w:hAnsi="Arial" w:cs="Arial"/>
          <w:sz w:val="22"/>
          <w:szCs w:val="22"/>
          <w:lang w:eastAsia="en-US"/>
        </w:rPr>
        <w:t xml:space="preserve">Qualitative research, however, focuses on exploring subjective experiences, perceptions, and meanings. It uses interviews, </w:t>
      </w:r>
      <w:r w:rsidRPr="00B44534">
        <w:rPr>
          <w:rFonts w:ascii="Arial" w:hAnsi="Arial" w:cs="Arial"/>
          <w:color w:val="000000" w:themeColor="text1"/>
          <w:sz w:val="22"/>
          <w:szCs w:val="22"/>
          <w:lang w:eastAsia="en-US"/>
        </w:rPr>
        <w:t>focus groups, or observations to understand how individuals interpret their work environment and the emotional or psychological pressures they face</w:t>
      </w:r>
      <w:r w:rsidR="00D10525" w:rsidRPr="00B44534">
        <w:rPr>
          <w:rFonts w:ascii="Arial" w:hAnsi="Arial" w:cs="Arial"/>
          <w:color w:val="000000" w:themeColor="text1"/>
          <w:sz w:val="22"/>
          <w:szCs w:val="22"/>
          <w:lang w:eastAsia="en-US"/>
        </w:rPr>
        <w:t xml:space="preserve"> </w:t>
      </w:r>
      <w:r w:rsidR="002B6DD8" w:rsidRPr="00B44534">
        <w:rPr>
          <w:rFonts w:ascii="Arial" w:hAnsi="Arial" w:cs="Arial"/>
          <w:color w:val="000000" w:themeColor="text1"/>
          <w:sz w:val="22"/>
          <w:szCs w:val="22"/>
          <w:lang w:eastAsia="en-US"/>
        </w:rPr>
        <w:t xml:space="preserve">(Creswell and </w:t>
      </w:r>
      <w:proofErr w:type="spellStart"/>
      <w:r w:rsidR="002B6DD8" w:rsidRPr="00B44534">
        <w:rPr>
          <w:rFonts w:ascii="Arial" w:hAnsi="Arial" w:cs="Arial"/>
          <w:color w:val="000000" w:themeColor="text1"/>
          <w:sz w:val="22"/>
          <w:szCs w:val="22"/>
          <w:lang w:eastAsia="en-US"/>
        </w:rPr>
        <w:t>Poth</w:t>
      </w:r>
      <w:proofErr w:type="spellEnd"/>
      <w:r w:rsidR="002B6DD8" w:rsidRPr="00B44534">
        <w:rPr>
          <w:rFonts w:ascii="Arial" w:hAnsi="Arial" w:cs="Arial"/>
          <w:color w:val="000000" w:themeColor="text1"/>
          <w:sz w:val="22"/>
          <w:szCs w:val="22"/>
          <w:lang w:eastAsia="en-US"/>
        </w:rPr>
        <w:t>,</w:t>
      </w:r>
      <w:r w:rsidR="00D10525" w:rsidRPr="00B44534">
        <w:rPr>
          <w:rFonts w:ascii="Arial" w:hAnsi="Arial" w:cs="Arial"/>
          <w:color w:val="000000" w:themeColor="text1"/>
          <w:sz w:val="22"/>
          <w:szCs w:val="22"/>
          <w:lang w:eastAsia="en-US"/>
        </w:rPr>
        <w:t xml:space="preserve"> </w:t>
      </w:r>
      <w:r w:rsidR="002B6DD8" w:rsidRPr="00B44534">
        <w:rPr>
          <w:rFonts w:ascii="Arial" w:hAnsi="Arial" w:cs="Arial"/>
          <w:color w:val="000000" w:themeColor="text1"/>
          <w:sz w:val="22"/>
          <w:szCs w:val="22"/>
          <w:lang w:eastAsia="en-US"/>
        </w:rPr>
        <w:t>2018)</w:t>
      </w:r>
      <w:r w:rsidR="00D10525" w:rsidRPr="00B44534">
        <w:rPr>
          <w:rFonts w:ascii="Arial" w:hAnsi="Arial" w:cs="Arial"/>
          <w:color w:val="000000" w:themeColor="text1"/>
          <w:sz w:val="22"/>
          <w:szCs w:val="22"/>
          <w:lang w:eastAsia="en-US"/>
        </w:rPr>
        <w:t>.</w:t>
      </w:r>
      <w:r w:rsidRPr="00B44534">
        <w:rPr>
          <w:rFonts w:ascii="Arial" w:hAnsi="Arial" w:cs="Arial"/>
          <w:color w:val="000000" w:themeColor="text1"/>
          <w:sz w:val="22"/>
          <w:szCs w:val="22"/>
          <w:lang w:eastAsia="en-US"/>
        </w:rPr>
        <w:t xml:space="preserve"> In </w:t>
      </w:r>
      <w:r w:rsidRPr="00B44534">
        <w:rPr>
          <w:rFonts w:ascii="Arial" w:hAnsi="Arial" w:cs="Arial"/>
          <w:sz w:val="22"/>
          <w:szCs w:val="22"/>
          <w:lang w:eastAsia="en-US"/>
        </w:rPr>
        <w:t>the context of burnout, qualitative research reveals deeper insights into staff experiences, including emotional exhaustion, coping strategies, workplace culture, and the impact of organisational pressures elements that numerical data alone cannot capture.</w:t>
      </w:r>
    </w:p>
    <w:p w14:paraId="60E4551C" w14:textId="77777777" w:rsidR="004468F8" w:rsidRPr="00B44534" w:rsidRDefault="004468F8" w:rsidP="004468F8">
      <w:pPr>
        <w:pStyle w:val="Heading2"/>
        <w:rPr>
          <w:rFonts w:asciiTheme="minorHAnsi" w:eastAsia="Aptos" w:hAnsiTheme="minorHAnsi" w:cs="Arial"/>
          <w:b/>
          <w:bCs/>
          <w:lang w:eastAsia="en-US"/>
        </w:rPr>
      </w:pPr>
      <w:bookmarkStart w:id="6" w:name="_Toc216354585"/>
      <w:r w:rsidRPr="00B44534">
        <w:rPr>
          <w:rFonts w:asciiTheme="minorHAnsi" w:eastAsia="Aptos" w:hAnsiTheme="minorHAnsi" w:cs="Arial"/>
          <w:lang w:eastAsia="en-US"/>
        </w:rPr>
        <w:lastRenderedPageBreak/>
        <w:t>What type of research methodology will you use for your research and why?</w:t>
      </w:r>
      <w:bookmarkEnd w:id="6"/>
    </w:p>
    <w:p w14:paraId="0B10E69E" w14:textId="21B0767A" w:rsidR="004468F8" w:rsidRPr="00B44534" w:rsidRDefault="002053A6" w:rsidP="002053A6">
      <w:pPr>
        <w:spacing w:line="360" w:lineRule="auto"/>
        <w:rPr>
          <w:rFonts w:ascii="Arial" w:hAnsi="Arial" w:cs="Arial"/>
        </w:rPr>
      </w:pPr>
      <w:r w:rsidRPr="00B44534">
        <w:rPr>
          <w:rFonts w:ascii="Arial" w:hAnsi="Arial" w:cs="Arial"/>
          <w:sz w:val="22"/>
          <w:szCs w:val="22"/>
        </w:rPr>
        <w:t xml:space="preserve">For this research on workforce shortages and burnout in the UK health and social care sector, a qualitative methodology will be adopted. This approach is most suitable because burnout is a complex, experience-driven phenomenon that requires understanding from the perspective of those directly affected. </w:t>
      </w:r>
      <w:r w:rsidR="00470AB6">
        <w:rPr>
          <w:rFonts w:ascii="Arial" w:hAnsi="Arial" w:cs="Arial"/>
          <w:sz w:val="22"/>
          <w:szCs w:val="22"/>
        </w:rPr>
        <w:t>Published articles and data of</w:t>
      </w:r>
      <w:r w:rsidRPr="00B44534">
        <w:rPr>
          <w:rFonts w:ascii="Arial" w:hAnsi="Arial" w:cs="Arial"/>
          <w:sz w:val="22"/>
          <w:szCs w:val="22"/>
        </w:rPr>
        <w:t xml:space="preserve"> healthcare and social care professionals will enable exploration of their lived experiences, the structural causes of burnout, and the consequences for care quality. Thematic analysis will be used to identify recurring issues such as workload pressures, emotional strain, and organisational support. A qualitative approach therefore provides the depth, context and insight needed to inform meaningful workforce and policy recommendations.</w:t>
      </w:r>
    </w:p>
    <w:p w14:paraId="21DD5D09" w14:textId="77777777" w:rsidR="004468F8" w:rsidRPr="00B44534" w:rsidRDefault="004468F8">
      <w:pPr>
        <w:spacing w:line="360" w:lineRule="auto"/>
        <w:jc w:val="both"/>
        <w:rPr>
          <w:rFonts w:ascii="Arial" w:eastAsia="Arial" w:hAnsi="Arial" w:cs="Arial"/>
          <w:sz w:val="22"/>
          <w:szCs w:val="22"/>
        </w:rPr>
      </w:pPr>
    </w:p>
    <w:p w14:paraId="71D274E2" w14:textId="16B2DE9E" w:rsidR="004468F8" w:rsidRPr="00B44534" w:rsidRDefault="004468F8" w:rsidP="007B454F">
      <w:pPr>
        <w:pStyle w:val="Heading1"/>
        <w:jc w:val="both"/>
        <w:rPr>
          <w:rFonts w:asciiTheme="minorHAnsi" w:hAnsiTheme="minorHAnsi" w:cs="Arial"/>
          <w:sz w:val="32"/>
          <w:szCs w:val="32"/>
        </w:rPr>
      </w:pPr>
      <w:bookmarkStart w:id="7" w:name="_Toc216354586"/>
      <w:r w:rsidRPr="00B44534">
        <w:rPr>
          <w:rFonts w:asciiTheme="minorHAnsi" w:hAnsiTheme="minorHAnsi" w:cs="Arial"/>
          <w:sz w:val="32"/>
          <w:szCs w:val="32"/>
        </w:rPr>
        <w:t>Task 3: Data Collection</w:t>
      </w:r>
      <w:bookmarkEnd w:id="7"/>
      <w:r w:rsidRPr="00B44534">
        <w:rPr>
          <w:rFonts w:asciiTheme="minorHAnsi" w:hAnsiTheme="minorHAnsi" w:cs="Arial"/>
          <w:sz w:val="32"/>
          <w:szCs w:val="32"/>
        </w:rPr>
        <w:t xml:space="preserve"> </w:t>
      </w:r>
    </w:p>
    <w:p w14:paraId="56E86FC4" w14:textId="77777777" w:rsidR="000863ED" w:rsidRPr="00B44534" w:rsidRDefault="000863ED" w:rsidP="000863ED">
      <w:pPr>
        <w:spacing w:line="360" w:lineRule="auto"/>
        <w:rPr>
          <w:rFonts w:ascii="Arial" w:hAnsi="Arial" w:cs="Arial"/>
          <w:sz w:val="22"/>
          <w:szCs w:val="22"/>
          <w:lang w:eastAsia="en-US"/>
        </w:rPr>
      </w:pPr>
      <w:r w:rsidRPr="00B44534">
        <w:rPr>
          <w:rFonts w:ascii="Arial" w:hAnsi="Arial" w:cs="Arial"/>
          <w:sz w:val="22"/>
          <w:szCs w:val="22"/>
          <w:lang w:eastAsia="en-US"/>
        </w:rPr>
        <w:t xml:space="preserve">In health and social care research, data can be collected through both primary and secondary sources. </w:t>
      </w:r>
    </w:p>
    <w:p w14:paraId="6830126E" w14:textId="608C5C55" w:rsidR="000863ED" w:rsidRPr="00B44534" w:rsidRDefault="000863ED" w:rsidP="000863ED">
      <w:pPr>
        <w:spacing w:line="360" w:lineRule="auto"/>
        <w:rPr>
          <w:rFonts w:ascii="Arial" w:hAnsi="Arial" w:cs="Arial"/>
          <w:sz w:val="22"/>
          <w:szCs w:val="22"/>
          <w:lang w:eastAsia="en-US"/>
        </w:rPr>
      </w:pPr>
      <w:r w:rsidRPr="00B44534">
        <w:rPr>
          <w:rFonts w:ascii="Arial" w:hAnsi="Arial" w:cs="Arial"/>
          <w:sz w:val="22"/>
          <w:szCs w:val="22"/>
          <w:lang w:eastAsia="en-US"/>
        </w:rPr>
        <w:t>Primary data refers to information gathered directly from participants through methods such as interviews, surveys or focus groups, providing tailored and original insights into a research problem</w:t>
      </w:r>
      <w:r w:rsidR="0063106C" w:rsidRPr="00B44534">
        <w:rPr>
          <w:rFonts w:ascii="Arial" w:hAnsi="Arial" w:cs="Arial"/>
          <w:sz w:val="22"/>
          <w:szCs w:val="22"/>
          <w:lang w:eastAsia="en-US"/>
        </w:rPr>
        <w:t xml:space="preserve"> </w:t>
      </w:r>
      <w:sdt>
        <w:sdtPr>
          <w:rPr>
            <w:rFonts w:ascii="Arial" w:hAnsi="Arial" w:cs="Arial"/>
            <w:color w:val="000000"/>
            <w:sz w:val="22"/>
            <w:szCs w:val="22"/>
            <w:lang w:eastAsia="en-US"/>
          </w:rPr>
          <w:tag w:val="MENDELEY_CITATION_v3_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"/>
          <w:id w:val="2136666581"/>
          <w:placeholder>
            <w:docPart w:val="DefaultPlaceholder_-1854013440"/>
          </w:placeholder>
        </w:sdtPr>
        <w:sdtContent>
          <w:r w:rsidR="00997DEC" w:rsidRPr="00B44534">
            <w:rPr>
              <w:rFonts w:ascii="Arial" w:hAnsi="Arial" w:cs="Arial"/>
              <w:color w:val="000000"/>
              <w:sz w:val="22"/>
              <w:szCs w:val="22"/>
              <w:lang w:eastAsia="en-US"/>
            </w:rPr>
            <w:t>(Creswell et al., 2018)</w:t>
          </w:r>
        </w:sdtContent>
      </w:sdt>
      <w:r w:rsidRPr="00B44534">
        <w:rPr>
          <w:rFonts w:ascii="Arial" w:hAnsi="Arial" w:cs="Arial"/>
          <w:sz w:val="22"/>
          <w:szCs w:val="22"/>
          <w:lang w:eastAsia="en-US"/>
        </w:rPr>
        <w:t xml:space="preserve"> </w:t>
      </w:r>
    </w:p>
    <w:p w14:paraId="3AF9D064" w14:textId="67130C31" w:rsidR="004468F8" w:rsidRPr="00B44534" w:rsidRDefault="000863ED" w:rsidP="000863ED">
      <w:pPr>
        <w:spacing w:line="360" w:lineRule="auto"/>
        <w:rPr>
          <w:rFonts w:ascii="Arial" w:hAnsi="Arial" w:cs="Arial"/>
          <w:sz w:val="22"/>
          <w:szCs w:val="22"/>
          <w:lang w:eastAsia="en-US"/>
        </w:rPr>
      </w:pPr>
      <w:r w:rsidRPr="00B44534">
        <w:rPr>
          <w:rFonts w:ascii="Arial" w:hAnsi="Arial" w:cs="Arial"/>
          <w:sz w:val="22"/>
          <w:szCs w:val="22"/>
          <w:lang w:eastAsia="en-US"/>
        </w:rPr>
        <w:t>Secondary data however consists of information already produced by other researchers or institutions, including government reports, academic literature and large organisational datasets</w:t>
      </w:r>
      <w:r w:rsidR="007B454F" w:rsidRPr="00B44534">
        <w:rPr>
          <w:rFonts w:ascii="Arial" w:hAnsi="Arial" w:cs="Arial"/>
          <w:sz w:val="22"/>
          <w:szCs w:val="22"/>
          <w:lang w:eastAsia="en-US"/>
        </w:rPr>
        <w:t xml:space="preserve"> </w:t>
      </w:r>
      <w:sdt>
        <w:sdtPr>
          <w:rPr>
            <w:rFonts w:ascii="Arial" w:hAnsi="Arial" w:cs="Arial"/>
            <w:color w:val="000000"/>
            <w:sz w:val="22"/>
            <w:szCs w:val="22"/>
            <w:lang w:eastAsia="en-US"/>
          </w:rPr>
          <w:tag w:val="MENDELEY_CITATION_v3_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"/>
          <w:id w:val="-1796128993"/>
          <w:placeholder>
            <w:docPart w:val="DefaultPlaceholder_-1854013440"/>
          </w:placeholder>
        </w:sdtPr>
        <w:sdtContent>
          <w:r w:rsidR="00997DEC" w:rsidRPr="00B44534">
            <w:rPr>
              <w:rFonts w:ascii="Arial" w:hAnsi="Arial" w:cs="Arial"/>
              <w:color w:val="000000"/>
              <w:sz w:val="22"/>
              <w:szCs w:val="22"/>
              <w:lang w:eastAsia="en-US"/>
            </w:rPr>
            <w:t>(Alan Bryman, 2016)</w:t>
          </w:r>
        </w:sdtContent>
      </w:sdt>
      <w:r w:rsidR="00216C85" w:rsidRPr="00B44534">
        <w:rPr>
          <w:rFonts w:ascii="Arial" w:hAnsi="Arial" w:cs="Arial"/>
          <w:color w:val="000000"/>
          <w:sz w:val="22"/>
          <w:szCs w:val="22"/>
          <w:lang w:eastAsia="en-US"/>
        </w:rPr>
        <w:t xml:space="preserve">. </w:t>
      </w:r>
      <w:r w:rsidRPr="00B44534">
        <w:rPr>
          <w:rFonts w:ascii="Arial" w:hAnsi="Arial" w:cs="Arial"/>
          <w:sz w:val="22"/>
          <w:szCs w:val="22"/>
          <w:lang w:eastAsia="en-US"/>
        </w:rPr>
        <w:t>While primary data offers depth and specificity, secondary data provides efficiency, breadth and access to large scale evidence that may be difficult to collect independently.</w:t>
      </w:r>
    </w:p>
    <w:p w14:paraId="1CBC55E9" w14:textId="77777777" w:rsidR="004468F8" w:rsidRPr="00B44534" w:rsidRDefault="004468F8" w:rsidP="004468F8">
      <w:pPr>
        <w:rPr>
          <w:rFonts w:ascii="Arial" w:hAnsi="Arial" w:cs="Arial"/>
          <w:lang w:eastAsia="en-US"/>
        </w:rPr>
      </w:pPr>
    </w:p>
    <w:p w14:paraId="00388D5C" w14:textId="77777777" w:rsidR="004468F8" w:rsidRPr="00B44534" w:rsidRDefault="004468F8" w:rsidP="004468F8">
      <w:pPr>
        <w:rPr>
          <w:rFonts w:ascii="Arial" w:hAnsi="Arial" w:cs="Arial"/>
          <w:lang w:eastAsia="en-US"/>
        </w:rPr>
      </w:pPr>
    </w:p>
    <w:p w14:paraId="1493C15D" w14:textId="77777777" w:rsidR="004468F8" w:rsidRPr="00B44534" w:rsidRDefault="004468F8" w:rsidP="004468F8">
      <w:pPr>
        <w:pStyle w:val="Heading2"/>
        <w:rPr>
          <w:rFonts w:ascii="Aptos" w:eastAsia="Aptos" w:hAnsi="Aptos" w:cs="Arial"/>
          <w:lang w:eastAsia="en-US"/>
        </w:rPr>
      </w:pPr>
      <w:bookmarkStart w:id="8" w:name="_Toc216354587"/>
      <w:r w:rsidRPr="00B44534">
        <w:rPr>
          <w:rFonts w:ascii="Aptos" w:eastAsia="Aptos" w:hAnsi="Aptos" w:cs="Arial"/>
          <w:lang w:eastAsia="en-US"/>
        </w:rPr>
        <w:t>What form of data will be used to address your research problem, and why?</w:t>
      </w:r>
      <w:bookmarkEnd w:id="8"/>
    </w:p>
    <w:p w14:paraId="300D4BE9" w14:textId="703CCD53" w:rsidR="00B3387A" w:rsidRPr="00B44534" w:rsidRDefault="000863ED" w:rsidP="000863ED">
      <w:pPr>
        <w:spacing w:line="360" w:lineRule="auto"/>
        <w:rPr>
          <w:rFonts w:ascii="Arial" w:hAnsi="Arial" w:cs="Arial"/>
          <w:sz w:val="22"/>
          <w:szCs w:val="22"/>
        </w:rPr>
      </w:pPr>
      <w:r w:rsidRPr="00B44534">
        <w:rPr>
          <w:rFonts w:ascii="Arial" w:hAnsi="Arial" w:cs="Arial"/>
          <w:sz w:val="22"/>
          <w:szCs w:val="22"/>
        </w:rPr>
        <w:t xml:space="preserve">This study will use secondary data as it is the most appropriate and ethically suitable approach for examining workforce shortages and burnout in UK health and social care. National bodies produce comprehensive and credible datasets relevant to this topic, such as the </w:t>
      </w:r>
      <w:sdt>
        <w:sdtPr>
          <w:rPr>
            <w:rFonts w:ascii="Arial" w:hAnsi="Arial" w:cs="Arial"/>
            <w:color w:val="000000"/>
            <w:sz w:val="22"/>
            <w:szCs w:val="22"/>
          </w:rPr>
          <w:tag w:val="MENDELEY_CITATION_v3_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"/>
          <w:id w:val="575870987"/>
          <w:placeholder>
            <w:docPart w:val="DefaultPlaceholder_-1854013440"/>
          </w:placeholder>
        </w:sdtPr>
        <w:sdtContent>
          <w:r w:rsidR="00997DEC" w:rsidRPr="00B44534">
            <w:rPr>
              <w:rFonts w:ascii="Arial" w:hAnsi="Arial" w:cs="Arial"/>
              <w:color w:val="000000"/>
              <w:sz w:val="22"/>
              <w:szCs w:val="22"/>
            </w:rPr>
            <w:t>(NHS England, 2023)</w:t>
          </w:r>
        </w:sdtContent>
      </w:sdt>
      <w:r w:rsidR="003C222F">
        <w:rPr>
          <w:rFonts w:ascii="Arial" w:hAnsi="Arial" w:cs="Arial"/>
          <w:color w:val="000000"/>
          <w:sz w:val="22"/>
          <w:szCs w:val="22"/>
        </w:rPr>
        <w:t>.</w:t>
      </w:r>
      <w:r w:rsidRPr="00B44534">
        <w:rPr>
          <w:rFonts w:ascii="Arial" w:hAnsi="Arial" w:cs="Arial"/>
          <w:sz w:val="22"/>
          <w:szCs w:val="22"/>
        </w:rPr>
        <w:t xml:space="preserve"> </w:t>
      </w:r>
    </w:p>
    <w:p w14:paraId="7E672D04" w14:textId="44223AF6" w:rsidR="000863ED" w:rsidRPr="00B44534" w:rsidRDefault="003C222F" w:rsidP="000863ED">
      <w:pPr>
        <w:spacing w:line="360" w:lineRule="auto"/>
        <w:rPr>
          <w:rFonts w:ascii="Arial" w:hAnsi="Arial" w:cs="Arial"/>
          <w:sz w:val="22"/>
          <w:szCs w:val="22"/>
        </w:rPr>
      </w:pPr>
      <w:r>
        <w:rPr>
          <w:rFonts w:ascii="Arial" w:hAnsi="Arial" w:cs="Arial"/>
          <w:sz w:val="22"/>
          <w:szCs w:val="22"/>
        </w:rPr>
        <w:lastRenderedPageBreak/>
        <w:t>W</w:t>
      </w:r>
      <w:r w:rsidR="000863ED" w:rsidRPr="00B44534">
        <w:rPr>
          <w:rFonts w:ascii="Arial" w:hAnsi="Arial" w:cs="Arial"/>
          <w:sz w:val="22"/>
          <w:szCs w:val="22"/>
        </w:rPr>
        <w:t xml:space="preserve">orkforce analyses from organisations including The Kings Fund and The Health Foundation. These sources offer reliable information on staffing levels, wellbeing, turnover and organisational pressures, reducing the need to involve potentially distressed participants </w:t>
      </w:r>
      <w:sdt>
        <w:sdtPr>
          <w:rPr>
            <w:rFonts w:ascii="Arial" w:hAnsi="Arial" w:cs="Arial"/>
            <w:color w:val="000000"/>
            <w:sz w:val="22"/>
            <w:szCs w:val="22"/>
          </w:rPr>
          <w:tag w:val="MENDELEY_CITATION_v3_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"/>
          <w:id w:val="1464382280"/>
          <w:placeholder>
            <w:docPart w:val="DefaultPlaceholder_-1854013440"/>
          </w:placeholder>
        </w:sdtPr>
        <w:sdtContent>
          <w:r w:rsidR="00997DEC" w:rsidRPr="00B44534">
            <w:rPr>
              <w:rFonts w:ascii="Arial" w:hAnsi="Arial" w:cs="Arial"/>
              <w:color w:val="000000"/>
              <w:sz w:val="22"/>
              <w:szCs w:val="22"/>
            </w:rPr>
            <w:t>(Will Fenton et al., 2024)</w:t>
          </w:r>
        </w:sdtContent>
      </w:sdt>
      <w:r w:rsidR="000C790C" w:rsidRPr="00B44534">
        <w:rPr>
          <w:rFonts w:ascii="Arial" w:hAnsi="Arial" w:cs="Arial"/>
          <w:color w:val="000000"/>
          <w:sz w:val="22"/>
          <w:szCs w:val="22"/>
        </w:rPr>
        <w:t>.</w:t>
      </w:r>
    </w:p>
    <w:p w14:paraId="27C8841A" w14:textId="70A11F18" w:rsidR="004468F8" w:rsidRPr="00B44534" w:rsidRDefault="000863ED" w:rsidP="000863ED">
      <w:pPr>
        <w:spacing w:line="360" w:lineRule="auto"/>
        <w:rPr>
          <w:rFonts w:ascii="Arial" w:hAnsi="Arial" w:cs="Arial"/>
          <w:color w:val="FF0000"/>
          <w:sz w:val="22"/>
          <w:szCs w:val="22"/>
        </w:rPr>
      </w:pPr>
      <w:r w:rsidRPr="00B44534">
        <w:rPr>
          <w:rFonts w:ascii="Arial" w:hAnsi="Arial" w:cs="Arial"/>
          <w:sz w:val="22"/>
          <w:szCs w:val="22"/>
        </w:rPr>
        <w:t xml:space="preserve">Secondary qualitative data such as staff testimonies, case studies and interviews published within parliamentary inquiries and policy reports aligns with the qualitative and interpretivist focus of the study. This data supports the use of thematic analysis, which enables the identification of recurring themes such as workload intensity, emotional exhaustion and organisational support </w:t>
      </w:r>
      <w:sdt>
        <w:sdtPr>
          <w:rPr>
            <w:rFonts w:ascii="Arial" w:hAnsi="Arial" w:cs="Arial"/>
            <w:color w:val="000000"/>
            <w:sz w:val="22"/>
            <w:szCs w:val="22"/>
          </w:rPr>
          <w:tag w:val="MENDELEY_CITATION_v3_eyJjaXRhdGlvbklEIjoiTUVOREVMRVlfQ0lUQVRJT05fZjc0MTg0YjktODg4My00ZjRjLWE4MTktZWUxYWQ2NTYyMTA2IiwicHJvcGVydGllcyI6eyJub3RlSW5kZXgiOjB9LCJpc0VkaXRlZCI6ZmFsc2UsIm1hbnVhbE92ZXJyaWRlIjp7ImlzTWFudWFsbHlPdmVycmlkZGVuIjpmYWxzZSwiY2l0ZXByb2NUZXh0IjoiKEJyYXVuICYjMzg7IENsYXJrZSwgMjAwNikiLCJtYW51YWxPdmVycmlkZVRleHQiOiIifSwiY2l0YXRpb25JdGVtcyI6W3siaWQiOiJiMDM2NTZiMC1jMjFkLTM0ZTItYjkzNi1hOTJkY2Y2MTUxYWMiLCJpdGVtRGF0YSI6eyJ0eXBlIjoicmVwb3J0IiwiaWQiOiJiMDM2NTZiMC1jMjFkLTM0ZTItYjkzNi1hOTJkY2Y2MTUxYWM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pc3N1ZWQiOnsiZGF0ZS1wYXJ0cyI6W1syMDA2XV19LCJjb250YWluZXItdGl0bGUtc2hvcnQiOiIifSwiaXNUZW1wb3JhcnkiOmZhbHNlLCJzdXBwcmVzcy1hdXRob3IiOmZhbHNlLCJjb21wb3NpdGUiOmZhbHNlLCJhdXRob3Itb25seSI6ZmFsc2V9XX0="/>
          <w:id w:val="-1080832872"/>
          <w:placeholder>
            <w:docPart w:val="DefaultPlaceholder_-1854013440"/>
          </w:placeholder>
        </w:sdtPr>
        <w:sdtContent>
          <w:r w:rsidR="00997DEC" w:rsidRPr="00B44534">
            <w:rPr>
              <w:rFonts w:ascii="Arial" w:eastAsia="Times New Roman" w:hAnsi="Arial" w:cs="Arial"/>
              <w:color w:val="000000"/>
              <w:sz w:val="22"/>
            </w:rPr>
            <w:t>(Braun &amp; Clarke, 2006)</w:t>
          </w:r>
        </w:sdtContent>
      </w:sdt>
      <w:r w:rsidR="000C790C" w:rsidRPr="00B44534">
        <w:rPr>
          <w:rFonts w:ascii="Arial" w:hAnsi="Arial" w:cs="Arial"/>
          <w:color w:val="000000"/>
          <w:sz w:val="22"/>
          <w:szCs w:val="22"/>
        </w:rPr>
        <w:t>.</w:t>
      </w:r>
      <w:r w:rsidRPr="00B44534">
        <w:rPr>
          <w:rFonts w:ascii="Arial" w:hAnsi="Arial" w:cs="Arial"/>
          <w:sz w:val="22"/>
          <w:szCs w:val="22"/>
        </w:rPr>
        <w:t xml:space="preserve"> Using multiple secondary sources also allows for triangulation, enhancing the credibility of findings and supporting evidence-based recommendations for improving workforce wellbeing and policy reform</w:t>
      </w:r>
      <w:r w:rsidRPr="00B44534">
        <w:rPr>
          <w:rFonts w:ascii="Arial" w:hAnsi="Arial" w:cs="Arial"/>
          <w:color w:val="FF0000"/>
          <w:sz w:val="22"/>
          <w:szCs w:val="22"/>
        </w:rPr>
        <w:t>.</w:t>
      </w:r>
    </w:p>
    <w:p w14:paraId="52809751" w14:textId="77777777" w:rsidR="004468F8" w:rsidRPr="00B44534" w:rsidRDefault="004468F8" w:rsidP="004468F8">
      <w:pPr>
        <w:rPr>
          <w:rFonts w:ascii="Arial" w:hAnsi="Arial" w:cs="Arial"/>
        </w:rPr>
      </w:pPr>
    </w:p>
    <w:p w14:paraId="2A39E17C" w14:textId="77777777" w:rsidR="004468F8" w:rsidRPr="00B44534" w:rsidRDefault="004468F8" w:rsidP="004468F8">
      <w:pPr>
        <w:rPr>
          <w:rFonts w:ascii="Arial" w:hAnsi="Arial" w:cs="Arial"/>
        </w:rPr>
      </w:pPr>
    </w:p>
    <w:p w14:paraId="098C0A79" w14:textId="77777777" w:rsidR="00530E16" w:rsidRPr="00B44534" w:rsidRDefault="004468F8">
      <w:pPr>
        <w:pStyle w:val="Heading1"/>
        <w:jc w:val="both"/>
        <w:rPr>
          <w:rFonts w:ascii="Aptos" w:hAnsi="Aptos" w:cs="Arial"/>
          <w:sz w:val="32"/>
          <w:szCs w:val="32"/>
        </w:rPr>
      </w:pPr>
      <w:bookmarkStart w:id="9" w:name="_Toc216354588"/>
      <w:r w:rsidRPr="00B44534">
        <w:rPr>
          <w:rFonts w:ascii="Aptos" w:hAnsi="Aptos" w:cs="Arial"/>
          <w:sz w:val="32"/>
          <w:szCs w:val="32"/>
        </w:rPr>
        <w:t>Conclusion</w:t>
      </w:r>
      <w:bookmarkEnd w:id="9"/>
    </w:p>
    <w:p w14:paraId="2EC6688D" w14:textId="77777777" w:rsidR="003C222F" w:rsidRDefault="000863ED" w:rsidP="000863ED">
      <w:pPr>
        <w:spacing w:line="360" w:lineRule="auto"/>
        <w:rPr>
          <w:rFonts w:ascii="Arial" w:hAnsi="Arial" w:cs="Arial"/>
          <w:sz w:val="22"/>
          <w:szCs w:val="22"/>
        </w:rPr>
      </w:pPr>
      <w:r w:rsidRPr="00B44534">
        <w:rPr>
          <w:rFonts w:ascii="Arial" w:hAnsi="Arial" w:cs="Arial"/>
          <w:sz w:val="22"/>
          <w:szCs w:val="22"/>
        </w:rPr>
        <w:t>The workforce shortages and burnout crisis in UK health and social care continues to threaten the stability and sustainability of essential services</w:t>
      </w:r>
      <w:r w:rsidR="00C37A3D" w:rsidRPr="00B4453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"/>
          <w:id w:val="-495181877"/>
          <w:placeholder>
            <w:docPart w:val="DefaultPlaceholder_-1854013440"/>
          </w:placeholder>
        </w:sdtPr>
        <w:sdtContent>
          <w:r w:rsidR="00997DEC" w:rsidRPr="00B44534">
            <w:rPr>
              <w:rFonts w:ascii="Arial" w:hAnsi="Arial" w:cs="Arial"/>
              <w:color w:val="000000"/>
              <w:sz w:val="22"/>
              <w:szCs w:val="22"/>
            </w:rPr>
            <w:t>(Peckham et al., 2024)</w:t>
          </w:r>
        </w:sdtContent>
      </w:sdt>
      <w:r w:rsidR="00C37A3D" w:rsidRPr="00B44534">
        <w:rPr>
          <w:rFonts w:ascii="Arial" w:hAnsi="Arial" w:cs="Arial"/>
          <w:sz w:val="22"/>
          <w:szCs w:val="22"/>
        </w:rPr>
        <w:t xml:space="preserve"> </w:t>
      </w:r>
      <w:r w:rsidRPr="00B44534">
        <w:rPr>
          <w:rFonts w:ascii="Arial" w:hAnsi="Arial" w:cs="Arial"/>
          <w:sz w:val="22"/>
          <w:szCs w:val="22"/>
        </w:rPr>
        <w:t xml:space="preserve">. This report demonstrates that persistent underfunding, increasing service demand and limited organisational support are key contributors to both staffing shortages and rising levels of burnout. Burnout is shown not only because of workforce pressures but also as a factor that further worsens retention, productivity and service quality. </w:t>
      </w:r>
    </w:p>
    <w:p w14:paraId="5FFA1DDE" w14:textId="679DE0D0" w:rsidR="004468F8" w:rsidRPr="00B44534" w:rsidRDefault="000863ED" w:rsidP="000863ED">
      <w:pPr>
        <w:spacing w:line="360" w:lineRule="auto"/>
        <w:rPr>
          <w:rFonts w:ascii="Arial" w:hAnsi="Arial" w:cs="Arial"/>
          <w:sz w:val="22"/>
          <w:szCs w:val="22"/>
        </w:rPr>
      </w:pPr>
      <w:r w:rsidRPr="00B44534">
        <w:rPr>
          <w:rFonts w:ascii="Arial" w:hAnsi="Arial" w:cs="Arial"/>
          <w:sz w:val="22"/>
          <w:szCs w:val="22"/>
        </w:rPr>
        <w:t>The use of qualitative secondary data enabled an ethical and comprehensive understanding of staff experiences, organisational challenges and the wider structural issues affecting the sector. This approach also highlighted recurring themes such as emotional exhaustion, workload intensity and inadequate support systems. Future research should focus on evaluating practical interventions, including flexible scheduling, improved leadership support and targeted funding reforms, to strengthen workforce resilience</w:t>
      </w:r>
      <w:r w:rsidR="00C37A3D" w:rsidRPr="00B4453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"/>
          <w:id w:val="-926502522"/>
          <w:placeholder>
            <w:docPart w:val="DefaultPlaceholder_-1854013440"/>
          </w:placeholder>
        </w:sdtPr>
        <w:sdtContent>
          <w:r w:rsidR="00997DEC" w:rsidRPr="00B44534">
            <w:rPr>
              <w:rFonts w:ascii="Arial" w:hAnsi="Arial" w:cs="Arial"/>
              <w:color w:val="000000"/>
              <w:sz w:val="22"/>
              <w:szCs w:val="22"/>
            </w:rPr>
            <w:t>(Buckley, 2023)</w:t>
          </w:r>
        </w:sdtContent>
      </w:sdt>
      <w:r w:rsidRPr="00B44534">
        <w:rPr>
          <w:rFonts w:ascii="Arial" w:hAnsi="Arial" w:cs="Arial"/>
          <w:sz w:val="22"/>
          <w:szCs w:val="22"/>
        </w:rPr>
        <w:t>. Addressing these challenges is essential for protecting staff wellbeing, patient safety and the overall humanity of care delivery in the UK.</w:t>
      </w:r>
    </w:p>
    <w:p w14:paraId="667FB0FC" w14:textId="77777777" w:rsidR="007B454F" w:rsidRPr="00B44534" w:rsidRDefault="007B454F" w:rsidP="000863ED">
      <w:pPr>
        <w:spacing w:line="360" w:lineRule="auto"/>
        <w:rPr>
          <w:rFonts w:ascii="Arial" w:hAnsi="Arial" w:cs="Arial"/>
          <w:sz w:val="22"/>
          <w:szCs w:val="22"/>
        </w:rPr>
      </w:pPr>
    </w:p>
    <w:p w14:paraId="113CC6C6" w14:textId="77777777" w:rsidR="007B454F" w:rsidRPr="00B44534" w:rsidRDefault="007B454F" w:rsidP="000863ED">
      <w:pPr>
        <w:spacing w:line="360" w:lineRule="auto"/>
        <w:rPr>
          <w:rFonts w:ascii="Arial" w:hAnsi="Arial" w:cs="Arial"/>
          <w:sz w:val="22"/>
          <w:szCs w:val="22"/>
        </w:rPr>
      </w:pPr>
    </w:p>
    <w:p w14:paraId="1DEFE51A" w14:textId="77777777" w:rsidR="007B454F" w:rsidRDefault="007B454F" w:rsidP="000863ED">
      <w:pPr>
        <w:spacing w:line="360" w:lineRule="auto"/>
        <w:rPr>
          <w:rFonts w:ascii="Arial" w:hAnsi="Arial" w:cs="Arial"/>
          <w:sz w:val="22"/>
          <w:szCs w:val="22"/>
        </w:rPr>
      </w:pPr>
    </w:p>
    <w:p w14:paraId="1958B49A" w14:textId="77777777" w:rsidR="00530E16" w:rsidRPr="00B44534" w:rsidRDefault="004468F8">
      <w:pPr>
        <w:pStyle w:val="Heading1"/>
        <w:rPr>
          <w:sz w:val="32"/>
          <w:szCs w:val="32"/>
        </w:rPr>
      </w:pPr>
      <w:bookmarkStart w:id="10" w:name="_Toc216354589"/>
      <w:r w:rsidRPr="00B44534">
        <w:rPr>
          <w:sz w:val="32"/>
          <w:szCs w:val="32"/>
        </w:rPr>
        <w:lastRenderedPageBreak/>
        <w:t>References</w:t>
      </w:r>
      <w:bookmarkEnd w:id="10"/>
    </w:p>
    <w:sdt>
      <w:sdtPr>
        <w:rPr>
          <w:rFonts w:ascii="Arial" w:eastAsia="Arial" w:hAnsi="Arial" w:cs="Arial"/>
          <w:color w:val="000000"/>
          <w:sz w:val="22"/>
          <w:szCs w:val="22"/>
        </w:rPr>
        <w:tag w:val="MENDELEY_BIBLIOGRAPHY"/>
        <w:id w:val="-967428004"/>
        <w:placeholder>
          <w:docPart w:val="DefaultPlaceholder_-1854013440"/>
        </w:placeholder>
      </w:sdtPr>
      <w:sdtContent>
        <w:p w14:paraId="1EB0275C" w14:textId="77777777" w:rsidR="00997DEC" w:rsidRDefault="00997DEC">
          <w:pPr>
            <w:autoSpaceDE w:val="0"/>
            <w:autoSpaceDN w:val="0"/>
            <w:ind w:hanging="480"/>
            <w:divId w:val="417946540"/>
            <w:rPr>
              <w:rFonts w:eastAsia="Times New Roman"/>
            </w:rPr>
          </w:pPr>
          <w:r>
            <w:rPr>
              <w:rFonts w:eastAsia="Times New Roman"/>
            </w:rPr>
            <w:t xml:space="preserve">Alan Bryman. (2016). </w:t>
          </w:r>
          <w:r>
            <w:rPr>
              <w:rFonts w:eastAsia="Times New Roman"/>
              <w:i/>
              <w:iCs/>
            </w:rPr>
            <w:t>Social Research Methods - Alan Bryman - Google Books</w:t>
          </w:r>
          <w:r>
            <w:rPr>
              <w:rFonts w:eastAsia="Times New Roman"/>
            </w:rPr>
            <w:t>. https://books.google.co.uk/books?hl=en&amp;lr=&amp;id=N2zQCgAAQBAJ&amp;oi=fnd&amp;pg=PP1&amp;dq=Bryman,+A.+(2016)+Social+Research+Methods.+5th+edn.+Oxford:+Oxford+University+Press.&amp;ots=dqOvFRP4si&amp;sig=_cKvIJxYe0ZX0uTUfp8bq0-xcUA#v=onepage&amp;q=Bryman%2C%20A.%20(2016)%20Social%20Research%20Methods.%205th%20edn.%20Oxford%3A%20Oxford%20University%20Press.&amp;f=false</w:t>
          </w:r>
        </w:p>
        <w:p w14:paraId="66E2BA1A" w14:textId="77777777" w:rsidR="00997DEC" w:rsidRDefault="00997DEC">
          <w:pPr>
            <w:autoSpaceDE w:val="0"/>
            <w:autoSpaceDN w:val="0"/>
            <w:ind w:hanging="480"/>
            <w:divId w:val="1255169689"/>
            <w:rPr>
              <w:rFonts w:eastAsia="Times New Roman"/>
            </w:rPr>
          </w:pPr>
          <w:r>
            <w:rPr>
              <w:rFonts w:eastAsia="Times New Roman"/>
            </w:rPr>
            <w:t xml:space="preserve">Braun, V., &amp; Clarke, V. (2006). </w:t>
          </w:r>
          <w:r>
            <w:rPr>
              <w:rFonts w:eastAsia="Times New Roman"/>
              <w:i/>
              <w:iCs/>
            </w:rPr>
            <w:t>Using thematic analysis in psychology</w:t>
          </w:r>
          <w:r>
            <w:rPr>
              <w:rFonts w:eastAsia="Times New Roman"/>
            </w:rPr>
            <w:t>.</w:t>
          </w:r>
        </w:p>
        <w:p w14:paraId="230A74CD" w14:textId="77777777" w:rsidR="00997DEC" w:rsidRDefault="00997DEC">
          <w:pPr>
            <w:autoSpaceDE w:val="0"/>
            <w:autoSpaceDN w:val="0"/>
            <w:ind w:hanging="480"/>
            <w:divId w:val="1315062893"/>
            <w:rPr>
              <w:rFonts w:eastAsia="Times New Roman"/>
            </w:rPr>
          </w:pPr>
          <w:r>
            <w:rPr>
              <w:rFonts w:eastAsia="Times New Roman"/>
            </w:rPr>
            <w:t xml:space="preserve">Buckley, R. (2023). Tourism and Mental Health: Foundations, Frameworks, and Futures. </w:t>
          </w:r>
          <w:r>
            <w:rPr>
              <w:rFonts w:eastAsia="Times New Roman"/>
              <w:i/>
              <w:iCs/>
            </w:rPr>
            <w:t>Journal of Travel Research</w:t>
          </w:r>
          <w:r>
            <w:rPr>
              <w:rFonts w:eastAsia="Times New Roman"/>
            </w:rPr>
            <w:t xml:space="preserve">, </w:t>
          </w:r>
          <w:r>
            <w:rPr>
              <w:rFonts w:eastAsia="Times New Roman"/>
              <w:i/>
              <w:iCs/>
            </w:rPr>
            <w:t>62</w:t>
          </w:r>
          <w:r>
            <w:rPr>
              <w:rFonts w:eastAsia="Times New Roman"/>
            </w:rPr>
            <w:t>(1), 3–20. https://doi.org/10.1177/00472875221087669;CTYPE:STRING:JOURNAL</w:t>
          </w:r>
        </w:p>
        <w:p w14:paraId="632FB1E4" w14:textId="77777777" w:rsidR="00997DEC" w:rsidRDefault="00997DEC">
          <w:pPr>
            <w:autoSpaceDE w:val="0"/>
            <w:autoSpaceDN w:val="0"/>
            <w:ind w:hanging="480"/>
            <w:divId w:val="1630282378"/>
            <w:rPr>
              <w:rFonts w:eastAsia="Times New Roman"/>
            </w:rPr>
          </w:pPr>
          <w:r>
            <w:rPr>
              <w:rFonts w:eastAsia="Times New Roman"/>
            </w:rPr>
            <w:t xml:space="preserve">Creswell, J. W., Plano Clark, &amp; V.L. (2018). </w:t>
          </w:r>
          <w:r>
            <w:rPr>
              <w:rFonts w:eastAsia="Times New Roman"/>
              <w:i/>
              <w:iCs/>
            </w:rPr>
            <w:t>Designing and Conducting Mixed Methods Research (3rd ed.). Thousand Oaks, CA SAGE. - References - Scientific Research Publishing</w:t>
          </w:r>
          <w:r>
            <w:rPr>
              <w:rFonts w:eastAsia="Times New Roman"/>
            </w:rPr>
            <w:t>. https://www.scirp.org/reference/referencespapers?referenceid=2697821</w:t>
          </w:r>
        </w:p>
        <w:p w14:paraId="37C8545E" w14:textId="77777777" w:rsidR="00997DEC" w:rsidRDefault="00997DEC">
          <w:pPr>
            <w:autoSpaceDE w:val="0"/>
            <w:autoSpaceDN w:val="0"/>
            <w:ind w:hanging="480"/>
            <w:divId w:val="1190029342"/>
            <w:rPr>
              <w:rFonts w:eastAsia="Times New Roman"/>
            </w:rPr>
          </w:pPr>
          <w:r>
            <w:rPr>
              <w:rFonts w:eastAsia="Times New Roman"/>
            </w:rPr>
            <w:t xml:space="preserve">Iacobucci, G. (2023). Burnout: NHS staff haven’t recovered from pandemic’s effects, says leading doctor. </w:t>
          </w:r>
          <w:r>
            <w:rPr>
              <w:rFonts w:eastAsia="Times New Roman"/>
              <w:i/>
              <w:iCs/>
            </w:rPr>
            <w:t>BMJ</w:t>
          </w:r>
          <w:r>
            <w:rPr>
              <w:rFonts w:eastAsia="Times New Roman"/>
            </w:rPr>
            <w:t xml:space="preserve">, </w:t>
          </w:r>
          <w:r>
            <w:rPr>
              <w:rFonts w:eastAsia="Times New Roman"/>
              <w:i/>
              <w:iCs/>
            </w:rPr>
            <w:t>380</w:t>
          </w:r>
          <w:r>
            <w:rPr>
              <w:rFonts w:eastAsia="Times New Roman"/>
            </w:rPr>
            <w:t>.</w:t>
          </w:r>
        </w:p>
        <w:p w14:paraId="1B595A24" w14:textId="77777777" w:rsidR="00997DEC" w:rsidRDefault="00997DEC">
          <w:pPr>
            <w:autoSpaceDE w:val="0"/>
            <w:autoSpaceDN w:val="0"/>
            <w:ind w:hanging="480"/>
            <w:divId w:val="1931350"/>
            <w:rPr>
              <w:rFonts w:eastAsia="Times New Roman"/>
            </w:rPr>
          </w:pPr>
          <w:r>
            <w:rPr>
              <w:rFonts w:eastAsia="Times New Roman"/>
            </w:rPr>
            <w:t>Maben, J., &amp; Bridges, J. (2020). Covid</w:t>
          </w:r>
          <w:r>
            <w:rPr>
              <w:rFonts w:ascii="Cambria Math" w:eastAsia="Times New Roman" w:hAnsi="Cambria Math" w:cs="Cambria Math"/>
            </w:rPr>
            <w:t>‐</w:t>
          </w:r>
          <w:r>
            <w:rPr>
              <w:rFonts w:eastAsia="Times New Roman"/>
            </w:rPr>
            <w:t xml:space="preserve">19: Supporting nurses’ psychological and mental health. </w:t>
          </w:r>
          <w:r>
            <w:rPr>
              <w:rFonts w:eastAsia="Times New Roman"/>
              <w:i/>
              <w:iCs/>
            </w:rPr>
            <w:t>Journal of Clinical Nursing</w:t>
          </w:r>
          <w:r>
            <w:rPr>
              <w:rFonts w:eastAsia="Times New Roman"/>
            </w:rPr>
            <w:t xml:space="preserve">, </w:t>
          </w:r>
          <w:r>
            <w:rPr>
              <w:rFonts w:eastAsia="Times New Roman"/>
              <w:i/>
              <w:iCs/>
            </w:rPr>
            <w:t>29</w:t>
          </w:r>
          <w:r>
            <w:rPr>
              <w:rFonts w:eastAsia="Times New Roman"/>
            </w:rPr>
            <w:t>(15–16), 2742. https://doi.org/10.1111/JOCN.15307</w:t>
          </w:r>
        </w:p>
        <w:p w14:paraId="4DE3CF33" w14:textId="77777777" w:rsidR="00997DEC" w:rsidRDefault="00997DEC">
          <w:pPr>
            <w:autoSpaceDE w:val="0"/>
            <w:autoSpaceDN w:val="0"/>
            <w:ind w:hanging="480"/>
            <w:divId w:val="607393329"/>
            <w:rPr>
              <w:rFonts w:eastAsia="Times New Roman"/>
            </w:rPr>
          </w:pPr>
          <w:r>
            <w:rPr>
              <w:rFonts w:eastAsia="Times New Roman"/>
            </w:rPr>
            <w:t xml:space="preserve">NHS England. (2023). </w:t>
          </w:r>
          <w:r>
            <w:rPr>
              <w:rFonts w:eastAsia="Times New Roman"/>
              <w:i/>
              <w:iCs/>
            </w:rPr>
            <w:t>Statistics</w:t>
          </w:r>
          <w:r>
            <w:rPr>
              <w:rFonts w:ascii="Arial" w:eastAsia="Times New Roman" w:hAnsi="Arial" w:cs="Arial"/>
              <w:i/>
              <w:iCs/>
            </w:rPr>
            <w:t> </w:t>
          </w:r>
          <w:r>
            <w:rPr>
              <w:rFonts w:eastAsia="Times New Roman"/>
              <w:i/>
              <w:iCs/>
            </w:rPr>
            <w:t>» NHS Staff Survey in England</w:t>
          </w:r>
          <w:r>
            <w:rPr>
              <w:rFonts w:eastAsia="Times New Roman"/>
            </w:rPr>
            <w:t>. https://www.england.nhs.uk/statistics/statistical-work-areas/nhs-staff-survey-in-england/</w:t>
          </w:r>
        </w:p>
        <w:p w14:paraId="3790B33E" w14:textId="77777777" w:rsidR="00997DEC" w:rsidRDefault="00997DEC">
          <w:pPr>
            <w:autoSpaceDE w:val="0"/>
            <w:autoSpaceDN w:val="0"/>
            <w:ind w:hanging="480"/>
            <w:divId w:val="2044868190"/>
            <w:rPr>
              <w:rFonts w:eastAsia="Times New Roman"/>
            </w:rPr>
          </w:pPr>
          <w:r>
            <w:rPr>
              <w:rFonts w:eastAsia="Times New Roman"/>
              <w:i/>
              <w:iCs/>
            </w:rPr>
            <w:t>NHS Workforce Nutshell | The King’s Fund</w:t>
          </w:r>
          <w:r>
            <w:rPr>
              <w:rFonts w:eastAsia="Times New Roman"/>
            </w:rPr>
            <w:t>. (n.d.). Retrieved November 26, 2025, from https://www.kingsfund.org.uk/insight-and-analysis/data-and-charts/nhs-workforce-nutshell</w:t>
          </w:r>
        </w:p>
        <w:p w14:paraId="45391196" w14:textId="77777777" w:rsidR="00997DEC" w:rsidRDefault="00997DEC">
          <w:pPr>
            <w:autoSpaceDE w:val="0"/>
            <w:autoSpaceDN w:val="0"/>
            <w:ind w:hanging="480"/>
            <w:divId w:val="1804081560"/>
            <w:rPr>
              <w:rFonts w:eastAsia="Times New Roman"/>
            </w:rPr>
          </w:pPr>
          <w:r>
            <w:rPr>
              <w:rFonts w:eastAsia="Times New Roman"/>
            </w:rPr>
            <w:t xml:space="preserve">Peckham, S., Dacre, D. J., Appleby, J., Charlesworth, A., &amp; Francis, R. (2024). Enhancing the Scrutiny Role of Select Committees: The House of Commons Health and Social Care Select Committee’s New Independent Expert Panel. </w:t>
          </w:r>
          <w:r>
            <w:rPr>
              <w:rFonts w:eastAsia="Times New Roman"/>
              <w:i/>
              <w:iCs/>
            </w:rPr>
            <w:t>Parliamentary Affairs</w:t>
          </w:r>
          <w:r>
            <w:rPr>
              <w:rFonts w:eastAsia="Times New Roman"/>
            </w:rPr>
            <w:t xml:space="preserve">, </w:t>
          </w:r>
          <w:r>
            <w:rPr>
              <w:rFonts w:eastAsia="Times New Roman"/>
              <w:i/>
              <w:iCs/>
            </w:rPr>
            <w:t>77</w:t>
          </w:r>
          <w:r>
            <w:rPr>
              <w:rFonts w:eastAsia="Times New Roman"/>
            </w:rPr>
            <w:t>(2), 262–284. https://doi.org/10.1093/PA/GSAC025</w:t>
          </w:r>
        </w:p>
        <w:p w14:paraId="39648CF2" w14:textId="77777777" w:rsidR="00997DEC" w:rsidRDefault="00997DEC">
          <w:pPr>
            <w:autoSpaceDE w:val="0"/>
            <w:autoSpaceDN w:val="0"/>
            <w:ind w:hanging="480"/>
            <w:divId w:val="737895819"/>
            <w:rPr>
              <w:rFonts w:eastAsia="Times New Roman"/>
            </w:rPr>
          </w:pPr>
          <w:r>
            <w:rPr>
              <w:rFonts w:eastAsia="Times New Roman"/>
            </w:rPr>
            <w:t xml:space="preserve">Professor Michael West, &amp; Dane Denise Coia. (2019). </w:t>
          </w:r>
          <w:r>
            <w:rPr>
              <w:rFonts w:eastAsia="Times New Roman"/>
              <w:i/>
              <w:iCs/>
            </w:rPr>
            <w:t>Caring for doctors Caring for patients</w:t>
          </w:r>
          <w:r>
            <w:rPr>
              <w:rFonts w:eastAsia="Times New Roman"/>
            </w:rPr>
            <w:t>. https://www.gmc-uk.org/cdn/documents/caring-for-doctors-caring-for-patients_pdf-80706341.pdf</w:t>
          </w:r>
        </w:p>
        <w:p w14:paraId="617FF781" w14:textId="77777777" w:rsidR="00997DEC" w:rsidRDefault="00997DEC">
          <w:pPr>
            <w:autoSpaceDE w:val="0"/>
            <w:autoSpaceDN w:val="0"/>
            <w:ind w:hanging="480"/>
            <w:divId w:val="1569412246"/>
            <w:rPr>
              <w:rFonts w:eastAsia="Times New Roman"/>
            </w:rPr>
          </w:pPr>
          <w:r>
            <w:rPr>
              <w:rFonts w:eastAsia="Times New Roman"/>
            </w:rPr>
            <w:lastRenderedPageBreak/>
            <w:t xml:space="preserve">Will Fenton, Gary Polzin, Tanya Fozzard, Roy Price, Sarah Davison, Maion Holloway, </w:t>
          </w:r>
          <w:proofErr w:type="spellStart"/>
          <w:r>
            <w:rPr>
              <w:rFonts w:eastAsia="Times New Roman"/>
            </w:rPr>
            <w:t>Heken</w:t>
          </w:r>
          <w:proofErr w:type="spellEnd"/>
          <w:r>
            <w:rPr>
              <w:rFonts w:eastAsia="Times New Roman"/>
            </w:rPr>
            <w:t xml:space="preserve"> Liu, Anna </w:t>
          </w:r>
          <w:proofErr w:type="spellStart"/>
          <w:r>
            <w:rPr>
              <w:rFonts w:eastAsia="Times New Roman"/>
            </w:rPr>
            <w:t>O’gara</w:t>
          </w:r>
          <w:proofErr w:type="spellEnd"/>
          <w:r>
            <w:rPr>
              <w:rFonts w:eastAsia="Times New Roman"/>
            </w:rPr>
            <w:t xml:space="preserve">, &amp; Graham Geddes. (2024). </w:t>
          </w:r>
          <w:r>
            <w:rPr>
              <w:rFonts w:eastAsia="Times New Roman"/>
              <w:i/>
              <w:iCs/>
            </w:rPr>
            <w:t>The state of the adult social care sector and workforce in England 2024</w:t>
          </w:r>
          <w:r>
            <w:rPr>
              <w:rFonts w:eastAsia="Times New Roman"/>
            </w:rPr>
            <w:t>. www.skillsforcare.org.uk</w:t>
          </w:r>
        </w:p>
        <w:p w14:paraId="0546F6AB" w14:textId="77777777" w:rsidR="00997DEC" w:rsidRDefault="00997DEC">
          <w:pPr>
            <w:autoSpaceDE w:val="0"/>
            <w:autoSpaceDN w:val="0"/>
            <w:ind w:hanging="480"/>
            <w:divId w:val="2124956884"/>
            <w:rPr>
              <w:rFonts w:eastAsia="Times New Roman"/>
            </w:rPr>
          </w:pPr>
          <w:r>
            <w:rPr>
              <w:rFonts w:eastAsia="Times New Roman"/>
              <w:i/>
              <w:iCs/>
            </w:rPr>
            <w:t>Workforce burnout and resilience in the NHS and social care - Committees - UK Parliament</w:t>
          </w:r>
          <w:r>
            <w:rPr>
              <w:rFonts w:eastAsia="Times New Roman"/>
            </w:rPr>
            <w:t>. (n.d.). Retrieved November 26, 2025, from https://committees.parliament.uk/work/494/workforce-burnout-and-resilience-in-the-nhs-and-social-care/publications/</w:t>
          </w:r>
        </w:p>
        <w:p w14:paraId="7B154172" w14:textId="0E71B9B1" w:rsidR="00530E16" w:rsidRPr="007637E9" w:rsidRDefault="00997DEC">
          <w:pPr>
            <w:rPr>
              <w:rFonts w:ascii="Arial" w:eastAsia="Arial" w:hAnsi="Arial" w:cs="Arial"/>
              <w:color w:val="FF0000"/>
              <w:sz w:val="22"/>
              <w:szCs w:val="22"/>
            </w:rPr>
          </w:pPr>
          <w:r>
            <w:rPr>
              <w:rFonts w:eastAsia="Times New Roman"/>
            </w:rPr>
            <w:t> </w:t>
          </w:r>
        </w:p>
      </w:sdtContent>
    </w:sdt>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337EA" w14:textId="77777777" w:rsidR="00016AA9" w:rsidRDefault="00016AA9" w:rsidP="002A1842">
      <w:pPr>
        <w:spacing w:after="0" w:line="240" w:lineRule="auto"/>
      </w:pPr>
      <w:r>
        <w:separator/>
      </w:r>
    </w:p>
  </w:endnote>
  <w:endnote w:type="continuationSeparator" w:id="0">
    <w:p w14:paraId="23926666" w14:textId="77777777" w:rsidR="00016AA9" w:rsidRDefault="00016AA9"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BD06929"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55F292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3FB2F9D"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65E5CD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965F6" w14:textId="77777777" w:rsidR="00016AA9" w:rsidRDefault="00016AA9" w:rsidP="002A1842">
      <w:pPr>
        <w:spacing w:after="0" w:line="240" w:lineRule="auto"/>
      </w:pPr>
      <w:r>
        <w:separator/>
      </w:r>
    </w:p>
  </w:footnote>
  <w:footnote w:type="continuationSeparator" w:id="0">
    <w:p w14:paraId="1BD42C8E" w14:textId="77777777" w:rsidR="00016AA9" w:rsidRDefault="00016AA9"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2FFB6F86"/>
    <w:multiLevelType w:val="hybridMultilevel"/>
    <w:tmpl w:val="6EDA36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839273742">
    <w:abstractNumId w:val="6"/>
  </w:num>
  <w:num w:numId="2" w16cid:durableId="954213358">
    <w:abstractNumId w:val="4"/>
  </w:num>
  <w:num w:numId="3" w16cid:durableId="310791147">
    <w:abstractNumId w:val="2"/>
  </w:num>
  <w:num w:numId="4" w16cid:durableId="851064684">
    <w:abstractNumId w:val="1"/>
  </w:num>
  <w:num w:numId="5" w16cid:durableId="1873495957">
    <w:abstractNumId w:val="5"/>
  </w:num>
  <w:num w:numId="6" w16cid:durableId="920482422">
    <w:abstractNumId w:val="0"/>
  </w:num>
  <w:num w:numId="7" w16cid:durableId="887885899">
    <w:abstractNumId w:val="8"/>
  </w:num>
  <w:num w:numId="8" w16cid:durableId="871726421">
    <w:abstractNumId w:val="7"/>
  </w:num>
  <w:num w:numId="9" w16cid:durableId="11382582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6AA9"/>
    <w:rsid w:val="000445CB"/>
    <w:rsid w:val="000863ED"/>
    <w:rsid w:val="000C790C"/>
    <w:rsid w:val="000D4573"/>
    <w:rsid w:val="001620F3"/>
    <w:rsid w:val="00172AD1"/>
    <w:rsid w:val="001813E7"/>
    <w:rsid w:val="001B4B64"/>
    <w:rsid w:val="001C38EC"/>
    <w:rsid w:val="001E24BC"/>
    <w:rsid w:val="001F3601"/>
    <w:rsid w:val="002038DA"/>
    <w:rsid w:val="002053A6"/>
    <w:rsid w:val="00216C85"/>
    <w:rsid w:val="00236C3E"/>
    <w:rsid w:val="002A1842"/>
    <w:rsid w:val="002B6DD8"/>
    <w:rsid w:val="002B78DA"/>
    <w:rsid w:val="002F0983"/>
    <w:rsid w:val="003C222F"/>
    <w:rsid w:val="004468F8"/>
    <w:rsid w:val="00470AB6"/>
    <w:rsid w:val="004B48C8"/>
    <w:rsid w:val="00530E16"/>
    <w:rsid w:val="0059225A"/>
    <w:rsid w:val="0063106C"/>
    <w:rsid w:val="00677E11"/>
    <w:rsid w:val="0071640C"/>
    <w:rsid w:val="00722EFE"/>
    <w:rsid w:val="007515BC"/>
    <w:rsid w:val="007637E9"/>
    <w:rsid w:val="00763E22"/>
    <w:rsid w:val="007974C4"/>
    <w:rsid w:val="007B454F"/>
    <w:rsid w:val="008E7834"/>
    <w:rsid w:val="00987297"/>
    <w:rsid w:val="00997DEC"/>
    <w:rsid w:val="009F60D1"/>
    <w:rsid w:val="00A75B15"/>
    <w:rsid w:val="00AE06EA"/>
    <w:rsid w:val="00B3387A"/>
    <w:rsid w:val="00B44534"/>
    <w:rsid w:val="00B65ED6"/>
    <w:rsid w:val="00BA0043"/>
    <w:rsid w:val="00C07E0F"/>
    <w:rsid w:val="00C37A3D"/>
    <w:rsid w:val="00C45655"/>
    <w:rsid w:val="00C77745"/>
    <w:rsid w:val="00CB68E3"/>
    <w:rsid w:val="00CF650B"/>
    <w:rsid w:val="00D10525"/>
    <w:rsid w:val="00D62A9C"/>
    <w:rsid w:val="00DB181C"/>
    <w:rsid w:val="00ED07C3"/>
    <w:rsid w:val="00EE0D51"/>
    <w:rsid w:val="00F618F2"/>
    <w:rsid w:val="00FA5AB0"/>
    <w:rsid w:val="00FB3B1E"/>
    <w:rsid w:val="00FC5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E15F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PlaceholderText">
    <w:name w:val="Placeholder Text"/>
    <w:basedOn w:val="DefaultParagraphFont"/>
    <w:uiPriority w:val="99"/>
    <w:semiHidden/>
    <w:rsid w:val="00FC517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1350">
      <w:marLeft w:val="480"/>
      <w:marRight w:val="0"/>
      <w:marTop w:val="0"/>
      <w:marBottom w:val="0"/>
      <w:divBdr>
        <w:top w:val="none" w:sz="0" w:space="0" w:color="auto"/>
        <w:left w:val="none" w:sz="0" w:space="0" w:color="auto"/>
        <w:bottom w:val="none" w:sz="0" w:space="0" w:color="auto"/>
        <w:right w:val="none" w:sz="0" w:space="0" w:color="auto"/>
      </w:divBdr>
    </w:div>
    <w:div w:id="62723357">
      <w:marLeft w:val="480"/>
      <w:marRight w:val="0"/>
      <w:marTop w:val="0"/>
      <w:marBottom w:val="0"/>
      <w:divBdr>
        <w:top w:val="none" w:sz="0" w:space="0" w:color="auto"/>
        <w:left w:val="none" w:sz="0" w:space="0" w:color="auto"/>
        <w:bottom w:val="none" w:sz="0" w:space="0" w:color="auto"/>
        <w:right w:val="none" w:sz="0" w:space="0" w:color="auto"/>
      </w:divBdr>
    </w:div>
    <w:div w:id="352607928">
      <w:marLeft w:val="480"/>
      <w:marRight w:val="0"/>
      <w:marTop w:val="0"/>
      <w:marBottom w:val="0"/>
      <w:divBdr>
        <w:top w:val="none" w:sz="0" w:space="0" w:color="auto"/>
        <w:left w:val="none" w:sz="0" w:space="0" w:color="auto"/>
        <w:bottom w:val="none" w:sz="0" w:space="0" w:color="auto"/>
        <w:right w:val="none" w:sz="0" w:space="0" w:color="auto"/>
      </w:divBdr>
    </w:div>
    <w:div w:id="373703262">
      <w:marLeft w:val="480"/>
      <w:marRight w:val="0"/>
      <w:marTop w:val="0"/>
      <w:marBottom w:val="0"/>
      <w:divBdr>
        <w:top w:val="none" w:sz="0" w:space="0" w:color="auto"/>
        <w:left w:val="none" w:sz="0" w:space="0" w:color="auto"/>
        <w:bottom w:val="none" w:sz="0" w:space="0" w:color="auto"/>
        <w:right w:val="none" w:sz="0" w:space="0" w:color="auto"/>
      </w:divBdr>
    </w:div>
    <w:div w:id="417946540">
      <w:marLeft w:val="480"/>
      <w:marRight w:val="0"/>
      <w:marTop w:val="0"/>
      <w:marBottom w:val="0"/>
      <w:divBdr>
        <w:top w:val="none" w:sz="0" w:space="0" w:color="auto"/>
        <w:left w:val="none" w:sz="0" w:space="0" w:color="auto"/>
        <w:bottom w:val="none" w:sz="0" w:space="0" w:color="auto"/>
        <w:right w:val="none" w:sz="0" w:space="0" w:color="auto"/>
      </w:divBdr>
    </w:div>
    <w:div w:id="473186283">
      <w:marLeft w:val="480"/>
      <w:marRight w:val="0"/>
      <w:marTop w:val="0"/>
      <w:marBottom w:val="0"/>
      <w:divBdr>
        <w:top w:val="none" w:sz="0" w:space="0" w:color="auto"/>
        <w:left w:val="none" w:sz="0" w:space="0" w:color="auto"/>
        <w:bottom w:val="none" w:sz="0" w:space="0" w:color="auto"/>
        <w:right w:val="none" w:sz="0" w:space="0" w:color="auto"/>
      </w:divBdr>
    </w:div>
    <w:div w:id="607393329">
      <w:marLeft w:val="480"/>
      <w:marRight w:val="0"/>
      <w:marTop w:val="0"/>
      <w:marBottom w:val="0"/>
      <w:divBdr>
        <w:top w:val="none" w:sz="0" w:space="0" w:color="auto"/>
        <w:left w:val="none" w:sz="0" w:space="0" w:color="auto"/>
        <w:bottom w:val="none" w:sz="0" w:space="0" w:color="auto"/>
        <w:right w:val="none" w:sz="0" w:space="0" w:color="auto"/>
      </w:divBdr>
    </w:div>
    <w:div w:id="640889580">
      <w:marLeft w:val="480"/>
      <w:marRight w:val="0"/>
      <w:marTop w:val="0"/>
      <w:marBottom w:val="0"/>
      <w:divBdr>
        <w:top w:val="none" w:sz="0" w:space="0" w:color="auto"/>
        <w:left w:val="none" w:sz="0" w:space="0" w:color="auto"/>
        <w:bottom w:val="none" w:sz="0" w:space="0" w:color="auto"/>
        <w:right w:val="none" w:sz="0" w:space="0" w:color="auto"/>
      </w:divBdr>
    </w:div>
    <w:div w:id="708148748">
      <w:marLeft w:val="480"/>
      <w:marRight w:val="0"/>
      <w:marTop w:val="0"/>
      <w:marBottom w:val="0"/>
      <w:divBdr>
        <w:top w:val="none" w:sz="0" w:space="0" w:color="auto"/>
        <w:left w:val="none" w:sz="0" w:space="0" w:color="auto"/>
        <w:bottom w:val="none" w:sz="0" w:space="0" w:color="auto"/>
        <w:right w:val="none" w:sz="0" w:space="0" w:color="auto"/>
      </w:divBdr>
    </w:div>
    <w:div w:id="737895819">
      <w:marLeft w:val="480"/>
      <w:marRight w:val="0"/>
      <w:marTop w:val="0"/>
      <w:marBottom w:val="0"/>
      <w:divBdr>
        <w:top w:val="none" w:sz="0" w:space="0" w:color="auto"/>
        <w:left w:val="none" w:sz="0" w:space="0" w:color="auto"/>
        <w:bottom w:val="none" w:sz="0" w:space="0" w:color="auto"/>
        <w:right w:val="none" w:sz="0" w:space="0" w:color="auto"/>
      </w:divBdr>
    </w:div>
    <w:div w:id="816529089">
      <w:marLeft w:val="480"/>
      <w:marRight w:val="0"/>
      <w:marTop w:val="0"/>
      <w:marBottom w:val="0"/>
      <w:divBdr>
        <w:top w:val="none" w:sz="0" w:space="0" w:color="auto"/>
        <w:left w:val="none" w:sz="0" w:space="0" w:color="auto"/>
        <w:bottom w:val="none" w:sz="0" w:space="0" w:color="auto"/>
        <w:right w:val="none" w:sz="0" w:space="0" w:color="auto"/>
      </w:divBdr>
    </w:div>
    <w:div w:id="848447088">
      <w:marLeft w:val="480"/>
      <w:marRight w:val="0"/>
      <w:marTop w:val="0"/>
      <w:marBottom w:val="0"/>
      <w:divBdr>
        <w:top w:val="none" w:sz="0" w:space="0" w:color="auto"/>
        <w:left w:val="none" w:sz="0" w:space="0" w:color="auto"/>
        <w:bottom w:val="none" w:sz="0" w:space="0" w:color="auto"/>
        <w:right w:val="none" w:sz="0" w:space="0" w:color="auto"/>
      </w:divBdr>
    </w:div>
    <w:div w:id="915436274">
      <w:marLeft w:val="480"/>
      <w:marRight w:val="0"/>
      <w:marTop w:val="0"/>
      <w:marBottom w:val="0"/>
      <w:divBdr>
        <w:top w:val="none" w:sz="0" w:space="0" w:color="auto"/>
        <w:left w:val="none" w:sz="0" w:space="0" w:color="auto"/>
        <w:bottom w:val="none" w:sz="0" w:space="0" w:color="auto"/>
        <w:right w:val="none" w:sz="0" w:space="0" w:color="auto"/>
      </w:divBdr>
    </w:div>
    <w:div w:id="1166360808">
      <w:marLeft w:val="480"/>
      <w:marRight w:val="0"/>
      <w:marTop w:val="0"/>
      <w:marBottom w:val="0"/>
      <w:divBdr>
        <w:top w:val="none" w:sz="0" w:space="0" w:color="auto"/>
        <w:left w:val="none" w:sz="0" w:space="0" w:color="auto"/>
        <w:bottom w:val="none" w:sz="0" w:space="0" w:color="auto"/>
        <w:right w:val="none" w:sz="0" w:space="0" w:color="auto"/>
      </w:divBdr>
    </w:div>
    <w:div w:id="1172261438">
      <w:marLeft w:val="480"/>
      <w:marRight w:val="0"/>
      <w:marTop w:val="0"/>
      <w:marBottom w:val="0"/>
      <w:divBdr>
        <w:top w:val="none" w:sz="0" w:space="0" w:color="auto"/>
        <w:left w:val="none" w:sz="0" w:space="0" w:color="auto"/>
        <w:bottom w:val="none" w:sz="0" w:space="0" w:color="auto"/>
        <w:right w:val="none" w:sz="0" w:space="0" w:color="auto"/>
      </w:divBdr>
    </w:div>
    <w:div w:id="1190029342">
      <w:marLeft w:val="480"/>
      <w:marRight w:val="0"/>
      <w:marTop w:val="0"/>
      <w:marBottom w:val="0"/>
      <w:divBdr>
        <w:top w:val="none" w:sz="0" w:space="0" w:color="auto"/>
        <w:left w:val="none" w:sz="0" w:space="0" w:color="auto"/>
        <w:bottom w:val="none" w:sz="0" w:space="0" w:color="auto"/>
        <w:right w:val="none" w:sz="0" w:space="0" w:color="auto"/>
      </w:divBdr>
    </w:div>
    <w:div w:id="1255169689">
      <w:marLeft w:val="480"/>
      <w:marRight w:val="0"/>
      <w:marTop w:val="0"/>
      <w:marBottom w:val="0"/>
      <w:divBdr>
        <w:top w:val="none" w:sz="0" w:space="0" w:color="auto"/>
        <w:left w:val="none" w:sz="0" w:space="0" w:color="auto"/>
        <w:bottom w:val="none" w:sz="0" w:space="0" w:color="auto"/>
        <w:right w:val="none" w:sz="0" w:space="0" w:color="auto"/>
      </w:divBdr>
    </w:div>
    <w:div w:id="1315062893">
      <w:marLeft w:val="480"/>
      <w:marRight w:val="0"/>
      <w:marTop w:val="0"/>
      <w:marBottom w:val="0"/>
      <w:divBdr>
        <w:top w:val="none" w:sz="0" w:space="0" w:color="auto"/>
        <w:left w:val="none" w:sz="0" w:space="0" w:color="auto"/>
        <w:bottom w:val="none" w:sz="0" w:space="0" w:color="auto"/>
        <w:right w:val="none" w:sz="0" w:space="0" w:color="auto"/>
      </w:divBdr>
    </w:div>
    <w:div w:id="1433235930">
      <w:marLeft w:val="480"/>
      <w:marRight w:val="0"/>
      <w:marTop w:val="0"/>
      <w:marBottom w:val="0"/>
      <w:divBdr>
        <w:top w:val="none" w:sz="0" w:space="0" w:color="auto"/>
        <w:left w:val="none" w:sz="0" w:space="0" w:color="auto"/>
        <w:bottom w:val="none" w:sz="0" w:space="0" w:color="auto"/>
        <w:right w:val="none" w:sz="0" w:space="0" w:color="auto"/>
      </w:divBdr>
    </w:div>
    <w:div w:id="1452899686">
      <w:marLeft w:val="480"/>
      <w:marRight w:val="0"/>
      <w:marTop w:val="0"/>
      <w:marBottom w:val="0"/>
      <w:divBdr>
        <w:top w:val="none" w:sz="0" w:space="0" w:color="auto"/>
        <w:left w:val="none" w:sz="0" w:space="0" w:color="auto"/>
        <w:bottom w:val="none" w:sz="0" w:space="0" w:color="auto"/>
        <w:right w:val="none" w:sz="0" w:space="0" w:color="auto"/>
      </w:divBdr>
    </w:div>
    <w:div w:id="1526941306">
      <w:marLeft w:val="480"/>
      <w:marRight w:val="0"/>
      <w:marTop w:val="0"/>
      <w:marBottom w:val="0"/>
      <w:divBdr>
        <w:top w:val="none" w:sz="0" w:space="0" w:color="auto"/>
        <w:left w:val="none" w:sz="0" w:space="0" w:color="auto"/>
        <w:bottom w:val="none" w:sz="0" w:space="0" w:color="auto"/>
        <w:right w:val="none" w:sz="0" w:space="0" w:color="auto"/>
      </w:divBdr>
    </w:div>
    <w:div w:id="1569412246">
      <w:marLeft w:val="480"/>
      <w:marRight w:val="0"/>
      <w:marTop w:val="0"/>
      <w:marBottom w:val="0"/>
      <w:divBdr>
        <w:top w:val="none" w:sz="0" w:space="0" w:color="auto"/>
        <w:left w:val="none" w:sz="0" w:space="0" w:color="auto"/>
        <w:bottom w:val="none" w:sz="0" w:space="0" w:color="auto"/>
        <w:right w:val="none" w:sz="0" w:space="0" w:color="auto"/>
      </w:divBdr>
    </w:div>
    <w:div w:id="1580482975">
      <w:marLeft w:val="480"/>
      <w:marRight w:val="0"/>
      <w:marTop w:val="0"/>
      <w:marBottom w:val="0"/>
      <w:divBdr>
        <w:top w:val="none" w:sz="0" w:space="0" w:color="auto"/>
        <w:left w:val="none" w:sz="0" w:space="0" w:color="auto"/>
        <w:bottom w:val="none" w:sz="0" w:space="0" w:color="auto"/>
        <w:right w:val="none" w:sz="0" w:space="0" w:color="auto"/>
      </w:divBdr>
    </w:div>
    <w:div w:id="1630282378">
      <w:marLeft w:val="480"/>
      <w:marRight w:val="0"/>
      <w:marTop w:val="0"/>
      <w:marBottom w:val="0"/>
      <w:divBdr>
        <w:top w:val="none" w:sz="0" w:space="0" w:color="auto"/>
        <w:left w:val="none" w:sz="0" w:space="0" w:color="auto"/>
        <w:bottom w:val="none" w:sz="0" w:space="0" w:color="auto"/>
        <w:right w:val="none" w:sz="0" w:space="0" w:color="auto"/>
      </w:divBdr>
    </w:div>
    <w:div w:id="1705016139">
      <w:marLeft w:val="480"/>
      <w:marRight w:val="0"/>
      <w:marTop w:val="0"/>
      <w:marBottom w:val="0"/>
      <w:divBdr>
        <w:top w:val="none" w:sz="0" w:space="0" w:color="auto"/>
        <w:left w:val="none" w:sz="0" w:space="0" w:color="auto"/>
        <w:bottom w:val="none" w:sz="0" w:space="0" w:color="auto"/>
        <w:right w:val="none" w:sz="0" w:space="0" w:color="auto"/>
      </w:divBdr>
    </w:div>
    <w:div w:id="1740596514">
      <w:marLeft w:val="480"/>
      <w:marRight w:val="0"/>
      <w:marTop w:val="0"/>
      <w:marBottom w:val="0"/>
      <w:divBdr>
        <w:top w:val="none" w:sz="0" w:space="0" w:color="auto"/>
        <w:left w:val="none" w:sz="0" w:space="0" w:color="auto"/>
        <w:bottom w:val="none" w:sz="0" w:space="0" w:color="auto"/>
        <w:right w:val="none" w:sz="0" w:space="0" w:color="auto"/>
      </w:divBdr>
    </w:div>
    <w:div w:id="1759129971">
      <w:marLeft w:val="480"/>
      <w:marRight w:val="0"/>
      <w:marTop w:val="0"/>
      <w:marBottom w:val="0"/>
      <w:divBdr>
        <w:top w:val="none" w:sz="0" w:space="0" w:color="auto"/>
        <w:left w:val="none" w:sz="0" w:space="0" w:color="auto"/>
        <w:bottom w:val="none" w:sz="0" w:space="0" w:color="auto"/>
        <w:right w:val="none" w:sz="0" w:space="0" w:color="auto"/>
      </w:divBdr>
    </w:div>
    <w:div w:id="1762213465">
      <w:marLeft w:val="480"/>
      <w:marRight w:val="0"/>
      <w:marTop w:val="0"/>
      <w:marBottom w:val="0"/>
      <w:divBdr>
        <w:top w:val="none" w:sz="0" w:space="0" w:color="auto"/>
        <w:left w:val="none" w:sz="0" w:space="0" w:color="auto"/>
        <w:bottom w:val="none" w:sz="0" w:space="0" w:color="auto"/>
        <w:right w:val="none" w:sz="0" w:space="0" w:color="auto"/>
      </w:divBdr>
    </w:div>
    <w:div w:id="1804081560">
      <w:marLeft w:val="480"/>
      <w:marRight w:val="0"/>
      <w:marTop w:val="0"/>
      <w:marBottom w:val="0"/>
      <w:divBdr>
        <w:top w:val="none" w:sz="0" w:space="0" w:color="auto"/>
        <w:left w:val="none" w:sz="0" w:space="0" w:color="auto"/>
        <w:bottom w:val="none" w:sz="0" w:space="0" w:color="auto"/>
        <w:right w:val="none" w:sz="0" w:space="0" w:color="auto"/>
      </w:divBdr>
    </w:div>
    <w:div w:id="1994482371">
      <w:marLeft w:val="480"/>
      <w:marRight w:val="0"/>
      <w:marTop w:val="0"/>
      <w:marBottom w:val="0"/>
      <w:divBdr>
        <w:top w:val="none" w:sz="0" w:space="0" w:color="auto"/>
        <w:left w:val="none" w:sz="0" w:space="0" w:color="auto"/>
        <w:bottom w:val="none" w:sz="0" w:space="0" w:color="auto"/>
        <w:right w:val="none" w:sz="0" w:space="0" w:color="auto"/>
      </w:divBdr>
    </w:div>
    <w:div w:id="2008247661">
      <w:marLeft w:val="480"/>
      <w:marRight w:val="0"/>
      <w:marTop w:val="0"/>
      <w:marBottom w:val="0"/>
      <w:divBdr>
        <w:top w:val="none" w:sz="0" w:space="0" w:color="auto"/>
        <w:left w:val="none" w:sz="0" w:space="0" w:color="auto"/>
        <w:bottom w:val="none" w:sz="0" w:space="0" w:color="auto"/>
        <w:right w:val="none" w:sz="0" w:space="0" w:color="auto"/>
      </w:divBdr>
    </w:div>
    <w:div w:id="2034842527">
      <w:marLeft w:val="480"/>
      <w:marRight w:val="0"/>
      <w:marTop w:val="0"/>
      <w:marBottom w:val="0"/>
      <w:divBdr>
        <w:top w:val="none" w:sz="0" w:space="0" w:color="auto"/>
        <w:left w:val="none" w:sz="0" w:space="0" w:color="auto"/>
        <w:bottom w:val="none" w:sz="0" w:space="0" w:color="auto"/>
        <w:right w:val="none" w:sz="0" w:space="0" w:color="auto"/>
      </w:divBdr>
    </w:div>
    <w:div w:id="2038966755">
      <w:marLeft w:val="480"/>
      <w:marRight w:val="0"/>
      <w:marTop w:val="0"/>
      <w:marBottom w:val="0"/>
      <w:divBdr>
        <w:top w:val="none" w:sz="0" w:space="0" w:color="auto"/>
        <w:left w:val="none" w:sz="0" w:space="0" w:color="auto"/>
        <w:bottom w:val="none" w:sz="0" w:space="0" w:color="auto"/>
        <w:right w:val="none" w:sz="0" w:space="0" w:color="auto"/>
      </w:divBdr>
    </w:div>
    <w:div w:id="2044868190">
      <w:marLeft w:val="480"/>
      <w:marRight w:val="0"/>
      <w:marTop w:val="0"/>
      <w:marBottom w:val="0"/>
      <w:divBdr>
        <w:top w:val="none" w:sz="0" w:space="0" w:color="auto"/>
        <w:left w:val="none" w:sz="0" w:space="0" w:color="auto"/>
        <w:bottom w:val="none" w:sz="0" w:space="0" w:color="auto"/>
        <w:right w:val="none" w:sz="0" w:space="0" w:color="auto"/>
      </w:divBdr>
    </w:div>
    <w:div w:id="2061663184">
      <w:marLeft w:val="480"/>
      <w:marRight w:val="0"/>
      <w:marTop w:val="0"/>
      <w:marBottom w:val="0"/>
      <w:divBdr>
        <w:top w:val="none" w:sz="0" w:space="0" w:color="auto"/>
        <w:left w:val="none" w:sz="0" w:space="0" w:color="auto"/>
        <w:bottom w:val="none" w:sz="0" w:space="0" w:color="auto"/>
        <w:right w:val="none" w:sz="0" w:space="0" w:color="auto"/>
      </w:divBdr>
    </w:div>
    <w:div w:id="2124956884">
      <w:marLeft w:val="48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7D64C6B-A582-4F41-B688-5506FA8ACAF1}"/>
      </w:docPartPr>
      <w:docPartBody>
        <w:p w:rsidR="00D05D88" w:rsidRDefault="00B87812">
          <w:r w:rsidRPr="00F010D7">
            <w:rPr>
              <w:rStyle w:val="PlaceholderText"/>
            </w:rPr>
            <w:t>Click or tap here to enter text.</w:t>
          </w:r>
        </w:p>
      </w:docPartBody>
    </w:docPart>
    <w:docPart>
      <w:docPartPr>
        <w:name w:val="1E12378773C26F4EA23ECBB94EDAECF5"/>
        <w:category>
          <w:name w:val="General"/>
          <w:gallery w:val="placeholder"/>
        </w:category>
        <w:types>
          <w:type w:val="bbPlcHdr"/>
        </w:types>
        <w:behaviors>
          <w:behavior w:val="content"/>
        </w:behaviors>
        <w:guid w:val="{DA9003A3-FD61-264D-BFFF-A19558B055CB}"/>
      </w:docPartPr>
      <w:docPartBody>
        <w:p w:rsidR="00000000" w:rsidRDefault="00487566" w:rsidP="00487566">
          <w:pPr>
            <w:pStyle w:val="1E12378773C26F4EA23ECBB94EDAECF5"/>
          </w:pPr>
          <w:r w:rsidRPr="00F010D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812"/>
    <w:rsid w:val="001E24BC"/>
    <w:rsid w:val="002038DA"/>
    <w:rsid w:val="00487566"/>
    <w:rsid w:val="004A4E31"/>
    <w:rsid w:val="00556CD7"/>
    <w:rsid w:val="00763E22"/>
    <w:rsid w:val="00B87812"/>
    <w:rsid w:val="00D05D88"/>
    <w:rsid w:val="00F06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7566"/>
    <w:rPr>
      <w:color w:val="666666"/>
    </w:rPr>
  </w:style>
  <w:style w:type="paragraph" w:customStyle="1" w:styleId="1E12378773C26F4EA23ECBB94EDAECF5">
    <w:name w:val="1E12378773C26F4EA23ECBB94EDAECF5"/>
    <w:rsid w:val="004875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B92859-C817-410A-BDB4-5B3787EAC96F}">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64345749838"/>
    <we:property name="MENDELEY_CITATIONS" value="[{&quot;citationID&quot;:&quot;MENDELEY_CITATION_7d46a63a-5fb9-4448-9ffc-ce29908949c5&quot;,&quot;properties&quot;:{&quot;noteIndex&quot;:0},&quot;isEdited&quot;:false,&quot;manualOverride&quot;:{&quot;isManuallyOverridden&quot;:false,&quot;citeprocText&quot;:&quot;(Iacobucci, 2023)&quot;,&quot;manualOverrideText&quot;:&quot;&quot;},&quot;citationTag&quot;:&quot;MENDELEY_CITATION_v3_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&quot;,&quot;citationItems&quot;:[{&quot;id&quot;:&quot;ed7dc950-860c-3c91-8cfb-0ecd0b33d123&quot;,&quot;itemData&quot;:{&quot;type&quot;:&quot;article-journal&quot;,&quot;id&quot;:&quot;ed7dc950-860c-3c91-8cfb-0ecd0b33d123&quot;,&quot;title&quot;:&quot;Burnout: NHS staff haven’t recovered from pandemic’s effects, says leading doctor&quot;,&quot;author&quot;:[{&quot;family&quot;:&quot;Iacobucci&quot;,&quot;given&quot;:&quot;Gareth&quot;,&quot;parse-names&quot;:false,&quot;dropping-particle&quot;:&quot;&quot;,&quot;non-dropping-particle&quot;:&quot;&quot;}],&quot;container-title&quot;:&quot;BMJ&quot;,&quot;accessed&quot;:{&quot;date-parts&quot;:[[2025,11,26]]},&quot;issued&quot;:{&quot;date-parts&quot;:[[2023]]},&quot;volume&quot;:&quot;380&quot;,&quot;container-title-short&quot;:&quot;&quot;},&quot;isTemporary&quot;:false}]},{&quot;citationID&quot;:&quot;MENDELEY_CITATION_37799739-0ab2-4939-8137-639676e91118&quot;,&quot;properties&quot;:{&quot;noteIndex&quot;:0},&quot;isEdited&quot;:false,&quot;manualOverride&quot;:{&quot;isManuallyOverridden&quot;:false,&quot;citeprocText&quot;:&quot;(&lt;i&gt;NHS Workforce Nutshell | The King’s Fund&lt;/i&gt;, n.d.)&quot;,&quot;manualOverrideText&quot;:&quot;&quot;},&quot;citationTag&quot;:&quot;MENDELEY_CITATION_v3_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&quot;,&quot;citationItems&quot;:[{&quot;id&quot;:&quot;06c31e66-b6fd-39dc-9c6a-437849566233&quot;,&quot;itemData&quot;:{&quot;type&quot;:&quot;webpage&quot;,&quot;id&quot;:&quot;06c31e66-b6fd-39dc-9c6a-437849566233&quot;,&quot;title&quot;:&quot;NHS Workforce Nutshell | The King's Fund&quot;,&quot;accessed&quot;:{&quot;date-parts&quot;:[[2025,11,26]]},&quot;URL&quot;:&quot;https://www.kingsfund.org.uk/insight-and-analysis/data-and-charts/nhs-workforce-nutshell&quot;,&quot;container-title-short&quot;:&quot;&quot;},&quot;isTemporary&quot;:false}]},{&quot;citationID&quot;:&quot;MENDELEY_CITATION_cd1617e9-c4f8-4818-ade5-68a1c7133557&quot;,&quot;properties&quot;:{&quot;noteIndex&quot;:0},&quot;isEdited&quot;:false,&quot;manualOverride&quot;:{&quot;isManuallyOverridden&quot;:false,&quot;citeprocText&quot;:&quot;(Maben &amp;#38; Bridges, 2020)&quot;,&quot;manualOverrideText&quot;:&quot;&quot;},&quot;citationTag&quot;:&quot;MENDELEY_CITATION_v3_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&quot;,&quot;citationItems&quot;:[{&quot;id&quot;:&quot;d82f41ca-f639-3899-bbe6-9fbd97371472&quot;,&quot;itemData&quot;:{&quot;type&quot;:&quot;article-journal&quot;,&quot;id&quot;:&quot;d82f41ca-f639-3899-bbe6-9fbd97371472&quot;,&quot;title&quot;:&quot;Covid‐19: Supporting nurses' psychological and mental health&quot;,&quot;author&quot;:[{&quot;family&quot;:&quot;Maben&quot;,&quot;given&quot;:&quot;Jill&quot;,&quot;parse-names&quot;:false,&quot;dropping-particle&quot;:&quot;&quot;,&quot;non-dropping-particle&quot;:&quot;&quot;},{&quot;family&quot;:&quot;Bridges&quot;,&quot;given&quot;:&quot;Jackie&quot;,&quot;parse-names&quot;:false,&quot;dropping-particle&quot;:&quot;&quot;,&quot;non-dropping-particle&quot;:&quot;&quot;}],&quot;container-title&quot;:&quot;Journal of Clinical Nursing&quot;,&quot;container-title-short&quot;:&quot;J Clin Nurs&quot;,&quot;accessed&quot;:{&quot;date-parts&quot;:[[2025,11,26]]},&quot;DOI&quot;:&quot;10.1111/JOCN.15307&quot;,&quot;ISSN&quot;:&quot;13652702&quot;,&quot;PMID&quot;:&quot;32320509&quot;,&quot;URL&quot;:&quot;https://pmc.ncbi.nlm.nih.gov/articles/PMC7264545/&quot;,&quot;issued&quot;:{&quot;date-parts&quot;:[[2020,8,1]]},&quot;page&quot;:&quot;2742&quot;,&quot;publisher&quot;:&quot;Blackwell Publishing Ltd&quot;,&quot;issue&quot;:&quot;15-16&quot;,&quot;volume&quot;:&quot;29&quot;},&quot;isTemporary&quot;:false}]},{&quot;citationID&quot;:&quot;MENDELEY_CITATION_7b95dffc-73fa-4d54-9813-aae9fa14ffb1&quot;,&quot;properties&quot;:{&quot;noteIndex&quot;:0},&quot;isEdited&quot;:false,&quot;manualOverride&quot;:{&quot;isManuallyOverridden&quot;:false,&quot;citeprocText&quot;:&quot;(&lt;i&gt;Workforce Burnout and Resilience in the NHS and Social Care - Committees - UK Parliament&lt;/i&gt;, n.d.)&quot;,&quot;manualOverrideText&quot;:&quot;&quot;},&quot;citationTag&quot;:&quot;MENDELEY_CITATION_v3_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&quot;,&quot;citationItems&quot;:[{&quot;id&quot;:&quot;eeaa8c18-a7d6-3072-abbd-b07569e228b0&quot;,&quot;itemData&quot;:{&quot;type&quot;:&quot;webpage&quot;,&quot;id&quot;:&quot;eeaa8c18-a7d6-3072-abbd-b07569e228b0&quot;,&quot;title&quot;:&quot;Workforce burnout and resilience in the NHS and social care - Committees - UK Parliament&quot;,&quot;accessed&quot;:{&quot;date-parts&quot;:[[2025,11,26]]},&quot;URL&quot;:&quot;https://committees.parliament.uk/work/494/workforce-burnout-and-resilience-in-the-nhs-and-social-care/publications/&quot;,&quot;container-title-short&quot;:&quot;&quot;},&quot;isTemporary&quot;:false,&quot;suppress-author&quot;:false,&quot;composite&quot;:false,&quot;author-only&quot;:false}]},{&quot;citationID&quot;:&quot;MENDELEY_CITATION_8e929bfb-de5c-4943-b16d-e490625256cb&quot;,&quot;properties&quot;:{&quot;noteIndex&quot;:0},&quot;isEdited&quot;:false,&quot;manualOverride&quot;:{&quot;isManuallyOverridden&quot;:false,&quot;citeprocText&quot;:&quot;(Iacobucci, 2023)&quot;,&quot;manualOverrideText&quot;:&quot;&quot;},&quot;citationTag&quot;:&quot;MENDELEY_CITATION_v3_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&quot;,&quot;citationItems&quot;:[{&quot;id&quot;:&quot;ed7dc950-860c-3c91-8cfb-0ecd0b33d123&quot;,&quot;itemData&quot;:{&quot;type&quot;:&quot;article-journal&quot;,&quot;id&quot;:&quot;ed7dc950-860c-3c91-8cfb-0ecd0b33d123&quot;,&quot;title&quot;:&quot;Burnout: NHS staff haven’t recovered from pandemic’s effects, says leading doctor&quot;,&quot;author&quot;:[{&quot;family&quot;:&quot;Iacobucci&quot;,&quot;given&quot;:&quot;Gareth&quot;,&quot;parse-names&quot;:false,&quot;dropping-particle&quot;:&quot;&quot;,&quot;non-dropping-particle&quot;:&quot;&quot;}],&quot;container-title&quot;:&quot;BMJ&quot;,&quot;accessed&quot;:{&quot;date-parts&quot;:[[2025,11,26]]},&quot;issued&quot;:{&quot;date-parts&quot;:[[2023]]},&quot;volume&quot;:&quot;380&quot;,&quot;container-title-short&quot;:&quot;&quot;},&quot;isTemporary&quot;:false}]},{&quot;citationID&quot;:&quot;MENDELEY_CITATION_3df77508-a953-4b0f-a902-22db7e15f0b8&quot;,&quot;properties&quot;:{&quot;noteIndex&quot;:0},&quot;isEdited&quot;:false,&quot;manualOverride&quot;:{&quot;isManuallyOverridden&quot;:false,&quot;citeprocText&quot;:&quot;(Professor Michael West &amp;#38; Dane Denise Coia, 2019)&quot;,&quot;manualOverrideText&quot;:&quot;&quot;},&quot;citationTag&quot;:&quot;MENDELEY_CITATION_v3_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&quot;,&quot;citationItems&quot;:[{&quot;id&quot;:&quot;6203380f-dcd2-3bec-986e-4d1111396f5a&quot;,&quot;itemData&quot;:{&quot;type&quot;:&quot;article-journal&quot;,&quot;id&quot;:&quot;6203380f-dcd2-3bec-986e-4d1111396f5a&quot;,&quot;title&quot;:&quot;Caring for doctors Caring for patients&quot;,&quot;author&quot;:[{&quot;family&quot;:&quot;Professor Michael West&quot;,&quot;given&quot;:&quot;&quot;,&quot;parse-names&quot;:false,&quot;dropping-particle&quot;:&quot;&quot;,&quot;non-dropping-particle&quot;:&quot;&quot;},{&quot;family&quot;:&quot;Dane Denise Coia&quot;,&quot;given&quot;:&quot;&quot;,&quot;parse-names&quot;:false,&quot;dropping-particle&quot;:&quot;&quot;,&quot;non-dropping-particle&quot;:&quot;&quot;}],&quot;accessed&quot;:{&quot;date-parts&quot;:[[2025,11,26]]},&quot;URL&quot;:&quot;https://www.gmc-uk.org/cdn/documents/caring-for-doctors-caring-for-patients_pdf-80706341.pdf&quot;,&quot;issued&quot;:{&quot;date-parts&quot;:[[2019]]},&quot;container-title-short&quot;:&quot;&quot;},&quot;isTemporary&quot;:false}]},{&quot;citationID&quot;:&quot;MENDELEY_CITATION_dcbef0ad-fc10-4fea-8101-f444f315e68b&quot;,&quot;properties&quot;:{&quot;noteIndex&quot;:0},&quot;isEdited&quot;:false,&quot;manualOverride&quot;:{&quot;isManuallyOverridden&quot;:false,&quot;citeprocText&quot;:&quot;(Creswell et al., 2018)&quot;,&quot;manualOverrideText&quot;:&quot;&quot;},&quot;citationTag&quot;:&quot;MENDELEY_CITATION_v3_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&quot;,&quot;citationItems&quot;:[{&quot;id&quot;:&quot;a74c41f2-aa26-3d87-a4d7-65d2da6193de&quot;,&quot;itemData&quot;:{&quot;type&quot;:&quot;webpage&quot;,&quot;id&quot;:&quot;a74c41f2-aa26-3d87-a4d7-65d2da6193de&quot;,&quot;title&quot;:&quot;Designing and Conducting Mixed Methods Research (3rd ed.). Thousand Oaks, CA SAGE. - References - Scientific Research Publishing&quot;,&quot;author&quot;:[{&quot;family&quot;:&quot;Creswell&quot;,&quot;given&quot;:&quot;J.W.&quot;,&quot;parse-names&quot;:false,&quot;dropping-particle&quot;:&quot;&quot;,&quot;non-dropping-particle&quot;:&quot;&quot;},{&quot;family&quot;:&quot;Plano Clark&quot;,&quot;given&quot;:&quot;&quot;,&quot;parse-names&quot;:false,&quot;dropping-particle&quot;:&quot;&quot;,&quot;non-dropping-particle&quot;:&quot;&quot;},{&quot;family&quot;:&quot;V.L.&quot;,&quot;given&quot;:&quot;&quot;,&quot;parse-names&quot;:false,&quot;dropping-particle&quot;:&quot;&quot;,&quot;non-dropping-particle&quot;:&quot;&quot;}],&quot;accessed&quot;:{&quot;date-parts&quot;:[[2025,11,27]]},&quot;URL&quot;:&quot;https://www.scirp.org/reference/referencespapers?referenceid=2697821&quot;,&quot;issued&quot;:{&quot;date-parts&quot;:[[2018]]},&quot;container-title-short&quot;:&quot;&quot;},&quot;isTemporary&quot;:false}]},{&quot;citationID&quot;:&quot;MENDELEY_CITATION_cd712462-cd8b-465e-80f5-73f78c58b76b&quot;,&quot;properties&quot;:{&quot;noteIndex&quot;:0},&quot;isEdited&quot;:false,&quot;manualOverride&quot;:{&quot;isManuallyOverridden&quot;:false,&quot;citeprocText&quot;:&quot;(Alan Bryman, 2016)&quot;,&quot;manualOverrideText&quot;:&quot;&quot;},&quot;citationTag&quot;:&quot;MENDELEY_CITATION_v3_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&quot;,&quot;citationItems&quot;:[{&quot;id&quot;:&quot;57ec4afe-432f-342c-b7ab-e6c3a20b9705&quot;,&quot;itemData&quot;:{&quot;type&quot;:&quot;webpage&quot;,&quot;id&quot;:&quot;57ec4afe-432f-342c-b7ab-e6c3a20b9705&quot;,&quot;title&quot;:&quot;Social Research Methods - Alan Bryman - Google Books&quot;,&quot;author&quot;:[{&quot;family&quot;:&quot;Alan Bryman&quot;,&quot;given&quot;:&quot;&quot;,&quot;parse-names&quot;:false,&quot;dropping-particle&quot;:&quot;&quot;,&quot;non-dropping-particle&quot;:&quot;&quot;}],&quot;accessed&quot;:{&quot;date-parts&quot;:[[2025,11,28]]},&quot;URL&quot;:&quot;https://books.google.co.uk/books?hl=en&amp;lr=&amp;id=N2zQCgAAQBAJ&amp;oi=fnd&amp;pg=PP1&amp;dq=Bryman,+A.+(2016)+Social+Research+Methods.+5th+edn.+Oxford:+Oxford+University+Press.&amp;ots=dqOvFRP4si&amp;sig=_cKvIJxYe0ZX0uTUfp8bq0-xcUA#v=onepage&amp;q=Bryman%2C%20A.%20(2016)%20Social%20Research%20Methods.%205th%20edn.%20Oxford%3A%20Oxford%20University%20Press.&amp;f=false&quot;,&quot;issued&quot;:{&quot;date-parts&quot;:[[2016]]},&quot;container-title-short&quot;:&quot;&quot;},&quot;isTemporary&quot;:false}]},{&quot;citationID&quot;:&quot;MENDELEY_CITATION_5d7800dd-3cf2-4e62-a6e8-710972fe5550&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&quot;,&quot;citationItems&quot;:[{&quot;id&quot;:&quot;08d21f94-d780-359d-8e9d-125be1acb46a&quot;,&quot;itemData&quot;:{&quot;type&quot;:&quot;webpage&quot;,&quot;id&quot;:&quot;08d21f94-d780-359d-8e9d-125be1acb46a&quot;,&quot;title&quot;:&quot;Statistics » NHS Staff Survey in England&quot;,&quot;author&quot;:[{&quot;family&quot;:&quot;NHS England&quot;,&quot;given&quot;:&quot;&quot;,&quot;parse-names&quot;:false,&quot;dropping-particle&quot;:&quot;&quot;,&quot;non-dropping-particle&quot;:&quot;&quot;}],&quot;accessed&quot;:{&quot;date-parts&quot;:[[2025,11,28]]},&quot;URL&quot;:&quot;https://www.england.nhs.uk/statistics/statistical-work-areas/nhs-staff-survey-in-england/&quot;,&quot;issued&quot;:{&quot;date-parts&quot;:[[2023]]},&quot;container-title-short&quot;:&quot;&quot;},&quot;isTemporary&quot;:false}]},{&quot;citationID&quot;:&quot;MENDELEY_CITATION_3cb44668-997a-4ee4-9fee-fdeae7eb56c9&quot;,&quot;properties&quot;:{&quot;noteIndex&quot;:0},&quot;isEdited&quot;:false,&quot;manualOverride&quot;:{&quot;isManuallyOverridden&quot;:false,&quot;citeprocText&quot;:&quot;(Will Fenton et al., 2024)&quot;,&quot;manualOverrideText&quot;:&quot;&quot;},&quot;citationTag&quot;:&quot;MENDELEY_CITATION_v3_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&quot;,&quot;citationItems&quot;:[{&quot;id&quot;:&quot;a258d458-e8f2-3fae-b63e-4f160e25ddf2&quot;,&quot;itemData&quot;:{&quot;type&quot;:&quot;article-journal&quot;,&quot;id&quot;:&quot;a258d458-e8f2-3fae-b63e-4f160e25ddf2&quot;,&quot;title&quot;:&quot;The state of the adult social care sector and workforce in England 2024&quot;,&quot;author&quot;:[{&quot;family&quot;:&quot;Will Fenton&quot;,&quot;given&quot;:&quot;&quot;,&quot;parse-names&quot;:false,&quot;dropping-particle&quot;:&quot;&quot;,&quot;non-dropping-particle&quot;:&quot;&quot;},{&quot;family&quot;:&quot;Gary Polzin&quot;,&quot;given&quot;:&quot;&quot;,&quot;parse-names&quot;:false,&quot;dropping-particle&quot;:&quot;&quot;,&quot;non-dropping-particle&quot;:&quot;&quot;},{&quot;family&quot;:&quot;Tanya Fozzard&quot;,&quot;given&quot;:&quot;&quot;,&quot;parse-names&quot;:false,&quot;dropping-particle&quot;:&quot;&quot;,&quot;non-dropping-particle&quot;:&quot;&quot;},{&quot;family&quot;:&quot;Roy Price&quot;,&quot;given&quot;:&quot;&quot;,&quot;parse-names&quot;:false,&quot;dropping-particle&quot;:&quot;&quot;,&quot;non-dropping-particle&quot;:&quot;&quot;},{&quot;family&quot;:&quot;Sarah Davison&quot;,&quot;given&quot;:&quot;&quot;,&quot;parse-names&quot;:false,&quot;dropping-particle&quot;:&quot;&quot;,&quot;non-dropping-particle&quot;:&quot;&quot;},{&quot;family&quot;:&quot;Maion Holloway&quot;,&quot;given&quot;:&quot;&quot;,&quot;parse-names&quot;:false,&quot;dropping-particle&quot;:&quot;&quot;,&quot;non-dropping-particle&quot;:&quot;&quot;},{&quot;family&quot;:&quot;Heken Liu&quot;,&quot;given&quot;:&quot;&quot;,&quot;parse-names&quot;:false,&quot;dropping-particle&quot;:&quot;&quot;,&quot;non-dropping-particle&quot;:&quot;&quot;},{&quot;family&quot;:&quot;Anna O'gara&quot;,&quot;given&quot;:&quot;&quot;,&quot;parse-names&quot;:false,&quot;dropping-particle&quot;:&quot;&quot;,&quot;non-dropping-particle&quot;:&quot;&quot;},{&quot;family&quot;:&quot;Graham Geddes&quot;,&quot;given&quot;:&quot;&quot;,&quot;parse-names&quot;:false,&quot;dropping-particle&quot;:&quot;&quot;,&quot;non-dropping-particle&quot;:&quot;&quot;}],&quot;accessed&quot;:{&quot;date-parts&quot;:[[2025,11,28]]},&quot;URL&quot;:&quot;www.skillsforcare.org.uk&quot;,&quot;issued&quot;:{&quot;date-parts&quot;:[[2024]]},&quot;container-title-short&quot;:&quot;&quot;},&quot;isTemporary&quot;:false}]},{&quot;citationID&quot;:&quot;MENDELEY_CITATION_f74184b9-8883-4f4c-a819-ee1ad6562106&quot;,&quot;properties&quot;:{&quot;noteIndex&quot;:0},&quot;isEdited&quot;:false,&quot;manualOverride&quot;:{&quot;isManuallyOverridden&quot;:false,&quot;citeprocText&quot;:&quot;(Braun &amp;#38; Clarke, 2006)&quot;,&quot;manualOverrideText&quot;:&quot;&quot;},&quot;citationTag&quot;:&quot;MENDELEY_CITATION_v3_eyJjaXRhdGlvbklEIjoiTUVOREVMRVlfQ0lUQVRJT05fZjc0MTg0YjktODg4My00ZjRjLWE4MTktZWUxYWQ2NTYyMTA2IiwicHJvcGVydGllcyI6eyJub3RlSW5kZXgiOjB9LCJpc0VkaXRlZCI6ZmFsc2UsIm1hbnVhbE92ZXJyaWRlIjp7ImlzTWFudWFsbHlPdmVycmlkZGVuIjpmYWxzZSwiY2l0ZXByb2NUZXh0IjoiKEJyYXVuICYjMzg7IENsYXJrZSwgMjAwNikiLCJtYW51YWxPdmVycmlkZVRleHQiOiIifSwiY2l0YXRpb25JdGVtcyI6W3siaWQiOiJiMDM2NTZiMC1jMjFkLTM0ZTItYjkzNi1hOTJkY2Y2MTUxYWMiLCJpdGVtRGF0YSI6eyJ0eXBlIjoicmVwb3J0IiwiaWQiOiJiMDM2NTZiMC1jMjFkLTM0ZTItYjkzNi1hOTJkY2Y2MTUxYWM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pc3N1ZWQiOnsiZGF0ZS1wYXJ0cyI6W1syMDA2XV19LCJjb250YWluZXItdGl0bGUtc2hvcnQiOiIifSwiaXNUZW1wb3JhcnkiOmZhbHNlLCJzdXBwcmVzcy1hdXRob3IiOmZhbHNlLCJjb21wb3NpdGUiOmZhbHNlLCJhdXRob3Itb25seSI6ZmFsc2V9XX0=&quot;,&quot;citationItems&quot;:[{&quot;id&quot;:&quot;b03656b0-c21d-34e2-b936-a92dcf6151ac&quot;,&quot;itemData&quot;:{&quot;type&quot;:&quot;report&quot;,&quot;id&quot;:&quot;b03656b0-c21d-34e2-b936-a92dcf6151ac&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issued&quot;:{&quot;date-parts&quot;:[[2006]]},&quot;container-title-short&quot;:&quot;&quot;},&quot;isTemporary&quot;:false,&quot;suppress-author&quot;:false,&quot;composite&quot;:false,&quot;author-only&quot;:false}]},{&quot;citationID&quot;:&quot;MENDELEY_CITATION_bd0c269f-e87c-416a-995b-20c9fefc8a1c&quot;,&quot;properties&quot;:{&quot;noteIndex&quot;:0},&quot;isEdited&quot;:false,&quot;manualOverride&quot;:{&quot;isManuallyOverridden&quot;:false,&quot;citeprocText&quot;:&quot;(Peckham et al., 2024)&quot;,&quot;manualOverrideText&quot;:&quot;&quot;},&quot;citationTag&quot;:&quot;MENDELEY_CITATION_v3_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&quot;,&quot;citationItems&quot;:[{&quot;id&quot;:&quot;3a4f49f4-cddc-3cb8-910d-9ab3808364dd&quot;,&quot;itemData&quot;:{&quot;type&quot;:&quot;article-journal&quot;,&quot;id&quot;:&quot;3a4f49f4-cddc-3cb8-910d-9ab3808364dd&quot;,&quot;title&quot;:&quot;Enhancing the Scrutiny Role of Select Committees: The House of Commons Health and Social Care Select Committee’s New Independent Expert Panel&quot;,&quot;author&quot;:[{&quot;family&quot;:&quot;Peckham&quot;,&quot;given&quot;:&quot;Stephen&quot;,&quot;parse-names&quot;:false,&quot;dropping-particle&quot;:&quot;&quot;,&quot;non-dropping-particle&quot;:&quot;&quot;},{&quot;family&quot;:&quot;Dacre&quot;,&quot;given&quot;:&quot;Dame Jane&quot;,&quot;parse-names&quot;:false,&quot;dropping-particle&quot;:&quot;&quot;,&quot;non-dropping-particle&quot;:&quot;&quot;},{&quot;family&quot;:&quot;Appleby&quot;,&quot;given&quot;:&quot;John&quot;,&quot;parse-names&quot;:false,&quot;dropping-particle&quot;:&quot;&quot;,&quot;non-dropping-particle&quot;:&quot;&quot;},{&quot;family&quot;:&quot;Charlesworth&quot;,&quot;given&quot;:&quot;Anita&quot;,&quot;parse-names&quot;:false,&quot;dropping-particle&quot;:&quot;&quot;,&quot;non-dropping-particle&quot;:&quot;&quot;},{&quot;family&quot;:&quot;Francis&quot;,&quot;given&quot;:&quot;Robert&quot;,&quot;parse-names&quot;:false,&quot;dropping-particle&quot;:&quot;&quot;,&quot;non-dropping-particle&quot;:&quot;&quot;}],&quot;container-title&quot;:&quot;Parliamentary Affairs&quot;,&quot;container-title-short&quot;:&quot;Parliam Aff&quot;,&quot;accessed&quot;:{&quot;date-parts&quot;:[[2025,11,28]]},&quot;DOI&quot;:&quot;10.1093/PA/GSAC025&quot;,&quot;ISSN&quot;:&quot;0031-2290&quot;,&quot;URL&quot;:&quot;https://dx.doi.org/10.1093/pa/gsac025&quot;,&quot;issued&quot;:{&quot;date-parts&quot;:[[2024,4,2]]},&quot;page&quot;:&quot;262-284&quot;,&quot;abstract&quot;:&quot;We report on a recent innovation for one Departmental Select Committee. While government policy commitments are well publicised, little attention is paid to the quality of commitments made or to assessing progress against those commitments. In 2020, the Health and Social Care Select Committee commissioned an Expert Panel to conduct independent, in-depth evaluations of government progress on selected policy commitments. The first evaluations in 2021/22 assessed commitments in maternity, mental health and cancer services, and workforce and it was the first time a government department has been systematically graded against its own commitments. This is an important new method of scrutiny with the potential to complement and enhance the work of Select Committee inquiries. This paper reviews the development of select committees highlighting issues relating to their operation and, in particular, assessment of evidence. We describe the innovation of the Expert Panel and its role in reviewing policy commitments and discuss implications for parliamentary scrutiny, leadership and improvements to health service.&quot;,&quot;publisher&quot;:&quot;Oxford Academic&quot;,&quot;issue&quot;:&quot;2&quot;,&quot;volume&quot;:&quot;77&quot;},&quot;isTemporary&quot;:false,&quot;suppress-author&quot;:false,&quot;composite&quot;:false,&quot;author-only&quot;:false}]},{&quot;citationID&quot;:&quot;MENDELEY_CITATION_76b8292c-7d0a-47b4-a91a-afcf8c8b1f42&quot;,&quot;properties&quot;:{&quot;noteIndex&quot;:0},&quot;isEdited&quot;:false,&quot;manualOverride&quot;:{&quot;isManuallyOverridden&quot;:false,&quot;citeprocText&quot;:&quot;(Buckley, 2023)&quot;,&quot;manualOverrideText&quot;:&quot;&quot;},&quot;citationTag&quot;:&quot;MENDELEY_CITATION_v3_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&quot;,&quot;citationItems&quot;:[{&quot;id&quot;:&quot;c530f5a4-beb1-35bf-9298-1bfaac3d7cdd&quot;,&quot;itemData&quot;:{&quot;type&quot;:&quot;article-journal&quot;,&quot;id&quot;:&quot;c530f5a4-beb1-35bf-9298-1bfaac3d7cdd&quot;,&quot;title&quot;:&quot;Tourism and Mental Health: Foundations, Frameworks, and Futures&quot;,&quot;author&quot;:[{&quot;family&quot;:&quot;Buckley&quot;,&quot;given&quot;:&quot;Ralf&quot;,&quot;parse-names&quot;:false,&quot;dropping-particle&quot;:&quot;&quot;,&quot;non-dropping-particle&quot;:&quot;&quot;}],&quot;container-title&quot;:&quot;Journal of Travel Research&quot;,&quot;container-title-short&quot;:&quot;J Travel Res&quot;,&quot;accessed&quot;:{&quot;date-parts&quot;:[[2025,11,28]]},&quot;DOI&quot;:&quot;10.1177/00472875221087669;CTYPE:STRING:JOURNAL&quot;,&quot;ISSN&quot;:&quot;15526763&quot;,&quot;URL&quot;:&quot;/doi/pdf/10.1177/00472875221087669?download=true&quot;,&quot;issued&quot;:{&quot;date-parts&quot;:[[2023,1,1]]},&quot;page&quot;:&quot;3-20&quot;,&quot;abstract&quot;:&quot;Tourism contributes to mental health. We could: recognize, measure, value, and market those contributions; analyze components and design products to maximize mental health benefits; and use mental health benefits in tourism industry marketing and lobbying. If we measure benefits to health-research standards, then tourism could also gain commercial opportunities within the health sector. Currently, there are widely differing bodies of evidence within different tourism subsectors, reflecting historical research emphases. Music, museums, and shopping malls have been identified as therapeutic for some. Nature tourism therapies have been tested extensively, with a higher standard of evidence. Adventure tourism has been analyzed principally from a phenomenological perspective, indicating powerful psychological effects. Many mental health therapies require continuing behavioral change. Tourism research could contribute to these therapies, since it includes detailed data on the effects of program design and guiding, and individual personalities, interests, capabilities, motivations, experiences, emotions, and satisfaction.&quot;,&quot;publisher&quot;:&quot;SAGE Publications Ltd&quot;,&quot;issue&quot;:&quot;1&quot;,&quot;volume&quot;:&quot;62&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2229</Words>
  <Characters>12710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Elizabeth Olutayeshe (2514334)</cp:lastModifiedBy>
  <cp:revision>2</cp:revision>
  <dcterms:created xsi:type="dcterms:W3CDTF">2025-12-11T15:25:00Z</dcterms:created>
  <dcterms:modified xsi:type="dcterms:W3CDTF">2025-12-11T15:25:00Z</dcterms:modified>
</cp:coreProperties>
</file>