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F3753" w:rsidRPr="004F3753" w:rsidRDefault="004F3753" w:rsidP="004F3753">
      <w:pPr>
        <w:pStyle w:val="Heading1"/>
        <w:spacing w:line="360" w:lineRule="auto"/>
        <w:rPr>
          <w:rFonts w:ascii="Arial" w:eastAsia="Times New Roman" w:hAnsi="Arial" w:cs="Arial"/>
          <w:sz w:val="22"/>
          <w:szCs w:val="22"/>
        </w:rPr>
      </w:pPr>
    </w:p>
    <w:p w:rsidR="004F3753" w:rsidRPr="00FD2000" w:rsidRDefault="00FD2000" w:rsidP="00FD2000">
      <w:pPr>
        <w:jc w:val="center"/>
        <w:rPr>
          <w:rFonts w:ascii="Arial" w:eastAsia="Times New Roman" w:hAnsi="Arial" w:cs="Arial"/>
        </w:rPr>
      </w:pPr>
      <w:r w:rsidRPr="00FD2000">
        <w:rPr>
          <w:rFonts w:ascii="Arial" w:eastAsia="Times New Roman" w:hAnsi="Arial" w:cs="Arial"/>
        </w:rPr>
        <w:t>MY REPORT ON MANAGING PROJECTS IN THE ORGANISATION</w:t>
      </w:r>
    </w:p>
    <w:p w:rsidR="00FD2000" w:rsidRPr="00FD2000" w:rsidRDefault="00FD2000" w:rsidP="00FD2000">
      <w:pPr>
        <w:jc w:val="center"/>
        <w:rPr>
          <w:rFonts w:ascii="Arial" w:eastAsia="Times New Roman" w:hAnsi="Arial" w:cs="Arial"/>
        </w:rPr>
      </w:pPr>
    </w:p>
    <w:p w:rsidR="00FD2000" w:rsidRDefault="00FD2000" w:rsidP="00FD2000">
      <w:pPr>
        <w:jc w:val="center"/>
        <w:rPr>
          <w:rFonts w:ascii="Arial" w:eastAsia="Times New Roman" w:hAnsi="Arial" w:cs="Arial"/>
        </w:rPr>
      </w:pPr>
      <w:r w:rsidRPr="00FD2000">
        <w:rPr>
          <w:rFonts w:ascii="Arial" w:eastAsia="Times New Roman" w:hAnsi="Arial" w:cs="Arial"/>
        </w:rPr>
        <w:t>‘RETURN TO WORK POST COVID-19 PROJECT PLAN’</w:t>
      </w:r>
    </w:p>
    <w:p w:rsidR="00FD2000" w:rsidRDefault="00FD2000" w:rsidP="00FD2000">
      <w:pPr>
        <w:jc w:val="center"/>
        <w:rPr>
          <w:rFonts w:ascii="Arial" w:eastAsia="Times New Roman" w:hAnsi="Arial" w:cs="Arial"/>
        </w:rPr>
      </w:pPr>
    </w:p>
    <w:p w:rsidR="00FD2000" w:rsidRDefault="00FD2000" w:rsidP="00FD2000">
      <w:pPr>
        <w:jc w:val="center"/>
        <w:rPr>
          <w:rFonts w:ascii="Arial" w:eastAsia="Times New Roman" w:hAnsi="Arial" w:cs="Arial"/>
        </w:rPr>
      </w:pPr>
    </w:p>
    <w:p w:rsidR="00FD2000" w:rsidRDefault="00FD2000" w:rsidP="00FD2000">
      <w:pPr>
        <w:jc w:val="center"/>
        <w:rPr>
          <w:rFonts w:ascii="Arial" w:eastAsia="Times New Roman" w:hAnsi="Arial" w:cs="Arial"/>
        </w:rPr>
      </w:pPr>
    </w:p>
    <w:p w:rsidR="00FD2000" w:rsidRDefault="00FD2000" w:rsidP="00FD2000">
      <w:pPr>
        <w:jc w:val="center"/>
        <w:rPr>
          <w:rFonts w:ascii="Arial" w:eastAsia="Times New Roman" w:hAnsi="Arial" w:cs="Arial"/>
        </w:rPr>
      </w:pPr>
    </w:p>
    <w:p w:rsidR="00FD2000" w:rsidRDefault="00FD2000" w:rsidP="00FD2000">
      <w:pPr>
        <w:jc w:val="center"/>
        <w:rPr>
          <w:rFonts w:ascii="Arial" w:eastAsia="Times New Roman" w:hAnsi="Arial" w:cs="Arial"/>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p w:rsidR="00FD2000" w:rsidRPr="00E329A7" w:rsidRDefault="00FD2000" w:rsidP="00FD2000">
      <w:pPr>
        <w:pStyle w:val="paragraph"/>
        <w:spacing w:before="0" w:beforeAutospacing="0" w:after="0" w:afterAutospacing="0" w:line="360" w:lineRule="auto"/>
        <w:jc w:val="center"/>
        <w:textAlignment w:val="baseline"/>
        <w:rPr>
          <w:rFonts w:ascii="Arial" w:hAnsi="Arial" w:cs="Arial"/>
          <w:sz w:val="22"/>
          <w:szCs w:val="22"/>
        </w:rPr>
      </w:pPr>
      <w:r w:rsidRPr="00E329A7">
        <w:rPr>
          <w:rStyle w:val="spellingerror"/>
          <w:rFonts w:ascii="Arial" w:eastAsiaTheme="majorEastAsia" w:hAnsi="Arial" w:cs="Arial"/>
          <w:sz w:val="22"/>
          <w:szCs w:val="22"/>
        </w:rPr>
        <w:t>Teletha</w:t>
      </w:r>
      <w:r w:rsidRPr="00E329A7">
        <w:rPr>
          <w:rStyle w:val="normaltextrun"/>
          <w:rFonts w:ascii="Arial" w:eastAsiaTheme="minorEastAsia" w:hAnsi="Arial" w:cs="Arial"/>
          <w:sz w:val="22"/>
          <w:szCs w:val="22"/>
        </w:rPr>
        <w:t> Duberry</w:t>
      </w:r>
      <w:r w:rsidRPr="00E329A7">
        <w:rPr>
          <w:rStyle w:val="eop"/>
          <w:rFonts w:ascii="Arial" w:eastAsiaTheme="majorEastAsia" w:hAnsi="Arial" w:cs="Arial"/>
          <w:sz w:val="22"/>
          <w:szCs w:val="22"/>
        </w:rPr>
        <w:t> </w:t>
      </w:r>
    </w:p>
    <w:p w:rsidR="00FD2000" w:rsidRPr="00E329A7" w:rsidRDefault="00FD2000" w:rsidP="00FD2000">
      <w:pPr>
        <w:pStyle w:val="paragraph"/>
        <w:spacing w:before="0" w:beforeAutospacing="0" w:after="0" w:afterAutospacing="0" w:line="360" w:lineRule="auto"/>
        <w:jc w:val="center"/>
        <w:textAlignment w:val="baseline"/>
        <w:rPr>
          <w:rFonts w:ascii="Arial" w:hAnsi="Arial" w:cs="Arial"/>
          <w:sz w:val="22"/>
          <w:szCs w:val="22"/>
        </w:rPr>
      </w:pPr>
      <w:r w:rsidRPr="00E329A7">
        <w:rPr>
          <w:rStyle w:val="normaltextrun"/>
          <w:rFonts w:ascii="Arial" w:eastAsiaTheme="minorEastAsia" w:hAnsi="Arial" w:cs="Arial"/>
          <w:sz w:val="22"/>
          <w:szCs w:val="22"/>
        </w:rPr>
        <w:t>Student I.D - 1917189</w:t>
      </w:r>
      <w:r w:rsidRPr="00E329A7">
        <w:rPr>
          <w:rStyle w:val="eop"/>
          <w:rFonts w:ascii="Arial" w:eastAsiaTheme="majorEastAsia" w:hAnsi="Arial" w:cs="Arial"/>
          <w:sz w:val="22"/>
          <w:szCs w:val="22"/>
        </w:rPr>
        <w:t> </w:t>
      </w:r>
    </w:p>
    <w:p w:rsidR="00FD2000" w:rsidRPr="00E329A7" w:rsidRDefault="00FD2000" w:rsidP="00FD2000">
      <w:pPr>
        <w:pStyle w:val="paragraph"/>
        <w:spacing w:before="0" w:beforeAutospacing="0" w:after="0" w:afterAutospacing="0" w:line="360" w:lineRule="auto"/>
        <w:jc w:val="center"/>
        <w:textAlignment w:val="baseline"/>
        <w:rPr>
          <w:rStyle w:val="normaltextrun"/>
          <w:rFonts w:ascii="Arial" w:eastAsiaTheme="minorEastAsia" w:hAnsi="Arial" w:cs="Arial"/>
          <w:sz w:val="22"/>
          <w:szCs w:val="22"/>
        </w:rPr>
      </w:pPr>
      <w:r>
        <w:rPr>
          <w:rStyle w:val="normaltextrun"/>
          <w:rFonts w:ascii="Arial" w:eastAsiaTheme="minorEastAsia" w:hAnsi="Arial" w:cs="Arial"/>
          <w:sz w:val="22"/>
          <w:szCs w:val="22"/>
        </w:rPr>
        <w:t>Managing Projects in the Organisation</w:t>
      </w:r>
    </w:p>
    <w:p w:rsidR="00FD2000" w:rsidRPr="00E329A7" w:rsidRDefault="00FD2000" w:rsidP="00FD2000">
      <w:pPr>
        <w:pStyle w:val="paragraph"/>
        <w:spacing w:before="0" w:beforeAutospacing="0" w:after="0" w:afterAutospacing="0" w:line="360" w:lineRule="auto"/>
        <w:jc w:val="center"/>
        <w:textAlignment w:val="baseline"/>
        <w:rPr>
          <w:rStyle w:val="normaltextrun"/>
          <w:rFonts w:ascii="Arial" w:eastAsiaTheme="minorEastAsia" w:hAnsi="Arial" w:cs="Arial"/>
          <w:sz w:val="22"/>
          <w:szCs w:val="22"/>
        </w:rPr>
      </w:pPr>
      <w:r w:rsidRPr="00E329A7">
        <w:rPr>
          <w:rStyle w:val="normaltextrun"/>
          <w:rFonts w:ascii="Arial" w:eastAsiaTheme="minorEastAsia" w:hAnsi="Arial" w:cs="Arial"/>
          <w:sz w:val="22"/>
          <w:szCs w:val="22"/>
        </w:rPr>
        <w:t xml:space="preserve">Term </w:t>
      </w:r>
      <w:r>
        <w:rPr>
          <w:rStyle w:val="normaltextrun"/>
          <w:rFonts w:ascii="Arial" w:eastAsiaTheme="minorEastAsia" w:hAnsi="Arial" w:cs="Arial"/>
          <w:sz w:val="22"/>
          <w:szCs w:val="22"/>
        </w:rPr>
        <w:t>2</w:t>
      </w:r>
      <w:r w:rsidRPr="00E329A7">
        <w:rPr>
          <w:rStyle w:val="normaltextrun"/>
          <w:rFonts w:ascii="Arial" w:eastAsiaTheme="minorEastAsia" w:hAnsi="Arial" w:cs="Arial"/>
          <w:sz w:val="22"/>
          <w:szCs w:val="22"/>
        </w:rPr>
        <w:t xml:space="preserve"> Assignment</w:t>
      </w:r>
    </w:p>
    <w:p w:rsidR="00FD2000" w:rsidRPr="00E329A7" w:rsidRDefault="00FD2000" w:rsidP="00FD2000">
      <w:pPr>
        <w:pStyle w:val="paragraph"/>
        <w:spacing w:before="0" w:beforeAutospacing="0" w:after="0" w:afterAutospacing="0" w:line="360" w:lineRule="auto"/>
        <w:jc w:val="center"/>
        <w:textAlignment w:val="baseline"/>
        <w:rPr>
          <w:rFonts w:ascii="Arial" w:hAnsi="Arial" w:cs="Arial"/>
          <w:sz w:val="22"/>
          <w:szCs w:val="22"/>
        </w:rPr>
      </w:pPr>
      <w:r w:rsidRPr="00E329A7">
        <w:rPr>
          <w:rStyle w:val="normaltextrun"/>
          <w:rFonts w:ascii="Arial" w:eastAsiaTheme="minorEastAsia" w:hAnsi="Arial" w:cs="Arial"/>
          <w:sz w:val="22"/>
          <w:szCs w:val="22"/>
        </w:rPr>
        <w:t xml:space="preserve">Lecturer: </w:t>
      </w:r>
      <w:proofErr w:type="spellStart"/>
      <w:r>
        <w:rPr>
          <w:rStyle w:val="normaltextrun"/>
          <w:rFonts w:ascii="Arial" w:eastAsiaTheme="minorEastAsia" w:hAnsi="Arial" w:cs="Arial"/>
          <w:sz w:val="22"/>
          <w:szCs w:val="22"/>
        </w:rPr>
        <w:t>Yajesh</w:t>
      </w:r>
      <w:proofErr w:type="spellEnd"/>
      <w:r>
        <w:rPr>
          <w:rStyle w:val="normaltextrun"/>
          <w:rFonts w:ascii="Arial" w:eastAsiaTheme="minorEastAsia" w:hAnsi="Arial" w:cs="Arial"/>
          <w:sz w:val="22"/>
          <w:szCs w:val="22"/>
        </w:rPr>
        <w:t xml:space="preserve"> Kumar</w:t>
      </w:r>
    </w:p>
    <w:p w:rsidR="00FD2000" w:rsidRDefault="00FD2000">
      <w:pPr>
        <w:spacing w:after="160" w:line="259" w:lineRule="auto"/>
        <w:rPr>
          <w:rFonts w:ascii="Arial" w:eastAsia="Times New Roman" w:hAnsi="Arial" w:cs="Arial"/>
          <w:color w:val="2E74B5" w:themeColor="accent1" w:themeShade="BF"/>
        </w:rPr>
      </w:pPr>
      <w:r>
        <w:rPr>
          <w:rFonts w:ascii="Arial" w:eastAsia="Times New Roman" w:hAnsi="Arial" w:cs="Arial"/>
          <w:color w:val="2E74B5" w:themeColor="accent1" w:themeShade="BF"/>
        </w:rPr>
        <w:br w:type="page"/>
      </w:r>
    </w:p>
    <w:p w:rsidR="00FD2000" w:rsidRDefault="00FD2000" w:rsidP="00FD2000">
      <w:pPr>
        <w:jc w:val="center"/>
        <w:rPr>
          <w:rFonts w:ascii="Arial" w:eastAsia="Times New Roman" w:hAnsi="Arial" w:cs="Arial"/>
          <w:color w:val="2E74B5" w:themeColor="accent1" w:themeShade="BF"/>
        </w:rPr>
      </w:pPr>
      <w:r>
        <w:rPr>
          <w:rFonts w:ascii="Arial" w:eastAsia="Times New Roman" w:hAnsi="Arial" w:cs="Arial"/>
          <w:color w:val="2E74B5" w:themeColor="accent1" w:themeShade="BF"/>
        </w:rPr>
        <w:lastRenderedPageBreak/>
        <w:t>TABLE OF CONTENTS</w:t>
      </w:r>
    </w:p>
    <w:p w:rsidR="004D4D15" w:rsidRDefault="004D4D15" w:rsidP="00FD2000">
      <w:pPr>
        <w:jc w:val="center"/>
        <w:rPr>
          <w:rFonts w:ascii="Arial" w:eastAsia="Times New Roman" w:hAnsi="Arial" w:cs="Arial"/>
          <w:color w:val="2E74B5" w:themeColor="accent1" w:themeShade="BF"/>
        </w:rPr>
      </w:pPr>
    </w:p>
    <w:p w:rsidR="00FD2000" w:rsidRDefault="00FD2000" w:rsidP="00FD2000">
      <w:pPr>
        <w:jc w:val="center"/>
        <w:rPr>
          <w:rFonts w:ascii="Arial" w:eastAsia="Times New Roman" w:hAnsi="Arial" w:cs="Arial"/>
          <w:color w:val="2E74B5" w:themeColor="accent1" w:themeShade="BF"/>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1"/>
        <w:gridCol w:w="522"/>
        <w:gridCol w:w="4253"/>
        <w:gridCol w:w="1295"/>
      </w:tblGrid>
      <w:tr w:rsidR="00FD2000" w:rsidTr="004D4D15">
        <w:trPr>
          <w:jc w:val="center"/>
        </w:trPr>
        <w:tc>
          <w:tcPr>
            <w:tcW w:w="421" w:type="dxa"/>
          </w:tcPr>
          <w:p w:rsidR="00FD2000" w:rsidRPr="004D4D15" w:rsidRDefault="00FD2000" w:rsidP="001033EF">
            <w:pPr>
              <w:rPr>
                <w:rFonts w:ascii="Arial" w:hAnsi="Arial" w:cs="Arial"/>
                <w:b/>
              </w:rPr>
            </w:pPr>
            <w:r w:rsidRPr="004D4D15">
              <w:rPr>
                <w:rFonts w:ascii="Arial" w:hAnsi="Arial" w:cs="Arial"/>
                <w:b/>
              </w:rPr>
              <w:t>1.</w:t>
            </w:r>
          </w:p>
        </w:tc>
        <w:tc>
          <w:tcPr>
            <w:tcW w:w="522" w:type="dxa"/>
          </w:tcPr>
          <w:p w:rsidR="00FD2000" w:rsidRDefault="00FD2000" w:rsidP="001033EF">
            <w:pPr>
              <w:rPr>
                <w:rFonts w:ascii="Arial" w:hAnsi="Arial" w:cs="Arial"/>
              </w:rPr>
            </w:pPr>
          </w:p>
        </w:tc>
        <w:tc>
          <w:tcPr>
            <w:tcW w:w="4253" w:type="dxa"/>
          </w:tcPr>
          <w:p w:rsidR="00FD2000" w:rsidRDefault="00FD2000" w:rsidP="001033EF">
            <w:pPr>
              <w:rPr>
                <w:rFonts w:ascii="Arial" w:hAnsi="Arial" w:cs="Arial"/>
              </w:rPr>
            </w:pPr>
            <w:r>
              <w:rPr>
                <w:rFonts w:ascii="Arial" w:hAnsi="Arial" w:cs="Arial"/>
              </w:rPr>
              <w:t>Executive Summary</w:t>
            </w:r>
          </w:p>
        </w:tc>
        <w:tc>
          <w:tcPr>
            <w:tcW w:w="1295" w:type="dxa"/>
          </w:tcPr>
          <w:p w:rsidR="00FD2000" w:rsidRPr="004D4D15" w:rsidRDefault="002B7E51" w:rsidP="001033EF">
            <w:pPr>
              <w:rPr>
                <w:rFonts w:ascii="Arial" w:hAnsi="Arial" w:cs="Arial"/>
                <w:sz w:val="18"/>
                <w:szCs w:val="20"/>
              </w:rPr>
            </w:pPr>
            <w:hyperlink w:anchor="_Executive_Summary" w:history="1">
              <w:r w:rsidR="00FD2000" w:rsidRPr="00092705">
                <w:rPr>
                  <w:rStyle w:val="Hyperlink"/>
                  <w:rFonts w:ascii="Arial" w:hAnsi="Arial" w:cs="Arial"/>
                  <w:sz w:val="18"/>
                  <w:szCs w:val="20"/>
                </w:rPr>
                <w:t>Pg.3</w:t>
              </w:r>
            </w:hyperlink>
          </w:p>
        </w:tc>
      </w:tr>
      <w:tr w:rsidR="00FD2000" w:rsidTr="004D4D15">
        <w:trPr>
          <w:jc w:val="center"/>
        </w:trPr>
        <w:tc>
          <w:tcPr>
            <w:tcW w:w="421" w:type="dxa"/>
          </w:tcPr>
          <w:p w:rsidR="00FD2000" w:rsidRPr="004D4D15" w:rsidRDefault="00FD2000" w:rsidP="001033EF">
            <w:pPr>
              <w:rPr>
                <w:rFonts w:ascii="Arial" w:hAnsi="Arial" w:cs="Arial"/>
                <w:b/>
              </w:rPr>
            </w:pPr>
          </w:p>
        </w:tc>
        <w:tc>
          <w:tcPr>
            <w:tcW w:w="522" w:type="dxa"/>
          </w:tcPr>
          <w:p w:rsidR="00FD2000" w:rsidRPr="005E59C7" w:rsidRDefault="005E59C7" w:rsidP="001033EF">
            <w:pPr>
              <w:rPr>
                <w:rFonts w:ascii="Arial" w:hAnsi="Arial" w:cs="Arial"/>
                <w:sz w:val="20"/>
              </w:rPr>
            </w:pPr>
            <w:r w:rsidRPr="005E59C7">
              <w:rPr>
                <w:rFonts w:ascii="Arial" w:hAnsi="Arial" w:cs="Arial"/>
                <w:sz w:val="20"/>
              </w:rPr>
              <w:t>1.1</w:t>
            </w:r>
          </w:p>
        </w:tc>
        <w:tc>
          <w:tcPr>
            <w:tcW w:w="4253" w:type="dxa"/>
          </w:tcPr>
          <w:p w:rsidR="00FD2000" w:rsidRDefault="00FD2000" w:rsidP="001033EF">
            <w:pPr>
              <w:rPr>
                <w:rFonts w:ascii="Arial" w:hAnsi="Arial" w:cs="Arial"/>
              </w:rPr>
            </w:pPr>
            <w:r>
              <w:rPr>
                <w:rFonts w:ascii="Arial" w:hAnsi="Arial" w:cs="Arial"/>
              </w:rPr>
              <w:t>Introduction</w:t>
            </w:r>
          </w:p>
        </w:tc>
        <w:tc>
          <w:tcPr>
            <w:tcW w:w="1295" w:type="dxa"/>
          </w:tcPr>
          <w:p w:rsidR="00FD2000" w:rsidRPr="004D4D15" w:rsidRDefault="002B7E51" w:rsidP="001033EF">
            <w:pPr>
              <w:rPr>
                <w:rFonts w:ascii="Arial" w:hAnsi="Arial" w:cs="Arial"/>
                <w:sz w:val="18"/>
                <w:szCs w:val="20"/>
              </w:rPr>
            </w:pPr>
            <w:hyperlink w:anchor="_Introduction" w:history="1">
              <w:r w:rsidR="00FD2000" w:rsidRPr="00092705">
                <w:rPr>
                  <w:rStyle w:val="Hyperlink"/>
                  <w:rFonts w:ascii="Arial" w:hAnsi="Arial" w:cs="Arial"/>
                  <w:sz w:val="18"/>
                  <w:szCs w:val="20"/>
                </w:rPr>
                <w:t>Pg.4,5</w:t>
              </w:r>
            </w:hyperlink>
          </w:p>
        </w:tc>
      </w:tr>
      <w:tr w:rsidR="00FD2000" w:rsidTr="004D4D15">
        <w:trPr>
          <w:jc w:val="center"/>
        </w:trPr>
        <w:tc>
          <w:tcPr>
            <w:tcW w:w="421" w:type="dxa"/>
          </w:tcPr>
          <w:p w:rsidR="00FD2000" w:rsidRPr="004D4D15" w:rsidRDefault="005E59C7" w:rsidP="001033EF">
            <w:pPr>
              <w:rPr>
                <w:rFonts w:ascii="Arial" w:hAnsi="Arial" w:cs="Arial"/>
                <w:b/>
              </w:rPr>
            </w:pPr>
            <w:r w:rsidRPr="004D4D15">
              <w:rPr>
                <w:rFonts w:ascii="Arial" w:hAnsi="Arial" w:cs="Arial"/>
                <w:b/>
              </w:rPr>
              <w:t>2</w:t>
            </w:r>
            <w:r w:rsidR="00FD2000" w:rsidRPr="004D4D15">
              <w:rPr>
                <w:rFonts w:ascii="Arial" w:hAnsi="Arial" w:cs="Arial"/>
                <w:b/>
              </w:rPr>
              <w:t>.</w:t>
            </w:r>
          </w:p>
        </w:tc>
        <w:tc>
          <w:tcPr>
            <w:tcW w:w="522" w:type="dxa"/>
          </w:tcPr>
          <w:p w:rsidR="00FD2000" w:rsidRDefault="00FD2000" w:rsidP="001033EF">
            <w:pPr>
              <w:rPr>
                <w:rFonts w:ascii="Arial" w:hAnsi="Arial" w:cs="Arial"/>
              </w:rPr>
            </w:pPr>
          </w:p>
        </w:tc>
        <w:tc>
          <w:tcPr>
            <w:tcW w:w="4253" w:type="dxa"/>
          </w:tcPr>
          <w:p w:rsidR="00FD2000" w:rsidRDefault="004D4D15" w:rsidP="001033EF">
            <w:pPr>
              <w:rPr>
                <w:rFonts w:ascii="Arial" w:hAnsi="Arial" w:cs="Arial"/>
              </w:rPr>
            </w:pPr>
            <w:r>
              <w:rPr>
                <w:rFonts w:ascii="Arial" w:hAnsi="Arial" w:cs="Arial"/>
              </w:rPr>
              <w:t>Project Management</w:t>
            </w:r>
          </w:p>
        </w:tc>
        <w:tc>
          <w:tcPr>
            <w:tcW w:w="1295" w:type="dxa"/>
          </w:tcPr>
          <w:p w:rsidR="00FD2000" w:rsidRPr="004D4D15" w:rsidRDefault="002B7E51" w:rsidP="001033EF">
            <w:pPr>
              <w:rPr>
                <w:rFonts w:ascii="Arial" w:hAnsi="Arial" w:cs="Arial"/>
                <w:sz w:val="18"/>
                <w:szCs w:val="20"/>
              </w:rPr>
            </w:pPr>
            <w:hyperlink w:anchor="_Project_Management" w:history="1">
              <w:r w:rsidR="00FD2000" w:rsidRPr="00092705">
                <w:rPr>
                  <w:rStyle w:val="Hyperlink"/>
                  <w:rFonts w:ascii="Arial" w:hAnsi="Arial" w:cs="Arial"/>
                  <w:sz w:val="18"/>
                  <w:szCs w:val="20"/>
                </w:rPr>
                <w:t>Pg.6</w:t>
              </w:r>
            </w:hyperlink>
          </w:p>
        </w:tc>
      </w:tr>
      <w:tr w:rsidR="00FD2000" w:rsidTr="004D4D15">
        <w:trPr>
          <w:jc w:val="center"/>
        </w:trPr>
        <w:tc>
          <w:tcPr>
            <w:tcW w:w="421" w:type="dxa"/>
          </w:tcPr>
          <w:p w:rsidR="00FD2000" w:rsidRPr="004D4D15" w:rsidRDefault="00FD2000" w:rsidP="001033EF">
            <w:pPr>
              <w:rPr>
                <w:rFonts w:ascii="Arial" w:hAnsi="Arial" w:cs="Arial"/>
                <w:b/>
              </w:rPr>
            </w:pPr>
          </w:p>
        </w:tc>
        <w:tc>
          <w:tcPr>
            <w:tcW w:w="522" w:type="dxa"/>
          </w:tcPr>
          <w:p w:rsidR="00FD2000" w:rsidRPr="005E59C7" w:rsidRDefault="005E59C7" w:rsidP="001033EF">
            <w:pPr>
              <w:rPr>
                <w:rFonts w:ascii="Arial" w:hAnsi="Arial" w:cs="Arial"/>
                <w:sz w:val="20"/>
              </w:rPr>
            </w:pPr>
            <w:r w:rsidRPr="005E59C7">
              <w:rPr>
                <w:rFonts w:ascii="Arial" w:hAnsi="Arial" w:cs="Arial"/>
                <w:sz w:val="20"/>
              </w:rPr>
              <w:t>2.1</w:t>
            </w:r>
          </w:p>
        </w:tc>
        <w:tc>
          <w:tcPr>
            <w:tcW w:w="4253" w:type="dxa"/>
          </w:tcPr>
          <w:p w:rsidR="00FD2000" w:rsidRDefault="004D4D15" w:rsidP="001033EF">
            <w:pPr>
              <w:rPr>
                <w:rFonts w:ascii="Arial" w:hAnsi="Arial" w:cs="Arial"/>
              </w:rPr>
            </w:pPr>
            <w:r>
              <w:rPr>
                <w:rFonts w:ascii="Arial" w:hAnsi="Arial" w:cs="Arial"/>
              </w:rPr>
              <w:t>Stakeholder Analysis</w:t>
            </w:r>
          </w:p>
        </w:tc>
        <w:tc>
          <w:tcPr>
            <w:tcW w:w="1295" w:type="dxa"/>
          </w:tcPr>
          <w:p w:rsidR="00FD2000" w:rsidRPr="004D4D15" w:rsidRDefault="002B7E51" w:rsidP="001033EF">
            <w:pPr>
              <w:rPr>
                <w:rFonts w:ascii="Arial" w:hAnsi="Arial" w:cs="Arial"/>
                <w:sz w:val="18"/>
                <w:szCs w:val="20"/>
              </w:rPr>
            </w:pPr>
            <w:hyperlink w:anchor="_Project_Management" w:history="1">
              <w:r w:rsidR="005E59C7" w:rsidRPr="00092705">
                <w:rPr>
                  <w:rStyle w:val="Hyperlink"/>
                  <w:rFonts w:ascii="Arial" w:hAnsi="Arial" w:cs="Arial"/>
                  <w:sz w:val="18"/>
                  <w:szCs w:val="20"/>
                </w:rPr>
                <w:t>Pg.6</w:t>
              </w:r>
            </w:hyperlink>
          </w:p>
        </w:tc>
      </w:tr>
      <w:tr w:rsidR="00FD2000" w:rsidTr="004D4D15">
        <w:trPr>
          <w:jc w:val="center"/>
        </w:trPr>
        <w:tc>
          <w:tcPr>
            <w:tcW w:w="421" w:type="dxa"/>
          </w:tcPr>
          <w:p w:rsidR="00FD2000" w:rsidRPr="004D4D15" w:rsidRDefault="00FD2000" w:rsidP="001033EF">
            <w:pPr>
              <w:rPr>
                <w:rFonts w:ascii="Arial" w:hAnsi="Arial" w:cs="Arial"/>
                <w:b/>
              </w:rPr>
            </w:pPr>
          </w:p>
        </w:tc>
        <w:tc>
          <w:tcPr>
            <w:tcW w:w="522" w:type="dxa"/>
          </w:tcPr>
          <w:p w:rsidR="00FD2000" w:rsidRPr="005E59C7" w:rsidRDefault="005E59C7" w:rsidP="001033EF">
            <w:pPr>
              <w:rPr>
                <w:rFonts w:ascii="Arial" w:hAnsi="Arial" w:cs="Arial"/>
                <w:sz w:val="20"/>
              </w:rPr>
            </w:pPr>
            <w:r w:rsidRPr="005E59C7">
              <w:rPr>
                <w:rFonts w:ascii="Arial" w:hAnsi="Arial" w:cs="Arial"/>
                <w:sz w:val="20"/>
              </w:rPr>
              <w:t>2.2</w:t>
            </w:r>
          </w:p>
        </w:tc>
        <w:tc>
          <w:tcPr>
            <w:tcW w:w="4253" w:type="dxa"/>
          </w:tcPr>
          <w:p w:rsidR="00FD2000" w:rsidRDefault="004D4D15" w:rsidP="001033EF">
            <w:pPr>
              <w:rPr>
                <w:rFonts w:ascii="Arial" w:hAnsi="Arial" w:cs="Arial"/>
              </w:rPr>
            </w:pPr>
            <w:r>
              <w:rPr>
                <w:rFonts w:ascii="Arial" w:hAnsi="Arial" w:cs="Arial"/>
              </w:rPr>
              <w:t>QUAD Chart</w:t>
            </w:r>
          </w:p>
        </w:tc>
        <w:tc>
          <w:tcPr>
            <w:tcW w:w="1295" w:type="dxa"/>
          </w:tcPr>
          <w:p w:rsidR="00FD2000" w:rsidRPr="004D4D15" w:rsidRDefault="002B7E51" w:rsidP="001033EF">
            <w:pPr>
              <w:rPr>
                <w:rFonts w:ascii="Arial" w:hAnsi="Arial" w:cs="Arial"/>
                <w:sz w:val="18"/>
                <w:szCs w:val="20"/>
              </w:rPr>
            </w:pPr>
            <w:hyperlink w:anchor="_QUAD_Chart" w:history="1">
              <w:r w:rsidR="00FD2000" w:rsidRPr="00092705">
                <w:rPr>
                  <w:rStyle w:val="Hyperlink"/>
                  <w:rFonts w:ascii="Arial" w:hAnsi="Arial" w:cs="Arial"/>
                  <w:sz w:val="18"/>
                  <w:szCs w:val="20"/>
                </w:rPr>
                <w:t>Pg.7</w:t>
              </w:r>
            </w:hyperlink>
          </w:p>
        </w:tc>
      </w:tr>
      <w:tr w:rsidR="00FD2000" w:rsidTr="004D4D15">
        <w:trPr>
          <w:jc w:val="center"/>
        </w:trPr>
        <w:tc>
          <w:tcPr>
            <w:tcW w:w="421" w:type="dxa"/>
          </w:tcPr>
          <w:p w:rsidR="00FD2000" w:rsidRPr="004D4D15" w:rsidRDefault="00FD2000" w:rsidP="001033EF">
            <w:pPr>
              <w:rPr>
                <w:rFonts w:ascii="Arial" w:hAnsi="Arial" w:cs="Arial"/>
                <w:b/>
              </w:rPr>
            </w:pPr>
          </w:p>
        </w:tc>
        <w:tc>
          <w:tcPr>
            <w:tcW w:w="522" w:type="dxa"/>
          </w:tcPr>
          <w:p w:rsidR="00FD2000" w:rsidRPr="009D3891" w:rsidRDefault="005E59C7" w:rsidP="001033EF">
            <w:pPr>
              <w:rPr>
                <w:rFonts w:ascii="Arial" w:hAnsi="Arial" w:cs="Arial"/>
                <w:sz w:val="20"/>
                <w:szCs w:val="20"/>
              </w:rPr>
            </w:pPr>
            <w:r>
              <w:rPr>
                <w:rFonts w:ascii="Arial" w:hAnsi="Arial" w:cs="Arial"/>
                <w:sz w:val="20"/>
                <w:szCs w:val="20"/>
              </w:rPr>
              <w:t>2.3</w:t>
            </w:r>
          </w:p>
        </w:tc>
        <w:tc>
          <w:tcPr>
            <w:tcW w:w="4253" w:type="dxa"/>
          </w:tcPr>
          <w:p w:rsidR="00FD2000" w:rsidRDefault="004D4D15" w:rsidP="001033EF">
            <w:pPr>
              <w:rPr>
                <w:rFonts w:ascii="Arial" w:hAnsi="Arial" w:cs="Arial"/>
              </w:rPr>
            </w:pPr>
            <w:r>
              <w:rPr>
                <w:rFonts w:ascii="Arial" w:hAnsi="Arial" w:cs="Arial"/>
              </w:rPr>
              <w:t>Work Breakdown Structure</w:t>
            </w:r>
          </w:p>
        </w:tc>
        <w:tc>
          <w:tcPr>
            <w:tcW w:w="1295" w:type="dxa"/>
          </w:tcPr>
          <w:p w:rsidR="00FD2000" w:rsidRPr="004D4D15" w:rsidRDefault="002B7E51" w:rsidP="005E59C7">
            <w:pPr>
              <w:rPr>
                <w:rFonts w:ascii="Arial" w:hAnsi="Arial" w:cs="Arial"/>
                <w:sz w:val="18"/>
                <w:szCs w:val="20"/>
              </w:rPr>
            </w:pPr>
            <w:hyperlink w:anchor="_Work_Breakdown_Structure" w:history="1">
              <w:r w:rsidR="005E59C7" w:rsidRPr="00092705">
                <w:rPr>
                  <w:rStyle w:val="Hyperlink"/>
                  <w:rFonts w:ascii="Arial" w:hAnsi="Arial" w:cs="Arial"/>
                  <w:sz w:val="18"/>
                  <w:szCs w:val="20"/>
                </w:rPr>
                <w:t>Pg.7</w:t>
              </w:r>
            </w:hyperlink>
          </w:p>
        </w:tc>
      </w:tr>
      <w:tr w:rsidR="00FD2000" w:rsidTr="004D4D15">
        <w:trPr>
          <w:jc w:val="center"/>
        </w:trPr>
        <w:tc>
          <w:tcPr>
            <w:tcW w:w="421" w:type="dxa"/>
          </w:tcPr>
          <w:p w:rsidR="00FD2000" w:rsidRPr="004D4D15" w:rsidRDefault="00FD2000" w:rsidP="001033EF">
            <w:pPr>
              <w:rPr>
                <w:rFonts w:ascii="Arial" w:hAnsi="Arial" w:cs="Arial"/>
                <w:b/>
              </w:rPr>
            </w:pPr>
          </w:p>
        </w:tc>
        <w:tc>
          <w:tcPr>
            <w:tcW w:w="522" w:type="dxa"/>
          </w:tcPr>
          <w:p w:rsidR="00FD2000" w:rsidRPr="009D3891" w:rsidRDefault="005E59C7" w:rsidP="001033EF">
            <w:pPr>
              <w:rPr>
                <w:rFonts w:ascii="Arial" w:hAnsi="Arial" w:cs="Arial"/>
                <w:sz w:val="20"/>
                <w:szCs w:val="20"/>
              </w:rPr>
            </w:pPr>
            <w:r>
              <w:rPr>
                <w:rFonts w:ascii="Arial" w:hAnsi="Arial" w:cs="Arial"/>
                <w:sz w:val="20"/>
                <w:szCs w:val="20"/>
              </w:rPr>
              <w:t>2.4</w:t>
            </w:r>
          </w:p>
        </w:tc>
        <w:tc>
          <w:tcPr>
            <w:tcW w:w="4253" w:type="dxa"/>
          </w:tcPr>
          <w:p w:rsidR="00FD2000" w:rsidRDefault="004D4D15" w:rsidP="001033EF">
            <w:pPr>
              <w:rPr>
                <w:rFonts w:ascii="Arial" w:hAnsi="Arial" w:cs="Arial"/>
              </w:rPr>
            </w:pPr>
            <w:r>
              <w:rPr>
                <w:rFonts w:ascii="Arial" w:hAnsi="Arial" w:cs="Arial"/>
              </w:rPr>
              <w:t>Project Scope</w:t>
            </w:r>
          </w:p>
        </w:tc>
        <w:tc>
          <w:tcPr>
            <w:tcW w:w="1295" w:type="dxa"/>
          </w:tcPr>
          <w:p w:rsidR="00FD2000" w:rsidRPr="004D4D15" w:rsidRDefault="002B7E51" w:rsidP="005E59C7">
            <w:pPr>
              <w:rPr>
                <w:rFonts w:ascii="Arial" w:hAnsi="Arial" w:cs="Arial"/>
                <w:sz w:val="18"/>
                <w:szCs w:val="20"/>
              </w:rPr>
            </w:pPr>
            <w:hyperlink w:anchor="_Project_Scope" w:history="1">
              <w:r w:rsidR="00FD2000" w:rsidRPr="00092705">
                <w:rPr>
                  <w:rStyle w:val="Hyperlink"/>
                  <w:rFonts w:ascii="Arial" w:hAnsi="Arial" w:cs="Arial"/>
                  <w:sz w:val="18"/>
                  <w:szCs w:val="20"/>
                </w:rPr>
                <w:t>Pg.</w:t>
              </w:r>
              <w:r w:rsidR="005E59C7" w:rsidRPr="00092705">
                <w:rPr>
                  <w:rStyle w:val="Hyperlink"/>
                  <w:rFonts w:ascii="Arial" w:hAnsi="Arial" w:cs="Arial"/>
                  <w:sz w:val="18"/>
                  <w:szCs w:val="20"/>
                </w:rPr>
                <w:t>7,8</w:t>
              </w:r>
            </w:hyperlink>
          </w:p>
        </w:tc>
      </w:tr>
      <w:tr w:rsidR="00FD2000" w:rsidTr="004D4D15">
        <w:trPr>
          <w:jc w:val="center"/>
        </w:trPr>
        <w:tc>
          <w:tcPr>
            <w:tcW w:w="421" w:type="dxa"/>
          </w:tcPr>
          <w:p w:rsidR="00FD2000" w:rsidRPr="004D4D15" w:rsidRDefault="005E59C7" w:rsidP="001033EF">
            <w:pPr>
              <w:rPr>
                <w:rFonts w:ascii="Arial" w:hAnsi="Arial" w:cs="Arial"/>
                <w:b/>
              </w:rPr>
            </w:pPr>
            <w:r w:rsidRPr="004D4D15">
              <w:rPr>
                <w:rFonts w:ascii="Arial" w:hAnsi="Arial" w:cs="Arial"/>
                <w:b/>
              </w:rPr>
              <w:t>3.</w:t>
            </w:r>
          </w:p>
        </w:tc>
        <w:tc>
          <w:tcPr>
            <w:tcW w:w="522" w:type="dxa"/>
          </w:tcPr>
          <w:p w:rsidR="00FD2000" w:rsidRPr="009D3891" w:rsidRDefault="00FD2000" w:rsidP="001033EF">
            <w:pPr>
              <w:rPr>
                <w:rFonts w:ascii="Arial" w:hAnsi="Arial" w:cs="Arial"/>
                <w:sz w:val="20"/>
                <w:szCs w:val="20"/>
              </w:rPr>
            </w:pPr>
          </w:p>
        </w:tc>
        <w:tc>
          <w:tcPr>
            <w:tcW w:w="4253" w:type="dxa"/>
          </w:tcPr>
          <w:p w:rsidR="00FD2000" w:rsidRDefault="004D4D15" w:rsidP="001033EF">
            <w:pPr>
              <w:rPr>
                <w:rFonts w:ascii="Arial" w:hAnsi="Arial" w:cs="Arial"/>
              </w:rPr>
            </w:pPr>
            <w:r>
              <w:rPr>
                <w:rFonts w:ascii="Arial" w:hAnsi="Arial" w:cs="Arial"/>
              </w:rPr>
              <w:t>Ishikawa Diagram</w:t>
            </w:r>
          </w:p>
        </w:tc>
        <w:tc>
          <w:tcPr>
            <w:tcW w:w="1295" w:type="dxa"/>
          </w:tcPr>
          <w:p w:rsidR="00FD2000" w:rsidRPr="004D4D15" w:rsidRDefault="002B7E51" w:rsidP="005E59C7">
            <w:pPr>
              <w:rPr>
                <w:rFonts w:ascii="Arial" w:hAnsi="Arial" w:cs="Arial"/>
                <w:sz w:val="18"/>
                <w:szCs w:val="20"/>
              </w:rPr>
            </w:pPr>
            <w:hyperlink w:anchor="_Ishikawa_Diagram" w:history="1">
              <w:r w:rsidR="00FD2000" w:rsidRPr="00092705">
                <w:rPr>
                  <w:rStyle w:val="Hyperlink"/>
                  <w:rFonts w:ascii="Arial" w:hAnsi="Arial" w:cs="Arial"/>
                  <w:sz w:val="18"/>
                  <w:szCs w:val="20"/>
                </w:rPr>
                <w:t>Pg.</w:t>
              </w:r>
              <w:r w:rsidR="005E59C7" w:rsidRPr="00092705">
                <w:rPr>
                  <w:rStyle w:val="Hyperlink"/>
                  <w:rFonts w:ascii="Arial" w:hAnsi="Arial" w:cs="Arial"/>
                  <w:sz w:val="18"/>
                  <w:szCs w:val="20"/>
                </w:rPr>
                <w:t>8</w:t>
              </w:r>
            </w:hyperlink>
          </w:p>
        </w:tc>
      </w:tr>
      <w:tr w:rsidR="00FD2000" w:rsidTr="004D4D15">
        <w:trPr>
          <w:jc w:val="center"/>
        </w:trPr>
        <w:tc>
          <w:tcPr>
            <w:tcW w:w="421" w:type="dxa"/>
          </w:tcPr>
          <w:p w:rsidR="00FD2000" w:rsidRPr="004D4D15" w:rsidRDefault="00FD2000" w:rsidP="001033EF">
            <w:pPr>
              <w:rPr>
                <w:rFonts w:ascii="Arial" w:hAnsi="Arial" w:cs="Arial"/>
                <w:b/>
              </w:rPr>
            </w:pPr>
          </w:p>
        </w:tc>
        <w:tc>
          <w:tcPr>
            <w:tcW w:w="522" w:type="dxa"/>
          </w:tcPr>
          <w:p w:rsidR="00FD2000" w:rsidRPr="005E59C7" w:rsidRDefault="005E59C7" w:rsidP="001033EF">
            <w:pPr>
              <w:rPr>
                <w:rFonts w:ascii="Arial" w:hAnsi="Arial" w:cs="Arial"/>
                <w:sz w:val="20"/>
              </w:rPr>
            </w:pPr>
            <w:r w:rsidRPr="005E59C7">
              <w:rPr>
                <w:rFonts w:ascii="Arial" w:hAnsi="Arial" w:cs="Arial"/>
                <w:sz w:val="20"/>
              </w:rPr>
              <w:t>3.1</w:t>
            </w:r>
          </w:p>
        </w:tc>
        <w:tc>
          <w:tcPr>
            <w:tcW w:w="4253" w:type="dxa"/>
          </w:tcPr>
          <w:p w:rsidR="00FD2000" w:rsidRDefault="004D4D15" w:rsidP="001033EF">
            <w:pPr>
              <w:rPr>
                <w:rFonts w:ascii="Arial" w:hAnsi="Arial" w:cs="Arial"/>
              </w:rPr>
            </w:pPr>
            <w:r>
              <w:rPr>
                <w:rFonts w:ascii="Arial" w:hAnsi="Arial" w:cs="Arial"/>
              </w:rPr>
              <w:t>Risk Assessment</w:t>
            </w:r>
          </w:p>
        </w:tc>
        <w:tc>
          <w:tcPr>
            <w:tcW w:w="1295" w:type="dxa"/>
          </w:tcPr>
          <w:p w:rsidR="00FD2000" w:rsidRPr="004D4D15" w:rsidRDefault="002B7E51" w:rsidP="005E59C7">
            <w:pPr>
              <w:rPr>
                <w:rFonts w:ascii="Arial" w:hAnsi="Arial" w:cs="Arial"/>
                <w:sz w:val="18"/>
                <w:szCs w:val="20"/>
              </w:rPr>
            </w:pPr>
            <w:hyperlink w:anchor="_Risk_Assessment" w:history="1">
              <w:r w:rsidR="00FD2000" w:rsidRPr="00092705">
                <w:rPr>
                  <w:rStyle w:val="Hyperlink"/>
                  <w:rFonts w:ascii="Arial" w:hAnsi="Arial" w:cs="Arial"/>
                  <w:sz w:val="18"/>
                  <w:szCs w:val="20"/>
                </w:rPr>
                <w:t>Pg.</w:t>
              </w:r>
              <w:r w:rsidR="005E59C7" w:rsidRPr="00092705">
                <w:rPr>
                  <w:rStyle w:val="Hyperlink"/>
                  <w:rFonts w:ascii="Arial" w:hAnsi="Arial" w:cs="Arial"/>
                  <w:sz w:val="18"/>
                  <w:szCs w:val="20"/>
                </w:rPr>
                <w:t>9</w:t>
              </w:r>
            </w:hyperlink>
          </w:p>
        </w:tc>
      </w:tr>
      <w:tr w:rsidR="00FD2000" w:rsidTr="004D4D15">
        <w:trPr>
          <w:jc w:val="center"/>
        </w:trPr>
        <w:tc>
          <w:tcPr>
            <w:tcW w:w="421" w:type="dxa"/>
          </w:tcPr>
          <w:p w:rsidR="00FD2000" w:rsidRPr="004D4D15" w:rsidRDefault="005E59C7" w:rsidP="001033EF">
            <w:pPr>
              <w:rPr>
                <w:rFonts w:ascii="Arial" w:hAnsi="Arial" w:cs="Arial"/>
                <w:b/>
              </w:rPr>
            </w:pPr>
            <w:r w:rsidRPr="004D4D15">
              <w:rPr>
                <w:rFonts w:ascii="Arial" w:hAnsi="Arial" w:cs="Arial"/>
                <w:b/>
              </w:rPr>
              <w:t>4.</w:t>
            </w:r>
          </w:p>
        </w:tc>
        <w:tc>
          <w:tcPr>
            <w:tcW w:w="522" w:type="dxa"/>
          </w:tcPr>
          <w:p w:rsidR="00FD2000" w:rsidRDefault="00FD2000" w:rsidP="001033EF">
            <w:pPr>
              <w:rPr>
                <w:rFonts w:ascii="Arial" w:hAnsi="Arial" w:cs="Arial"/>
              </w:rPr>
            </w:pPr>
          </w:p>
        </w:tc>
        <w:tc>
          <w:tcPr>
            <w:tcW w:w="4253" w:type="dxa"/>
          </w:tcPr>
          <w:p w:rsidR="00FD2000" w:rsidRDefault="004D4D15" w:rsidP="001033EF">
            <w:pPr>
              <w:rPr>
                <w:rFonts w:ascii="Arial" w:hAnsi="Arial" w:cs="Arial"/>
              </w:rPr>
            </w:pPr>
            <w:r>
              <w:rPr>
                <w:rFonts w:ascii="Arial" w:hAnsi="Arial" w:cs="Arial"/>
              </w:rPr>
              <w:t>Gantt Chart</w:t>
            </w:r>
          </w:p>
        </w:tc>
        <w:tc>
          <w:tcPr>
            <w:tcW w:w="1295" w:type="dxa"/>
          </w:tcPr>
          <w:p w:rsidR="00FD2000" w:rsidRPr="004D4D15" w:rsidRDefault="002B7E51" w:rsidP="001033EF">
            <w:pPr>
              <w:rPr>
                <w:rFonts w:ascii="Arial" w:hAnsi="Arial" w:cs="Arial"/>
                <w:sz w:val="18"/>
                <w:szCs w:val="20"/>
              </w:rPr>
            </w:pPr>
            <w:hyperlink w:anchor="_Gantt_Chart" w:history="1">
              <w:r w:rsidR="004D4D15" w:rsidRPr="00092705">
                <w:rPr>
                  <w:rStyle w:val="Hyperlink"/>
                  <w:rFonts w:ascii="Arial" w:hAnsi="Arial" w:cs="Arial"/>
                  <w:sz w:val="18"/>
                  <w:szCs w:val="20"/>
                </w:rPr>
                <w:t>Pg.</w:t>
              </w:r>
              <w:r w:rsidR="00FD2000" w:rsidRPr="00092705">
                <w:rPr>
                  <w:rStyle w:val="Hyperlink"/>
                  <w:rFonts w:ascii="Arial" w:hAnsi="Arial" w:cs="Arial"/>
                  <w:sz w:val="18"/>
                  <w:szCs w:val="20"/>
                </w:rPr>
                <w:t>9</w:t>
              </w:r>
            </w:hyperlink>
          </w:p>
        </w:tc>
      </w:tr>
      <w:tr w:rsidR="00FD2000" w:rsidTr="004D4D15">
        <w:trPr>
          <w:jc w:val="center"/>
        </w:trPr>
        <w:tc>
          <w:tcPr>
            <w:tcW w:w="421" w:type="dxa"/>
          </w:tcPr>
          <w:p w:rsidR="00FD2000" w:rsidRPr="004D4D15" w:rsidRDefault="005E59C7" w:rsidP="001033EF">
            <w:pPr>
              <w:rPr>
                <w:rFonts w:ascii="Arial" w:hAnsi="Arial" w:cs="Arial"/>
                <w:b/>
              </w:rPr>
            </w:pPr>
            <w:r w:rsidRPr="004D4D15">
              <w:rPr>
                <w:rFonts w:ascii="Arial" w:hAnsi="Arial" w:cs="Arial"/>
                <w:b/>
              </w:rPr>
              <w:t>5.</w:t>
            </w:r>
          </w:p>
        </w:tc>
        <w:tc>
          <w:tcPr>
            <w:tcW w:w="522" w:type="dxa"/>
          </w:tcPr>
          <w:p w:rsidR="00FD2000" w:rsidRDefault="00FD2000" w:rsidP="001033EF">
            <w:pPr>
              <w:rPr>
                <w:rFonts w:ascii="Arial" w:hAnsi="Arial" w:cs="Arial"/>
              </w:rPr>
            </w:pPr>
          </w:p>
        </w:tc>
        <w:tc>
          <w:tcPr>
            <w:tcW w:w="4253" w:type="dxa"/>
          </w:tcPr>
          <w:p w:rsidR="00FD2000" w:rsidRDefault="004D4D15" w:rsidP="001033EF">
            <w:pPr>
              <w:rPr>
                <w:rFonts w:ascii="Arial" w:hAnsi="Arial" w:cs="Arial"/>
              </w:rPr>
            </w:pPr>
            <w:r>
              <w:rPr>
                <w:rFonts w:ascii="Arial" w:hAnsi="Arial" w:cs="Arial"/>
              </w:rPr>
              <w:t>Conclusion</w:t>
            </w:r>
          </w:p>
        </w:tc>
        <w:tc>
          <w:tcPr>
            <w:tcW w:w="1295" w:type="dxa"/>
          </w:tcPr>
          <w:p w:rsidR="00FD2000" w:rsidRPr="004D4D15" w:rsidRDefault="002B7E51" w:rsidP="004D4D15">
            <w:pPr>
              <w:rPr>
                <w:rFonts w:ascii="Arial" w:hAnsi="Arial" w:cs="Arial"/>
                <w:sz w:val="18"/>
                <w:szCs w:val="20"/>
              </w:rPr>
            </w:pPr>
            <w:hyperlink w:anchor="_Conclusion" w:history="1">
              <w:r w:rsidR="00FD2000" w:rsidRPr="00092705">
                <w:rPr>
                  <w:rStyle w:val="Hyperlink"/>
                  <w:rFonts w:ascii="Arial" w:hAnsi="Arial" w:cs="Arial"/>
                  <w:sz w:val="18"/>
                  <w:szCs w:val="20"/>
                </w:rPr>
                <w:t>Pg.</w:t>
              </w:r>
              <w:r w:rsidR="004D4D15" w:rsidRPr="00092705">
                <w:rPr>
                  <w:rStyle w:val="Hyperlink"/>
                  <w:rFonts w:ascii="Arial" w:hAnsi="Arial" w:cs="Arial"/>
                  <w:sz w:val="18"/>
                  <w:szCs w:val="20"/>
                </w:rPr>
                <w:t>10</w:t>
              </w:r>
            </w:hyperlink>
          </w:p>
        </w:tc>
      </w:tr>
      <w:tr w:rsidR="00FD2000" w:rsidTr="004D4D15">
        <w:trPr>
          <w:jc w:val="center"/>
        </w:trPr>
        <w:tc>
          <w:tcPr>
            <w:tcW w:w="421" w:type="dxa"/>
          </w:tcPr>
          <w:p w:rsidR="00FD2000" w:rsidRDefault="00FD2000" w:rsidP="001033EF">
            <w:pPr>
              <w:rPr>
                <w:rFonts w:ascii="Arial" w:hAnsi="Arial" w:cs="Arial"/>
              </w:rPr>
            </w:pPr>
          </w:p>
        </w:tc>
        <w:tc>
          <w:tcPr>
            <w:tcW w:w="522" w:type="dxa"/>
          </w:tcPr>
          <w:p w:rsidR="00FD2000" w:rsidRDefault="00FD2000" w:rsidP="001033EF">
            <w:pPr>
              <w:rPr>
                <w:rFonts w:ascii="Arial" w:hAnsi="Arial" w:cs="Arial"/>
              </w:rPr>
            </w:pPr>
          </w:p>
        </w:tc>
        <w:tc>
          <w:tcPr>
            <w:tcW w:w="4253" w:type="dxa"/>
          </w:tcPr>
          <w:p w:rsidR="00FD2000" w:rsidRDefault="004D4D15" w:rsidP="001033EF">
            <w:pPr>
              <w:rPr>
                <w:rFonts w:ascii="Arial" w:hAnsi="Arial" w:cs="Arial"/>
              </w:rPr>
            </w:pPr>
            <w:r>
              <w:rPr>
                <w:rFonts w:ascii="Arial" w:hAnsi="Arial" w:cs="Arial"/>
              </w:rPr>
              <w:t>References</w:t>
            </w:r>
          </w:p>
        </w:tc>
        <w:tc>
          <w:tcPr>
            <w:tcW w:w="1295" w:type="dxa"/>
          </w:tcPr>
          <w:p w:rsidR="00FD2000" w:rsidRPr="004D4D15" w:rsidRDefault="002B7E51" w:rsidP="001033EF">
            <w:pPr>
              <w:rPr>
                <w:rFonts w:ascii="Arial" w:hAnsi="Arial" w:cs="Arial"/>
                <w:sz w:val="18"/>
                <w:szCs w:val="20"/>
              </w:rPr>
            </w:pPr>
            <w:hyperlink w:anchor="_References" w:history="1">
              <w:r w:rsidR="004D4D15" w:rsidRPr="00092705">
                <w:rPr>
                  <w:rStyle w:val="Hyperlink"/>
                  <w:rFonts w:ascii="Arial" w:hAnsi="Arial" w:cs="Arial"/>
                  <w:sz w:val="18"/>
                  <w:szCs w:val="20"/>
                </w:rPr>
                <w:t>Pg.11</w:t>
              </w:r>
            </w:hyperlink>
          </w:p>
        </w:tc>
      </w:tr>
      <w:tr w:rsidR="00FD2000" w:rsidTr="004D4D15">
        <w:trPr>
          <w:jc w:val="center"/>
        </w:trPr>
        <w:tc>
          <w:tcPr>
            <w:tcW w:w="421" w:type="dxa"/>
          </w:tcPr>
          <w:p w:rsidR="00FD2000" w:rsidRDefault="00FD2000" w:rsidP="001033EF">
            <w:pPr>
              <w:rPr>
                <w:rFonts w:ascii="Arial" w:hAnsi="Arial" w:cs="Arial"/>
              </w:rPr>
            </w:pPr>
          </w:p>
        </w:tc>
        <w:tc>
          <w:tcPr>
            <w:tcW w:w="522" w:type="dxa"/>
          </w:tcPr>
          <w:p w:rsidR="00FD2000" w:rsidRDefault="00FD2000" w:rsidP="001033EF">
            <w:pPr>
              <w:rPr>
                <w:rFonts w:ascii="Arial" w:hAnsi="Arial" w:cs="Arial"/>
              </w:rPr>
            </w:pPr>
          </w:p>
        </w:tc>
        <w:tc>
          <w:tcPr>
            <w:tcW w:w="4253" w:type="dxa"/>
          </w:tcPr>
          <w:p w:rsidR="00FD2000" w:rsidRDefault="004D4D15" w:rsidP="001033EF">
            <w:pPr>
              <w:rPr>
                <w:rFonts w:ascii="Arial" w:hAnsi="Arial" w:cs="Arial"/>
              </w:rPr>
            </w:pPr>
            <w:r>
              <w:rPr>
                <w:rFonts w:ascii="Arial" w:hAnsi="Arial" w:cs="Arial"/>
              </w:rPr>
              <w:t>Appendices</w:t>
            </w:r>
          </w:p>
        </w:tc>
        <w:tc>
          <w:tcPr>
            <w:tcW w:w="1295" w:type="dxa"/>
          </w:tcPr>
          <w:p w:rsidR="00FD2000" w:rsidRPr="004D4D15" w:rsidRDefault="002B7E51" w:rsidP="004D4D15">
            <w:pPr>
              <w:rPr>
                <w:rFonts w:ascii="Arial" w:hAnsi="Arial" w:cs="Arial"/>
                <w:sz w:val="18"/>
                <w:szCs w:val="20"/>
              </w:rPr>
            </w:pPr>
            <w:hyperlink w:anchor="_Appendices" w:history="1">
              <w:r w:rsidR="004D4D15" w:rsidRPr="00092705">
                <w:rPr>
                  <w:rStyle w:val="Hyperlink"/>
                  <w:rFonts w:ascii="Arial" w:hAnsi="Arial" w:cs="Arial"/>
                  <w:sz w:val="18"/>
                  <w:szCs w:val="20"/>
                </w:rPr>
                <w:t>Pg.12-16</w:t>
              </w:r>
            </w:hyperlink>
          </w:p>
        </w:tc>
      </w:tr>
      <w:tr w:rsidR="00FD2000" w:rsidTr="004D4D15">
        <w:trPr>
          <w:jc w:val="center"/>
        </w:trPr>
        <w:tc>
          <w:tcPr>
            <w:tcW w:w="421" w:type="dxa"/>
          </w:tcPr>
          <w:p w:rsidR="00FD2000" w:rsidRDefault="00FD2000" w:rsidP="001033EF">
            <w:pPr>
              <w:rPr>
                <w:rFonts w:ascii="Arial" w:hAnsi="Arial" w:cs="Arial"/>
              </w:rPr>
            </w:pPr>
          </w:p>
        </w:tc>
        <w:tc>
          <w:tcPr>
            <w:tcW w:w="522" w:type="dxa"/>
          </w:tcPr>
          <w:p w:rsidR="00FD2000" w:rsidRDefault="00FD2000" w:rsidP="001033EF">
            <w:pPr>
              <w:rPr>
                <w:rFonts w:ascii="Arial" w:hAnsi="Arial" w:cs="Arial"/>
              </w:rPr>
            </w:pPr>
          </w:p>
        </w:tc>
        <w:tc>
          <w:tcPr>
            <w:tcW w:w="4253" w:type="dxa"/>
          </w:tcPr>
          <w:p w:rsidR="00FD2000" w:rsidRDefault="00FD2000" w:rsidP="001033EF">
            <w:pPr>
              <w:rPr>
                <w:rFonts w:ascii="Arial" w:hAnsi="Arial" w:cs="Arial"/>
              </w:rPr>
            </w:pPr>
          </w:p>
        </w:tc>
        <w:tc>
          <w:tcPr>
            <w:tcW w:w="1295" w:type="dxa"/>
          </w:tcPr>
          <w:p w:rsidR="00FD2000" w:rsidRPr="009D3891" w:rsidRDefault="00FD2000" w:rsidP="001033EF">
            <w:pPr>
              <w:rPr>
                <w:rFonts w:ascii="Arial" w:hAnsi="Arial" w:cs="Arial"/>
                <w:sz w:val="20"/>
                <w:szCs w:val="20"/>
              </w:rPr>
            </w:pPr>
          </w:p>
        </w:tc>
      </w:tr>
    </w:tbl>
    <w:p w:rsidR="00FD2000" w:rsidRDefault="00FD2000" w:rsidP="00FD2000">
      <w:pPr>
        <w:rPr>
          <w:rFonts w:ascii="Arial" w:eastAsia="Times New Roman" w:hAnsi="Arial" w:cs="Arial"/>
          <w:color w:val="2E74B5" w:themeColor="accent1" w:themeShade="BF"/>
        </w:rPr>
      </w:pPr>
    </w:p>
    <w:p w:rsidR="00FD2000" w:rsidRDefault="00FD2000" w:rsidP="00FD2000">
      <w:pPr>
        <w:rPr>
          <w:rFonts w:eastAsia="Times New Roman"/>
        </w:rPr>
      </w:pPr>
      <w:r>
        <w:rPr>
          <w:rFonts w:eastAsia="Times New Roman"/>
        </w:rPr>
        <w:br w:type="page"/>
      </w:r>
    </w:p>
    <w:p w:rsidR="00FD2000" w:rsidRPr="00895412" w:rsidRDefault="00FD2000" w:rsidP="00895412">
      <w:pPr>
        <w:pStyle w:val="Heading1"/>
        <w:numPr>
          <w:ilvl w:val="0"/>
          <w:numId w:val="27"/>
        </w:numPr>
        <w:spacing w:line="360" w:lineRule="auto"/>
        <w:rPr>
          <w:rFonts w:ascii="Arial" w:eastAsia="Times New Roman" w:hAnsi="Arial" w:cs="Arial"/>
          <w:sz w:val="22"/>
        </w:rPr>
      </w:pPr>
      <w:bookmarkStart w:id="0" w:name="_Executive_Summary"/>
      <w:bookmarkEnd w:id="0"/>
      <w:r w:rsidRPr="00895412">
        <w:rPr>
          <w:rFonts w:ascii="Arial" w:eastAsia="Times New Roman" w:hAnsi="Arial" w:cs="Arial"/>
          <w:sz w:val="22"/>
        </w:rPr>
        <w:lastRenderedPageBreak/>
        <w:t>Executive Summary</w:t>
      </w:r>
    </w:p>
    <w:p w:rsidR="004A0D02" w:rsidRDefault="004A0D02" w:rsidP="00895412">
      <w:pPr>
        <w:spacing w:line="360" w:lineRule="auto"/>
      </w:pPr>
    </w:p>
    <w:p w:rsidR="004A0D02" w:rsidRDefault="004A0D02" w:rsidP="00895412">
      <w:pPr>
        <w:spacing w:line="360" w:lineRule="auto"/>
        <w:rPr>
          <w:rFonts w:ascii="Arial" w:hAnsi="Arial" w:cs="Arial"/>
        </w:rPr>
      </w:pPr>
      <w:r>
        <w:rPr>
          <w:rFonts w:ascii="Arial" w:hAnsi="Arial" w:cs="Arial"/>
        </w:rPr>
        <w:t>The sudden impact of Covid-19 prompted essential food organisations to act wit</w:t>
      </w:r>
      <w:r w:rsidR="00D04059">
        <w:rPr>
          <w:rFonts w:ascii="Arial" w:hAnsi="Arial" w:cs="Arial"/>
        </w:rPr>
        <w:t>h immediate effect, ensuring</w:t>
      </w:r>
      <w:r>
        <w:rPr>
          <w:rFonts w:ascii="Arial" w:hAnsi="Arial" w:cs="Arial"/>
        </w:rPr>
        <w:t xml:space="preserve"> all its staff, employees and members of the public were safe and protected in the operation of services. </w:t>
      </w:r>
    </w:p>
    <w:p w:rsidR="004A0D02" w:rsidRDefault="00D04059" w:rsidP="00895412">
      <w:pPr>
        <w:spacing w:line="360" w:lineRule="auto"/>
        <w:rPr>
          <w:rFonts w:ascii="Arial" w:hAnsi="Arial" w:cs="Arial"/>
        </w:rPr>
      </w:pPr>
      <w:r>
        <w:rPr>
          <w:rFonts w:ascii="Arial" w:hAnsi="Arial" w:cs="Arial"/>
        </w:rPr>
        <w:t xml:space="preserve">A project manager was assigned to manage and lead a project management team, to assist with the planning and communication of returning to work post Covid-19. To execute this smoothly, a high-level of PMI knowledge and skills, including the use of tools and techniques was required. A completed stakeholder analysis, identified </w:t>
      </w:r>
      <w:proofErr w:type="spellStart"/>
      <w:r>
        <w:rPr>
          <w:rFonts w:ascii="Arial" w:hAnsi="Arial" w:cs="Arial"/>
        </w:rPr>
        <w:t>Eggfree</w:t>
      </w:r>
      <w:proofErr w:type="spellEnd"/>
      <w:r>
        <w:rPr>
          <w:rFonts w:ascii="Arial" w:hAnsi="Arial" w:cs="Arial"/>
        </w:rPr>
        <w:t xml:space="preserve"> Cake Box’s most important to least important stakeholders, to ensure that they are being included with the planning process via the appropriate form of communication. Additionally, we use the QUAD chart tool to give a brief breakdown on the project’s purpose, customers, desired outcome and </w:t>
      </w:r>
      <w:r w:rsidR="005F7FB6">
        <w:rPr>
          <w:rFonts w:ascii="Arial" w:hAnsi="Arial" w:cs="Arial"/>
        </w:rPr>
        <w:t>how we will measure the success of this project. To ensure that the project management team gets the resources required to complete the deliverables of the project and have the budget approved, it is important that a project scope</w:t>
      </w:r>
      <w:r w:rsidR="009043A1">
        <w:rPr>
          <w:rFonts w:ascii="Arial" w:hAnsi="Arial" w:cs="Arial"/>
        </w:rPr>
        <w:t xml:space="preserve"> and work breakdown structure</w:t>
      </w:r>
      <w:r w:rsidR="005F7FB6">
        <w:rPr>
          <w:rFonts w:ascii="Arial" w:hAnsi="Arial" w:cs="Arial"/>
        </w:rPr>
        <w:t xml:space="preserve"> is created to outline the exact</w:t>
      </w:r>
      <w:r w:rsidR="009043A1">
        <w:rPr>
          <w:rFonts w:ascii="Arial" w:hAnsi="Arial" w:cs="Arial"/>
        </w:rPr>
        <w:t xml:space="preserve"> plan, duration and time-frame to achieve the overall goal. </w:t>
      </w:r>
    </w:p>
    <w:p w:rsidR="009043A1" w:rsidRPr="004A0D02" w:rsidRDefault="009043A1" w:rsidP="00895412">
      <w:pPr>
        <w:spacing w:line="360" w:lineRule="auto"/>
        <w:rPr>
          <w:rFonts w:ascii="Arial" w:hAnsi="Arial" w:cs="Arial"/>
        </w:rPr>
      </w:pPr>
      <w:r>
        <w:rPr>
          <w:rFonts w:ascii="Arial" w:hAnsi="Arial" w:cs="Arial"/>
        </w:rPr>
        <w:t>Due to the nature of the organisation and operation of services, the project will need to be risk assessed. A risk assessment document can be produced after using the Ishikawa tool to look at the cause and effects of contracting and spreading the coronavirus. Overall, all information will be inputted into a Gantt’s chart to allow each team member access to tracking and ensuring that they are on task and on time with deliverables</w:t>
      </w:r>
      <w:r w:rsidR="00895412">
        <w:rPr>
          <w:rFonts w:ascii="Arial" w:hAnsi="Arial" w:cs="Arial"/>
        </w:rPr>
        <w:t xml:space="preserve"> whilst staying within budget</w:t>
      </w:r>
      <w:r>
        <w:rPr>
          <w:rFonts w:ascii="Arial" w:hAnsi="Arial" w:cs="Arial"/>
        </w:rPr>
        <w:t>. Should any delays or setbacks occur, all o</w:t>
      </w:r>
      <w:r w:rsidR="00895412">
        <w:rPr>
          <w:rFonts w:ascii="Arial" w:hAnsi="Arial" w:cs="Arial"/>
        </w:rPr>
        <w:t>f these documents can be us</w:t>
      </w:r>
      <w:r>
        <w:rPr>
          <w:rFonts w:ascii="Arial" w:hAnsi="Arial" w:cs="Arial"/>
        </w:rPr>
        <w:t>ed to make adjustments accordingly</w:t>
      </w:r>
      <w:r w:rsidR="00895412">
        <w:rPr>
          <w:rFonts w:ascii="Arial" w:hAnsi="Arial" w:cs="Arial"/>
        </w:rPr>
        <w:t>, as well as inform the board of directors of changes</w:t>
      </w:r>
      <w:r>
        <w:rPr>
          <w:rFonts w:ascii="Arial" w:hAnsi="Arial" w:cs="Arial"/>
        </w:rPr>
        <w:t>.</w:t>
      </w:r>
    </w:p>
    <w:p w:rsidR="00FD2000" w:rsidRDefault="00FD2000" w:rsidP="00FD2000"/>
    <w:p w:rsidR="00895412" w:rsidRPr="00FD2000" w:rsidRDefault="00895412" w:rsidP="00895412">
      <w:pPr>
        <w:spacing w:after="160" w:line="259" w:lineRule="auto"/>
      </w:pPr>
      <w:r>
        <w:br w:type="page"/>
      </w:r>
    </w:p>
    <w:p w:rsidR="004F3753" w:rsidRPr="004F3753" w:rsidRDefault="004F3753" w:rsidP="002B2DEC">
      <w:pPr>
        <w:pStyle w:val="Heading1"/>
        <w:numPr>
          <w:ilvl w:val="1"/>
          <w:numId w:val="25"/>
        </w:numPr>
        <w:spacing w:line="360" w:lineRule="auto"/>
        <w:rPr>
          <w:rFonts w:ascii="Arial" w:eastAsia="Times New Roman" w:hAnsi="Arial" w:cs="Arial"/>
          <w:sz w:val="22"/>
          <w:szCs w:val="22"/>
        </w:rPr>
      </w:pPr>
      <w:bookmarkStart w:id="1" w:name="_Introduction"/>
      <w:bookmarkEnd w:id="1"/>
      <w:r>
        <w:rPr>
          <w:rFonts w:ascii="Arial" w:eastAsia="Times New Roman" w:hAnsi="Arial" w:cs="Arial"/>
          <w:sz w:val="22"/>
          <w:szCs w:val="22"/>
        </w:rPr>
        <w:lastRenderedPageBreak/>
        <w:t>Introduction</w:t>
      </w:r>
    </w:p>
    <w:p w:rsidR="004A5DF2" w:rsidRPr="003C3426" w:rsidRDefault="004A5DF2" w:rsidP="003C3426">
      <w:pPr>
        <w:spacing w:line="360" w:lineRule="auto"/>
        <w:rPr>
          <w:rFonts w:ascii="Arial" w:eastAsia="Times New Roman" w:hAnsi="Arial" w:cs="Arial"/>
          <w:color w:val="000000"/>
        </w:rPr>
      </w:pPr>
    </w:p>
    <w:p w:rsidR="004A5DF2" w:rsidRDefault="004A5DF2" w:rsidP="003C3426">
      <w:pPr>
        <w:spacing w:line="360" w:lineRule="auto"/>
        <w:rPr>
          <w:rFonts w:ascii="Arial" w:eastAsia="Times New Roman" w:hAnsi="Arial" w:cs="Arial"/>
          <w:color w:val="000000"/>
        </w:rPr>
      </w:pPr>
      <w:r w:rsidRPr="003C3426">
        <w:rPr>
          <w:rFonts w:ascii="Arial" w:eastAsia="Times New Roman" w:hAnsi="Arial" w:cs="Arial"/>
          <w:color w:val="000000"/>
        </w:rPr>
        <w:t>In this report, we will be looking at Britain's leading cake franchise, Eggfree Cake Box. This organisation was founded in 2018 by Chief Executive Officer Sukh Chamdal, who set off with a mission to serve the UK market with scrumptious celebration cakes, with an eggfree recipe. The organisation is now operating around 157 franchise stores and expanding by implementing kiosks in supermarkets and shopping centres. </w:t>
      </w:r>
    </w:p>
    <w:p w:rsidR="004A5DF2" w:rsidRDefault="00A22BA6" w:rsidP="003C3426">
      <w:pPr>
        <w:spacing w:line="360" w:lineRule="auto"/>
        <w:rPr>
          <w:rFonts w:ascii="Arial" w:hAnsi="Arial" w:cs="Arial"/>
        </w:rPr>
      </w:pPr>
      <w:r w:rsidRPr="003C3426">
        <w:rPr>
          <w:rFonts w:ascii="Arial" w:hAnsi="Arial" w:cs="Arial"/>
        </w:rPr>
        <w:t>The pandemic impacted on business and individuals worldwide, and despite the sudden disruption towards the end of their financial year (March 2020,) Cake Box continued to increase revenue by 11% from £16.9m to £18.7m. The brand immediately put planning into place so that they can continue to fulfil orders pending before the Pandemic, as well as generate new orders. This meant that Cake Box required a strategic plan to get employees back to work and franchises open, taking into account all Government and NHS health and safety guidelines as well as new and updated guidelines provided by the Food Standards Agency (FSA.) Additionally, there was no doubt that some employees will be reluctant to return to work, having developed physical, emotional and mental health since the lockdown. This would also impact on workplace relationships, when the contrast in views and opinions amongst staff and employees become a topic of discussion.</w:t>
      </w:r>
    </w:p>
    <w:p w:rsidR="00A22BA6" w:rsidRPr="00A22BA6" w:rsidRDefault="00A22BA6" w:rsidP="003C3426">
      <w:pPr>
        <w:spacing w:line="360" w:lineRule="auto"/>
        <w:rPr>
          <w:rFonts w:ascii="Arial" w:hAnsi="Arial" w:cs="Arial"/>
        </w:rPr>
      </w:pPr>
    </w:p>
    <w:p w:rsidR="004A5DF2" w:rsidRPr="003C3426" w:rsidRDefault="004A5DF2" w:rsidP="003C3426">
      <w:pPr>
        <w:spacing w:line="360" w:lineRule="auto"/>
        <w:rPr>
          <w:rFonts w:ascii="Arial" w:eastAsia="Times New Roman" w:hAnsi="Arial" w:cs="Arial"/>
          <w:color w:val="000000"/>
        </w:rPr>
      </w:pPr>
      <w:r w:rsidRPr="003C3426">
        <w:rPr>
          <w:rFonts w:ascii="Arial" w:eastAsia="Times New Roman" w:hAnsi="Arial" w:cs="Arial"/>
          <w:color w:val="000000"/>
        </w:rPr>
        <w:t xml:space="preserve">In the first section </w:t>
      </w:r>
      <w:r w:rsidR="00A22BA6">
        <w:rPr>
          <w:rFonts w:ascii="Arial" w:eastAsia="Times New Roman" w:hAnsi="Arial" w:cs="Arial"/>
          <w:color w:val="000000"/>
        </w:rPr>
        <w:t xml:space="preserve">of this report, we will look </w:t>
      </w:r>
      <w:r w:rsidRPr="003C3426">
        <w:rPr>
          <w:rFonts w:ascii="Arial" w:eastAsia="Times New Roman" w:hAnsi="Arial" w:cs="Arial"/>
          <w:color w:val="000000"/>
        </w:rPr>
        <w:t>at the plan of action that needs to be implemented through developing a project plan that is required for management to return employees to work effective immediately. </w:t>
      </w:r>
    </w:p>
    <w:p w:rsidR="004A5DF2" w:rsidRPr="003C3426" w:rsidRDefault="004A5DF2" w:rsidP="003C3426">
      <w:pPr>
        <w:spacing w:line="360" w:lineRule="auto"/>
        <w:rPr>
          <w:rFonts w:ascii="Arial" w:eastAsia="Times New Roman" w:hAnsi="Arial" w:cs="Arial"/>
          <w:color w:val="000000"/>
        </w:rPr>
      </w:pPr>
      <w:r w:rsidRPr="003C3426">
        <w:rPr>
          <w:rFonts w:ascii="Arial" w:eastAsia="Times New Roman" w:hAnsi="Arial" w:cs="Arial"/>
          <w:color w:val="000000"/>
        </w:rPr>
        <w:t xml:space="preserve">To do this we will create a Project Scope to identify the connection between the objective and the action required to obtain it. A Stakeholder Analysis </w:t>
      </w:r>
      <w:r w:rsidR="00FD2A20">
        <w:rPr>
          <w:rFonts w:ascii="Arial" w:eastAsia="Times New Roman" w:hAnsi="Arial" w:cs="Arial"/>
          <w:color w:val="000000"/>
        </w:rPr>
        <w:t>will be completed</w:t>
      </w:r>
      <w:r w:rsidRPr="003C3426">
        <w:rPr>
          <w:rFonts w:ascii="Arial" w:eastAsia="Times New Roman" w:hAnsi="Arial" w:cs="Arial"/>
          <w:color w:val="000000"/>
        </w:rPr>
        <w:t xml:space="preserve"> to identify the key individuals that are required for this project planning process, so that we can have guaranteed involvement and commitment, to avoid any disruptions that could have an adverse impact or cause delays on obtaining the main goal within the desired deadline.</w:t>
      </w:r>
    </w:p>
    <w:p w:rsidR="004A5DF2" w:rsidRPr="003C3426" w:rsidRDefault="004A5DF2" w:rsidP="003C3426">
      <w:pPr>
        <w:spacing w:line="360" w:lineRule="auto"/>
        <w:rPr>
          <w:rFonts w:ascii="Arial" w:eastAsia="Times New Roman" w:hAnsi="Arial" w:cs="Arial"/>
          <w:color w:val="000000"/>
        </w:rPr>
      </w:pPr>
      <w:r w:rsidRPr="003C3426">
        <w:rPr>
          <w:rFonts w:ascii="Arial" w:eastAsia="Times New Roman" w:hAnsi="Arial" w:cs="Arial"/>
          <w:color w:val="000000"/>
        </w:rPr>
        <w:t>We will use the Mind Map tool to detail all the necessary requirements for the Project Plan to ensure development and completion, which we will then use to create a WBS chart that shows the breakdown. In addition, we will create a QUAD Chart to visually summarise the important stages of the project.</w:t>
      </w:r>
    </w:p>
    <w:p w:rsidR="004A5DF2" w:rsidRPr="003C3426" w:rsidRDefault="004A5DF2" w:rsidP="003C3426">
      <w:pPr>
        <w:spacing w:line="360" w:lineRule="auto"/>
        <w:rPr>
          <w:rFonts w:ascii="Arial" w:eastAsia="Times New Roman" w:hAnsi="Arial" w:cs="Arial"/>
          <w:color w:val="000000"/>
        </w:rPr>
      </w:pPr>
    </w:p>
    <w:p w:rsidR="004A5DF2" w:rsidRPr="003C3426" w:rsidRDefault="004A5DF2" w:rsidP="003C3426">
      <w:pPr>
        <w:spacing w:line="360" w:lineRule="auto"/>
        <w:rPr>
          <w:rFonts w:ascii="Arial" w:eastAsia="Times New Roman" w:hAnsi="Arial" w:cs="Arial"/>
          <w:color w:val="000000"/>
        </w:rPr>
      </w:pPr>
      <w:r w:rsidRPr="003C3426">
        <w:rPr>
          <w:rFonts w:ascii="Arial" w:eastAsia="Times New Roman" w:hAnsi="Arial" w:cs="Arial"/>
          <w:color w:val="000000"/>
        </w:rPr>
        <w:t xml:space="preserve">The second section of this report will focus on Risk Management. The Ishikawa Theory Diagram also known as the Cause and Effect Analysis, will be used to discover any risks that may occur in the project plan. We can then use this theory to identify what may cause these risks, the possible impact and what precaution can be applied to prevent these risks as best as possible. Additionally, </w:t>
      </w:r>
      <w:r w:rsidR="006B6881">
        <w:rPr>
          <w:rFonts w:ascii="Arial" w:eastAsia="Times New Roman" w:hAnsi="Arial" w:cs="Arial"/>
          <w:color w:val="000000"/>
        </w:rPr>
        <w:t xml:space="preserve">we will conduct a risk assessment </w:t>
      </w:r>
      <w:r w:rsidRPr="003C3426">
        <w:rPr>
          <w:rFonts w:ascii="Arial" w:eastAsia="Times New Roman" w:hAnsi="Arial" w:cs="Arial"/>
          <w:color w:val="000000"/>
        </w:rPr>
        <w:t xml:space="preserve">as this organisation </w:t>
      </w:r>
      <w:r w:rsidR="006B6881">
        <w:rPr>
          <w:rFonts w:ascii="Arial" w:eastAsia="Times New Roman" w:hAnsi="Arial" w:cs="Arial"/>
          <w:color w:val="000000"/>
        </w:rPr>
        <w:t xml:space="preserve">will </w:t>
      </w:r>
      <w:r w:rsidR="006B6881">
        <w:rPr>
          <w:rFonts w:ascii="Arial" w:eastAsia="Times New Roman" w:hAnsi="Arial" w:cs="Arial"/>
          <w:color w:val="000000"/>
        </w:rPr>
        <w:lastRenderedPageBreak/>
        <w:t xml:space="preserve">now </w:t>
      </w:r>
      <w:r w:rsidRPr="003C3426">
        <w:rPr>
          <w:rFonts w:ascii="Arial" w:eastAsia="Times New Roman" w:hAnsi="Arial" w:cs="Arial"/>
          <w:color w:val="000000"/>
        </w:rPr>
        <w:t>have to look at food safety and hygiene as well as the health and safety of employees and customers</w:t>
      </w:r>
      <w:r w:rsidR="006B6881">
        <w:rPr>
          <w:rFonts w:ascii="Arial" w:eastAsia="Times New Roman" w:hAnsi="Arial" w:cs="Arial"/>
          <w:color w:val="000000"/>
        </w:rPr>
        <w:t xml:space="preserve"> even more closely than we did prior Covid-19</w:t>
      </w:r>
      <w:r w:rsidRPr="003C3426">
        <w:rPr>
          <w:rFonts w:ascii="Arial" w:eastAsia="Times New Roman" w:hAnsi="Arial" w:cs="Arial"/>
          <w:color w:val="000000"/>
        </w:rPr>
        <w:t>.</w:t>
      </w:r>
    </w:p>
    <w:p w:rsidR="004A5DF2" w:rsidRPr="003C3426" w:rsidRDefault="004A5DF2" w:rsidP="003C3426">
      <w:pPr>
        <w:spacing w:line="360" w:lineRule="auto"/>
        <w:rPr>
          <w:rFonts w:ascii="Arial" w:eastAsia="Times New Roman" w:hAnsi="Arial" w:cs="Arial"/>
          <w:color w:val="000000"/>
        </w:rPr>
      </w:pPr>
    </w:p>
    <w:p w:rsidR="002B2DEC" w:rsidRDefault="004A5DF2" w:rsidP="002B2DEC">
      <w:pPr>
        <w:spacing w:line="360" w:lineRule="auto"/>
        <w:rPr>
          <w:rFonts w:ascii="Arial" w:eastAsia="Times New Roman" w:hAnsi="Arial" w:cs="Arial"/>
          <w:color w:val="000000"/>
        </w:rPr>
      </w:pPr>
      <w:r w:rsidRPr="003C3426">
        <w:rPr>
          <w:rFonts w:ascii="Arial" w:eastAsia="Times New Roman" w:hAnsi="Arial" w:cs="Arial"/>
          <w:color w:val="000000"/>
        </w:rPr>
        <w:t xml:space="preserve">The third section of this report is where we can now start to analyse and outline the way in which the Project Management Team will now decide on a timeline for this project, which will also include details of assigned roles, resources needed, order and time assigned for each tasks by creating a Project Schedule. We will reflect this Project Schedule in a Gantt Chart, which will be clearly defined to </w:t>
      </w:r>
      <w:r w:rsidR="002B2DEC">
        <w:rPr>
          <w:rFonts w:ascii="Arial" w:eastAsia="Times New Roman" w:hAnsi="Arial" w:cs="Arial"/>
          <w:color w:val="000000"/>
        </w:rPr>
        <w:t>ensure the team stays efficient.</w:t>
      </w:r>
    </w:p>
    <w:p w:rsidR="002B2DEC" w:rsidRDefault="002B2DEC" w:rsidP="002B2DEC">
      <w:pPr>
        <w:spacing w:line="360" w:lineRule="auto"/>
        <w:rPr>
          <w:rFonts w:ascii="Arial" w:eastAsia="Times New Roman" w:hAnsi="Arial" w:cs="Arial"/>
          <w:color w:val="000000"/>
        </w:rPr>
      </w:pPr>
    </w:p>
    <w:p w:rsidR="00895412" w:rsidRDefault="005E59C7" w:rsidP="005E59C7">
      <w:pPr>
        <w:spacing w:after="160" w:line="259" w:lineRule="auto"/>
        <w:rPr>
          <w:rFonts w:ascii="Arial" w:eastAsia="Times New Roman" w:hAnsi="Arial" w:cs="Arial"/>
          <w:color w:val="000000"/>
        </w:rPr>
      </w:pPr>
      <w:r>
        <w:rPr>
          <w:rFonts w:ascii="Arial" w:eastAsia="Times New Roman" w:hAnsi="Arial" w:cs="Arial"/>
          <w:color w:val="000000"/>
        </w:rPr>
        <w:br w:type="page"/>
      </w:r>
    </w:p>
    <w:p w:rsidR="00BE5288" w:rsidRDefault="002B2DEC" w:rsidP="00BE5288">
      <w:pPr>
        <w:pStyle w:val="Heading1"/>
        <w:numPr>
          <w:ilvl w:val="0"/>
          <w:numId w:val="25"/>
        </w:numPr>
        <w:spacing w:line="360" w:lineRule="auto"/>
        <w:rPr>
          <w:rFonts w:ascii="Arial" w:eastAsia="Times New Roman" w:hAnsi="Arial" w:cs="Arial"/>
          <w:sz w:val="22"/>
        </w:rPr>
      </w:pPr>
      <w:bookmarkStart w:id="2" w:name="_Project_Management"/>
      <w:bookmarkEnd w:id="2"/>
      <w:r>
        <w:rPr>
          <w:rFonts w:ascii="Arial" w:eastAsia="Times New Roman" w:hAnsi="Arial" w:cs="Arial"/>
          <w:sz w:val="22"/>
        </w:rPr>
        <w:lastRenderedPageBreak/>
        <w:t>Project Management</w:t>
      </w:r>
    </w:p>
    <w:p w:rsidR="00BE5288" w:rsidRDefault="00BE5288" w:rsidP="00BE5288">
      <w:pPr>
        <w:pStyle w:val="Heading1"/>
        <w:spacing w:line="360" w:lineRule="auto"/>
        <w:rPr>
          <w:rFonts w:ascii="Arial" w:eastAsia="Times New Roman" w:hAnsi="Arial" w:cs="Arial"/>
          <w:color w:val="auto"/>
          <w:sz w:val="22"/>
        </w:rPr>
      </w:pPr>
      <w:r>
        <w:rPr>
          <w:rFonts w:ascii="Arial" w:eastAsia="Times New Roman" w:hAnsi="Arial" w:cs="Arial"/>
          <w:color w:val="auto"/>
          <w:sz w:val="22"/>
        </w:rPr>
        <w:t xml:space="preserve">According </w:t>
      </w:r>
      <w:r w:rsidRPr="004D4D15">
        <w:rPr>
          <w:rFonts w:ascii="Arial" w:eastAsia="Times New Roman" w:hAnsi="Arial" w:cs="Arial"/>
          <w:i/>
          <w:color w:val="auto"/>
          <w:sz w:val="22"/>
        </w:rPr>
        <w:t>to</w:t>
      </w:r>
      <w:r w:rsidRPr="004D4D15">
        <w:rPr>
          <w:rFonts w:ascii="Arial" w:eastAsia="Times New Roman" w:hAnsi="Arial" w:cs="Arial"/>
          <w:i/>
          <w:color w:val="5B9BD5" w:themeColor="accent1"/>
          <w:sz w:val="22"/>
        </w:rPr>
        <w:t xml:space="preserve"> </w:t>
      </w:r>
      <w:sdt>
        <w:sdtPr>
          <w:rPr>
            <w:rFonts w:ascii="Arial" w:eastAsia="Times New Roman" w:hAnsi="Arial" w:cs="Arial"/>
            <w:i/>
            <w:color w:val="5B9BD5" w:themeColor="accent1"/>
            <w:sz w:val="22"/>
          </w:rPr>
          <w:id w:val="597690646"/>
          <w:citation/>
        </w:sdtPr>
        <w:sdtEndPr/>
        <w:sdtContent>
          <w:r w:rsidRPr="004D4D15">
            <w:rPr>
              <w:rFonts w:ascii="Arial" w:eastAsia="Times New Roman" w:hAnsi="Arial" w:cs="Arial"/>
              <w:i/>
              <w:color w:val="5B9BD5" w:themeColor="accent1"/>
              <w:sz w:val="22"/>
            </w:rPr>
            <w:fldChar w:fldCharType="begin"/>
          </w:r>
          <w:r w:rsidRPr="004D4D15">
            <w:rPr>
              <w:rFonts w:ascii="Arial" w:eastAsia="Times New Roman" w:hAnsi="Arial" w:cs="Arial"/>
              <w:i/>
              <w:color w:val="5B9BD5" w:themeColor="accent1"/>
              <w:sz w:val="22"/>
            </w:rPr>
            <w:instrText xml:space="preserve"> CITATION tea22 \l 2057 </w:instrText>
          </w:r>
          <w:r w:rsidRPr="004D4D15">
            <w:rPr>
              <w:rFonts w:ascii="Arial" w:eastAsia="Times New Roman" w:hAnsi="Arial" w:cs="Arial"/>
              <w:i/>
              <w:color w:val="5B9BD5" w:themeColor="accent1"/>
              <w:sz w:val="22"/>
            </w:rPr>
            <w:fldChar w:fldCharType="separate"/>
          </w:r>
          <w:r w:rsidR="006812CC" w:rsidRPr="006812CC">
            <w:rPr>
              <w:rFonts w:ascii="Arial" w:eastAsia="Times New Roman" w:hAnsi="Arial" w:cs="Arial"/>
              <w:noProof/>
              <w:color w:val="5B9BD5" w:themeColor="accent1"/>
              <w:sz w:val="22"/>
            </w:rPr>
            <w:t>(teamgantt, 2022)</w:t>
          </w:r>
          <w:r w:rsidRPr="004D4D15">
            <w:rPr>
              <w:rFonts w:ascii="Arial" w:eastAsia="Times New Roman" w:hAnsi="Arial" w:cs="Arial"/>
              <w:i/>
              <w:color w:val="5B9BD5" w:themeColor="accent1"/>
              <w:sz w:val="22"/>
            </w:rPr>
            <w:fldChar w:fldCharType="end"/>
          </w:r>
        </w:sdtContent>
      </w:sdt>
      <w:r>
        <w:rPr>
          <w:rFonts w:ascii="Arial" w:eastAsia="Times New Roman" w:hAnsi="Arial" w:cs="Arial"/>
          <w:color w:val="auto"/>
          <w:sz w:val="22"/>
        </w:rPr>
        <w:t>,</w:t>
      </w:r>
      <w:r>
        <w:rPr>
          <w:rFonts w:ascii="Arial" w:eastAsia="Times New Roman" w:hAnsi="Arial" w:cs="Arial"/>
          <w:color w:val="5B9BD5" w:themeColor="accent1"/>
          <w:sz w:val="22"/>
        </w:rPr>
        <w:t xml:space="preserve"> </w:t>
      </w:r>
      <w:r>
        <w:rPr>
          <w:rFonts w:ascii="Arial" w:eastAsia="Times New Roman" w:hAnsi="Arial" w:cs="Arial"/>
          <w:color w:val="auto"/>
          <w:sz w:val="22"/>
        </w:rPr>
        <w:t>the purpose of project management is to structure a process, inclusive of planning, documentation, tracking and communication, to achieve a valuable goal or complete deliverables. A project manager will lead a team who they will communicate and assign to tasks based on knowledge, skills, tools and techniques. This will assist with completing deliverables successfully within the set timescale, in alignment with the project scope and set project budget.</w:t>
      </w:r>
    </w:p>
    <w:p w:rsidR="00BE5288" w:rsidRDefault="00BE5288" w:rsidP="00BE5288">
      <w:pPr>
        <w:spacing w:line="360" w:lineRule="auto"/>
      </w:pPr>
    </w:p>
    <w:p w:rsidR="00BE5288" w:rsidRDefault="00BE5288" w:rsidP="00BE5288">
      <w:pPr>
        <w:spacing w:line="360" w:lineRule="auto"/>
        <w:rPr>
          <w:rFonts w:ascii="Arial" w:hAnsi="Arial" w:cs="Arial"/>
        </w:rPr>
      </w:pPr>
      <w:r>
        <w:rPr>
          <w:rFonts w:ascii="Arial" w:hAnsi="Arial" w:cs="Arial"/>
        </w:rPr>
        <w:t>The project manager is responsible for delivering a valuable outcome at the interest of the stakeholders. The aim is to create a project scope that highlights the steps required to achieve a successful return back to the workplace post Covid-19, from start to finish. It is possible that throughout this process there will be updates from the Government, NHS &amp; FSA that may enforce immediate adjustments, and we will need to follow these guidelines by law. Additionally, staff who are a part of the project team can still contract the coronavirus and have to be removed from their assigned task. This will mean delays, causing deadlines to be missed. Sufficient communication, tracking and monitoring of the project will allow us to make adjustments as and when, ensuring that we complete deliverables to the best of our ability, within the time constraint.</w:t>
      </w:r>
    </w:p>
    <w:p w:rsidR="00BE5288" w:rsidRPr="00BE5288" w:rsidRDefault="00BE5288" w:rsidP="00BE5288">
      <w:pPr>
        <w:spacing w:line="360" w:lineRule="auto"/>
        <w:rPr>
          <w:rFonts w:ascii="Arial" w:hAnsi="Arial" w:cs="Arial"/>
        </w:rPr>
      </w:pPr>
    </w:p>
    <w:p w:rsidR="00355703" w:rsidRDefault="00355703" w:rsidP="002B2DEC">
      <w:pPr>
        <w:pStyle w:val="Heading1"/>
        <w:numPr>
          <w:ilvl w:val="1"/>
          <w:numId w:val="25"/>
        </w:numPr>
        <w:spacing w:line="360" w:lineRule="auto"/>
        <w:rPr>
          <w:rFonts w:ascii="Arial" w:hAnsi="Arial" w:cs="Arial"/>
          <w:sz w:val="22"/>
          <w:szCs w:val="22"/>
        </w:rPr>
      </w:pPr>
      <w:r>
        <w:rPr>
          <w:rFonts w:ascii="Arial" w:hAnsi="Arial" w:cs="Arial"/>
          <w:sz w:val="22"/>
          <w:szCs w:val="22"/>
        </w:rPr>
        <w:t>Stakeholder Analysis</w:t>
      </w:r>
    </w:p>
    <w:p w:rsidR="00355703" w:rsidRDefault="00355703" w:rsidP="00355703">
      <w:pPr>
        <w:spacing w:line="360" w:lineRule="auto"/>
      </w:pPr>
    </w:p>
    <w:p w:rsidR="00355703" w:rsidRDefault="00355703" w:rsidP="00355703">
      <w:pPr>
        <w:spacing w:line="360" w:lineRule="auto"/>
        <w:rPr>
          <w:rFonts w:ascii="Arial" w:hAnsi="Arial" w:cs="Arial"/>
        </w:rPr>
      </w:pPr>
      <w:r>
        <w:rPr>
          <w:rFonts w:ascii="Arial" w:hAnsi="Arial" w:cs="Arial"/>
        </w:rPr>
        <w:t>Our stakeholder analysis enabled us to identify our stakeholders and prioritise their level of importance in managing our relationships with them. The process and outcome of this project could have a heavy impact on our stakeholders, whether positively or negatively. It is therefore imperative that we communicate and discuss our project plan and gather any relevant information and concerns they may have, to ensure that we keep them engaged. We will do this by developing a strategic plan of action to best complete this project in the most effective and efficient way, so that stakeholders at all levels stay invested in the organisation. Throughout the duration the project will be monitored and reviewed before final approval, this will allow for any updates, last minute changes or proposals, based on internal and external instructions in regard to Covid-19.</w:t>
      </w:r>
    </w:p>
    <w:p w:rsidR="00355703" w:rsidRDefault="00355703" w:rsidP="00355703">
      <w:pPr>
        <w:spacing w:line="360" w:lineRule="auto"/>
        <w:rPr>
          <w:rFonts w:ascii="Arial" w:hAnsi="Arial" w:cs="Arial"/>
        </w:rPr>
      </w:pPr>
    </w:p>
    <w:p w:rsidR="00355703" w:rsidRPr="00B76DCA" w:rsidRDefault="00B76DCA" w:rsidP="00B76DCA">
      <w:pPr>
        <w:spacing w:line="360" w:lineRule="auto"/>
        <w:jc w:val="center"/>
        <w:rPr>
          <w:rFonts w:ascii="Arial" w:hAnsi="Arial" w:cs="Arial"/>
          <w:b/>
        </w:rPr>
      </w:pPr>
      <w:r w:rsidRPr="00B76DCA">
        <w:rPr>
          <w:rFonts w:ascii="Arial" w:hAnsi="Arial" w:cs="Arial"/>
          <w:b/>
        </w:rPr>
        <w:t>Appendix A</w:t>
      </w:r>
    </w:p>
    <w:p w:rsidR="00355703" w:rsidRDefault="00355703" w:rsidP="00355703">
      <w:pPr>
        <w:spacing w:line="360" w:lineRule="auto"/>
        <w:rPr>
          <w:rFonts w:ascii="Arial" w:hAnsi="Arial" w:cs="Arial"/>
        </w:rPr>
      </w:pPr>
    </w:p>
    <w:p w:rsidR="00355703" w:rsidRDefault="00355703" w:rsidP="002B2DEC">
      <w:pPr>
        <w:pStyle w:val="Heading1"/>
        <w:numPr>
          <w:ilvl w:val="1"/>
          <w:numId w:val="25"/>
        </w:numPr>
        <w:spacing w:line="360" w:lineRule="auto"/>
        <w:rPr>
          <w:rFonts w:ascii="Arial" w:hAnsi="Arial" w:cs="Arial"/>
          <w:sz w:val="22"/>
        </w:rPr>
      </w:pPr>
      <w:bookmarkStart w:id="3" w:name="_QUAD_Chart"/>
      <w:bookmarkEnd w:id="3"/>
      <w:r>
        <w:rPr>
          <w:rFonts w:ascii="Arial" w:hAnsi="Arial" w:cs="Arial"/>
          <w:sz w:val="22"/>
        </w:rPr>
        <w:lastRenderedPageBreak/>
        <w:t>QUAD Chart</w:t>
      </w:r>
    </w:p>
    <w:p w:rsidR="00355703" w:rsidRDefault="00355703" w:rsidP="00355703">
      <w:pPr>
        <w:spacing w:line="360" w:lineRule="auto"/>
      </w:pPr>
    </w:p>
    <w:p w:rsidR="00355703" w:rsidRDefault="00355703" w:rsidP="00355703">
      <w:pPr>
        <w:spacing w:line="360" w:lineRule="auto"/>
        <w:rPr>
          <w:rFonts w:ascii="Arial" w:hAnsi="Arial" w:cs="Arial"/>
        </w:rPr>
      </w:pPr>
      <w:r>
        <w:rPr>
          <w:rFonts w:ascii="Arial" w:hAnsi="Arial" w:cs="Arial"/>
        </w:rPr>
        <w:t>The QUAD Chart is a useful tool for project managers in planning and communication. This chart is made up of four quadrants, each quadrant providing a brief summary on the various focus points imperative to the organisation. As the chart clearly outlines and gives clarity on the planning process, this will allow for any required changes, raised concerns and proposals to be brought forward within the project management team.</w:t>
      </w:r>
    </w:p>
    <w:p w:rsidR="00355703" w:rsidRDefault="00355703" w:rsidP="00355703">
      <w:pPr>
        <w:spacing w:line="360" w:lineRule="auto"/>
        <w:rPr>
          <w:rFonts w:ascii="Arial" w:hAnsi="Arial" w:cs="Arial"/>
        </w:rPr>
      </w:pPr>
    </w:p>
    <w:p w:rsidR="00355703" w:rsidRDefault="00355703" w:rsidP="00355703">
      <w:pPr>
        <w:spacing w:line="360" w:lineRule="auto"/>
        <w:rPr>
          <w:rFonts w:ascii="Arial" w:hAnsi="Arial" w:cs="Arial"/>
        </w:rPr>
      </w:pPr>
      <w:r>
        <w:rPr>
          <w:rFonts w:ascii="Arial" w:hAnsi="Arial" w:cs="Arial"/>
        </w:rPr>
        <w:t>We created a QUAD Chart for this project outlining the purpose-aims/objectives, customer focus, desired/end result and how we plan to measure the success of this project after completion. This will be very useful, as Covid-19 restrictions are currently unpredictable and still impacting on many businesses, therefore we may need to adjust our plans throughout the process depending on Government/NHS guideline updates.</w:t>
      </w:r>
    </w:p>
    <w:p w:rsidR="00355703" w:rsidRPr="00B76DCA" w:rsidRDefault="00B76DCA" w:rsidP="00B76DCA">
      <w:pPr>
        <w:spacing w:line="360" w:lineRule="auto"/>
        <w:jc w:val="center"/>
        <w:rPr>
          <w:rFonts w:ascii="Arial" w:hAnsi="Arial" w:cs="Arial"/>
          <w:b/>
        </w:rPr>
      </w:pPr>
      <w:r w:rsidRPr="00B76DCA">
        <w:rPr>
          <w:rFonts w:ascii="Arial" w:hAnsi="Arial" w:cs="Arial"/>
          <w:b/>
        </w:rPr>
        <w:t>Appendix B</w:t>
      </w:r>
    </w:p>
    <w:p w:rsidR="00355703" w:rsidRDefault="00355703" w:rsidP="00355703">
      <w:pPr>
        <w:spacing w:line="360" w:lineRule="auto"/>
        <w:rPr>
          <w:rFonts w:ascii="Arial" w:hAnsi="Arial" w:cs="Arial"/>
        </w:rPr>
      </w:pPr>
    </w:p>
    <w:p w:rsidR="00895412" w:rsidRPr="003E0A81" w:rsidRDefault="00895412" w:rsidP="00355703">
      <w:pPr>
        <w:spacing w:line="360" w:lineRule="auto"/>
        <w:rPr>
          <w:rFonts w:ascii="Arial" w:hAnsi="Arial" w:cs="Arial"/>
        </w:rPr>
      </w:pPr>
    </w:p>
    <w:p w:rsidR="00355703" w:rsidRDefault="00355703" w:rsidP="002B2DEC">
      <w:pPr>
        <w:pStyle w:val="Heading1"/>
        <w:numPr>
          <w:ilvl w:val="1"/>
          <w:numId w:val="25"/>
        </w:numPr>
        <w:spacing w:line="360" w:lineRule="auto"/>
        <w:rPr>
          <w:rFonts w:ascii="Arial" w:hAnsi="Arial" w:cs="Arial"/>
          <w:sz w:val="22"/>
        </w:rPr>
      </w:pPr>
      <w:bookmarkStart w:id="4" w:name="_Work_Breakdown_Structure"/>
      <w:bookmarkEnd w:id="4"/>
      <w:r>
        <w:rPr>
          <w:rFonts w:ascii="Arial" w:hAnsi="Arial" w:cs="Arial"/>
          <w:sz w:val="22"/>
        </w:rPr>
        <w:t>Work Breakdown Structure</w:t>
      </w:r>
    </w:p>
    <w:p w:rsidR="00355703" w:rsidRDefault="00355703" w:rsidP="00355703">
      <w:pPr>
        <w:spacing w:line="360" w:lineRule="auto"/>
      </w:pPr>
    </w:p>
    <w:p w:rsidR="00355703" w:rsidRDefault="00355703" w:rsidP="00355703">
      <w:pPr>
        <w:pStyle w:val="NormalWeb"/>
        <w:shd w:val="clear" w:color="auto" w:fill="FFFFFF"/>
        <w:spacing w:before="0" w:beforeAutospacing="0" w:line="360" w:lineRule="auto"/>
        <w:rPr>
          <w:rFonts w:ascii="Arial" w:hAnsi="Arial" w:cs="Arial"/>
          <w:i/>
          <w:color w:val="2E74B5" w:themeColor="accent1" w:themeShade="BF"/>
          <w:sz w:val="22"/>
        </w:rPr>
      </w:pPr>
      <w:r w:rsidRPr="00FE0785">
        <w:rPr>
          <w:rFonts w:ascii="Arial" w:hAnsi="Arial" w:cs="Arial"/>
          <w:i/>
          <w:color w:val="212529"/>
          <w:sz w:val="22"/>
        </w:rPr>
        <w:t>Breaking work into smaller tasks is a common productivity technique used to make the work more manageable and approachable. For projects, the </w:t>
      </w:r>
      <w:r w:rsidRPr="00FE0785">
        <w:rPr>
          <w:rStyle w:val="Strong"/>
          <w:rFonts w:ascii="Arial" w:eastAsiaTheme="minorEastAsia" w:hAnsi="Arial" w:cs="Arial"/>
          <w:i/>
          <w:color w:val="212529"/>
          <w:sz w:val="22"/>
        </w:rPr>
        <w:t>Work Breakdown Structure (WBS)</w:t>
      </w:r>
      <w:r w:rsidRPr="00FE0785">
        <w:rPr>
          <w:rFonts w:ascii="Arial" w:hAnsi="Arial" w:cs="Arial"/>
          <w:i/>
          <w:color w:val="212529"/>
          <w:sz w:val="22"/>
        </w:rPr>
        <w:t> is the tool that utilizes this technique and is one of the most important project management documents. It singlehandedly integrates scope, cost and schedule baselines ensuring that project plans are in alignment.</w:t>
      </w:r>
      <w:sdt>
        <w:sdtPr>
          <w:rPr>
            <w:rFonts w:ascii="Arial" w:hAnsi="Arial" w:cs="Arial"/>
            <w:i/>
            <w:color w:val="212529"/>
            <w:sz w:val="22"/>
          </w:rPr>
          <w:id w:val="-2006576835"/>
          <w:citation/>
        </w:sdtPr>
        <w:sdtEndPr>
          <w:rPr>
            <w:color w:val="2E74B5" w:themeColor="accent1" w:themeShade="BF"/>
          </w:rPr>
        </w:sdtEndPr>
        <w:sdtContent>
          <w:r w:rsidRPr="00FE0785">
            <w:rPr>
              <w:rFonts w:ascii="Arial" w:hAnsi="Arial" w:cs="Arial"/>
              <w:i/>
              <w:color w:val="2E74B5" w:themeColor="accent1" w:themeShade="BF"/>
              <w:sz w:val="22"/>
            </w:rPr>
            <w:fldChar w:fldCharType="begin"/>
          </w:r>
          <w:r w:rsidRPr="00FE0785">
            <w:rPr>
              <w:rFonts w:ascii="Arial" w:hAnsi="Arial" w:cs="Arial"/>
              <w:i/>
              <w:color w:val="2E74B5" w:themeColor="accent1" w:themeShade="BF"/>
              <w:sz w:val="22"/>
            </w:rPr>
            <w:instrText xml:space="preserve"> CITATION Wor22 \l 2057 </w:instrText>
          </w:r>
          <w:r w:rsidRPr="00FE0785">
            <w:rPr>
              <w:rFonts w:ascii="Arial" w:hAnsi="Arial" w:cs="Arial"/>
              <w:i/>
              <w:color w:val="2E74B5" w:themeColor="accent1" w:themeShade="BF"/>
              <w:sz w:val="22"/>
            </w:rPr>
            <w:fldChar w:fldCharType="separate"/>
          </w:r>
          <w:r w:rsidR="006812CC">
            <w:rPr>
              <w:rFonts w:ascii="Arial" w:hAnsi="Arial" w:cs="Arial"/>
              <w:i/>
              <w:noProof/>
              <w:color w:val="2E74B5" w:themeColor="accent1" w:themeShade="BF"/>
              <w:sz w:val="22"/>
            </w:rPr>
            <w:t xml:space="preserve"> </w:t>
          </w:r>
          <w:r w:rsidR="006812CC" w:rsidRPr="006812CC">
            <w:rPr>
              <w:rFonts w:ascii="Arial" w:hAnsi="Arial" w:cs="Arial"/>
              <w:noProof/>
              <w:color w:val="2E74B5" w:themeColor="accent1" w:themeShade="BF"/>
              <w:sz w:val="22"/>
            </w:rPr>
            <w:t>(Work Breakdown Structure, 2022)</w:t>
          </w:r>
          <w:r w:rsidRPr="00FE0785">
            <w:rPr>
              <w:rFonts w:ascii="Arial" w:hAnsi="Arial" w:cs="Arial"/>
              <w:i/>
              <w:color w:val="2E74B5" w:themeColor="accent1" w:themeShade="BF"/>
              <w:sz w:val="22"/>
            </w:rPr>
            <w:fldChar w:fldCharType="end"/>
          </w:r>
        </w:sdtContent>
      </w:sdt>
    </w:p>
    <w:p w:rsidR="00895412" w:rsidRDefault="00355703" w:rsidP="00895412">
      <w:pPr>
        <w:pStyle w:val="NormalWeb"/>
        <w:shd w:val="clear" w:color="auto" w:fill="FFFFFF"/>
        <w:spacing w:before="0" w:beforeAutospacing="0" w:after="0" w:afterAutospacing="0" w:line="360" w:lineRule="auto"/>
        <w:rPr>
          <w:rFonts w:ascii="Arial" w:hAnsi="Arial" w:cs="Arial"/>
          <w:sz w:val="22"/>
        </w:rPr>
      </w:pPr>
      <w:r>
        <w:rPr>
          <w:rFonts w:ascii="Arial" w:hAnsi="Arial" w:cs="Arial"/>
          <w:sz w:val="22"/>
        </w:rPr>
        <w:t>We created a work breakdown structure chart to provide a detailed process of the project for management. This outlines all tasks that intend to be carried out in each phase, as well as an estimated budget.</w:t>
      </w:r>
    </w:p>
    <w:p w:rsidR="00BE5288" w:rsidRPr="00895412" w:rsidRDefault="00B76DCA" w:rsidP="00895412">
      <w:pPr>
        <w:pStyle w:val="NormalWeb"/>
        <w:shd w:val="clear" w:color="auto" w:fill="FFFFFF"/>
        <w:spacing w:before="0" w:beforeAutospacing="0"/>
        <w:jc w:val="center"/>
        <w:rPr>
          <w:rFonts w:ascii="Arial" w:hAnsi="Arial" w:cs="Arial"/>
          <w:sz w:val="22"/>
        </w:rPr>
      </w:pPr>
      <w:r w:rsidRPr="00B76DCA">
        <w:rPr>
          <w:rFonts w:ascii="Arial" w:hAnsi="Arial" w:cs="Arial"/>
          <w:b/>
          <w:sz w:val="22"/>
        </w:rPr>
        <w:t>Appendix C</w:t>
      </w:r>
    </w:p>
    <w:p w:rsidR="00A32EC1" w:rsidRDefault="00A32EC1" w:rsidP="00A32EC1">
      <w:pPr>
        <w:pStyle w:val="NormalWeb"/>
        <w:shd w:val="clear" w:color="auto" w:fill="FFFFFF"/>
        <w:spacing w:before="0" w:beforeAutospacing="0" w:line="360" w:lineRule="auto"/>
        <w:jc w:val="center"/>
        <w:rPr>
          <w:rFonts w:ascii="Arial" w:hAnsi="Arial" w:cs="Arial"/>
          <w:b/>
          <w:sz w:val="22"/>
        </w:rPr>
      </w:pPr>
    </w:p>
    <w:p w:rsidR="00A6780B" w:rsidRDefault="00A6780B" w:rsidP="00BE5288">
      <w:pPr>
        <w:pStyle w:val="Heading1"/>
        <w:numPr>
          <w:ilvl w:val="1"/>
          <w:numId w:val="25"/>
        </w:numPr>
        <w:spacing w:line="360" w:lineRule="auto"/>
        <w:rPr>
          <w:rFonts w:ascii="Arial" w:hAnsi="Arial" w:cs="Arial"/>
          <w:sz w:val="22"/>
          <w:szCs w:val="22"/>
        </w:rPr>
      </w:pPr>
      <w:bookmarkStart w:id="5" w:name="_Project_Scope"/>
      <w:bookmarkEnd w:id="5"/>
      <w:r>
        <w:rPr>
          <w:rFonts w:ascii="Arial" w:hAnsi="Arial" w:cs="Arial"/>
          <w:sz w:val="22"/>
          <w:szCs w:val="22"/>
        </w:rPr>
        <w:t>Project Scope</w:t>
      </w:r>
    </w:p>
    <w:p w:rsidR="00A6780B" w:rsidRPr="00BE5288" w:rsidRDefault="00A6780B" w:rsidP="00BE5288">
      <w:pPr>
        <w:spacing w:line="360" w:lineRule="auto"/>
        <w:rPr>
          <w:rFonts w:ascii="Arial" w:hAnsi="Arial" w:cs="Arial"/>
        </w:rPr>
      </w:pPr>
    </w:p>
    <w:p w:rsidR="00BE5288" w:rsidRDefault="00BE5288" w:rsidP="00BE5288">
      <w:pPr>
        <w:spacing w:line="360" w:lineRule="auto"/>
        <w:rPr>
          <w:rFonts w:ascii="Arial" w:hAnsi="Arial" w:cs="Arial"/>
        </w:rPr>
      </w:pPr>
      <w:r>
        <w:rPr>
          <w:rFonts w:ascii="Arial" w:hAnsi="Arial" w:cs="Arial"/>
        </w:rPr>
        <w:t xml:space="preserve">A project scope is a document created to show a breakdown of the planning, process, team, budget and time required to achieve the goal of the project. It creates a foundation for the process, allowing the project management team to stay on track with task, as well as make adjustments if needed. Additionally, this document highlights whether resources are required </w:t>
      </w:r>
      <w:r>
        <w:rPr>
          <w:rFonts w:ascii="Arial" w:hAnsi="Arial" w:cs="Arial"/>
        </w:rPr>
        <w:lastRenderedPageBreak/>
        <w:t>as well as any other expenses needed to complete deliverables. Due dates on phases/milestones, allow for outsourced materials, contractors etc. to be ordered/booked in so that tasks are completed within set time-frame.</w:t>
      </w:r>
    </w:p>
    <w:p w:rsidR="004B0666" w:rsidRDefault="004B0666" w:rsidP="00BE5288">
      <w:pPr>
        <w:spacing w:line="360" w:lineRule="auto"/>
        <w:rPr>
          <w:rFonts w:ascii="Arial" w:hAnsi="Arial" w:cs="Arial"/>
        </w:rPr>
      </w:pPr>
    </w:p>
    <w:p w:rsidR="004B0666" w:rsidRDefault="004B0666" w:rsidP="00BE5288">
      <w:pPr>
        <w:spacing w:line="360" w:lineRule="auto"/>
        <w:rPr>
          <w:rFonts w:ascii="Arial" w:hAnsi="Arial" w:cs="Arial"/>
        </w:rPr>
      </w:pPr>
      <w:r>
        <w:rPr>
          <w:rFonts w:ascii="Arial" w:hAnsi="Arial" w:cs="Arial"/>
        </w:rPr>
        <w:t>The project scope we created is a clear outline of the structure breakdown for returning to work post Covid-19. W</w:t>
      </w:r>
      <w:r w:rsidR="007D67F8">
        <w:rPr>
          <w:rFonts w:ascii="Arial" w:hAnsi="Arial" w:cs="Arial"/>
        </w:rPr>
        <w:t>e will propose this scope to the board of directors as well as the health and safety manager, to discuss the budget, any concerns and planning before getting complete approval to start the process. Additionally, more meeting will be arranged throughout the process at each milestone of the project and if needed, urgent meetings will be arranged to review and discuss any concerns or guidelines moving forward.</w:t>
      </w:r>
      <w:r>
        <w:rPr>
          <w:rFonts w:ascii="Arial" w:hAnsi="Arial" w:cs="Arial"/>
        </w:rPr>
        <w:t xml:space="preserve"> </w:t>
      </w:r>
    </w:p>
    <w:p w:rsidR="00BE5288" w:rsidRDefault="00BE5288" w:rsidP="00A32EC1">
      <w:pPr>
        <w:spacing w:after="160" w:line="259" w:lineRule="auto"/>
        <w:jc w:val="center"/>
        <w:rPr>
          <w:rFonts w:ascii="Arial" w:hAnsi="Arial" w:cs="Arial"/>
          <w:b/>
        </w:rPr>
      </w:pPr>
      <w:r w:rsidRPr="00BE5288">
        <w:rPr>
          <w:rFonts w:ascii="Arial" w:hAnsi="Arial" w:cs="Arial"/>
          <w:b/>
        </w:rPr>
        <w:t>Appendix D</w:t>
      </w:r>
    </w:p>
    <w:p w:rsidR="00A32EC1" w:rsidRDefault="00A32EC1" w:rsidP="00A32EC1">
      <w:pPr>
        <w:spacing w:after="160" w:line="259" w:lineRule="auto"/>
        <w:jc w:val="center"/>
        <w:rPr>
          <w:rFonts w:ascii="Arial" w:hAnsi="Arial" w:cs="Arial"/>
          <w:b/>
        </w:rPr>
      </w:pPr>
    </w:p>
    <w:p w:rsidR="00A32EC1" w:rsidRPr="00BE5288" w:rsidRDefault="00A32EC1" w:rsidP="00A32EC1">
      <w:pPr>
        <w:spacing w:after="160" w:line="259" w:lineRule="auto"/>
        <w:jc w:val="center"/>
        <w:rPr>
          <w:rFonts w:ascii="Arial" w:hAnsi="Arial" w:cs="Arial"/>
          <w:b/>
        </w:rPr>
      </w:pPr>
    </w:p>
    <w:p w:rsidR="00651DF0" w:rsidRPr="00E324A8" w:rsidRDefault="006C32A0" w:rsidP="005E59C7">
      <w:pPr>
        <w:pStyle w:val="Heading1"/>
        <w:numPr>
          <w:ilvl w:val="0"/>
          <w:numId w:val="25"/>
        </w:numPr>
        <w:spacing w:line="360" w:lineRule="auto"/>
        <w:rPr>
          <w:rFonts w:ascii="Arial" w:hAnsi="Arial" w:cs="Arial"/>
          <w:sz w:val="22"/>
        </w:rPr>
      </w:pPr>
      <w:bookmarkStart w:id="6" w:name="_Ishikawa_Diagram"/>
      <w:bookmarkEnd w:id="6"/>
      <w:r w:rsidRPr="00E324A8">
        <w:rPr>
          <w:rFonts w:ascii="Arial" w:hAnsi="Arial" w:cs="Arial"/>
          <w:sz w:val="22"/>
        </w:rPr>
        <w:t>I</w:t>
      </w:r>
      <w:r w:rsidR="000E0008" w:rsidRPr="00E324A8">
        <w:rPr>
          <w:rFonts w:ascii="Arial" w:hAnsi="Arial" w:cs="Arial"/>
          <w:sz w:val="22"/>
        </w:rPr>
        <w:t>shi</w:t>
      </w:r>
      <w:r w:rsidRPr="00E324A8">
        <w:rPr>
          <w:rFonts w:ascii="Arial" w:hAnsi="Arial" w:cs="Arial"/>
          <w:sz w:val="22"/>
        </w:rPr>
        <w:t>kawa Diagram</w:t>
      </w:r>
    </w:p>
    <w:p w:rsidR="006C32A0" w:rsidRPr="00E324A8" w:rsidRDefault="006C32A0" w:rsidP="00E324A8">
      <w:pPr>
        <w:spacing w:line="360" w:lineRule="auto"/>
        <w:rPr>
          <w:rFonts w:ascii="Arial" w:hAnsi="Arial" w:cs="Arial"/>
        </w:rPr>
      </w:pPr>
    </w:p>
    <w:p w:rsidR="000E0008" w:rsidRPr="004D4D15" w:rsidRDefault="000E0008" w:rsidP="00E324A8">
      <w:pPr>
        <w:spacing w:line="360" w:lineRule="auto"/>
        <w:rPr>
          <w:rFonts w:ascii="Arial" w:hAnsi="Arial" w:cs="Arial"/>
          <w:i/>
          <w:color w:val="2E74B5" w:themeColor="accent1" w:themeShade="BF"/>
        </w:rPr>
      </w:pPr>
      <w:r w:rsidRPr="00E324A8">
        <w:rPr>
          <w:rFonts w:ascii="Arial" w:hAnsi="Arial" w:cs="Arial"/>
          <w:i/>
        </w:rPr>
        <w:t xml:space="preserve">Ishikawa diagrams are sometimes referred to as fish bone diagrams, herringbone diagrams, cause-and-effect diagrams, or </w:t>
      </w:r>
      <w:proofErr w:type="spellStart"/>
      <w:r w:rsidRPr="00E324A8">
        <w:rPr>
          <w:rFonts w:ascii="Arial" w:hAnsi="Arial" w:cs="Arial"/>
          <w:i/>
        </w:rPr>
        <w:t>Fishikawa</w:t>
      </w:r>
      <w:proofErr w:type="spellEnd"/>
      <w:r w:rsidRPr="00E324A8">
        <w:rPr>
          <w:rFonts w:ascii="Arial" w:hAnsi="Arial" w:cs="Arial"/>
          <w:i/>
        </w:rPr>
        <w:t>. They are causal diagrams created by Kaoru Ishikawa to show the causes of a specific event. They resemble a fish skeleton, with the "ribs" representing the causes of an event and the final outcome appearing at the head of the skeleton. The purpose of the Ishikawa diagram is to allow management to determine which issues have to be addressed in order to gain or avoid a particular event.</w:t>
      </w:r>
      <w:sdt>
        <w:sdtPr>
          <w:rPr>
            <w:rFonts w:ascii="Arial" w:hAnsi="Arial" w:cs="Arial"/>
            <w:i/>
            <w:color w:val="2E74B5" w:themeColor="accent1" w:themeShade="BF"/>
          </w:rPr>
          <w:id w:val="-797459765"/>
          <w:citation/>
        </w:sdtPr>
        <w:sdtEndPr/>
        <w:sdtContent>
          <w:r w:rsidRPr="004D4D15">
            <w:rPr>
              <w:rFonts w:ascii="Arial" w:hAnsi="Arial" w:cs="Arial"/>
              <w:i/>
              <w:color w:val="2E74B5" w:themeColor="accent1" w:themeShade="BF"/>
            </w:rPr>
            <w:fldChar w:fldCharType="begin"/>
          </w:r>
          <w:r w:rsidRPr="004D4D15">
            <w:rPr>
              <w:rFonts w:ascii="Arial" w:hAnsi="Arial" w:cs="Arial"/>
              <w:i/>
              <w:color w:val="2E74B5" w:themeColor="accent1" w:themeShade="BF"/>
            </w:rPr>
            <w:instrText xml:space="preserve"> CITATION Ada21 \l 2057 </w:instrText>
          </w:r>
          <w:r w:rsidRPr="004D4D15">
            <w:rPr>
              <w:rFonts w:ascii="Arial" w:hAnsi="Arial" w:cs="Arial"/>
              <w:i/>
              <w:color w:val="2E74B5" w:themeColor="accent1" w:themeShade="BF"/>
            </w:rPr>
            <w:fldChar w:fldCharType="separate"/>
          </w:r>
          <w:r w:rsidR="006812CC">
            <w:rPr>
              <w:rFonts w:ascii="Arial" w:hAnsi="Arial" w:cs="Arial"/>
              <w:i/>
              <w:noProof/>
              <w:color w:val="2E74B5" w:themeColor="accent1" w:themeShade="BF"/>
            </w:rPr>
            <w:t xml:space="preserve"> </w:t>
          </w:r>
          <w:r w:rsidR="006812CC" w:rsidRPr="006812CC">
            <w:rPr>
              <w:rFonts w:ascii="Arial" w:hAnsi="Arial" w:cs="Arial"/>
              <w:noProof/>
              <w:color w:val="2E74B5" w:themeColor="accent1" w:themeShade="BF"/>
            </w:rPr>
            <w:t>(Hayes, 2021)</w:t>
          </w:r>
          <w:r w:rsidRPr="004D4D15">
            <w:rPr>
              <w:rFonts w:ascii="Arial" w:hAnsi="Arial" w:cs="Arial"/>
              <w:i/>
              <w:color w:val="2E74B5" w:themeColor="accent1" w:themeShade="BF"/>
            </w:rPr>
            <w:fldChar w:fldCharType="end"/>
          </w:r>
        </w:sdtContent>
      </w:sdt>
    </w:p>
    <w:p w:rsidR="006B6881" w:rsidRPr="006B6881" w:rsidRDefault="006B6881" w:rsidP="00E324A8">
      <w:pPr>
        <w:spacing w:line="360" w:lineRule="auto"/>
        <w:rPr>
          <w:rFonts w:ascii="Arial" w:hAnsi="Arial" w:cs="Arial"/>
          <w:i/>
          <w:color w:val="2E74B5" w:themeColor="accent1" w:themeShade="BF"/>
        </w:rPr>
      </w:pPr>
    </w:p>
    <w:p w:rsidR="00DF482A" w:rsidRPr="006B6881" w:rsidRDefault="00CA4C3A" w:rsidP="00E324A8">
      <w:pPr>
        <w:spacing w:line="360" w:lineRule="auto"/>
        <w:rPr>
          <w:rFonts w:ascii="Arial" w:hAnsi="Arial" w:cs="Arial"/>
        </w:rPr>
      </w:pPr>
      <w:r w:rsidRPr="00E324A8">
        <w:rPr>
          <w:rFonts w:ascii="Arial" w:hAnsi="Arial" w:cs="Arial"/>
        </w:rPr>
        <w:t>We used the I</w:t>
      </w:r>
      <w:r w:rsidR="000E0008" w:rsidRPr="00E324A8">
        <w:rPr>
          <w:rFonts w:ascii="Arial" w:hAnsi="Arial" w:cs="Arial"/>
        </w:rPr>
        <w:t>shi</w:t>
      </w:r>
      <w:r w:rsidRPr="00E324A8">
        <w:rPr>
          <w:rFonts w:ascii="Arial" w:hAnsi="Arial" w:cs="Arial"/>
        </w:rPr>
        <w:t>kawa Diagram to look at the risks of contracting/spreading the coronavirus upon returning to work. The main concerns/causes for the potential risks were the environment, the people, managing the risks, training and development and equipment. Due to so many rapid changes throughout the pandemic, many immediate adjustments have been made due to the impact on organisations as well as individuals.</w:t>
      </w:r>
      <w:r w:rsidR="000E0008" w:rsidRPr="00E324A8">
        <w:rPr>
          <w:rFonts w:ascii="Arial" w:hAnsi="Arial" w:cs="Arial"/>
        </w:rPr>
        <w:t xml:space="preserve"> Some of this includes, shipping delays, loss of suppliers, mental and emotional health issues etc. Most importantly, we</w:t>
      </w:r>
      <w:r w:rsidRPr="00E324A8">
        <w:rPr>
          <w:rFonts w:ascii="Arial" w:hAnsi="Arial" w:cs="Arial"/>
        </w:rPr>
        <w:t xml:space="preserve"> have to be mindful that the virus is still active and spreading therefore, government and NHS guidelines and restrictions could get updated suddenly with very little warning.</w:t>
      </w:r>
      <w:r w:rsidR="000E0008" w:rsidRPr="00E324A8">
        <w:rPr>
          <w:rFonts w:ascii="Arial" w:hAnsi="Arial" w:cs="Arial"/>
        </w:rPr>
        <w:t xml:space="preserve"> This means that any plans we have to re-open stores, get staff back into work etc. could get disrupted and along the way we may have to adjust and extend the plans we have. So with this diagram, we will be able to focus on any potential issues and put appropriate measures in place to best prevent/lower the intensity of any further problems.</w:t>
      </w:r>
    </w:p>
    <w:p w:rsidR="00E324A8" w:rsidRPr="00B76DCA" w:rsidRDefault="00BE5288" w:rsidP="00B76DCA">
      <w:pPr>
        <w:spacing w:line="360" w:lineRule="auto"/>
        <w:jc w:val="center"/>
        <w:rPr>
          <w:rFonts w:ascii="Arial" w:hAnsi="Arial" w:cs="Arial"/>
          <w:b/>
        </w:rPr>
      </w:pPr>
      <w:r>
        <w:rPr>
          <w:rFonts w:ascii="Arial" w:hAnsi="Arial" w:cs="Arial"/>
          <w:b/>
        </w:rPr>
        <w:t>Appendix E</w:t>
      </w:r>
    </w:p>
    <w:p w:rsidR="00E324A8" w:rsidRDefault="00E324A8" w:rsidP="00E324A8">
      <w:pPr>
        <w:spacing w:line="360" w:lineRule="auto"/>
        <w:rPr>
          <w:rFonts w:ascii="Arial" w:hAnsi="Arial" w:cs="Arial"/>
        </w:rPr>
      </w:pPr>
    </w:p>
    <w:p w:rsidR="00E324A8" w:rsidRDefault="00E324A8" w:rsidP="005E59C7">
      <w:pPr>
        <w:pStyle w:val="Heading1"/>
        <w:numPr>
          <w:ilvl w:val="1"/>
          <w:numId w:val="25"/>
        </w:numPr>
        <w:rPr>
          <w:rFonts w:ascii="Arial" w:hAnsi="Arial" w:cs="Arial"/>
          <w:sz w:val="22"/>
        </w:rPr>
      </w:pPr>
      <w:bookmarkStart w:id="7" w:name="_Risk_Assessment"/>
      <w:bookmarkEnd w:id="7"/>
      <w:r>
        <w:rPr>
          <w:rFonts w:ascii="Arial" w:hAnsi="Arial" w:cs="Arial"/>
          <w:sz w:val="22"/>
        </w:rPr>
        <w:t>Risk Assessment</w:t>
      </w:r>
    </w:p>
    <w:p w:rsidR="009C0FB9" w:rsidRDefault="009C0FB9" w:rsidP="009C0FB9"/>
    <w:p w:rsidR="00B278D9" w:rsidRDefault="009C0FB9" w:rsidP="009C0FB9">
      <w:pPr>
        <w:rPr>
          <w:rFonts w:ascii="Arial" w:hAnsi="Arial" w:cs="Arial"/>
        </w:rPr>
      </w:pPr>
      <w:r w:rsidRPr="009C0FB9">
        <w:rPr>
          <w:rFonts w:ascii="Arial" w:hAnsi="Arial" w:cs="Arial"/>
        </w:rPr>
        <w:t>A</w:t>
      </w:r>
      <w:r>
        <w:rPr>
          <w:rFonts w:ascii="Arial" w:hAnsi="Arial" w:cs="Arial"/>
        </w:rPr>
        <w:t xml:space="preserve">ccording to </w:t>
      </w:r>
      <w:sdt>
        <w:sdtPr>
          <w:rPr>
            <w:rFonts w:ascii="Arial" w:hAnsi="Arial" w:cs="Arial"/>
            <w:i/>
            <w:color w:val="5B9BD5" w:themeColor="accent1"/>
          </w:rPr>
          <w:id w:val="-44684581"/>
          <w:citation/>
        </w:sdtPr>
        <w:sdtEndPr/>
        <w:sdtContent>
          <w:r w:rsidRPr="008A051F">
            <w:rPr>
              <w:rFonts w:ascii="Arial" w:hAnsi="Arial" w:cs="Arial"/>
              <w:i/>
              <w:color w:val="5B9BD5" w:themeColor="accent1"/>
            </w:rPr>
            <w:fldChar w:fldCharType="begin"/>
          </w:r>
          <w:r w:rsidRPr="008A051F">
            <w:rPr>
              <w:rFonts w:ascii="Arial" w:hAnsi="Arial" w:cs="Arial"/>
              <w:i/>
              <w:color w:val="5B9BD5" w:themeColor="accent1"/>
            </w:rPr>
            <w:instrText xml:space="preserve"> CITATION PCS22 \l 2057 </w:instrText>
          </w:r>
          <w:r w:rsidRPr="008A051F">
            <w:rPr>
              <w:rFonts w:ascii="Arial" w:hAnsi="Arial" w:cs="Arial"/>
              <w:i/>
              <w:color w:val="5B9BD5" w:themeColor="accent1"/>
            </w:rPr>
            <w:fldChar w:fldCharType="separate"/>
          </w:r>
          <w:r w:rsidR="006812CC" w:rsidRPr="006812CC">
            <w:rPr>
              <w:rFonts w:ascii="Arial" w:hAnsi="Arial" w:cs="Arial"/>
              <w:noProof/>
              <w:color w:val="5B9BD5" w:themeColor="accent1"/>
            </w:rPr>
            <w:t>(PCS, 2022)</w:t>
          </w:r>
          <w:r w:rsidRPr="008A051F">
            <w:rPr>
              <w:rFonts w:ascii="Arial" w:hAnsi="Arial" w:cs="Arial"/>
              <w:i/>
              <w:color w:val="5B9BD5" w:themeColor="accent1"/>
            </w:rPr>
            <w:fldChar w:fldCharType="end"/>
          </w:r>
        </w:sdtContent>
      </w:sdt>
      <w:r>
        <w:rPr>
          <w:rFonts w:ascii="Arial" w:hAnsi="Arial" w:cs="Arial"/>
        </w:rPr>
        <w:t xml:space="preserve">, </w:t>
      </w:r>
      <w:r w:rsidR="008A6DC3">
        <w:rPr>
          <w:rFonts w:ascii="Arial" w:hAnsi="Arial" w:cs="Arial"/>
        </w:rPr>
        <w:t>Risk assessments are imperative for the safeguarding of staff/employees upon returning to work post Covid-19</w:t>
      </w:r>
      <w:r w:rsidR="00B278D9">
        <w:rPr>
          <w:rFonts w:ascii="Arial" w:hAnsi="Arial" w:cs="Arial"/>
        </w:rPr>
        <w:t>, to eliminate any potential hazards in the workplace</w:t>
      </w:r>
      <w:r w:rsidR="008A6DC3">
        <w:rPr>
          <w:rFonts w:ascii="Arial" w:hAnsi="Arial" w:cs="Arial"/>
        </w:rPr>
        <w:t xml:space="preserve">. </w:t>
      </w:r>
    </w:p>
    <w:p w:rsidR="00B278D9" w:rsidRDefault="00B278D9" w:rsidP="009C0FB9">
      <w:pPr>
        <w:rPr>
          <w:rFonts w:ascii="Arial" w:hAnsi="Arial" w:cs="Arial"/>
        </w:rPr>
      </w:pPr>
    </w:p>
    <w:p w:rsidR="009C0FB9" w:rsidRDefault="008A6DC3" w:rsidP="009C0FB9">
      <w:pPr>
        <w:rPr>
          <w:rFonts w:ascii="Arial" w:hAnsi="Arial" w:cs="Arial"/>
        </w:rPr>
      </w:pPr>
      <w:r>
        <w:rPr>
          <w:rFonts w:ascii="Arial" w:hAnsi="Arial" w:cs="Arial"/>
        </w:rPr>
        <w:t xml:space="preserve">While remote working from home is an option, many staff are ready to return to the workplace even if part-time. However, there are many who have developed health issues, childcare issues, work related stress and other symptoms of Covid-19 that may have had an impact, in which they will now require reasonable adjustments. </w:t>
      </w:r>
    </w:p>
    <w:p w:rsidR="00B278D9" w:rsidRDefault="00B278D9" w:rsidP="009C0FB9">
      <w:pPr>
        <w:rPr>
          <w:rFonts w:ascii="Arial" w:hAnsi="Arial" w:cs="Arial"/>
        </w:rPr>
      </w:pPr>
    </w:p>
    <w:p w:rsidR="00B278D9" w:rsidRDefault="008A051F" w:rsidP="009C0FB9">
      <w:pPr>
        <w:rPr>
          <w:rFonts w:ascii="Arial" w:hAnsi="Arial" w:cs="Arial"/>
        </w:rPr>
      </w:pPr>
      <w:r>
        <w:rPr>
          <w:rFonts w:ascii="Arial" w:hAnsi="Arial" w:cs="Arial"/>
        </w:rPr>
        <w:t>We carried out a risk assessment for this project plan to ensure that we have assessed all workspaces post Covid-19 including the distributions centre where the cakes are manufactured, the franchise stores and the head office. Additionally, any new procedures and guidelines that are required in regard to how staff/employees are doing their jobs, to avoid further contracting/spreading of the coronavirus.</w:t>
      </w:r>
    </w:p>
    <w:p w:rsidR="00E324A8" w:rsidRPr="00B76DCA" w:rsidRDefault="00B76DCA" w:rsidP="00B76DCA">
      <w:pPr>
        <w:jc w:val="center"/>
        <w:rPr>
          <w:rFonts w:ascii="Arial" w:hAnsi="Arial" w:cs="Arial"/>
          <w:b/>
        </w:rPr>
      </w:pPr>
      <w:r w:rsidRPr="00B76DCA">
        <w:rPr>
          <w:rFonts w:ascii="Arial" w:hAnsi="Arial" w:cs="Arial"/>
          <w:b/>
        </w:rPr>
        <w:t xml:space="preserve">Appendix </w:t>
      </w:r>
      <w:r w:rsidR="00BE5288">
        <w:rPr>
          <w:rFonts w:ascii="Arial" w:hAnsi="Arial" w:cs="Arial"/>
          <w:b/>
        </w:rPr>
        <w:t>F</w:t>
      </w:r>
    </w:p>
    <w:p w:rsidR="008A051F" w:rsidRDefault="008A051F" w:rsidP="00E324A8">
      <w:pPr>
        <w:rPr>
          <w:rFonts w:ascii="Arial" w:hAnsi="Arial" w:cs="Arial"/>
        </w:rPr>
      </w:pPr>
    </w:p>
    <w:p w:rsidR="00A32EC1" w:rsidRPr="008A051F" w:rsidRDefault="00A32EC1" w:rsidP="00E324A8">
      <w:pPr>
        <w:rPr>
          <w:rFonts w:ascii="Arial" w:hAnsi="Arial" w:cs="Arial"/>
        </w:rPr>
      </w:pPr>
    </w:p>
    <w:p w:rsidR="00E324A8" w:rsidRDefault="000C1BDA" w:rsidP="005E59C7">
      <w:pPr>
        <w:pStyle w:val="Heading1"/>
        <w:numPr>
          <w:ilvl w:val="0"/>
          <w:numId w:val="25"/>
        </w:numPr>
        <w:rPr>
          <w:rFonts w:ascii="Arial" w:hAnsi="Arial" w:cs="Arial"/>
          <w:sz w:val="22"/>
        </w:rPr>
      </w:pPr>
      <w:bookmarkStart w:id="8" w:name="_Gantt_Chart"/>
      <w:bookmarkEnd w:id="8"/>
      <w:r>
        <w:rPr>
          <w:rFonts w:ascii="Arial" w:hAnsi="Arial" w:cs="Arial"/>
          <w:sz w:val="22"/>
        </w:rPr>
        <w:t>Gantt Chart</w:t>
      </w:r>
    </w:p>
    <w:p w:rsidR="008A051F" w:rsidRDefault="008A051F" w:rsidP="008A051F"/>
    <w:p w:rsidR="008A051F" w:rsidRDefault="008219AE" w:rsidP="008A051F">
      <w:pPr>
        <w:rPr>
          <w:rFonts w:ascii="Arial" w:hAnsi="Arial" w:cs="Arial"/>
          <w:i/>
          <w:color w:val="5B9BD5" w:themeColor="accent1"/>
        </w:rPr>
      </w:pPr>
      <w:r w:rsidRPr="008219AE">
        <w:rPr>
          <w:rFonts w:ascii="Arial" w:hAnsi="Arial" w:cs="Arial"/>
          <w:i/>
        </w:rPr>
        <w:t xml:space="preserve">The purpose of a </w:t>
      </w:r>
      <w:proofErr w:type="spellStart"/>
      <w:r w:rsidRPr="008219AE">
        <w:rPr>
          <w:rFonts w:ascii="Arial" w:hAnsi="Arial" w:cs="Arial"/>
          <w:i/>
        </w:rPr>
        <w:t>gantt</w:t>
      </w:r>
      <w:proofErr w:type="spellEnd"/>
      <w:r w:rsidRPr="008219AE">
        <w:rPr>
          <w:rFonts w:ascii="Arial" w:hAnsi="Arial" w:cs="Arial"/>
          <w:i/>
        </w:rPr>
        <w:t xml:space="preserve"> chart is to equip you with the tools you need to oversee every aspect of your project. You can use a </w:t>
      </w:r>
      <w:proofErr w:type="spellStart"/>
      <w:r w:rsidRPr="008219AE">
        <w:rPr>
          <w:rFonts w:ascii="Arial" w:hAnsi="Arial" w:cs="Arial"/>
          <w:i/>
        </w:rPr>
        <w:t>gantt</w:t>
      </w:r>
      <w:proofErr w:type="spellEnd"/>
      <w:r w:rsidRPr="008219AE">
        <w:rPr>
          <w:rFonts w:ascii="Arial" w:hAnsi="Arial" w:cs="Arial"/>
          <w:i/>
        </w:rPr>
        <w:t xml:space="preserve"> chart to schedule, assign, and track project tasks from </w:t>
      </w:r>
      <w:proofErr w:type="spellStart"/>
      <w:r w:rsidRPr="008219AE">
        <w:rPr>
          <w:rFonts w:ascii="Arial" w:hAnsi="Arial" w:cs="Arial"/>
          <w:i/>
        </w:rPr>
        <w:t>kickoff</w:t>
      </w:r>
      <w:proofErr w:type="spellEnd"/>
      <w:r w:rsidRPr="008219AE">
        <w:rPr>
          <w:rFonts w:ascii="Arial" w:hAnsi="Arial" w:cs="Arial"/>
          <w:i/>
        </w:rPr>
        <w:t xml:space="preserve"> to completion. Its horizontal structure makes it easy to see how work stacks up over time so you can actively monitor progress along the way.</w:t>
      </w:r>
      <w:sdt>
        <w:sdtPr>
          <w:rPr>
            <w:rFonts w:ascii="Arial" w:hAnsi="Arial" w:cs="Arial"/>
            <w:i/>
          </w:rPr>
          <w:id w:val="-1537646964"/>
          <w:citation/>
        </w:sdtPr>
        <w:sdtEndPr>
          <w:rPr>
            <w:color w:val="5B9BD5" w:themeColor="accent1"/>
          </w:rPr>
        </w:sdtEndPr>
        <w:sdtContent>
          <w:r w:rsidRPr="004D4D15">
            <w:rPr>
              <w:rFonts w:ascii="Arial" w:hAnsi="Arial" w:cs="Arial"/>
              <w:i/>
              <w:color w:val="5B9BD5" w:themeColor="accent1"/>
            </w:rPr>
            <w:fldChar w:fldCharType="begin"/>
          </w:r>
          <w:r w:rsidRPr="004D4D15">
            <w:rPr>
              <w:rFonts w:ascii="Arial" w:hAnsi="Arial" w:cs="Arial"/>
              <w:i/>
              <w:color w:val="5B9BD5" w:themeColor="accent1"/>
            </w:rPr>
            <w:instrText xml:space="preserve"> CITATION Nat16 \l 2057 </w:instrText>
          </w:r>
          <w:r w:rsidRPr="004D4D15">
            <w:rPr>
              <w:rFonts w:ascii="Arial" w:hAnsi="Arial" w:cs="Arial"/>
              <w:i/>
              <w:color w:val="5B9BD5" w:themeColor="accent1"/>
            </w:rPr>
            <w:fldChar w:fldCharType="separate"/>
          </w:r>
          <w:r w:rsidR="006812CC">
            <w:rPr>
              <w:rFonts w:ascii="Arial" w:hAnsi="Arial" w:cs="Arial"/>
              <w:i/>
              <w:noProof/>
              <w:color w:val="5B9BD5" w:themeColor="accent1"/>
            </w:rPr>
            <w:t xml:space="preserve"> </w:t>
          </w:r>
          <w:r w:rsidR="006812CC" w:rsidRPr="006812CC">
            <w:rPr>
              <w:rFonts w:ascii="Arial" w:hAnsi="Arial" w:cs="Arial"/>
              <w:noProof/>
              <w:color w:val="5B9BD5" w:themeColor="accent1"/>
            </w:rPr>
            <w:t>(Gilmore, 2016)</w:t>
          </w:r>
          <w:r w:rsidRPr="004D4D15">
            <w:rPr>
              <w:rFonts w:ascii="Arial" w:hAnsi="Arial" w:cs="Arial"/>
              <w:i/>
              <w:color w:val="5B9BD5" w:themeColor="accent1"/>
            </w:rPr>
            <w:fldChar w:fldCharType="end"/>
          </w:r>
        </w:sdtContent>
      </w:sdt>
    </w:p>
    <w:p w:rsidR="008219AE" w:rsidRDefault="008219AE" w:rsidP="008A051F">
      <w:pPr>
        <w:rPr>
          <w:rFonts w:ascii="Arial" w:hAnsi="Arial" w:cs="Arial"/>
          <w:i/>
          <w:color w:val="5B9BD5" w:themeColor="accent1"/>
        </w:rPr>
      </w:pPr>
    </w:p>
    <w:p w:rsidR="00700502" w:rsidRDefault="008219AE" w:rsidP="008A051F">
      <w:pPr>
        <w:rPr>
          <w:rFonts w:ascii="Arial" w:hAnsi="Arial" w:cs="Arial"/>
        </w:rPr>
      </w:pPr>
      <w:r>
        <w:rPr>
          <w:rFonts w:ascii="Arial" w:hAnsi="Arial" w:cs="Arial"/>
        </w:rPr>
        <w:t>With the Government and NHS updates regularly changing based on the threat of the coronavirus during this time, it is important that we created a Gantt chart for this project. We set a foundation for our plan, ensuring that we allow regular meetings to review and make adjustments in alignment with any changes that are demanded from the Government/NHS. We are aware that we may exceed our budget, or may not even reach our budget but being able to monitor our progress throughout will help the project management team to stay on top of their tasks.</w:t>
      </w:r>
    </w:p>
    <w:p w:rsidR="00700502" w:rsidRDefault="00B76DCA" w:rsidP="00B76DCA">
      <w:pPr>
        <w:jc w:val="center"/>
        <w:rPr>
          <w:rFonts w:ascii="Arial" w:hAnsi="Arial" w:cs="Arial"/>
          <w:b/>
        </w:rPr>
      </w:pPr>
      <w:r w:rsidRPr="00B76DCA">
        <w:rPr>
          <w:rFonts w:ascii="Arial" w:hAnsi="Arial" w:cs="Arial"/>
          <w:b/>
        </w:rPr>
        <w:t xml:space="preserve">Appendix </w:t>
      </w:r>
      <w:r w:rsidR="00BE5288">
        <w:rPr>
          <w:rFonts w:ascii="Arial" w:hAnsi="Arial" w:cs="Arial"/>
          <w:b/>
        </w:rPr>
        <w:t>G</w:t>
      </w:r>
    </w:p>
    <w:p w:rsidR="00895412" w:rsidRPr="00B76DCA" w:rsidRDefault="00895412" w:rsidP="00B76DCA">
      <w:pPr>
        <w:jc w:val="center"/>
        <w:rPr>
          <w:rFonts w:ascii="Arial" w:hAnsi="Arial" w:cs="Arial"/>
          <w:b/>
        </w:rPr>
      </w:pPr>
      <w:r>
        <w:rPr>
          <w:rFonts w:ascii="Arial" w:hAnsi="Arial" w:cs="Arial"/>
          <w:b/>
        </w:rPr>
        <w:t>Appendix H</w:t>
      </w:r>
    </w:p>
    <w:p w:rsidR="00700502" w:rsidRDefault="00700502" w:rsidP="008A051F">
      <w:pPr>
        <w:rPr>
          <w:rFonts w:ascii="Arial" w:hAnsi="Arial" w:cs="Arial"/>
        </w:rPr>
      </w:pPr>
    </w:p>
    <w:p w:rsidR="00B76DCA" w:rsidRDefault="00B76DCA">
      <w:pPr>
        <w:spacing w:after="160" w:line="259" w:lineRule="auto"/>
        <w:rPr>
          <w:rFonts w:ascii="Arial" w:hAnsi="Arial" w:cs="Arial"/>
        </w:rPr>
      </w:pPr>
      <w:r>
        <w:rPr>
          <w:rFonts w:ascii="Arial" w:hAnsi="Arial" w:cs="Arial"/>
        </w:rPr>
        <w:br w:type="page"/>
      </w:r>
    </w:p>
    <w:p w:rsidR="008C753B" w:rsidRDefault="00B76DCA" w:rsidP="005E59C7">
      <w:pPr>
        <w:pStyle w:val="Heading1"/>
        <w:numPr>
          <w:ilvl w:val="0"/>
          <w:numId w:val="25"/>
        </w:numPr>
        <w:rPr>
          <w:rFonts w:ascii="Arial" w:hAnsi="Arial" w:cs="Arial"/>
          <w:sz w:val="22"/>
        </w:rPr>
      </w:pPr>
      <w:bookmarkStart w:id="9" w:name="_Conclusion"/>
      <w:bookmarkEnd w:id="9"/>
      <w:r w:rsidRPr="00B76DCA">
        <w:rPr>
          <w:rFonts w:ascii="Arial" w:hAnsi="Arial" w:cs="Arial"/>
          <w:sz w:val="22"/>
        </w:rPr>
        <w:lastRenderedPageBreak/>
        <w:t>Conclusion</w:t>
      </w:r>
    </w:p>
    <w:p w:rsidR="008C753B" w:rsidRDefault="008C753B" w:rsidP="008C753B"/>
    <w:p w:rsidR="003A68FF" w:rsidRDefault="003A68FF">
      <w:pPr>
        <w:spacing w:after="160" w:line="259" w:lineRule="auto"/>
        <w:rPr>
          <w:rFonts w:ascii="Arial" w:hAnsi="Arial" w:cs="Arial"/>
        </w:rPr>
      </w:pPr>
      <w:r w:rsidRPr="003A68FF">
        <w:rPr>
          <w:rFonts w:ascii="Arial" w:hAnsi="Arial" w:cs="Arial"/>
        </w:rPr>
        <w:t>The PMI tools and techniques used to get a clear breakdown of all things that needed to be considered throughout this process, helped to simplify a clear project scope and specific deliverables to be completed. Each task was assigned to the appropriate staff member, regular meetings to monitor and review the process were scheduled, and although we went slightly over budget, this was due to wholesale prices increasing. There were also some delays on a few deliverables due to project team members contracting the virus and going off sick, this meant that other staff had to be assigned to complete the task instead. All the risks of Returning to work post Covid-19 were closely analysed and we used our knowledge and tools to identify ways to control and manage the safety of staff and employees</w:t>
      </w:r>
      <w:r>
        <w:rPr>
          <w:rFonts w:ascii="Arial" w:hAnsi="Arial" w:cs="Arial"/>
        </w:rPr>
        <w:t xml:space="preserve"> effectively</w:t>
      </w:r>
      <w:r w:rsidRPr="003A68FF">
        <w:rPr>
          <w:rFonts w:ascii="Arial" w:hAnsi="Arial" w:cs="Arial"/>
        </w:rPr>
        <w:t>.</w:t>
      </w:r>
    </w:p>
    <w:p w:rsidR="003A68FF" w:rsidRDefault="003A68FF">
      <w:pPr>
        <w:spacing w:after="160" w:line="259" w:lineRule="auto"/>
        <w:rPr>
          <w:rFonts w:ascii="Arial" w:hAnsi="Arial" w:cs="Arial"/>
        </w:rPr>
      </w:pPr>
      <w:r>
        <w:rPr>
          <w:rFonts w:ascii="Arial" w:hAnsi="Arial" w:cs="Arial"/>
        </w:rPr>
        <w:t>As statistics continue to fluctuate in terms of the C</w:t>
      </w:r>
      <w:r w:rsidR="000C6F57">
        <w:rPr>
          <w:rFonts w:ascii="Arial" w:hAnsi="Arial" w:cs="Arial"/>
        </w:rPr>
        <w:t xml:space="preserve">oronavirus spread, </w:t>
      </w:r>
      <w:proofErr w:type="spellStart"/>
      <w:r w:rsidR="000C6F57">
        <w:rPr>
          <w:rFonts w:ascii="Arial" w:hAnsi="Arial" w:cs="Arial"/>
        </w:rPr>
        <w:t>Eggfree</w:t>
      </w:r>
      <w:proofErr w:type="spellEnd"/>
      <w:r w:rsidR="000C6F57">
        <w:rPr>
          <w:rFonts w:ascii="Arial" w:hAnsi="Arial" w:cs="Arial"/>
        </w:rPr>
        <w:t xml:space="preserve"> Cake Box is uncertain on plans moving forward but continue to use project management to plan for every 6months ahead, in alignment with the Government/NHS guidelines as well as the FSA guidelines. </w:t>
      </w:r>
    </w:p>
    <w:p w:rsidR="003A68FF" w:rsidRPr="003A68FF" w:rsidRDefault="003A68FF">
      <w:pPr>
        <w:spacing w:after="160" w:line="259" w:lineRule="auto"/>
        <w:rPr>
          <w:rFonts w:ascii="Arial" w:hAnsi="Arial" w:cs="Arial"/>
        </w:rPr>
      </w:pPr>
    </w:p>
    <w:p w:rsidR="008C753B" w:rsidRDefault="008C753B">
      <w:pPr>
        <w:spacing w:after="160" w:line="259" w:lineRule="auto"/>
      </w:pPr>
      <w:r>
        <w:br w:type="page"/>
      </w:r>
    </w:p>
    <w:bookmarkStart w:id="10" w:name="_References" w:displacedByCustomXml="next"/>
    <w:bookmarkEnd w:id="10" w:displacedByCustomXml="next"/>
    <w:sdt>
      <w:sdtPr>
        <w:rPr>
          <w:rFonts w:asciiTheme="minorHAnsi" w:eastAsiaTheme="minorEastAsia" w:hAnsiTheme="minorHAnsi" w:cstheme="minorBidi"/>
          <w:color w:val="auto"/>
          <w:sz w:val="22"/>
          <w:szCs w:val="22"/>
        </w:rPr>
        <w:id w:val="1379673264"/>
        <w:docPartObj>
          <w:docPartGallery w:val="Bibliographies"/>
          <w:docPartUnique/>
        </w:docPartObj>
      </w:sdtPr>
      <w:sdtEndPr/>
      <w:sdtContent>
        <w:p w:rsidR="008C753B" w:rsidRDefault="008C753B">
          <w:pPr>
            <w:pStyle w:val="Heading1"/>
          </w:pPr>
          <w:r>
            <w:t>References</w:t>
          </w:r>
        </w:p>
        <w:sdt>
          <w:sdtPr>
            <w:id w:val="-573587230"/>
            <w:bibliography/>
          </w:sdtPr>
          <w:sdtEndPr/>
          <w:sdtContent>
            <w:p w:rsidR="006812CC" w:rsidRDefault="008C753B" w:rsidP="006812CC">
              <w:pPr>
                <w:pStyle w:val="Bibliography"/>
                <w:rPr>
                  <w:noProof/>
                  <w:sz w:val="24"/>
                  <w:szCs w:val="24"/>
                </w:rPr>
              </w:pPr>
              <w:r>
                <w:fldChar w:fldCharType="begin"/>
              </w:r>
              <w:r>
                <w:instrText xml:space="preserve"> BIBLIOGRAPHY </w:instrText>
              </w:r>
              <w:r>
                <w:fldChar w:fldCharType="separate"/>
              </w:r>
              <w:r w:rsidR="006812CC">
                <w:rPr>
                  <w:noProof/>
                </w:rPr>
                <w:t xml:space="preserve">Andy Bruce, K. L., 2000. In: </w:t>
              </w:r>
              <w:r w:rsidR="006812CC">
                <w:rPr>
                  <w:i/>
                  <w:iCs/>
                  <w:noProof/>
                </w:rPr>
                <w:t xml:space="preserve">Project Management. </w:t>
              </w:r>
              <w:r w:rsidR="006812CC">
                <w:rPr>
                  <w:noProof/>
                </w:rPr>
                <w:t>New York: Dorling Kingserley.</w:t>
              </w:r>
            </w:p>
            <w:p w:rsidR="006812CC" w:rsidRDefault="006812CC" w:rsidP="006812CC">
              <w:pPr>
                <w:pStyle w:val="Bibliography"/>
                <w:rPr>
                  <w:noProof/>
                </w:rPr>
              </w:pPr>
              <w:r>
                <w:rPr>
                  <w:noProof/>
                </w:rPr>
                <w:t xml:space="preserve">CDC, 2020. </w:t>
              </w:r>
              <w:r>
                <w:rPr>
                  <w:i/>
                  <w:iCs/>
                  <w:noProof/>
                </w:rPr>
                <w:t xml:space="preserve">Guidance for Businesses and Employers Responding to Coronavirus Disease 2019 (COVID-19). </w:t>
              </w:r>
              <w:r>
                <w:rPr>
                  <w:noProof/>
                </w:rPr>
                <w:t xml:space="preserve">[Online] </w:t>
              </w:r>
              <w:r>
                <w:rPr>
                  <w:noProof/>
                </w:rPr>
                <w:br/>
                <w:t xml:space="preserve">Available at: </w:t>
              </w:r>
              <w:r>
                <w:rPr>
                  <w:noProof/>
                  <w:u w:val="single"/>
                </w:rPr>
                <w:t>https://www.cdc.gov/coronavirus/2019-ncov/community/guidance-business-response.html</w:t>
              </w:r>
              <w:r>
                <w:rPr>
                  <w:noProof/>
                </w:rPr>
                <w:br/>
                <w:t>[Accessed 6 April 2022].</w:t>
              </w:r>
            </w:p>
            <w:p w:rsidR="006812CC" w:rsidRDefault="006812CC" w:rsidP="006812CC">
              <w:pPr>
                <w:pStyle w:val="Bibliography"/>
                <w:rPr>
                  <w:noProof/>
                </w:rPr>
              </w:pPr>
              <w:r>
                <w:rPr>
                  <w:noProof/>
                </w:rPr>
                <w:t xml:space="preserve">Chamdal, S., 2020. </w:t>
              </w:r>
              <w:r>
                <w:rPr>
                  <w:i/>
                  <w:iCs/>
                  <w:noProof/>
                </w:rPr>
                <w:t xml:space="preserve">Full Year Results for the twelve months ended 31 March 2020. </w:t>
              </w:r>
              <w:r>
                <w:rPr>
                  <w:noProof/>
                </w:rPr>
                <w:t xml:space="preserve">[Online] </w:t>
              </w:r>
              <w:r>
                <w:rPr>
                  <w:noProof/>
                </w:rPr>
                <w:br/>
                <w:t xml:space="preserve">Available at: </w:t>
              </w:r>
              <w:r>
                <w:rPr>
                  <w:noProof/>
                  <w:u w:val="single"/>
                </w:rPr>
                <w:t>https://investors.eggfreecake.co.uk/wp-content/uploads/2020/06/Cake-Box-Holdings-Plc-RNS-FY-2020-results-FINAL.pdf</w:t>
              </w:r>
              <w:r>
                <w:rPr>
                  <w:noProof/>
                </w:rPr>
                <w:br/>
                <w:t>[Accessed 28 November 2021].</w:t>
              </w:r>
            </w:p>
            <w:p w:rsidR="006812CC" w:rsidRDefault="006812CC" w:rsidP="006812CC">
              <w:pPr>
                <w:pStyle w:val="Bibliography"/>
                <w:rPr>
                  <w:noProof/>
                </w:rPr>
              </w:pPr>
              <w:r>
                <w:rPr>
                  <w:noProof/>
                </w:rPr>
                <w:t xml:space="preserve">Chamdal, S., 2021. </w:t>
              </w:r>
              <w:r>
                <w:rPr>
                  <w:i/>
                  <w:iCs/>
                  <w:noProof/>
                </w:rPr>
                <w:t xml:space="preserve">Annual Report and Acconuts 2021. </w:t>
              </w:r>
              <w:r>
                <w:rPr>
                  <w:noProof/>
                </w:rPr>
                <w:t xml:space="preserve">[Online] </w:t>
              </w:r>
              <w:r>
                <w:rPr>
                  <w:noProof/>
                </w:rPr>
                <w:br/>
                <w:t xml:space="preserve">Available at: </w:t>
              </w:r>
              <w:r>
                <w:rPr>
                  <w:noProof/>
                  <w:u w:val="single"/>
                </w:rPr>
                <w:t>https://www.fundslibrary.co.uk/FundsLibrary.DataRetrieval/Documents.aspx/?type=sl.ra.full&amp;id=33e71b26-aef4-4e71-b946-</w:t>
              </w:r>
              <w:bookmarkStart w:id="11" w:name="_GoBack"/>
              <w:bookmarkEnd w:id="11"/>
              <w:r>
                <w:rPr>
                  <w:noProof/>
                  <w:u w:val="single"/>
                </w:rPr>
                <w:t>c3aeebdab303&amp;user=kgh8kIE82nr9m1sWomIgXubDa5nmfAEZmtyWpgllFo5mniwObQVBB2lPfc5T6jwh&amp;r=1</w:t>
              </w:r>
              <w:r>
                <w:rPr>
                  <w:noProof/>
                </w:rPr>
                <w:br/>
                <w:t>[Accessed 28 November 2021].</w:t>
              </w:r>
            </w:p>
            <w:p w:rsidR="006812CC" w:rsidRDefault="006812CC" w:rsidP="006812CC">
              <w:pPr>
                <w:pStyle w:val="Bibliography"/>
                <w:rPr>
                  <w:noProof/>
                </w:rPr>
              </w:pPr>
              <w:r>
                <w:rPr>
                  <w:noProof/>
                </w:rPr>
                <w:t xml:space="preserve">Eggfree Cake Box, 2019. </w:t>
              </w:r>
              <w:r>
                <w:rPr>
                  <w:i/>
                  <w:iCs/>
                  <w:noProof/>
                </w:rPr>
                <w:t xml:space="preserve">2019 Annual Report. </w:t>
              </w:r>
              <w:r>
                <w:rPr>
                  <w:noProof/>
                </w:rPr>
                <w:t xml:space="preserve">[Online] </w:t>
              </w:r>
              <w:r>
                <w:rPr>
                  <w:noProof/>
                </w:rPr>
                <w:br/>
                <w:t xml:space="preserve">Available at: </w:t>
              </w:r>
              <w:r>
                <w:rPr>
                  <w:noProof/>
                  <w:u w:val="single"/>
                </w:rPr>
                <w:t>https://www.annualreports.com/Company/cake-box-holdings-plc</w:t>
              </w:r>
              <w:r>
                <w:rPr>
                  <w:noProof/>
                </w:rPr>
                <w:br/>
                <w:t>[Accessed 6 April 2022].</w:t>
              </w:r>
            </w:p>
            <w:p w:rsidR="006812CC" w:rsidRDefault="006812CC" w:rsidP="006812CC">
              <w:pPr>
                <w:pStyle w:val="Bibliography"/>
                <w:rPr>
                  <w:noProof/>
                </w:rPr>
              </w:pPr>
              <w:r>
                <w:rPr>
                  <w:noProof/>
                </w:rPr>
                <w:t xml:space="preserve">Gilmore, N., 2016. </w:t>
              </w:r>
              <w:r>
                <w:rPr>
                  <w:i/>
                  <w:iCs/>
                  <w:noProof/>
                </w:rPr>
                <w:t xml:space="preserve">The Advantages of Gantt Charts in Project Management. </w:t>
              </w:r>
              <w:r>
                <w:rPr>
                  <w:noProof/>
                </w:rPr>
                <w:t xml:space="preserve">[Online] </w:t>
              </w:r>
              <w:r>
                <w:rPr>
                  <w:noProof/>
                </w:rPr>
                <w:br/>
                <w:t xml:space="preserve">Available at: </w:t>
              </w:r>
              <w:r>
                <w:rPr>
                  <w:noProof/>
                  <w:u w:val="single"/>
                </w:rPr>
                <w:t>https://www.teamgantt.com/blog/10-benefits-of-using-a-gantt-chart-of-your-next-project</w:t>
              </w:r>
              <w:r>
                <w:rPr>
                  <w:noProof/>
                </w:rPr>
                <w:br/>
                <w:t>[Accessed 15 April 2022].</w:t>
              </w:r>
            </w:p>
            <w:p w:rsidR="006812CC" w:rsidRDefault="006812CC" w:rsidP="006812CC">
              <w:pPr>
                <w:pStyle w:val="Bibliography"/>
                <w:rPr>
                  <w:noProof/>
                </w:rPr>
              </w:pPr>
              <w:r>
                <w:rPr>
                  <w:noProof/>
                </w:rPr>
                <w:t xml:space="preserve">Hayes, A., 2021. </w:t>
              </w:r>
              <w:r>
                <w:rPr>
                  <w:i/>
                  <w:iCs/>
                  <w:noProof/>
                </w:rPr>
                <w:t xml:space="preserve">Ishikawa Diagram. </w:t>
              </w:r>
              <w:r>
                <w:rPr>
                  <w:noProof/>
                </w:rPr>
                <w:t xml:space="preserve">[Online] </w:t>
              </w:r>
              <w:r>
                <w:rPr>
                  <w:noProof/>
                </w:rPr>
                <w:br/>
                <w:t xml:space="preserve">Available at: </w:t>
              </w:r>
              <w:r>
                <w:rPr>
                  <w:noProof/>
                  <w:u w:val="single"/>
                </w:rPr>
                <w:t>https://www.investopedia.com/terms/i/ishikawa-diagram.asp</w:t>
              </w:r>
              <w:r>
                <w:rPr>
                  <w:noProof/>
                </w:rPr>
                <w:br/>
                <w:t>[Accessed 4 March 2022].</w:t>
              </w:r>
            </w:p>
            <w:p w:rsidR="006812CC" w:rsidRDefault="006812CC" w:rsidP="006812CC">
              <w:pPr>
                <w:pStyle w:val="Bibliography"/>
                <w:rPr>
                  <w:noProof/>
                </w:rPr>
              </w:pPr>
              <w:r>
                <w:rPr>
                  <w:noProof/>
                </w:rPr>
                <w:t xml:space="preserve">MyMG, n.d. </w:t>
              </w:r>
              <w:r>
                <w:rPr>
                  <w:i/>
                  <w:iCs/>
                  <w:noProof/>
                </w:rPr>
                <w:t xml:space="preserve">WHAT IS A PROJECT? – DEFINITION AND KEY CHARACTERISTICS. </w:t>
              </w:r>
              <w:r>
                <w:rPr>
                  <w:noProof/>
                </w:rPr>
                <w:t xml:space="preserve">[Online] </w:t>
              </w:r>
              <w:r>
                <w:rPr>
                  <w:noProof/>
                </w:rPr>
                <w:br/>
                <w:t xml:space="preserve">Available at: </w:t>
              </w:r>
              <w:r>
                <w:rPr>
                  <w:noProof/>
                  <w:u w:val="single"/>
                </w:rPr>
                <w:t>https://mymanagementguide.com/basics/what-is-a-project/</w:t>
              </w:r>
              <w:r>
                <w:rPr>
                  <w:noProof/>
                </w:rPr>
                <w:br/>
                <w:t>[Accessed 10 January 2022].</w:t>
              </w:r>
            </w:p>
            <w:p w:rsidR="006812CC" w:rsidRDefault="006812CC" w:rsidP="006812CC">
              <w:pPr>
                <w:pStyle w:val="Bibliography"/>
                <w:rPr>
                  <w:noProof/>
                </w:rPr>
              </w:pPr>
              <w:r>
                <w:rPr>
                  <w:noProof/>
                </w:rPr>
                <w:t xml:space="preserve">Oxford Academic - Food Quality and Safety, 2020. </w:t>
              </w:r>
              <w:r>
                <w:rPr>
                  <w:i/>
                  <w:iCs/>
                  <w:noProof/>
                </w:rPr>
                <w:t xml:space="preserve">Impact of COVID-19 on the food supply chain. </w:t>
              </w:r>
              <w:r>
                <w:rPr>
                  <w:noProof/>
                </w:rPr>
                <w:t xml:space="preserve">[Online] </w:t>
              </w:r>
              <w:r>
                <w:rPr>
                  <w:noProof/>
                </w:rPr>
                <w:br/>
                <w:t xml:space="preserve">Available at: </w:t>
              </w:r>
              <w:r>
                <w:rPr>
                  <w:noProof/>
                  <w:u w:val="single"/>
                </w:rPr>
                <w:t>https://academic.oup.com/fqs/article/4/4/167/5896496</w:t>
              </w:r>
              <w:r>
                <w:rPr>
                  <w:noProof/>
                </w:rPr>
                <w:br/>
                <w:t>[Accessed 6 April 2022].</w:t>
              </w:r>
            </w:p>
            <w:p w:rsidR="006812CC" w:rsidRDefault="006812CC" w:rsidP="006812CC">
              <w:pPr>
                <w:pStyle w:val="Bibliography"/>
                <w:rPr>
                  <w:noProof/>
                </w:rPr>
              </w:pPr>
              <w:r>
                <w:rPr>
                  <w:noProof/>
                </w:rPr>
                <w:t xml:space="preserve">PCS, 2022. </w:t>
              </w:r>
              <w:r>
                <w:rPr>
                  <w:i/>
                  <w:iCs/>
                  <w:noProof/>
                </w:rPr>
                <w:t xml:space="preserve">Why Risk Assessments Are Important. </w:t>
              </w:r>
              <w:r>
                <w:rPr>
                  <w:noProof/>
                </w:rPr>
                <w:t xml:space="preserve">[Online] </w:t>
              </w:r>
              <w:r>
                <w:rPr>
                  <w:noProof/>
                </w:rPr>
                <w:br/>
                <w:t xml:space="preserve">Available at: </w:t>
              </w:r>
              <w:r>
                <w:rPr>
                  <w:noProof/>
                  <w:u w:val="single"/>
                </w:rPr>
                <w:t>https://www.pcs.org.uk/news-events/news/why-risk-assessments-are-important</w:t>
              </w:r>
              <w:r>
                <w:rPr>
                  <w:noProof/>
                </w:rPr>
                <w:br/>
                <w:t>[Accessed 29 April 2022].</w:t>
              </w:r>
            </w:p>
            <w:p w:rsidR="006812CC" w:rsidRDefault="006812CC" w:rsidP="006812CC">
              <w:pPr>
                <w:pStyle w:val="Bibliography"/>
                <w:rPr>
                  <w:noProof/>
                </w:rPr>
              </w:pPr>
              <w:r>
                <w:rPr>
                  <w:noProof/>
                </w:rPr>
                <w:t xml:space="preserve">PMI, n.d. </w:t>
              </w:r>
              <w:r>
                <w:rPr>
                  <w:i/>
                  <w:iCs/>
                  <w:noProof/>
                </w:rPr>
                <w:t xml:space="preserve">What is Project Management?. </w:t>
              </w:r>
              <w:r>
                <w:rPr>
                  <w:noProof/>
                </w:rPr>
                <w:t xml:space="preserve">[Online] </w:t>
              </w:r>
              <w:r>
                <w:rPr>
                  <w:noProof/>
                </w:rPr>
                <w:br/>
                <w:t xml:space="preserve">Available at: </w:t>
              </w:r>
              <w:r>
                <w:rPr>
                  <w:noProof/>
                  <w:u w:val="single"/>
                </w:rPr>
                <w:t>https://www.pmi.org/about/learn-about-pmi/what-is-project-management</w:t>
              </w:r>
              <w:r>
                <w:rPr>
                  <w:noProof/>
                </w:rPr>
                <w:br/>
                <w:t>[Accessed 11 January 2022].</w:t>
              </w:r>
            </w:p>
            <w:p w:rsidR="006812CC" w:rsidRDefault="006812CC" w:rsidP="006812CC">
              <w:pPr>
                <w:pStyle w:val="Bibliography"/>
                <w:rPr>
                  <w:noProof/>
                </w:rPr>
              </w:pPr>
              <w:r>
                <w:rPr>
                  <w:noProof/>
                </w:rPr>
                <w:t xml:space="preserve">PSPC, 2019. </w:t>
              </w:r>
              <w:r>
                <w:rPr>
                  <w:i/>
                  <w:iCs/>
                  <w:noProof/>
                </w:rPr>
                <w:t xml:space="preserve">Project management plan approval. </w:t>
              </w:r>
              <w:r>
                <w:rPr>
                  <w:noProof/>
                </w:rPr>
                <w:t xml:space="preserve">[Online] </w:t>
              </w:r>
              <w:r>
                <w:rPr>
                  <w:noProof/>
                </w:rPr>
                <w:br/>
                <w:t xml:space="preserve">Available at: </w:t>
              </w:r>
              <w:r>
                <w:rPr>
                  <w:noProof/>
                  <w:u w:val="single"/>
                </w:rPr>
                <w:t>https://www.tpsgc-pwgsc.gc.ca/biens-property/sngp-npms/bi-rp/confirm-eng.html</w:t>
              </w:r>
              <w:r>
                <w:rPr>
                  <w:noProof/>
                </w:rPr>
                <w:br/>
                <w:t>[Accessed 13 November 2021].</w:t>
              </w:r>
            </w:p>
            <w:p w:rsidR="006812CC" w:rsidRDefault="006812CC" w:rsidP="006812CC">
              <w:pPr>
                <w:pStyle w:val="Bibliography"/>
                <w:rPr>
                  <w:noProof/>
                </w:rPr>
              </w:pPr>
              <w:r>
                <w:rPr>
                  <w:noProof/>
                </w:rPr>
                <w:t xml:space="preserve">SOM, 2021. </w:t>
              </w:r>
              <w:r>
                <w:rPr>
                  <w:i/>
                  <w:iCs/>
                  <w:noProof/>
                </w:rPr>
                <w:t xml:space="preserve">Returning to the Workplace after Covid-19 Lockdown. </w:t>
              </w:r>
              <w:r>
                <w:rPr>
                  <w:noProof/>
                </w:rPr>
                <w:t xml:space="preserve">[Online] </w:t>
              </w:r>
              <w:r>
                <w:rPr>
                  <w:noProof/>
                </w:rPr>
                <w:br/>
                <w:t xml:space="preserve">Available at: </w:t>
              </w:r>
              <w:r>
                <w:rPr>
                  <w:noProof/>
                  <w:u w:val="single"/>
                </w:rPr>
                <w:t>https://www.som.org.uk/Returning_to_the_workplace_COVID-19_toolkit_FINAL.pdf</w:t>
              </w:r>
              <w:r>
                <w:rPr>
                  <w:noProof/>
                </w:rPr>
                <w:br/>
                <w:t>[Accessed 6 April 2022].</w:t>
              </w:r>
            </w:p>
            <w:p w:rsidR="006812CC" w:rsidRDefault="006812CC" w:rsidP="006812CC">
              <w:pPr>
                <w:pStyle w:val="Bibliography"/>
                <w:rPr>
                  <w:noProof/>
                </w:rPr>
              </w:pPr>
              <w:r>
                <w:rPr>
                  <w:noProof/>
                </w:rPr>
                <w:t xml:space="preserve">teamgantt, 2022. </w:t>
              </w:r>
              <w:r>
                <w:rPr>
                  <w:i/>
                  <w:iCs/>
                  <w:noProof/>
                </w:rPr>
                <w:t xml:space="preserve">Guide to Project Management. </w:t>
              </w:r>
              <w:r>
                <w:rPr>
                  <w:noProof/>
                </w:rPr>
                <w:t xml:space="preserve">[Online] </w:t>
              </w:r>
              <w:r>
                <w:rPr>
                  <w:noProof/>
                </w:rPr>
                <w:br/>
                <w:t xml:space="preserve">Available at: </w:t>
              </w:r>
              <w:r>
                <w:rPr>
                  <w:noProof/>
                  <w:u w:val="single"/>
                </w:rPr>
                <w:t>https://www.teamgantt.com/project-management-guide/what-is-project-management</w:t>
              </w:r>
              <w:r>
                <w:rPr>
                  <w:noProof/>
                </w:rPr>
                <w:br/>
                <w:t>[Accessed 16 April 2022].</w:t>
              </w:r>
            </w:p>
            <w:p w:rsidR="006812CC" w:rsidRDefault="006812CC" w:rsidP="006812CC">
              <w:pPr>
                <w:pStyle w:val="Bibliography"/>
                <w:rPr>
                  <w:noProof/>
                </w:rPr>
              </w:pPr>
              <w:r>
                <w:rPr>
                  <w:noProof/>
                </w:rPr>
                <w:lastRenderedPageBreak/>
                <w:t xml:space="preserve">Work Breakdown Structure, 2022. </w:t>
              </w:r>
              <w:r>
                <w:rPr>
                  <w:i/>
                  <w:iCs/>
                  <w:noProof/>
                </w:rPr>
                <w:t xml:space="preserve">What is Work Breakdown Structure?. </w:t>
              </w:r>
              <w:r>
                <w:rPr>
                  <w:noProof/>
                </w:rPr>
                <w:t xml:space="preserve">[Online] </w:t>
              </w:r>
              <w:r>
                <w:rPr>
                  <w:noProof/>
                </w:rPr>
                <w:br/>
                <w:t xml:space="preserve">Available at: </w:t>
              </w:r>
              <w:r>
                <w:rPr>
                  <w:noProof/>
                  <w:u w:val="single"/>
                </w:rPr>
                <w:t>https://www.workbreakdownstructure.com/</w:t>
              </w:r>
              <w:r>
                <w:rPr>
                  <w:noProof/>
                </w:rPr>
                <w:br/>
                <w:t>[Accessed 5 March 2022].</w:t>
              </w:r>
            </w:p>
            <w:p w:rsidR="008C753B" w:rsidRDefault="008C753B" w:rsidP="006812CC">
              <w:r>
                <w:rPr>
                  <w:b/>
                  <w:bCs/>
                  <w:noProof/>
                </w:rPr>
                <w:fldChar w:fldCharType="end"/>
              </w:r>
            </w:p>
          </w:sdtContent>
        </w:sdt>
      </w:sdtContent>
    </w:sdt>
    <w:p w:rsidR="008C753B" w:rsidRDefault="008C753B">
      <w:pPr>
        <w:spacing w:after="160" w:line="259" w:lineRule="auto"/>
        <w:rPr>
          <w:rFonts w:eastAsiaTheme="majorEastAsia"/>
          <w:color w:val="2E74B5" w:themeColor="accent1" w:themeShade="BF"/>
          <w:szCs w:val="32"/>
        </w:rPr>
      </w:pPr>
      <w:r>
        <w:rPr>
          <w:rFonts w:eastAsiaTheme="majorEastAsia"/>
          <w:color w:val="2E74B5" w:themeColor="accent1" w:themeShade="BF"/>
          <w:szCs w:val="32"/>
        </w:rPr>
        <w:br w:type="page"/>
      </w:r>
    </w:p>
    <w:p w:rsidR="008C753B" w:rsidRDefault="008C753B" w:rsidP="008C753B">
      <w:pPr>
        <w:pStyle w:val="Heading1"/>
        <w:rPr>
          <w:rFonts w:ascii="Arial" w:hAnsi="Arial" w:cs="Arial"/>
          <w:sz w:val="22"/>
        </w:rPr>
      </w:pPr>
      <w:bookmarkStart w:id="12" w:name="_Appendices"/>
      <w:bookmarkEnd w:id="12"/>
      <w:r>
        <w:rPr>
          <w:rFonts w:ascii="Arial" w:hAnsi="Arial" w:cs="Arial"/>
          <w:sz w:val="22"/>
        </w:rPr>
        <w:lastRenderedPageBreak/>
        <w:t>Appendices</w:t>
      </w:r>
    </w:p>
    <w:p w:rsidR="008C753B" w:rsidRPr="004D4D15" w:rsidRDefault="008C753B" w:rsidP="008C753B">
      <w:pPr>
        <w:rPr>
          <w:b/>
        </w:rPr>
      </w:pPr>
    </w:p>
    <w:p w:rsidR="003F734F" w:rsidRDefault="00CA6CD4" w:rsidP="003F734F">
      <w:pPr>
        <w:jc w:val="center"/>
        <w:rPr>
          <w:rFonts w:ascii="Arial" w:hAnsi="Arial" w:cs="Arial"/>
        </w:rPr>
      </w:pPr>
      <w:r w:rsidRPr="004D4D15">
        <w:rPr>
          <w:rFonts w:ascii="Arial" w:hAnsi="Arial" w:cs="Arial"/>
          <w:b/>
        </w:rPr>
        <w:t>Appendix A</w:t>
      </w:r>
    </w:p>
    <w:p w:rsidR="00CA6CD4" w:rsidRDefault="00CA6CD4" w:rsidP="003F734F">
      <w:pPr>
        <w:jc w:val="center"/>
        <w:rPr>
          <w:rFonts w:ascii="Arial" w:hAnsi="Arial" w:cs="Arial"/>
        </w:rPr>
      </w:pPr>
    </w:p>
    <w:p w:rsidR="00CA6CD4" w:rsidRDefault="00CA6CD4" w:rsidP="003F734F">
      <w:pPr>
        <w:jc w:val="center"/>
        <w:rPr>
          <w:rFonts w:ascii="Arial" w:hAnsi="Arial" w:cs="Arial"/>
        </w:rPr>
      </w:pPr>
      <w:r>
        <w:rPr>
          <w:rFonts w:ascii="Arial" w:hAnsi="Arial" w:cs="Arial"/>
        </w:rPr>
        <w:t>Stakeholder Analysis</w:t>
      </w:r>
    </w:p>
    <w:p w:rsidR="003F734F" w:rsidRDefault="003F734F" w:rsidP="003F734F">
      <w:pPr>
        <w:jc w:val="center"/>
        <w:rPr>
          <w:rFonts w:ascii="Arial" w:hAnsi="Arial" w:cs="Arial"/>
        </w:rPr>
      </w:pPr>
    </w:p>
    <w:p w:rsidR="00F20FBC" w:rsidRDefault="00F20FBC" w:rsidP="003F734F">
      <w:pPr>
        <w:jc w:val="center"/>
        <w:rPr>
          <w:noProof/>
        </w:rPr>
      </w:pPr>
    </w:p>
    <w:p w:rsidR="003F734F" w:rsidRPr="003F734F" w:rsidRDefault="003F734F" w:rsidP="003F734F">
      <w:pPr>
        <w:jc w:val="center"/>
        <w:rPr>
          <w:noProof/>
        </w:rPr>
      </w:pPr>
      <w:r>
        <w:rPr>
          <w:noProof/>
        </w:rPr>
        <w:drawing>
          <wp:inline distT="0" distB="0" distL="0" distR="0" wp14:anchorId="31BB71FD" wp14:editId="7F10D2B2">
            <wp:extent cx="5036384" cy="4105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2963" r="15244"/>
                    <a:stretch/>
                  </pic:blipFill>
                  <pic:spPr bwMode="auto">
                    <a:xfrm>
                      <a:off x="0" y="0"/>
                      <a:ext cx="5046079" cy="4113178"/>
                    </a:xfrm>
                    <a:prstGeom prst="rect">
                      <a:avLst/>
                    </a:prstGeom>
                    <a:ln>
                      <a:noFill/>
                    </a:ln>
                    <a:extLst>
                      <a:ext uri="{53640926-AAD7-44D8-BBD7-CCE9431645EC}">
                        <a14:shadowObscured xmlns:a14="http://schemas.microsoft.com/office/drawing/2010/main"/>
                      </a:ext>
                    </a:extLst>
                  </pic:spPr>
                </pic:pic>
              </a:graphicData>
            </a:graphic>
          </wp:inline>
        </w:drawing>
      </w:r>
      <w:r w:rsidR="008C753B">
        <w:br w:type="page"/>
      </w:r>
    </w:p>
    <w:p w:rsidR="008C753B" w:rsidRPr="004D4D15" w:rsidRDefault="008C753B" w:rsidP="008C753B">
      <w:pPr>
        <w:jc w:val="center"/>
        <w:rPr>
          <w:rFonts w:ascii="Arial" w:hAnsi="Arial" w:cs="Arial"/>
          <w:b/>
        </w:rPr>
      </w:pPr>
      <w:r w:rsidRPr="004D4D15">
        <w:rPr>
          <w:rFonts w:ascii="Arial" w:hAnsi="Arial" w:cs="Arial"/>
          <w:b/>
        </w:rPr>
        <w:lastRenderedPageBreak/>
        <w:t>Appendix B</w:t>
      </w:r>
    </w:p>
    <w:p w:rsidR="00CA6CD4" w:rsidRDefault="00CA6CD4" w:rsidP="008C753B">
      <w:pPr>
        <w:jc w:val="center"/>
        <w:rPr>
          <w:rFonts w:ascii="Arial" w:hAnsi="Arial" w:cs="Arial"/>
        </w:rPr>
      </w:pPr>
    </w:p>
    <w:p w:rsidR="00CA6CD4" w:rsidRDefault="00CA6CD4" w:rsidP="008C753B">
      <w:pPr>
        <w:jc w:val="center"/>
        <w:rPr>
          <w:rFonts w:ascii="Arial" w:hAnsi="Arial" w:cs="Arial"/>
        </w:rPr>
      </w:pPr>
      <w:r>
        <w:rPr>
          <w:rFonts w:ascii="Arial" w:hAnsi="Arial" w:cs="Arial"/>
        </w:rPr>
        <w:t>Quad Chart</w:t>
      </w:r>
    </w:p>
    <w:p w:rsidR="008C753B" w:rsidRDefault="008C753B" w:rsidP="008C753B">
      <w:pPr>
        <w:jc w:val="center"/>
        <w:rPr>
          <w:rFonts w:ascii="Arial" w:hAnsi="Arial" w:cs="Arial"/>
        </w:rPr>
      </w:pPr>
    </w:p>
    <w:p w:rsidR="008C753B" w:rsidRDefault="008C753B" w:rsidP="008C753B">
      <w:pPr>
        <w:jc w:val="center"/>
        <w:rPr>
          <w:rFonts w:ascii="Arial" w:hAnsi="Arial" w:cs="Arial"/>
        </w:rPr>
      </w:pPr>
      <w:r>
        <w:rPr>
          <w:noProof/>
        </w:rPr>
        <w:drawing>
          <wp:inline distT="0" distB="0" distL="0" distR="0" wp14:anchorId="436FE40F" wp14:editId="368CF4C8">
            <wp:extent cx="5731510" cy="465963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659630"/>
                    </a:xfrm>
                    <a:prstGeom prst="rect">
                      <a:avLst/>
                    </a:prstGeom>
                  </pic:spPr>
                </pic:pic>
              </a:graphicData>
            </a:graphic>
          </wp:inline>
        </w:drawing>
      </w:r>
    </w:p>
    <w:p w:rsidR="008C753B" w:rsidRDefault="008C753B" w:rsidP="008C753B">
      <w:r>
        <w:br w:type="page"/>
      </w:r>
    </w:p>
    <w:p w:rsidR="008C753B" w:rsidRPr="004D4D15" w:rsidRDefault="008C753B" w:rsidP="008C753B">
      <w:pPr>
        <w:jc w:val="center"/>
        <w:rPr>
          <w:rFonts w:ascii="Arial" w:hAnsi="Arial" w:cs="Arial"/>
          <w:b/>
        </w:rPr>
      </w:pPr>
      <w:r w:rsidRPr="004D4D15">
        <w:rPr>
          <w:rFonts w:ascii="Arial" w:hAnsi="Arial" w:cs="Arial"/>
          <w:b/>
        </w:rPr>
        <w:lastRenderedPageBreak/>
        <w:t>Appendix C</w:t>
      </w:r>
    </w:p>
    <w:p w:rsidR="00CA6CD4" w:rsidRDefault="00CA6CD4" w:rsidP="008C753B">
      <w:pPr>
        <w:jc w:val="center"/>
        <w:rPr>
          <w:rFonts w:ascii="Arial" w:hAnsi="Arial" w:cs="Arial"/>
        </w:rPr>
      </w:pPr>
    </w:p>
    <w:p w:rsidR="00CA6CD4" w:rsidRDefault="00CA6CD4" w:rsidP="008C753B">
      <w:pPr>
        <w:jc w:val="center"/>
        <w:rPr>
          <w:rFonts w:ascii="Arial" w:hAnsi="Arial" w:cs="Arial"/>
        </w:rPr>
      </w:pPr>
      <w:r>
        <w:rPr>
          <w:rFonts w:ascii="Arial" w:hAnsi="Arial" w:cs="Arial"/>
        </w:rPr>
        <w:t>WBS (Work Breakdown Structure)</w:t>
      </w:r>
    </w:p>
    <w:p w:rsidR="008C753B" w:rsidRDefault="008C753B" w:rsidP="008C753B">
      <w:pPr>
        <w:jc w:val="center"/>
        <w:rPr>
          <w:rFonts w:ascii="Arial" w:hAnsi="Arial" w:cs="Arial"/>
        </w:rPr>
      </w:pPr>
    </w:p>
    <w:p w:rsidR="008C753B" w:rsidRDefault="00CB7D81" w:rsidP="008C753B">
      <w:pPr>
        <w:jc w:val="center"/>
        <w:rPr>
          <w:rFonts w:ascii="Arial" w:hAnsi="Arial" w:cs="Arial"/>
        </w:rPr>
      </w:pPr>
      <w:r>
        <w:rPr>
          <w:noProof/>
        </w:rPr>
        <w:drawing>
          <wp:inline distT="0" distB="0" distL="0" distR="0" wp14:anchorId="5897749F" wp14:editId="4561DB0B">
            <wp:extent cx="5731510" cy="3217545"/>
            <wp:effectExtent l="0" t="0" r="254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17545"/>
                    </a:xfrm>
                    <a:prstGeom prst="rect">
                      <a:avLst/>
                    </a:prstGeom>
                  </pic:spPr>
                </pic:pic>
              </a:graphicData>
            </a:graphic>
          </wp:inline>
        </w:drawing>
      </w:r>
    </w:p>
    <w:p w:rsidR="00BE5288" w:rsidRPr="004D4D15" w:rsidRDefault="003F734F" w:rsidP="00BE5288">
      <w:pPr>
        <w:spacing w:after="160" w:line="259" w:lineRule="auto"/>
        <w:jc w:val="center"/>
        <w:rPr>
          <w:rFonts w:ascii="Arial" w:hAnsi="Arial" w:cs="Arial"/>
          <w:b/>
        </w:rPr>
      </w:pPr>
      <w:r>
        <w:rPr>
          <w:rFonts w:ascii="Arial" w:hAnsi="Arial" w:cs="Arial"/>
        </w:rPr>
        <w:br w:type="page"/>
      </w:r>
      <w:r w:rsidR="00BE5288" w:rsidRPr="004D4D15">
        <w:rPr>
          <w:rFonts w:ascii="Arial" w:hAnsi="Arial" w:cs="Arial"/>
          <w:b/>
        </w:rPr>
        <w:lastRenderedPageBreak/>
        <w:t>Appendix D</w:t>
      </w:r>
    </w:p>
    <w:p w:rsidR="00BE5288" w:rsidRDefault="00BE5288" w:rsidP="00BE5288">
      <w:pPr>
        <w:spacing w:after="160" w:line="259" w:lineRule="auto"/>
        <w:jc w:val="center"/>
        <w:rPr>
          <w:rFonts w:ascii="Arial" w:hAnsi="Arial" w:cs="Arial"/>
        </w:rPr>
      </w:pPr>
    </w:p>
    <w:p w:rsidR="00BE5288" w:rsidRDefault="00BE5288" w:rsidP="00BE5288">
      <w:pPr>
        <w:spacing w:after="160" w:line="259" w:lineRule="auto"/>
        <w:jc w:val="center"/>
        <w:rPr>
          <w:rFonts w:ascii="Arial" w:hAnsi="Arial" w:cs="Arial"/>
        </w:rPr>
      </w:pPr>
      <w:r w:rsidRPr="00BE5288">
        <w:rPr>
          <w:rFonts w:ascii="Arial" w:hAnsi="Arial" w:cs="Arial"/>
          <w:noProof/>
        </w:rPr>
        <w:drawing>
          <wp:inline distT="0" distB="0" distL="0" distR="0" wp14:anchorId="561D0252" wp14:editId="31EEEF03">
            <wp:extent cx="4448175" cy="6057900"/>
            <wp:effectExtent l="0" t="0" r="9525" b="0"/>
            <wp:docPr id="8" name="Picture 8" descr="C:\Users\telet\OneDrive\Documents\Screenshot 02-05-2022 1509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elet\OneDrive\Documents\Screenshot 02-05-2022 150924.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48175" cy="6057900"/>
                    </a:xfrm>
                    <a:prstGeom prst="rect">
                      <a:avLst/>
                    </a:prstGeom>
                    <a:noFill/>
                    <a:ln>
                      <a:noFill/>
                    </a:ln>
                  </pic:spPr>
                </pic:pic>
              </a:graphicData>
            </a:graphic>
          </wp:inline>
        </w:drawing>
      </w:r>
    </w:p>
    <w:p w:rsidR="00BE5288" w:rsidRDefault="00BE5288" w:rsidP="00BE5288">
      <w:r>
        <w:br w:type="page"/>
      </w:r>
    </w:p>
    <w:p w:rsidR="00F10C91" w:rsidRDefault="00BE5288" w:rsidP="00BE5288">
      <w:pPr>
        <w:spacing w:after="160" w:line="259" w:lineRule="auto"/>
        <w:jc w:val="center"/>
        <w:rPr>
          <w:rFonts w:ascii="Arial" w:hAnsi="Arial" w:cs="Arial"/>
          <w:b/>
        </w:rPr>
      </w:pPr>
      <w:r w:rsidRPr="004D4D15">
        <w:rPr>
          <w:rFonts w:ascii="Arial" w:hAnsi="Arial" w:cs="Arial"/>
          <w:b/>
        </w:rPr>
        <w:lastRenderedPageBreak/>
        <w:t xml:space="preserve">Appendix D </w:t>
      </w:r>
      <w:r w:rsidR="00F10C91">
        <w:rPr>
          <w:rFonts w:ascii="Arial" w:hAnsi="Arial" w:cs="Arial"/>
          <w:b/>
        </w:rPr>
        <w:t>(Continued)</w:t>
      </w:r>
    </w:p>
    <w:p w:rsidR="00BE5288" w:rsidRDefault="00BE5288" w:rsidP="00BE5288">
      <w:pPr>
        <w:spacing w:after="160" w:line="259" w:lineRule="auto"/>
        <w:jc w:val="center"/>
        <w:rPr>
          <w:rFonts w:ascii="Arial" w:hAnsi="Arial" w:cs="Arial"/>
        </w:rPr>
      </w:pPr>
      <w:r>
        <w:rPr>
          <w:rFonts w:ascii="Arial" w:hAnsi="Arial" w:cs="Arial"/>
        </w:rPr>
        <w:t>Project Scope</w:t>
      </w:r>
    </w:p>
    <w:p w:rsidR="00BE5288" w:rsidRDefault="00BE5288" w:rsidP="00BE5288">
      <w:pPr>
        <w:spacing w:after="160" w:line="259" w:lineRule="auto"/>
        <w:jc w:val="center"/>
        <w:rPr>
          <w:rFonts w:ascii="Arial" w:hAnsi="Arial" w:cs="Arial"/>
        </w:rPr>
      </w:pPr>
    </w:p>
    <w:p w:rsidR="00BE5288" w:rsidRDefault="00E40C56" w:rsidP="00BE5288">
      <w:pPr>
        <w:spacing w:after="160" w:line="259" w:lineRule="auto"/>
        <w:jc w:val="center"/>
        <w:rPr>
          <w:rFonts w:ascii="Arial" w:hAnsi="Arial" w:cs="Arial"/>
        </w:rPr>
      </w:pPr>
      <w:r w:rsidRPr="00E40C56">
        <w:rPr>
          <w:rFonts w:ascii="Arial" w:hAnsi="Arial" w:cs="Arial"/>
          <w:noProof/>
        </w:rPr>
        <w:drawing>
          <wp:inline distT="0" distB="0" distL="0" distR="0" wp14:anchorId="36541D28" wp14:editId="53EF63EB">
            <wp:extent cx="4524375" cy="6315075"/>
            <wp:effectExtent l="0" t="0" r="9525" b="9525"/>
            <wp:docPr id="16" name="Picture 16" descr="C:\Users\telet\OneDrive\Documents\Screenshot 03-05-2022 0321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elet\OneDrive\Documents\Screenshot 03-05-2022 032155.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24375" cy="6315075"/>
                    </a:xfrm>
                    <a:prstGeom prst="rect">
                      <a:avLst/>
                    </a:prstGeom>
                    <a:noFill/>
                    <a:ln>
                      <a:noFill/>
                    </a:ln>
                  </pic:spPr>
                </pic:pic>
              </a:graphicData>
            </a:graphic>
          </wp:inline>
        </w:drawing>
      </w:r>
    </w:p>
    <w:p w:rsidR="00E40C56" w:rsidRDefault="00E40C56">
      <w:pPr>
        <w:spacing w:after="160" w:line="259" w:lineRule="auto"/>
        <w:rPr>
          <w:rFonts w:ascii="Arial" w:hAnsi="Arial" w:cs="Arial"/>
        </w:rPr>
      </w:pPr>
      <w:r>
        <w:rPr>
          <w:rFonts w:ascii="Arial" w:hAnsi="Arial" w:cs="Arial"/>
        </w:rPr>
        <w:br w:type="page"/>
      </w:r>
    </w:p>
    <w:p w:rsidR="00F10C91" w:rsidRDefault="00E40C56" w:rsidP="00E40C56">
      <w:pPr>
        <w:spacing w:after="160" w:line="259" w:lineRule="auto"/>
        <w:jc w:val="center"/>
        <w:rPr>
          <w:rFonts w:ascii="Arial" w:hAnsi="Arial" w:cs="Arial"/>
          <w:b/>
        </w:rPr>
      </w:pPr>
      <w:r w:rsidRPr="00F10C91">
        <w:rPr>
          <w:rFonts w:ascii="Arial" w:hAnsi="Arial" w:cs="Arial"/>
          <w:b/>
        </w:rPr>
        <w:lastRenderedPageBreak/>
        <w:t>Appendix D</w:t>
      </w:r>
      <w:r>
        <w:rPr>
          <w:rFonts w:ascii="Arial" w:hAnsi="Arial" w:cs="Arial"/>
        </w:rPr>
        <w:t xml:space="preserve"> </w:t>
      </w:r>
      <w:r w:rsidR="00F10C91">
        <w:rPr>
          <w:rFonts w:ascii="Arial" w:hAnsi="Arial" w:cs="Arial"/>
          <w:b/>
        </w:rPr>
        <w:t>(Continued)</w:t>
      </w:r>
    </w:p>
    <w:p w:rsidR="00E40C56" w:rsidRDefault="008B7D24" w:rsidP="00E40C56">
      <w:pPr>
        <w:spacing w:after="160" w:line="259" w:lineRule="auto"/>
        <w:jc w:val="center"/>
        <w:rPr>
          <w:rFonts w:ascii="Arial" w:hAnsi="Arial" w:cs="Arial"/>
        </w:rPr>
      </w:pPr>
      <w:r>
        <w:rPr>
          <w:rFonts w:ascii="Arial" w:hAnsi="Arial" w:cs="Arial"/>
        </w:rPr>
        <w:t>Project Scope</w:t>
      </w:r>
    </w:p>
    <w:p w:rsidR="008B7D24" w:rsidRDefault="008B7D24" w:rsidP="00E40C56">
      <w:pPr>
        <w:spacing w:after="160" w:line="259" w:lineRule="auto"/>
        <w:jc w:val="center"/>
        <w:rPr>
          <w:rFonts w:ascii="Arial" w:hAnsi="Arial" w:cs="Arial"/>
        </w:rPr>
      </w:pPr>
      <w:r>
        <w:rPr>
          <w:noProof/>
        </w:rPr>
        <w:drawing>
          <wp:inline distT="0" distB="0" distL="0" distR="0" wp14:anchorId="21D906CA" wp14:editId="1DE633C0">
            <wp:extent cx="4552381" cy="6495238"/>
            <wp:effectExtent l="0" t="0" r="63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52381" cy="6495238"/>
                    </a:xfrm>
                    <a:prstGeom prst="rect">
                      <a:avLst/>
                    </a:prstGeom>
                  </pic:spPr>
                </pic:pic>
              </a:graphicData>
            </a:graphic>
          </wp:inline>
        </w:drawing>
      </w:r>
    </w:p>
    <w:p w:rsidR="00E40C56" w:rsidRDefault="00E40C56" w:rsidP="00E40C56">
      <w:pPr>
        <w:spacing w:after="160" w:line="259" w:lineRule="auto"/>
        <w:jc w:val="center"/>
        <w:rPr>
          <w:rFonts w:ascii="Arial" w:hAnsi="Arial" w:cs="Arial"/>
        </w:rPr>
      </w:pPr>
    </w:p>
    <w:p w:rsidR="00BE5288" w:rsidRDefault="00BE5288" w:rsidP="00BE5288">
      <w:r>
        <w:br w:type="page"/>
      </w:r>
    </w:p>
    <w:p w:rsidR="00F10C91" w:rsidRDefault="00BE5288" w:rsidP="00BE5288">
      <w:pPr>
        <w:spacing w:after="160" w:line="259" w:lineRule="auto"/>
        <w:jc w:val="center"/>
        <w:rPr>
          <w:rFonts w:ascii="Arial" w:hAnsi="Arial" w:cs="Arial"/>
          <w:b/>
        </w:rPr>
      </w:pPr>
      <w:r w:rsidRPr="00F10C91">
        <w:rPr>
          <w:rFonts w:ascii="Arial" w:hAnsi="Arial" w:cs="Arial"/>
          <w:b/>
        </w:rPr>
        <w:lastRenderedPageBreak/>
        <w:t>Appendix D</w:t>
      </w:r>
      <w:r>
        <w:rPr>
          <w:rFonts w:ascii="Arial" w:hAnsi="Arial" w:cs="Arial"/>
        </w:rPr>
        <w:t xml:space="preserve"> </w:t>
      </w:r>
      <w:r w:rsidR="00F10C91">
        <w:rPr>
          <w:rFonts w:ascii="Arial" w:hAnsi="Arial" w:cs="Arial"/>
          <w:b/>
        </w:rPr>
        <w:t>(Continued)</w:t>
      </w:r>
    </w:p>
    <w:p w:rsidR="00BE5288" w:rsidRDefault="00BE5288" w:rsidP="00BE5288">
      <w:pPr>
        <w:spacing w:after="160" w:line="259" w:lineRule="auto"/>
        <w:jc w:val="center"/>
        <w:rPr>
          <w:rFonts w:ascii="Arial" w:hAnsi="Arial" w:cs="Arial"/>
        </w:rPr>
      </w:pPr>
      <w:r>
        <w:rPr>
          <w:rFonts w:ascii="Arial" w:hAnsi="Arial" w:cs="Arial"/>
        </w:rPr>
        <w:t>Project Scope</w:t>
      </w:r>
    </w:p>
    <w:p w:rsidR="00BE5288" w:rsidRDefault="00BE5288" w:rsidP="00BE5288">
      <w:pPr>
        <w:spacing w:after="160" w:line="259" w:lineRule="auto"/>
        <w:jc w:val="center"/>
        <w:rPr>
          <w:rFonts w:ascii="Arial" w:hAnsi="Arial" w:cs="Arial"/>
        </w:rPr>
      </w:pPr>
    </w:p>
    <w:p w:rsidR="00BE5288" w:rsidRDefault="00BE5288" w:rsidP="00BE5288">
      <w:pPr>
        <w:spacing w:after="160" w:line="259" w:lineRule="auto"/>
        <w:jc w:val="center"/>
        <w:rPr>
          <w:rFonts w:ascii="Arial" w:hAnsi="Arial" w:cs="Arial"/>
        </w:rPr>
      </w:pPr>
    </w:p>
    <w:p w:rsidR="003F734F" w:rsidRDefault="003F734F">
      <w:pPr>
        <w:spacing w:after="160" w:line="259" w:lineRule="auto"/>
        <w:rPr>
          <w:rFonts w:ascii="Arial" w:hAnsi="Arial" w:cs="Arial"/>
        </w:rPr>
      </w:pPr>
    </w:p>
    <w:p w:rsidR="003F734F" w:rsidRDefault="003F734F" w:rsidP="008C753B">
      <w:pPr>
        <w:jc w:val="center"/>
        <w:rPr>
          <w:rFonts w:ascii="Arial" w:hAnsi="Arial" w:cs="Arial"/>
        </w:rPr>
      </w:pPr>
      <w:r>
        <w:rPr>
          <w:rFonts w:ascii="Arial" w:hAnsi="Arial" w:cs="Arial"/>
        </w:rPr>
        <w:t xml:space="preserve">Appendix </w:t>
      </w:r>
      <w:r w:rsidR="00BE5288">
        <w:rPr>
          <w:rFonts w:ascii="Arial" w:hAnsi="Arial" w:cs="Arial"/>
        </w:rPr>
        <w:t>E</w:t>
      </w:r>
    </w:p>
    <w:p w:rsidR="00CA6CD4" w:rsidRDefault="00CA6CD4" w:rsidP="008C753B">
      <w:pPr>
        <w:jc w:val="center"/>
        <w:rPr>
          <w:rFonts w:ascii="Arial" w:hAnsi="Arial" w:cs="Arial"/>
        </w:rPr>
      </w:pPr>
    </w:p>
    <w:p w:rsidR="00CA6CD4" w:rsidRDefault="00CA6CD4" w:rsidP="008C753B">
      <w:pPr>
        <w:jc w:val="center"/>
        <w:rPr>
          <w:rFonts w:ascii="Arial" w:hAnsi="Arial" w:cs="Arial"/>
        </w:rPr>
      </w:pPr>
      <w:r>
        <w:rPr>
          <w:rFonts w:ascii="Arial" w:hAnsi="Arial" w:cs="Arial"/>
        </w:rPr>
        <w:t>Ishikawa Method</w:t>
      </w:r>
    </w:p>
    <w:p w:rsidR="003F734F" w:rsidRDefault="003F734F" w:rsidP="008C753B">
      <w:pPr>
        <w:jc w:val="center"/>
        <w:rPr>
          <w:rFonts w:ascii="Arial" w:hAnsi="Arial" w:cs="Arial"/>
        </w:rPr>
      </w:pPr>
    </w:p>
    <w:p w:rsidR="00F20FBC" w:rsidRDefault="00F20FBC" w:rsidP="008C753B">
      <w:pPr>
        <w:jc w:val="center"/>
        <w:rPr>
          <w:noProof/>
        </w:rPr>
      </w:pPr>
    </w:p>
    <w:p w:rsidR="00FC078A" w:rsidRDefault="003F734F" w:rsidP="008C753B">
      <w:pPr>
        <w:jc w:val="center"/>
        <w:rPr>
          <w:rFonts w:ascii="Arial" w:hAnsi="Arial" w:cs="Arial"/>
        </w:rPr>
      </w:pPr>
      <w:r>
        <w:rPr>
          <w:noProof/>
        </w:rPr>
        <w:drawing>
          <wp:inline distT="0" distB="0" distL="0" distR="0" wp14:anchorId="235C015A" wp14:editId="1BACA0CE">
            <wp:extent cx="5579626" cy="35147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0802" r="4775"/>
                    <a:stretch/>
                  </pic:blipFill>
                  <pic:spPr bwMode="auto">
                    <a:xfrm>
                      <a:off x="0" y="0"/>
                      <a:ext cx="5597102" cy="3525733"/>
                    </a:xfrm>
                    <a:prstGeom prst="rect">
                      <a:avLst/>
                    </a:prstGeom>
                    <a:ln>
                      <a:noFill/>
                    </a:ln>
                    <a:extLst>
                      <a:ext uri="{53640926-AAD7-44D8-BBD7-CCE9431645EC}">
                        <a14:shadowObscured xmlns:a14="http://schemas.microsoft.com/office/drawing/2010/main"/>
                      </a:ext>
                    </a:extLst>
                  </pic:spPr>
                </pic:pic>
              </a:graphicData>
            </a:graphic>
          </wp:inline>
        </w:drawing>
      </w:r>
    </w:p>
    <w:p w:rsidR="00FC078A" w:rsidRDefault="00FC078A" w:rsidP="00FC078A">
      <w:r>
        <w:br w:type="page"/>
      </w:r>
    </w:p>
    <w:p w:rsidR="003F734F" w:rsidRPr="004D4D15" w:rsidRDefault="00FC078A" w:rsidP="008C753B">
      <w:pPr>
        <w:jc w:val="center"/>
        <w:rPr>
          <w:rFonts w:ascii="Arial" w:hAnsi="Arial" w:cs="Arial"/>
          <w:b/>
        </w:rPr>
      </w:pPr>
      <w:r w:rsidRPr="004D4D15">
        <w:rPr>
          <w:rFonts w:ascii="Arial" w:hAnsi="Arial" w:cs="Arial"/>
          <w:b/>
        </w:rPr>
        <w:lastRenderedPageBreak/>
        <w:t xml:space="preserve">Appendix </w:t>
      </w:r>
      <w:r w:rsidR="00BE5288" w:rsidRPr="004D4D15">
        <w:rPr>
          <w:rFonts w:ascii="Arial" w:hAnsi="Arial" w:cs="Arial"/>
          <w:b/>
        </w:rPr>
        <w:t>F</w:t>
      </w:r>
    </w:p>
    <w:p w:rsidR="00FC078A" w:rsidRDefault="00FC078A" w:rsidP="008C753B">
      <w:pPr>
        <w:jc w:val="center"/>
        <w:rPr>
          <w:rFonts w:ascii="Arial" w:hAnsi="Arial" w:cs="Arial"/>
        </w:rPr>
      </w:pPr>
    </w:p>
    <w:p w:rsidR="00FC078A" w:rsidRDefault="00C3780A" w:rsidP="004D4D15">
      <w:pPr>
        <w:jc w:val="center"/>
        <w:rPr>
          <w:rFonts w:ascii="Arial" w:hAnsi="Arial" w:cs="Arial"/>
        </w:rPr>
      </w:pPr>
      <w:r>
        <w:rPr>
          <w:rFonts w:ascii="Arial" w:hAnsi="Arial" w:cs="Arial"/>
        </w:rPr>
        <w:t>Risk Assessment</w:t>
      </w: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2926F7" w:rsidP="008C753B">
      <w:pPr>
        <w:jc w:val="center"/>
        <w:rPr>
          <w:rFonts w:ascii="Arial" w:hAnsi="Arial" w:cs="Arial"/>
        </w:rPr>
      </w:pPr>
      <w:r>
        <w:rPr>
          <w:noProof/>
        </w:rPr>
        <w:drawing>
          <wp:inline distT="0" distB="0" distL="0" distR="0" wp14:anchorId="48A1C0C6" wp14:editId="006D3FC7">
            <wp:extent cx="5361905" cy="69619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61905" cy="6961905"/>
                    </a:xfrm>
                    <a:prstGeom prst="rect">
                      <a:avLst/>
                    </a:prstGeom>
                  </pic:spPr>
                </pic:pic>
              </a:graphicData>
            </a:graphic>
          </wp:inline>
        </w:drawing>
      </w: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rsidP="002926F7">
      <w:pPr>
        <w:rPr>
          <w:rFonts w:ascii="Arial" w:hAnsi="Arial" w:cs="Arial"/>
        </w:rPr>
      </w:pPr>
    </w:p>
    <w:p w:rsidR="002926F7" w:rsidRDefault="002926F7" w:rsidP="002926F7">
      <w:pPr>
        <w:jc w:val="center"/>
        <w:rPr>
          <w:rFonts w:ascii="Arial" w:hAnsi="Arial" w:cs="Arial"/>
          <w:b/>
        </w:rPr>
      </w:pPr>
      <w:r w:rsidRPr="004D4D15">
        <w:rPr>
          <w:rFonts w:ascii="Arial" w:hAnsi="Arial" w:cs="Arial"/>
          <w:b/>
        </w:rPr>
        <w:lastRenderedPageBreak/>
        <w:t xml:space="preserve">Appendix </w:t>
      </w:r>
      <w:r w:rsidR="00BE5288" w:rsidRPr="004D4D15">
        <w:rPr>
          <w:rFonts w:ascii="Arial" w:hAnsi="Arial" w:cs="Arial"/>
          <w:b/>
        </w:rPr>
        <w:t>F</w:t>
      </w:r>
      <w:r w:rsidRPr="004D4D15">
        <w:rPr>
          <w:rFonts w:ascii="Arial" w:hAnsi="Arial" w:cs="Arial"/>
          <w:b/>
        </w:rPr>
        <w:t xml:space="preserve"> </w:t>
      </w:r>
      <w:r w:rsidR="00F10C91">
        <w:rPr>
          <w:rFonts w:ascii="Arial" w:hAnsi="Arial" w:cs="Arial"/>
          <w:b/>
        </w:rPr>
        <w:t>(Continued)</w:t>
      </w:r>
    </w:p>
    <w:p w:rsidR="00F10C91" w:rsidRDefault="00F10C91" w:rsidP="002926F7">
      <w:pPr>
        <w:jc w:val="center"/>
        <w:rPr>
          <w:rFonts w:ascii="Arial" w:hAnsi="Arial" w:cs="Arial"/>
        </w:rPr>
      </w:pPr>
    </w:p>
    <w:p w:rsidR="002926F7" w:rsidRDefault="002926F7" w:rsidP="002926F7">
      <w:pPr>
        <w:jc w:val="center"/>
        <w:rPr>
          <w:rFonts w:ascii="Arial" w:hAnsi="Arial" w:cs="Arial"/>
        </w:rPr>
      </w:pPr>
      <w:r>
        <w:rPr>
          <w:rFonts w:ascii="Arial" w:hAnsi="Arial" w:cs="Arial"/>
        </w:rPr>
        <w:t>Risk Assessment</w:t>
      </w:r>
    </w:p>
    <w:p w:rsidR="00FC078A" w:rsidRDefault="00FC078A" w:rsidP="008C753B">
      <w:pPr>
        <w:jc w:val="center"/>
        <w:rPr>
          <w:rFonts w:ascii="Arial" w:hAnsi="Arial" w:cs="Arial"/>
        </w:rPr>
      </w:pPr>
    </w:p>
    <w:p w:rsidR="00FC078A" w:rsidRDefault="002926F7" w:rsidP="008C753B">
      <w:pPr>
        <w:jc w:val="center"/>
        <w:rPr>
          <w:rFonts w:ascii="Arial" w:hAnsi="Arial" w:cs="Arial"/>
        </w:rPr>
      </w:pPr>
      <w:r>
        <w:rPr>
          <w:noProof/>
        </w:rPr>
        <w:drawing>
          <wp:inline distT="0" distB="0" distL="0" distR="0" wp14:anchorId="7A347295" wp14:editId="491CAE4C">
            <wp:extent cx="5304762" cy="6438095"/>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04762" cy="6438095"/>
                    </a:xfrm>
                    <a:prstGeom prst="rect">
                      <a:avLst/>
                    </a:prstGeom>
                  </pic:spPr>
                </pic:pic>
              </a:graphicData>
            </a:graphic>
          </wp:inline>
        </w:drawing>
      </w:r>
    </w:p>
    <w:p w:rsidR="00FC078A" w:rsidRDefault="00FC078A" w:rsidP="008C753B">
      <w:pPr>
        <w:jc w:val="center"/>
        <w:rPr>
          <w:rFonts w:ascii="Arial" w:hAnsi="Arial" w:cs="Arial"/>
        </w:rPr>
      </w:pPr>
    </w:p>
    <w:p w:rsidR="002926F7" w:rsidRDefault="002926F7">
      <w:pPr>
        <w:spacing w:after="160" w:line="259" w:lineRule="auto"/>
        <w:rPr>
          <w:rFonts w:ascii="Arial" w:hAnsi="Arial" w:cs="Arial"/>
        </w:rPr>
      </w:pPr>
      <w:r>
        <w:rPr>
          <w:rFonts w:ascii="Arial" w:hAnsi="Arial" w:cs="Arial"/>
        </w:rPr>
        <w:br w:type="page"/>
      </w:r>
    </w:p>
    <w:p w:rsidR="002926F7" w:rsidRDefault="002926F7" w:rsidP="002926F7">
      <w:pPr>
        <w:jc w:val="center"/>
        <w:rPr>
          <w:rFonts w:ascii="Arial" w:hAnsi="Arial" w:cs="Arial"/>
          <w:b/>
        </w:rPr>
      </w:pPr>
      <w:r w:rsidRPr="004D4D15">
        <w:rPr>
          <w:rFonts w:ascii="Arial" w:hAnsi="Arial" w:cs="Arial"/>
          <w:b/>
        </w:rPr>
        <w:lastRenderedPageBreak/>
        <w:t xml:space="preserve">Appendix </w:t>
      </w:r>
      <w:r w:rsidR="00BE5288" w:rsidRPr="004D4D15">
        <w:rPr>
          <w:rFonts w:ascii="Arial" w:hAnsi="Arial" w:cs="Arial"/>
          <w:b/>
        </w:rPr>
        <w:t>F</w:t>
      </w:r>
      <w:r w:rsidRPr="004D4D15">
        <w:rPr>
          <w:rFonts w:ascii="Arial" w:hAnsi="Arial" w:cs="Arial"/>
          <w:b/>
        </w:rPr>
        <w:t xml:space="preserve"> </w:t>
      </w:r>
      <w:r w:rsidR="00F10C91">
        <w:rPr>
          <w:rFonts w:ascii="Arial" w:hAnsi="Arial" w:cs="Arial"/>
          <w:b/>
        </w:rPr>
        <w:t>(Continued)</w:t>
      </w:r>
    </w:p>
    <w:p w:rsidR="00F10C91" w:rsidRDefault="00F10C91" w:rsidP="002926F7">
      <w:pPr>
        <w:jc w:val="center"/>
        <w:rPr>
          <w:rFonts w:ascii="Arial" w:hAnsi="Arial" w:cs="Arial"/>
        </w:rPr>
      </w:pPr>
    </w:p>
    <w:p w:rsidR="002926F7" w:rsidRDefault="002926F7" w:rsidP="002926F7">
      <w:pPr>
        <w:jc w:val="center"/>
        <w:rPr>
          <w:rFonts w:ascii="Arial" w:hAnsi="Arial" w:cs="Arial"/>
        </w:rPr>
      </w:pPr>
      <w:r>
        <w:rPr>
          <w:rFonts w:ascii="Arial" w:hAnsi="Arial" w:cs="Arial"/>
        </w:rPr>
        <w:t>Risk Assessment</w:t>
      </w:r>
    </w:p>
    <w:p w:rsidR="00FC078A" w:rsidRDefault="00FC078A" w:rsidP="008C753B">
      <w:pPr>
        <w:jc w:val="center"/>
        <w:rPr>
          <w:rFonts w:ascii="Arial" w:hAnsi="Arial" w:cs="Arial"/>
        </w:rPr>
      </w:pPr>
    </w:p>
    <w:p w:rsidR="002926F7" w:rsidRDefault="002926F7" w:rsidP="008C753B">
      <w:pPr>
        <w:jc w:val="center"/>
        <w:rPr>
          <w:rFonts w:ascii="Arial" w:hAnsi="Arial" w:cs="Arial"/>
        </w:rPr>
      </w:pPr>
      <w:r>
        <w:rPr>
          <w:noProof/>
        </w:rPr>
        <w:drawing>
          <wp:inline distT="0" distB="0" distL="0" distR="0" wp14:anchorId="6C577BD7" wp14:editId="7336C5F6">
            <wp:extent cx="5304762" cy="5561905"/>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04762" cy="5561905"/>
                    </a:xfrm>
                    <a:prstGeom prst="rect">
                      <a:avLst/>
                    </a:prstGeom>
                  </pic:spPr>
                </pic:pic>
              </a:graphicData>
            </a:graphic>
          </wp:inline>
        </w:drawing>
      </w: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rsidP="008C753B">
      <w:pPr>
        <w:jc w:val="center"/>
        <w:rPr>
          <w:rFonts w:ascii="Arial" w:hAnsi="Arial" w:cs="Arial"/>
        </w:rPr>
      </w:pPr>
    </w:p>
    <w:p w:rsidR="00FC078A" w:rsidRDefault="00FC078A">
      <w:pPr>
        <w:spacing w:after="160" w:line="259" w:lineRule="auto"/>
        <w:rPr>
          <w:rFonts w:ascii="Arial" w:hAnsi="Arial" w:cs="Arial"/>
        </w:rPr>
      </w:pPr>
      <w:r>
        <w:rPr>
          <w:rFonts w:ascii="Arial" w:hAnsi="Arial" w:cs="Arial"/>
        </w:rPr>
        <w:br w:type="page"/>
      </w:r>
    </w:p>
    <w:p w:rsidR="00FC078A" w:rsidRPr="004D4D15" w:rsidRDefault="00FC078A" w:rsidP="008C753B">
      <w:pPr>
        <w:jc w:val="center"/>
        <w:rPr>
          <w:rFonts w:ascii="Arial" w:hAnsi="Arial" w:cs="Arial"/>
          <w:b/>
        </w:rPr>
      </w:pPr>
      <w:r w:rsidRPr="004D4D15">
        <w:rPr>
          <w:rFonts w:ascii="Arial" w:hAnsi="Arial" w:cs="Arial"/>
          <w:b/>
        </w:rPr>
        <w:lastRenderedPageBreak/>
        <w:t xml:space="preserve">Appendix </w:t>
      </w:r>
      <w:r w:rsidR="00BE5288" w:rsidRPr="004D4D15">
        <w:rPr>
          <w:rFonts w:ascii="Arial" w:hAnsi="Arial" w:cs="Arial"/>
          <w:b/>
        </w:rPr>
        <w:t>G</w:t>
      </w:r>
    </w:p>
    <w:p w:rsidR="00FC078A" w:rsidRDefault="00FC078A" w:rsidP="008C753B">
      <w:pPr>
        <w:jc w:val="center"/>
        <w:rPr>
          <w:rFonts w:ascii="Arial" w:hAnsi="Arial" w:cs="Arial"/>
        </w:rPr>
      </w:pPr>
    </w:p>
    <w:p w:rsidR="00FC078A" w:rsidRDefault="00FC078A" w:rsidP="008C753B">
      <w:pPr>
        <w:jc w:val="center"/>
        <w:rPr>
          <w:rFonts w:ascii="Arial" w:hAnsi="Arial" w:cs="Arial"/>
        </w:rPr>
      </w:pPr>
      <w:r>
        <w:rPr>
          <w:rFonts w:ascii="Arial" w:hAnsi="Arial" w:cs="Arial"/>
        </w:rPr>
        <w:t>Gantt’s Chart</w:t>
      </w:r>
    </w:p>
    <w:p w:rsidR="00FC078A" w:rsidRDefault="00FC078A" w:rsidP="008C753B">
      <w:pPr>
        <w:jc w:val="center"/>
        <w:rPr>
          <w:rFonts w:ascii="Arial" w:hAnsi="Arial" w:cs="Arial"/>
          <w:noProof/>
        </w:rPr>
      </w:pPr>
    </w:p>
    <w:p w:rsidR="00FC078A" w:rsidRDefault="00FC078A" w:rsidP="008C753B">
      <w:pPr>
        <w:jc w:val="center"/>
        <w:rPr>
          <w:rFonts w:ascii="Arial" w:hAnsi="Arial" w:cs="Arial"/>
        </w:rPr>
      </w:pPr>
      <w:r w:rsidRPr="00FC078A">
        <w:rPr>
          <w:rFonts w:ascii="Arial" w:hAnsi="Arial" w:cs="Arial"/>
          <w:noProof/>
        </w:rPr>
        <w:drawing>
          <wp:anchor distT="0" distB="0" distL="114300" distR="114300" simplePos="0" relativeHeight="251658240" behindDoc="0" locked="0" layoutInCell="1" allowOverlap="1" wp14:anchorId="17556D13" wp14:editId="43462B5F">
            <wp:simplePos x="0" y="0"/>
            <wp:positionH relativeFrom="margin">
              <wp:posOffset>92710</wp:posOffset>
            </wp:positionH>
            <wp:positionV relativeFrom="paragraph">
              <wp:posOffset>4264025</wp:posOffset>
            </wp:positionV>
            <wp:extent cx="5629275" cy="1192530"/>
            <wp:effectExtent l="0" t="0" r="9525" b="7620"/>
            <wp:wrapThrough wrapText="bothSides">
              <wp:wrapPolygon edited="0">
                <wp:start x="0" y="0"/>
                <wp:lineTo x="0" y="21393"/>
                <wp:lineTo x="21563" y="21393"/>
                <wp:lineTo x="21563" y="0"/>
                <wp:lineTo x="0" y="0"/>
              </wp:wrapPolygon>
            </wp:wrapThrough>
            <wp:docPr id="6" name="Picture 6" descr="C:\Users\telet\OneDrive\Documents\Screenshot 02-05-2022 0218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elet\OneDrive\Documents\Screenshot 02-05-2022 021818.jpg"/>
                    <pic:cNvPicPr>
                      <a:picLocks noChangeAspect="1" noChangeArrowheads="1"/>
                    </pic:cNvPicPr>
                  </pic:nvPicPr>
                  <pic:blipFill rotWithShape="1">
                    <a:blip r:embed="rId18">
                      <a:extLst>
                        <a:ext uri="{28A0092B-C50C-407E-A947-70E740481C1C}">
                          <a14:useLocalDpi xmlns:a14="http://schemas.microsoft.com/office/drawing/2010/main" val="0"/>
                        </a:ext>
                      </a:extLst>
                    </a:blip>
                    <a:srcRect/>
                    <a:stretch/>
                  </pic:blipFill>
                  <pic:spPr bwMode="auto">
                    <a:xfrm>
                      <a:off x="0" y="0"/>
                      <a:ext cx="5629275" cy="11925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FC078A">
        <w:rPr>
          <w:rFonts w:ascii="Arial" w:hAnsi="Arial" w:cs="Arial"/>
          <w:noProof/>
        </w:rPr>
        <w:drawing>
          <wp:anchor distT="0" distB="0" distL="114300" distR="114300" simplePos="0" relativeHeight="251659264" behindDoc="0" locked="0" layoutInCell="1" allowOverlap="1" wp14:anchorId="75FAC190" wp14:editId="2FE09A4A">
            <wp:simplePos x="0" y="0"/>
            <wp:positionH relativeFrom="column">
              <wp:posOffset>104775</wp:posOffset>
            </wp:positionH>
            <wp:positionV relativeFrom="paragraph">
              <wp:posOffset>204470</wp:posOffset>
            </wp:positionV>
            <wp:extent cx="5619750" cy="4076065"/>
            <wp:effectExtent l="0" t="0" r="0" b="635"/>
            <wp:wrapThrough wrapText="bothSides">
              <wp:wrapPolygon edited="0">
                <wp:start x="0" y="0"/>
                <wp:lineTo x="0" y="21502"/>
                <wp:lineTo x="21527" y="21502"/>
                <wp:lineTo x="21527" y="0"/>
                <wp:lineTo x="0" y="0"/>
              </wp:wrapPolygon>
            </wp:wrapThrough>
            <wp:docPr id="3" name="Picture 3" descr="C:\Users\telet\OneDrive\Documents\Screenshot 02-05-2022 0217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elet\OneDrive\Documents\Screenshot 02-05-2022 021739.jpg"/>
                    <pic:cNvPicPr>
                      <a:picLocks noChangeAspect="1" noChangeArrowheads="1"/>
                    </pic:cNvPicPr>
                  </pic:nvPicPr>
                  <pic:blipFill rotWithShape="1">
                    <a:blip r:embed="rId19">
                      <a:extLst>
                        <a:ext uri="{28A0092B-C50C-407E-A947-70E740481C1C}">
                          <a14:useLocalDpi xmlns:a14="http://schemas.microsoft.com/office/drawing/2010/main" val="0"/>
                        </a:ext>
                      </a:extLst>
                    </a:blip>
                    <a:srcRect r="2189"/>
                    <a:stretch/>
                  </pic:blipFill>
                  <pic:spPr bwMode="auto">
                    <a:xfrm>
                      <a:off x="0" y="0"/>
                      <a:ext cx="5619750" cy="4076065"/>
                    </a:xfrm>
                    <a:prstGeom prst="rect">
                      <a:avLst/>
                    </a:prstGeom>
                    <a:noFill/>
                    <a:ln>
                      <a:noFill/>
                    </a:ln>
                    <a:extLst>
                      <a:ext uri="{53640926-AAD7-44D8-BBD7-CCE9431645EC}">
                        <a14:shadowObscured xmlns:a14="http://schemas.microsoft.com/office/drawing/2010/main"/>
                      </a:ext>
                    </a:extLst>
                  </pic:spPr>
                </pic:pic>
              </a:graphicData>
            </a:graphic>
          </wp:anchor>
        </w:drawing>
      </w:r>
    </w:p>
    <w:p w:rsidR="00D71846" w:rsidRDefault="00D71846">
      <w:pPr>
        <w:spacing w:after="160" w:line="259" w:lineRule="auto"/>
        <w:rPr>
          <w:rFonts w:ascii="Arial" w:hAnsi="Arial" w:cs="Arial"/>
          <w:noProof/>
        </w:rPr>
      </w:pPr>
      <w:r>
        <w:rPr>
          <w:rFonts w:ascii="Arial" w:hAnsi="Arial" w:cs="Arial"/>
          <w:noProof/>
        </w:rPr>
        <w:br w:type="page"/>
      </w:r>
    </w:p>
    <w:p w:rsidR="00FC078A" w:rsidRPr="004D4D15" w:rsidRDefault="00D71846" w:rsidP="008C753B">
      <w:pPr>
        <w:jc w:val="center"/>
        <w:rPr>
          <w:rFonts w:ascii="Arial" w:hAnsi="Arial" w:cs="Arial"/>
          <w:b/>
          <w:noProof/>
        </w:rPr>
      </w:pPr>
      <w:r w:rsidRPr="004D4D15">
        <w:rPr>
          <w:rFonts w:ascii="Arial" w:hAnsi="Arial" w:cs="Arial"/>
          <w:b/>
          <w:noProof/>
        </w:rPr>
        <w:lastRenderedPageBreak/>
        <w:t xml:space="preserve">Appendix </w:t>
      </w:r>
      <w:r w:rsidR="00BE5288" w:rsidRPr="004D4D15">
        <w:rPr>
          <w:rFonts w:ascii="Arial" w:hAnsi="Arial" w:cs="Arial"/>
          <w:b/>
          <w:noProof/>
        </w:rPr>
        <w:t>H</w:t>
      </w:r>
    </w:p>
    <w:p w:rsidR="00D71846" w:rsidRDefault="00D71846" w:rsidP="008C753B">
      <w:pPr>
        <w:jc w:val="center"/>
        <w:rPr>
          <w:rFonts w:ascii="Arial" w:hAnsi="Arial" w:cs="Arial"/>
          <w:noProof/>
        </w:rPr>
      </w:pPr>
    </w:p>
    <w:p w:rsidR="00D71846" w:rsidRDefault="00D71846" w:rsidP="008C753B">
      <w:pPr>
        <w:jc w:val="center"/>
        <w:rPr>
          <w:rFonts w:ascii="Arial" w:hAnsi="Arial" w:cs="Arial"/>
          <w:noProof/>
        </w:rPr>
      </w:pPr>
      <w:r>
        <w:rPr>
          <w:rFonts w:ascii="Arial" w:hAnsi="Arial" w:cs="Arial"/>
          <w:noProof/>
        </w:rPr>
        <w:t>Gantt’s Chart Calendar</w:t>
      </w:r>
    </w:p>
    <w:p w:rsidR="00D71846" w:rsidRDefault="00D71846" w:rsidP="008C753B">
      <w:pPr>
        <w:jc w:val="center"/>
        <w:rPr>
          <w:rFonts w:ascii="Arial" w:hAnsi="Arial" w:cs="Arial"/>
          <w:noProof/>
        </w:rPr>
      </w:pPr>
    </w:p>
    <w:p w:rsidR="00D71846" w:rsidRDefault="00D71846" w:rsidP="008C753B">
      <w:pPr>
        <w:jc w:val="center"/>
        <w:rPr>
          <w:rFonts w:ascii="Arial" w:hAnsi="Arial" w:cs="Arial"/>
          <w:noProof/>
        </w:rPr>
      </w:pPr>
      <w:r w:rsidRPr="00D71846">
        <w:rPr>
          <w:rFonts w:ascii="Arial" w:hAnsi="Arial" w:cs="Arial"/>
          <w:noProof/>
        </w:rPr>
        <w:drawing>
          <wp:inline distT="0" distB="0" distL="0" distR="0" wp14:anchorId="568BCECA" wp14:editId="4C890747">
            <wp:extent cx="5731510" cy="3301658"/>
            <wp:effectExtent l="0" t="0" r="2540" b="0"/>
            <wp:docPr id="7" name="Picture 7" descr="C:\Users\telet\OneDrive\Documents\Screenshot 02-05-2022 0212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elet\OneDrive\Documents\Screenshot 02-05-2022 021259.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301658"/>
                    </a:xfrm>
                    <a:prstGeom prst="rect">
                      <a:avLst/>
                    </a:prstGeom>
                    <a:noFill/>
                    <a:ln>
                      <a:noFill/>
                    </a:ln>
                  </pic:spPr>
                </pic:pic>
              </a:graphicData>
            </a:graphic>
          </wp:inline>
        </w:drawing>
      </w:r>
    </w:p>
    <w:p w:rsidR="00D71846" w:rsidRDefault="00D71846">
      <w:pPr>
        <w:spacing w:after="160" w:line="259" w:lineRule="auto"/>
        <w:rPr>
          <w:rFonts w:ascii="Arial" w:hAnsi="Arial" w:cs="Arial"/>
        </w:rPr>
      </w:pPr>
      <w:r>
        <w:rPr>
          <w:rFonts w:ascii="Arial" w:hAnsi="Arial" w:cs="Arial"/>
        </w:rPr>
        <w:br w:type="page"/>
      </w:r>
    </w:p>
    <w:p w:rsidR="00C3780A" w:rsidRPr="004D4D15" w:rsidRDefault="00C3780A" w:rsidP="008C753B">
      <w:pPr>
        <w:jc w:val="center"/>
        <w:rPr>
          <w:rFonts w:ascii="Arial" w:hAnsi="Arial" w:cs="Arial"/>
          <w:b/>
        </w:rPr>
      </w:pPr>
      <w:r w:rsidRPr="004D4D15">
        <w:rPr>
          <w:rFonts w:ascii="Arial" w:hAnsi="Arial" w:cs="Arial"/>
          <w:b/>
        </w:rPr>
        <w:lastRenderedPageBreak/>
        <w:t xml:space="preserve">Appendix </w:t>
      </w:r>
      <w:r w:rsidR="00BE5288" w:rsidRPr="004D4D15">
        <w:rPr>
          <w:rFonts w:ascii="Arial" w:hAnsi="Arial" w:cs="Arial"/>
          <w:b/>
        </w:rPr>
        <w:t>H</w:t>
      </w:r>
      <w:r w:rsidRPr="004D4D15">
        <w:rPr>
          <w:rFonts w:ascii="Arial" w:hAnsi="Arial" w:cs="Arial"/>
          <w:b/>
        </w:rPr>
        <w:t xml:space="preserve"> </w:t>
      </w:r>
      <w:r w:rsidR="00F10C91">
        <w:rPr>
          <w:rFonts w:ascii="Arial" w:hAnsi="Arial" w:cs="Arial"/>
          <w:b/>
        </w:rPr>
        <w:t>(Continued)</w:t>
      </w:r>
    </w:p>
    <w:p w:rsidR="00C3780A" w:rsidRDefault="00C3780A" w:rsidP="008C753B">
      <w:pPr>
        <w:jc w:val="center"/>
        <w:rPr>
          <w:rFonts w:ascii="Arial" w:hAnsi="Arial" w:cs="Arial"/>
        </w:rPr>
      </w:pPr>
    </w:p>
    <w:p w:rsidR="00FC078A" w:rsidRDefault="00D71846" w:rsidP="008C753B">
      <w:pPr>
        <w:jc w:val="center"/>
        <w:rPr>
          <w:rFonts w:ascii="Arial" w:hAnsi="Arial" w:cs="Arial"/>
        </w:rPr>
      </w:pPr>
      <w:r>
        <w:rPr>
          <w:rFonts w:ascii="Arial" w:hAnsi="Arial" w:cs="Arial"/>
        </w:rPr>
        <w:t xml:space="preserve">Gantt’s Chart Calendar </w:t>
      </w:r>
    </w:p>
    <w:p w:rsidR="00D71846" w:rsidRDefault="00D71846" w:rsidP="008C753B">
      <w:pPr>
        <w:jc w:val="center"/>
        <w:rPr>
          <w:rFonts w:ascii="Arial" w:hAnsi="Arial" w:cs="Arial"/>
        </w:rPr>
      </w:pPr>
    </w:p>
    <w:p w:rsidR="00D71846" w:rsidRDefault="00D71846" w:rsidP="008C753B">
      <w:pPr>
        <w:jc w:val="center"/>
        <w:rPr>
          <w:rFonts w:ascii="Arial" w:hAnsi="Arial" w:cs="Arial"/>
        </w:rPr>
      </w:pPr>
      <w:r w:rsidRPr="00D71846">
        <w:rPr>
          <w:rFonts w:ascii="Arial" w:hAnsi="Arial" w:cs="Arial"/>
          <w:noProof/>
        </w:rPr>
        <w:drawing>
          <wp:inline distT="0" distB="0" distL="0" distR="0" wp14:anchorId="3FE91E36" wp14:editId="6D38DB46">
            <wp:extent cx="5731510" cy="3310835"/>
            <wp:effectExtent l="0" t="0" r="2540" b="4445"/>
            <wp:docPr id="9" name="Picture 9" descr="C:\Users\telet\OneDrive\Documents\Screenshot 02-05-2022 0212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telet\OneDrive\Documents\Screenshot 02-05-2022 021243.jp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310835"/>
                    </a:xfrm>
                    <a:prstGeom prst="rect">
                      <a:avLst/>
                    </a:prstGeom>
                    <a:noFill/>
                    <a:ln>
                      <a:noFill/>
                    </a:ln>
                  </pic:spPr>
                </pic:pic>
              </a:graphicData>
            </a:graphic>
          </wp:inline>
        </w:drawing>
      </w:r>
    </w:p>
    <w:p w:rsidR="00D71846" w:rsidRDefault="00D71846">
      <w:pPr>
        <w:spacing w:after="160" w:line="259" w:lineRule="auto"/>
        <w:rPr>
          <w:rFonts w:ascii="Arial" w:hAnsi="Arial" w:cs="Arial"/>
        </w:rPr>
      </w:pPr>
      <w:r>
        <w:rPr>
          <w:rFonts w:ascii="Arial" w:hAnsi="Arial" w:cs="Arial"/>
        </w:rPr>
        <w:br w:type="page"/>
      </w:r>
    </w:p>
    <w:p w:rsidR="00C3780A" w:rsidRDefault="00C3780A" w:rsidP="00C3780A">
      <w:pPr>
        <w:jc w:val="center"/>
        <w:rPr>
          <w:rFonts w:ascii="Arial" w:hAnsi="Arial" w:cs="Arial"/>
          <w:b/>
        </w:rPr>
      </w:pPr>
      <w:r w:rsidRPr="004D4D15">
        <w:rPr>
          <w:rFonts w:ascii="Arial" w:hAnsi="Arial" w:cs="Arial"/>
          <w:b/>
        </w:rPr>
        <w:lastRenderedPageBreak/>
        <w:t xml:space="preserve">Appendix </w:t>
      </w:r>
      <w:r w:rsidR="00BE5288" w:rsidRPr="004D4D15">
        <w:rPr>
          <w:rFonts w:ascii="Arial" w:hAnsi="Arial" w:cs="Arial"/>
          <w:b/>
        </w:rPr>
        <w:t>H</w:t>
      </w:r>
      <w:r w:rsidRPr="004D4D15">
        <w:rPr>
          <w:rFonts w:ascii="Arial" w:hAnsi="Arial" w:cs="Arial"/>
          <w:b/>
        </w:rPr>
        <w:t xml:space="preserve"> </w:t>
      </w:r>
      <w:r w:rsidR="00686518">
        <w:rPr>
          <w:rFonts w:ascii="Arial" w:hAnsi="Arial" w:cs="Arial"/>
          <w:b/>
        </w:rPr>
        <w:t xml:space="preserve">(Continued) </w:t>
      </w:r>
    </w:p>
    <w:p w:rsidR="00686518" w:rsidRDefault="00686518" w:rsidP="00C3780A">
      <w:pPr>
        <w:jc w:val="center"/>
        <w:rPr>
          <w:rFonts w:ascii="Arial" w:hAnsi="Arial" w:cs="Arial"/>
        </w:rPr>
      </w:pPr>
    </w:p>
    <w:p w:rsidR="00C3780A" w:rsidRDefault="00C3780A" w:rsidP="00C3780A">
      <w:pPr>
        <w:jc w:val="center"/>
        <w:rPr>
          <w:rFonts w:ascii="Arial" w:hAnsi="Arial" w:cs="Arial"/>
        </w:rPr>
      </w:pPr>
      <w:r>
        <w:rPr>
          <w:rFonts w:ascii="Arial" w:hAnsi="Arial" w:cs="Arial"/>
        </w:rPr>
        <w:t xml:space="preserve">Gantt’s Chart Calendar </w:t>
      </w:r>
    </w:p>
    <w:p w:rsidR="00C3780A" w:rsidRDefault="00C3780A" w:rsidP="008C753B">
      <w:pPr>
        <w:jc w:val="center"/>
        <w:rPr>
          <w:rFonts w:ascii="Arial" w:hAnsi="Arial" w:cs="Arial"/>
        </w:rPr>
      </w:pPr>
    </w:p>
    <w:p w:rsidR="00D71846" w:rsidRDefault="00D71846" w:rsidP="008C753B">
      <w:pPr>
        <w:jc w:val="center"/>
        <w:rPr>
          <w:rFonts w:ascii="Arial" w:hAnsi="Arial" w:cs="Arial"/>
        </w:rPr>
      </w:pPr>
      <w:r w:rsidRPr="00D71846">
        <w:rPr>
          <w:rFonts w:ascii="Arial" w:hAnsi="Arial" w:cs="Arial"/>
          <w:noProof/>
        </w:rPr>
        <w:drawing>
          <wp:inline distT="0" distB="0" distL="0" distR="0" wp14:anchorId="39410E95" wp14:editId="0FD9313D">
            <wp:extent cx="5731510" cy="3337201"/>
            <wp:effectExtent l="0" t="0" r="2540" b="0"/>
            <wp:docPr id="10" name="Picture 10" descr="C:\Users\telet\OneDrive\Documents\Screenshot 02-05-2022 0211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telet\OneDrive\Documents\Screenshot 02-05-2022 021157.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337201"/>
                    </a:xfrm>
                    <a:prstGeom prst="rect">
                      <a:avLst/>
                    </a:prstGeom>
                    <a:noFill/>
                    <a:ln>
                      <a:noFill/>
                    </a:ln>
                  </pic:spPr>
                </pic:pic>
              </a:graphicData>
            </a:graphic>
          </wp:inline>
        </w:drawing>
      </w:r>
    </w:p>
    <w:p w:rsidR="00D71846" w:rsidRDefault="00D71846" w:rsidP="00D71846">
      <w:r>
        <w:br w:type="page"/>
      </w:r>
    </w:p>
    <w:p w:rsidR="00C3780A" w:rsidRDefault="00C3780A" w:rsidP="00C3780A">
      <w:pPr>
        <w:jc w:val="center"/>
        <w:rPr>
          <w:rFonts w:ascii="Arial" w:hAnsi="Arial" w:cs="Arial"/>
          <w:b/>
        </w:rPr>
      </w:pPr>
      <w:r w:rsidRPr="004D4D15">
        <w:rPr>
          <w:rFonts w:ascii="Arial" w:hAnsi="Arial" w:cs="Arial"/>
          <w:b/>
        </w:rPr>
        <w:lastRenderedPageBreak/>
        <w:t xml:space="preserve">Appendix </w:t>
      </w:r>
      <w:r w:rsidR="00BE5288" w:rsidRPr="004D4D15">
        <w:rPr>
          <w:rFonts w:ascii="Arial" w:hAnsi="Arial" w:cs="Arial"/>
          <w:b/>
        </w:rPr>
        <w:t>H</w:t>
      </w:r>
      <w:r w:rsidRPr="004D4D15">
        <w:rPr>
          <w:rFonts w:ascii="Arial" w:hAnsi="Arial" w:cs="Arial"/>
          <w:b/>
        </w:rPr>
        <w:t xml:space="preserve"> </w:t>
      </w:r>
      <w:r w:rsidR="00686518">
        <w:rPr>
          <w:rFonts w:ascii="Arial" w:hAnsi="Arial" w:cs="Arial"/>
          <w:b/>
        </w:rPr>
        <w:t>(Continued)</w:t>
      </w:r>
    </w:p>
    <w:p w:rsidR="00686518" w:rsidRDefault="00686518" w:rsidP="00C3780A">
      <w:pPr>
        <w:jc w:val="center"/>
        <w:rPr>
          <w:rFonts w:ascii="Arial" w:hAnsi="Arial" w:cs="Arial"/>
        </w:rPr>
      </w:pPr>
    </w:p>
    <w:p w:rsidR="00C3780A" w:rsidRDefault="00C3780A" w:rsidP="00C3780A">
      <w:pPr>
        <w:jc w:val="center"/>
        <w:rPr>
          <w:rFonts w:ascii="Arial" w:hAnsi="Arial" w:cs="Arial"/>
        </w:rPr>
      </w:pPr>
      <w:r>
        <w:rPr>
          <w:rFonts w:ascii="Arial" w:hAnsi="Arial" w:cs="Arial"/>
        </w:rPr>
        <w:t xml:space="preserve">Gantt’s Chart Calendar </w:t>
      </w:r>
    </w:p>
    <w:p w:rsidR="00C3780A" w:rsidRDefault="00C3780A" w:rsidP="008C753B">
      <w:pPr>
        <w:jc w:val="center"/>
        <w:rPr>
          <w:rFonts w:ascii="Arial" w:hAnsi="Arial" w:cs="Arial"/>
        </w:rPr>
      </w:pPr>
    </w:p>
    <w:p w:rsidR="006812CC" w:rsidRDefault="00D71846" w:rsidP="008C753B">
      <w:pPr>
        <w:jc w:val="center"/>
        <w:rPr>
          <w:rFonts w:ascii="Arial" w:hAnsi="Arial" w:cs="Arial"/>
        </w:rPr>
      </w:pPr>
      <w:r w:rsidRPr="00D71846">
        <w:rPr>
          <w:rFonts w:ascii="Arial" w:hAnsi="Arial" w:cs="Arial"/>
          <w:noProof/>
        </w:rPr>
        <w:drawing>
          <wp:inline distT="0" distB="0" distL="0" distR="0" wp14:anchorId="1A42B31A" wp14:editId="0BDD99EE">
            <wp:extent cx="5731510" cy="3291746"/>
            <wp:effectExtent l="0" t="0" r="2540" b="4445"/>
            <wp:docPr id="11" name="Picture 11" descr="C:\Users\telet\OneDrive\Documents\Screenshot 02-05-2022 0213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telet\OneDrive\Documents\Screenshot 02-05-2022 021320.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91746"/>
                    </a:xfrm>
                    <a:prstGeom prst="rect">
                      <a:avLst/>
                    </a:prstGeom>
                    <a:noFill/>
                    <a:ln>
                      <a:noFill/>
                    </a:ln>
                  </pic:spPr>
                </pic:pic>
              </a:graphicData>
            </a:graphic>
          </wp:inline>
        </w:drawing>
      </w:r>
    </w:p>
    <w:p w:rsidR="006812CC" w:rsidRDefault="006812CC" w:rsidP="006812CC">
      <w:r>
        <w:br w:type="page"/>
      </w:r>
    </w:p>
    <w:p w:rsidR="006812CC" w:rsidRDefault="006812CC" w:rsidP="006812CC"/>
    <w:p w:rsidR="006812CC" w:rsidRDefault="006812CC" w:rsidP="006812CC"/>
    <w:p w:rsidR="006812CC" w:rsidRDefault="006812CC" w:rsidP="006812CC">
      <w:r>
        <w:rPr>
          <w:noProof/>
        </w:rPr>
        <w:drawing>
          <wp:inline distT="0" distB="0" distL="0" distR="0" wp14:anchorId="4F66FCC0" wp14:editId="3CFB41EB">
            <wp:extent cx="5731510" cy="320865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08655"/>
                    </a:xfrm>
                    <a:prstGeom prst="rect">
                      <a:avLst/>
                    </a:prstGeom>
                  </pic:spPr>
                </pic:pic>
              </a:graphicData>
            </a:graphic>
          </wp:inline>
        </w:drawing>
      </w:r>
    </w:p>
    <w:p w:rsidR="006812CC" w:rsidRDefault="006812CC" w:rsidP="006812CC"/>
    <w:p w:rsidR="006812CC" w:rsidRDefault="006812CC" w:rsidP="006812CC"/>
    <w:p w:rsidR="006812CC" w:rsidRDefault="006812CC" w:rsidP="006812CC">
      <w:r>
        <w:rPr>
          <w:noProof/>
        </w:rPr>
        <w:drawing>
          <wp:inline distT="0" distB="0" distL="0" distR="0" wp14:anchorId="0E1CAAFE" wp14:editId="7CD884D9">
            <wp:extent cx="5677119" cy="31813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685990" cy="3186321"/>
                    </a:xfrm>
                    <a:prstGeom prst="rect">
                      <a:avLst/>
                    </a:prstGeom>
                  </pic:spPr>
                </pic:pic>
              </a:graphicData>
            </a:graphic>
          </wp:inline>
        </w:drawing>
      </w:r>
    </w:p>
    <w:p w:rsidR="006812CC" w:rsidRDefault="006812CC" w:rsidP="006812CC"/>
    <w:p w:rsidR="006812CC" w:rsidRDefault="006812CC" w:rsidP="006812CC">
      <w:r>
        <w:rPr>
          <w:noProof/>
        </w:rPr>
        <w:lastRenderedPageBreak/>
        <w:drawing>
          <wp:inline distT="0" distB="0" distL="0" distR="0" wp14:anchorId="196D69FA" wp14:editId="15875A17">
            <wp:extent cx="5731510" cy="320294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02940"/>
                    </a:xfrm>
                    <a:prstGeom prst="rect">
                      <a:avLst/>
                    </a:prstGeom>
                  </pic:spPr>
                </pic:pic>
              </a:graphicData>
            </a:graphic>
          </wp:inline>
        </w:drawing>
      </w:r>
    </w:p>
    <w:p w:rsidR="006812CC" w:rsidRPr="00BB182B" w:rsidRDefault="006812CC" w:rsidP="006812CC">
      <w:pPr>
        <w:rPr>
          <w:rFonts w:ascii="Arial" w:hAnsi="Arial" w:cs="Arial"/>
          <w:i/>
        </w:rPr>
      </w:pPr>
      <w:sdt>
        <w:sdtPr>
          <w:rPr>
            <w:rFonts w:ascii="Arial" w:hAnsi="Arial" w:cs="Arial"/>
            <w:i/>
          </w:rPr>
          <w:id w:val="339197513"/>
          <w:citation/>
        </w:sdtPr>
        <w:sdtContent>
          <w:r w:rsidRPr="00BB182B">
            <w:rPr>
              <w:rFonts w:ascii="Arial" w:hAnsi="Arial" w:cs="Arial"/>
              <w:i/>
            </w:rPr>
            <w:fldChar w:fldCharType="begin"/>
          </w:r>
          <w:r w:rsidRPr="00BB182B">
            <w:rPr>
              <w:rFonts w:ascii="Arial" w:hAnsi="Arial" w:cs="Arial"/>
              <w:i/>
            </w:rPr>
            <w:instrText xml:space="preserve"> CITATION CDC20 \l 2057 </w:instrText>
          </w:r>
          <w:r w:rsidRPr="00BB182B">
            <w:rPr>
              <w:rFonts w:ascii="Arial" w:hAnsi="Arial" w:cs="Arial"/>
              <w:i/>
            </w:rPr>
            <w:fldChar w:fldCharType="separate"/>
          </w:r>
          <w:r w:rsidRPr="006812CC">
            <w:rPr>
              <w:rFonts w:ascii="Arial" w:hAnsi="Arial" w:cs="Arial"/>
              <w:noProof/>
            </w:rPr>
            <w:t>(CDC, 2020)</w:t>
          </w:r>
          <w:r w:rsidRPr="00BB182B">
            <w:rPr>
              <w:rFonts w:ascii="Arial" w:hAnsi="Arial" w:cs="Arial"/>
              <w:i/>
            </w:rPr>
            <w:fldChar w:fldCharType="end"/>
          </w:r>
        </w:sdtContent>
      </w:sdt>
    </w:p>
    <w:p w:rsidR="006812CC" w:rsidRDefault="006812CC" w:rsidP="006812CC"/>
    <w:p w:rsidR="006812CC" w:rsidRDefault="006812CC" w:rsidP="006812CC">
      <w:pPr>
        <w:rPr>
          <w:rFonts w:ascii="Arial" w:hAnsi="Arial" w:cs="Arial"/>
        </w:rPr>
      </w:pPr>
      <w:r>
        <w:rPr>
          <w:rFonts w:ascii="Arial" w:hAnsi="Arial" w:cs="Arial"/>
        </w:rPr>
        <w:t xml:space="preserve">The re-opening of head office is essential, as the senior management team will need to discuss plans moving forward. This is still a risk of contracting and spreading the virus and health and safety as well as hygiene measures will need to be implemented with immediate effect. Additionally, there is always the provision of some staff working from home if it can be helped and redevelopment plans in the office will be necessary for social distancing rules to be implemented. Delays in the project planning is to be expected, as nobody is exempt from contracting the virus or being effected by the impact of the virus in other ways. Once all Government, NHS and FSA guidelines have been implemented, managers have been trained and updated, we will not proceed with re-opening the distribution centres and selected stores. The stores to re-open has to be considered carefully, as to implement a new layout and social distancing rules will require a large enough space. </w:t>
      </w:r>
    </w:p>
    <w:p w:rsidR="006812CC" w:rsidRDefault="006812CC" w:rsidP="006812CC">
      <w:pPr>
        <w:rPr>
          <w:rFonts w:ascii="Arial" w:hAnsi="Arial" w:cs="Arial"/>
        </w:rPr>
      </w:pPr>
      <w:r>
        <w:rPr>
          <w:noProof/>
        </w:rPr>
        <w:drawing>
          <wp:inline distT="0" distB="0" distL="0" distR="0" wp14:anchorId="311CF545" wp14:editId="3EFA1535">
            <wp:extent cx="5731510" cy="320865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08655"/>
                    </a:xfrm>
                    <a:prstGeom prst="rect">
                      <a:avLst/>
                    </a:prstGeom>
                  </pic:spPr>
                </pic:pic>
              </a:graphicData>
            </a:graphic>
          </wp:inline>
        </w:drawing>
      </w:r>
    </w:p>
    <w:p w:rsidR="006812CC" w:rsidRPr="00BB182B" w:rsidRDefault="006812CC" w:rsidP="006812CC">
      <w:pPr>
        <w:rPr>
          <w:rFonts w:ascii="Arial" w:hAnsi="Arial" w:cs="Arial"/>
          <w:i/>
        </w:rPr>
      </w:pPr>
      <w:sdt>
        <w:sdtPr>
          <w:rPr>
            <w:rFonts w:ascii="Arial" w:hAnsi="Arial" w:cs="Arial"/>
            <w:i/>
          </w:rPr>
          <w:id w:val="304827044"/>
          <w:citation/>
        </w:sdtPr>
        <w:sdtContent>
          <w:r w:rsidRPr="00BB182B">
            <w:rPr>
              <w:rFonts w:ascii="Arial" w:hAnsi="Arial" w:cs="Arial"/>
              <w:i/>
            </w:rPr>
            <w:fldChar w:fldCharType="begin"/>
          </w:r>
          <w:r w:rsidRPr="00BB182B">
            <w:rPr>
              <w:rFonts w:ascii="Arial" w:hAnsi="Arial" w:cs="Arial"/>
              <w:i/>
            </w:rPr>
            <w:instrText xml:space="preserve"> CITATION SOM21 \l 2057 </w:instrText>
          </w:r>
          <w:r w:rsidRPr="00BB182B">
            <w:rPr>
              <w:rFonts w:ascii="Arial" w:hAnsi="Arial" w:cs="Arial"/>
              <w:i/>
            </w:rPr>
            <w:fldChar w:fldCharType="separate"/>
          </w:r>
          <w:r w:rsidRPr="006812CC">
            <w:rPr>
              <w:rFonts w:ascii="Arial" w:hAnsi="Arial" w:cs="Arial"/>
              <w:noProof/>
            </w:rPr>
            <w:t>(SOM, 2021)</w:t>
          </w:r>
          <w:r w:rsidRPr="00BB182B">
            <w:rPr>
              <w:rFonts w:ascii="Arial" w:hAnsi="Arial" w:cs="Arial"/>
              <w:i/>
            </w:rPr>
            <w:fldChar w:fldCharType="end"/>
          </w:r>
        </w:sdtContent>
      </w:sdt>
    </w:p>
    <w:p w:rsidR="006812CC" w:rsidRDefault="006812CC" w:rsidP="006812CC">
      <w:pPr>
        <w:rPr>
          <w:rFonts w:ascii="Arial" w:hAnsi="Arial" w:cs="Arial"/>
        </w:rPr>
      </w:pPr>
      <w:r>
        <w:rPr>
          <w:rFonts w:ascii="Arial" w:hAnsi="Arial" w:cs="Arial"/>
        </w:rPr>
        <w:lastRenderedPageBreak/>
        <w:t xml:space="preserve">One of the core focuses in this project is making sure staff and employees are fit and happy enough to return to work, it will be unlawful to force any individual to return to work before they are ready. Setting up and providing counselling for staff and employees onsite with the aim to create a safe space and reduce fear, will be a provision available to those returning to work and those preparing for return. </w:t>
      </w:r>
    </w:p>
    <w:p w:rsidR="006812CC" w:rsidRDefault="006812CC" w:rsidP="006812CC">
      <w:pPr>
        <w:rPr>
          <w:rFonts w:ascii="Arial" w:hAnsi="Arial" w:cs="Arial"/>
        </w:rPr>
      </w:pPr>
      <w:r>
        <w:rPr>
          <w:rFonts w:ascii="Arial" w:hAnsi="Arial" w:cs="Arial"/>
        </w:rPr>
        <w:t>Ensuring that all health and safety as well as hygiene guidelines are being implemented and followed, will allow for those returning to work to feel comfortable and safe in the environment. However, we must consider the adverse effects, as some members of staff and employees’ views on Covid-19 may be objective to the majority based on their religion or beliefs, causing a breakdown in work relationships and affecting the workplace culture. Some individuals may be exempt from wearing PPE and have medically approved confirmation, whilst some individuals are vulnerable and be worried about working with anyone not wearing PPE. The risk assessment report and Ishikawa Diagram tool gives us awareness and solutions on how to best manage and control these issues.</w:t>
      </w:r>
    </w:p>
    <w:p w:rsidR="006812CC" w:rsidRDefault="006812CC" w:rsidP="006812CC">
      <w:pPr>
        <w:rPr>
          <w:rFonts w:ascii="Arial" w:hAnsi="Arial" w:cs="Arial"/>
        </w:rPr>
      </w:pPr>
      <w:r>
        <w:rPr>
          <w:rFonts w:ascii="Arial" w:hAnsi="Arial" w:cs="Arial"/>
        </w:rPr>
        <w:t>Additionally, the HR Manager will be available to provide any necessary support to staff and employees who may need it. This can be financially, travel, childcare etc.</w:t>
      </w:r>
    </w:p>
    <w:p w:rsidR="006812CC" w:rsidRDefault="006812CC" w:rsidP="006812CC">
      <w:pPr>
        <w:rPr>
          <w:rFonts w:ascii="Arial" w:hAnsi="Arial" w:cs="Arial"/>
        </w:rPr>
      </w:pPr>
      <w:r>
        <w:rPr>
          <w:rFonts w:ascii="Arial" w:hAnsi="Arial" w:cs="Arial"/>
        </w:rPr>
        <w:br w:type="page"/>
      </w:r>
    </w:p>
    <w:p w:rsidR="006812CC" w:rsidRDefault="006812CC" w:rsidP="006812CC">
      <w:pPr>
        <w:rPr>
          <w:rFonts w:ascii="Arial" w:hAnsi="Arial" w:cs="Arial"/>
        </w:rPr>
      </w:pPr>
      <w:r>
        <w:rPr>
          <w:noProof/>
        </w:rPr>
        <w:lastRenderedPageBreak/>
        <w:drawing>
          <wp:inline distT="0" distB="0" distL="0" distR="0" wp14:anchorId="1F2AE985" wp14:editId="4C4D552E">
            <wp:extent cx="5731510" cy="31896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189605"/>
                    </a:xfrm>
                    <a:prstGeom prst="rect">
                      <a:avLst/>
                    </a:prstGeom>
                  </pic:spPr>
                </pic:pic>
              </a:graphicData>
            </a:graphic>
          </wp:inline>
        </w:drawing>
      </w:r>
    </w:p>
    <w:p w:rsidR="006812CC" w:rsidRDefault="006812CC" w:rsidP="006812CC">
      <w:pPr>
        <w:rPr>
          <w:rFonts w:ascii="Arial" w:hAnsi="Arial" w:cs="Arial"/>
          <w:i/>
        </w:rPr>
      </w:pPr>
      <w:proofErr w:type="spellStart"/>
      <w:r>
        <w:rPr>
          <w:rFonts w:ascii="Arial" w:hAnsi="Arial" w:cs="Arial"/>
          <w:i/>
        </w:rPr>
        <w:t>Sukh</w:t>
      </w:r>
      <w:proofErr w:type="spellEnd"/>
      <w:r>
        <w:rPr>
          <w:rFonts w:ascii="Arial" w:hAnsi="Arial" w:cs="Arial"/>
          <w:i/>
        </w:rPr>
        <w:t xml:space="preserve"> </w:t>
      </w:r>
      <w:proofErr w:type="spellStart"/>
      <w:r>
        <w:rPr>
          <w:rFonts w:ascii="Arial" w:hAnsi="Arial" w:cs="Arial"/>
          <w:i/>
        </w:rPr>
        <w:t>Chamdal</w:t>
      </w:r>
      <w:proofErr w:type="spellEnd"/>
      <w:sdt>
        <w:sdtPr>
          <w:rPr>
            <w:rFonts w:ascii="Arial" w:hAnsi="Arial" w:cs="Arial"/>
            <w:i/>
          </w:rPr>
          <w:id w:val="-963574293"/>
          <w:citation/>
        </w:sdtPr>
        <w:sdtContent>
          <w:r>
            <w:rPr>
              <w:rFonts w:ascii="Arial" w:hAnsi="Arial" w:cs="Arial"/>
              <w:i/>
            </w:rPr>
            <w:fldChar w:fldCharType="begin"/>
          </w:r>
          <w:r>
            <w:rPr>
              <w:rFonts w:ascii="Arial" w:hAnsi="Arial" w:cs="Arial"/>
              <w:i/>
            </w:rPr>
            <w:instrText xml:space="preserve">CITATION Egg19 \l 2057 </w:instrText>
          </w:r>
          <w:r>
            <w:rPr>
              <w:rFonts w:ascii="Arial" w:hAnsi="Arial" w:cs="Arial"/>
              <w:i/>
            </w:rPr>
            <w:fldChar w:fldCharType="separate"/>
          </w:r>
          <w:r>
            <w:rPr>
              <w:rFonts w:ascii="Arial" w:hAnsi="Arial" w:cs="Arial"/>
              <w:i/>
              <w:noProof/>
            </w:rPr>
            <w:t xml:space="preserve"> </w:t>
          </w:r>
          <w:r w:rsidRPr="006812CC">
            <w:rPr>
              <w:rFonts w:ascii="Arial" w:hAnsi="Arial" w:cs="Arial"/>
              <w:noProof/>
            </w:rPr>
            <w:t>(Eggfree Cake Box, 2019)</w:t>
          </w:r>
          <w:r>
            <w:rPr>
              <w:rFonts w:ascii="Arial" w:hAnsi="Arial" w:cs="Arial"/>
              <w:i/>
            </w:rPr>
            <w:fldChar w:fldCharType="end"/>
          </w:r>
        </w:sdtContent>
      </w:sdt>
      <w:r>
        <w:rPr>
          <w:rFonts w:ascii="Arial" w:hAnsi="Arial" w:cs="Arial"/>
          <w:i/>
        </w:rPr>
        <w:t xml:space="preserve"> said, that the reflection of financial and operational growth in the 2019 report, gives him great confidence that plans for the year ahead will produce further growth. As well investing capital into two new production and distribution facilities, investments are being made to improve production methods, technology efficiency and current recipes. Customer service training for frontline staff and franchisee’s is ongoing and continues to be an investment for the organisation. Additionally, the purchase of new baking equipment is allowing for higher produce and gives power to command better prices, as our buying power continuously increases. Plans for opening more stores and trials for standalone kiosks in shopping centres are also on the way.</w:t>
      </w:r>
    </w:p>
    <w:p w:rsidR="006812CC" w:rsidRPr="003A7E57" w:rsidRDefault="006812CC" w:rsidP="006812CC">
      <w:pPr>
        <w:rPr>
          <w:rFonts w:ascii="Arial" w:hAnsi="Arial" w:cs="Arial"/>
        </w:rPr>
      </w:pPr>
      <w:r>
        <w:rPr>
          <w:rFonts w:ascii="Arial" w:hAnsi="Arial" w:cs="Arial"/>
        </w:rPr>
        <w:t>The operational highlights are reflection of the bands credibility and growing buzz on Britain’s high streets. The only plans for the year ahead is to continue doing what they do best and increasing accessibility, sales and revenue.</w:t>
      </w:r>
    </w:p>
    <w:p w:rsidR="006812CC" w:rsidRDefault="006812CC" w:rsidP="006812CC">
      <w:pPr>
        <w:rPr>
          <w:rFonts w:ascii="Arial" w:hAnsi="Arial" w:cs="Arial"/>
        </w:rPr>
      </w:pPr>
      <w:r>
        <w:rPr>
          <w:rFonts w:ascii="Arial" w:hAnsi="Arial" w:cs="Arial"/>
        </w:rPr>
        <w:br w:type="page"/>
      </w:r>
    </w:p>
    <w:p w:rsidR="006812CC" w:rsidRDefault="006812CC" w:rsidP="006812CC">
      <w:pPr>
        <w:rPr>
          <w:rFonts w:ascii="Arial" w:hAnsi="Arial" w:cs="Arial"/>
        </w:rPr>
      </w:pPr>
      <w:r>
        <w:rPr>
          <w:noProof/>
        </w:rPr>
        <w:lastRenderedPageBreak/>
        <w:drawing>
          <wp:inline distT="0" distB="0" distL="0" distR="0" wp14:anchorId="2651237C" wp14:editId="11CB0692">
            <wp:extent cx="5731510" cy="320357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03575"/>
                    </a:xfrm>
                    <a:prstGeom prst="rect">
                      <a:avLst/>
                    </a:prstGeom>
                  </pic:spPr>
                </pic:pic>
              </a:graphicData>
            </a:graphic>
          </wp:inline>
        </w:drawing>
      </w:r>
    </w:p>
    <w:p w:rsidR="006812CC" w:rsidRDefault="006812CC" w:rsidP="006812CC">
      <w:pPr>
        <w:rPr>
          <w:rFonts w:ascii="Arial" w:hAnsi="Arial" w:cs="Arial"/>
          <w:i/>
        </w:rPr>
      </w:pPr>
      <w:r w:rsidRPr="00BF4EFA">
        <w:rPr>
          <w:rFonts w:ascii="Arial" w:hAnsi="Arial" w:cs="Arial"/>
          <w:i/>
        </w:rPr>
        <w:t>Every industry in the world expects to see how the COVID-19 outbreak will affect the manufacturing industry, and the food industry is no different from other industries. However, the difference in the food industry from other industries is to produce products that are essential for daily life.</w:t>
      </w:r>
      <w:sdt>
        <w:sdtPr>
          <w:rPr>
            <w:rFonts w:ascii="Arial" w:hAnsi="Arial" w:cs="Arial"/>
            <w:i/>
          </w:rPr>
          <w:id w:val="-1639945460"/>
          <w:citation/>
        </w:sdtPr>
        <w:sdtContent>
          <w:r>
            <w:rPr>
              <w:rFonts w:ascii="Arial" w:hAnsi="Arial" w:cs="Arial"/>
              <w:i/>
            </w:rPr>
            <w:fldChar w:fldCharType="begin"/>
          </w:r>
          <w:r>
            <w:rPr>
              <w:rFonts w:ascii="Arial" w:hAnsi="Arial" w:cs="Arial"/>
              <w:i/>
            </w:rPr>
            <w:instrText xml:space="preserve"> CITATION Oxf20 \l 2057 </w:instrText>
          </w:r>
          <w:r>
            <w:rPr>
              <w:rFonts w:ascii="Arial" w:hAnsi="Arial" w:cs="Arial"/>
              <w:i/>
            </w:rPr>
            <w:fldChar w:fldCharType="separate"/>
          </w:r>
          <w:r>
            <w:rPr>
              <w:rFonts w:ascii="Arial" w:hAnsi="Arial" w:cs="Arial"/>
              <w:i/>
              <w:noProof/>
            </w:rPr>
            <w:t xml:space="preserve"> </w:t>
          </w:r>
          <w:r w:rsidRPr="006812CC">
            <w:rPr>
              <w:rFonts w:ascii="Arial" w:hAnsi="Arial" w:cs="Arial"/>
              <w:noProof/>
            </w:rPr>
            <w:t>(Oxford Academic - Food Quality and Safety, 2020)</w:t>
          </w:r>
          <w:r>
            <w:rPr>
              <w:rFonts w:ascii="Arial" w:hAnsi="Arial" w:cs="Arial"/>
              <w:i/>
            </w:rPr>
            <w:fldChar w:fldCharType="end"/>
          </w:r>
        </w:sdtContent>
      </w:sdt>
    </w:p>
    <w:p w:rsidR="006812CC" w:rsidRDefault="006812CC" w:rsidP="006812CC">
      <w:pPr>
        <w:rPr>
          <w:rFonts w:ascii="Arial" w:hAnsi="Arial" w:cs="Arial"/>
        </w:rPr>
      </w:pPr>
      <w:r>
        <w:rPr>
          <w:rFonts w:ascii="Arial" w:hAnsi="Arial" w:cs="Arial"/>
        </w:rPr>
        <w:t>Based on the organisations operational highlights for the previous year, it’s imperative that business continues to operate its services, keep customers engaged and gain new customers. It is predicted that individuals will now start to operate food businesses from home and use self-delivery or collection service, if not Third-Party delivery services. Although on smaller scale, small dessert businesses have the power to weaken our customer base, especially through social media advertising and engagement. Now we will need to look at new digital marketing strategies to stay relevant and boost sales, at the least we are predicting at least a 20% increase in online sales and a 10% increase in revenue.</w:t>
      </w:r>
    </w:p>
    <w:p w:rsidR="006812CC" w:rsidRPr="00BF4EFA" w:rsidRDefault="006812CC" w:rsidP="006812CC">
      <w:pPr>
        <w:rPr>
          <w:rFonts w:ascii="Arial" w:hAnsi="Arial" w:cs="Arial"/>
        </w:rPr>
      </w:pPr>
      <w:r>
        <w:rPr>
          <w:rFonts w:ascii="Arial" w:hAnsi="Arial" w:cs="Arial"/>
        </w:rPr>
        <w:br w:type="page"/>
      </w:r>
    </w:p>
    <w:p w:rsidR="006812CC" w:rsidRDefault="006812CC" w:rsidP="006812CC">
      <w:pPr>
        <w:rPr>
          <w:rFonts w:ascii="Arial" w:hAnsi="Arial" w:cs="Arial"/>
        </w:rPr>
      </w:pPr>
      <w:r>
        <w:rPr>
          <w:noProof/>
        </w:rPr>
        <w:lastRenderedPageBreak/>
        <w:drawing>
          <wp:inline distT="0" distB="0" distL="0" distR="0" wp14:anchorId="5D28D2BC" wp14:editId="022959E1">
            <wp:extent cx="5731510" cy="322262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2625"/>
                    </a:xfrm>
                    <a:prstGeom prst="rect">
                      <a:avLst/>
                    </a:prstGeom>
                  </pic:spPr>
                </pic:pic>
              </a:graphicData>
            </a:graphic>
          </wp:inline>
        </w:drawing>
      </w:r>
    </w:p>
    <w:p w:rsidR="006812CC" w:rsidRDefault="006812CC" w:rsidP="006812CC">
      <w:pPr>
        <w:rPr>
          <w:rFonts w:ascii="Arial" w:hAnsi="Arial" w:cs="Arial"/>
        </w:rPr>
      </w:pPr>
    </w:p>
    <w:p w:rsidR="006812CC" w:rsidRDefault="006812CC" w:rsidP="006812CC">
      <w:pPr>
        <w:rPr>
          <w:rFonts w:ascii="Arial" w:hAnsi="Arial" w:cs="Arial"/>
        </w:rPr>
      </w:pPr>
      <w:r>
        <w:rPr>
          <w:rFonts w:ascii="Arial" w:hAnsi="Arial" w:cs="Arial"/>
        </w:rPr>
        <w:t>The QUAD Chart shows a brief but clear break down on the purpose of this project. We aim to focus on returning to the work place safely and in alignment with the Government, NHS and FSA guidelines as an organisation in the food industry. It’s imperative that all staff and employees are heavily taken into consideration, to ensure that this outcome is successful and beneficial to everyone involved, including our stakeholders. A clear understanding of what is expected of us as an organisation in this current pandemic, will assist us with implementing the appropriate measures and redevelopments to continue to operate as a high street business. Research in digital marketing and how we can further develop our online sales will be imperative in this process, as we get ready to operate solely as a click &amp; collect service and implement a Third-Party delivery service until further notice from the Government, NHS and FSA. In hope that this project is successful, upon reviewing the process, the annual 2020 report will reflect the organisations success.</w:t>
      </w:r>
    </w:p>
    <w:p w:rsidR="006812CC" w:rsidRDefault="006812CC" w:rsidP="006812CC">
      <w:pPr>
        <w:rPr>
          <w:rFonts w:ascii="Arial" w:hAnsi="Arial" w:cs="Arial"/>
        </w:rPr>
      </w:pPr>
      <w:r>
        <w:rPr>
          <w:rFonts w:ascii="Arial" w:hAnsi="Arial" w:cs="Arial"/>
        </w:rPr>
        <w:br w:type="page"/>
      </w:r>
    </w:p>
    <w:p w:rsidR="006812CC" w:rsidRDefault="006812CC" w:rsidP="006812CC">
      <w:pPr>
        <w:rPr>
          <w:rFonts w:ascii="Arial" w:hAnsi="Arial" w:cs="Arial"/>
        </w:rPr>
      </w:pPr>
      <w:r>
        <w:rPr>
          <w:noProof/>
        </w:rPr>
        <w:lastRenderedPageBreak/>
        <w:drawing>
          <wp:inline distT="0" distB="0" distL="0" distR="0" wp14:anchorId="0769CF94" wp14:editId="014D1526">
            <wp:extent cx="5731510" cy="3216275"/>
            <wp:effectExtent l="0" t="0" r="254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16275"/>
                    </a:xfrm>
                    <a:prstGeom prst="rect">
                      <a:avLst/>
                    </a:prstGeom>
                  </pic:spPr>
                </pic:pic>
              </a:graphicData>
            </a:graphic>
          </wp:inline>
        </w:drawing>
      </w:r>
    </w:p>
    <w:p w:rsidR="006812CC" w:rsidRDefault="006812CC" w:rsidP="006812CC">
      <w:pPr>
        <w:rPr>
          <w:rFonts w:ascii="Arial" w:hAnsi="Arial" w:cs="Arial"/>
        </w:rPr>
      </w:pPr>
    </w:p>
    <w:p w:rsidR="006812CC" w:rsidRDefault="006812CC" w:rsidP="006812CC">
      <w:pPr>
        <w:rPr>
          <w:rFonts w:ascii="Arial" w:hAnsi="Arial" w:cs="Arial"/>
        </w:rPr>
      </w:pPr>
      <w:r w:rsidRPr="00C37302">
        <w:rPr>
          <w:rFonts w:ascii="Arial" w:hAnsi="Arial" w:cs="Arial"/>
        </w:rPr>
        <w:t>It will be the Project Manager’s responsibility to manage the team and ensure that everyone is clear on their assigned tasks so that they can complete their deliverables within the set time-frame. Everyone involved will have access to the project planning via the Gantt Chart, allowing them to stay on task and get any relevant information if and when required. Due to the risk of contracting and spreading the coronavirus, it is important that all staff attending project management meetings, are wearing face masks coverings at all times. Those who are exempt will be provided with a MS Teams video link to join the meeting remotely from their office. Additionally, should any staff members contract the virus or come into contact with anyone who has, they will have to self-isolate. Remote working from home will be permitted. It is to be expected that communication can breakdown throughout this process, so it is advised that extra consideration and communication is had, to keep the team informed and adjustments can be made immediately.</w:t>
      </w:r>
    </w:p>
    <w:p w:rsidR="00D71846" w:rsidRPr="008C753B" w:rsidRDefault="00D71846" w:rsidP="006812CC">
      <w:pPr>
        <w:rPr>
          <w:rFonts w:ascii="Arial" w:hAnsi="Arial" w:cs="Arial"/>
        </w:rPr>
      </w:pPr>
    </w:p>
    <w:sectPr w:rsidR="00D71846" w:rsidRPr="008C753B">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7E51" w:rsidRDefault="002B7E51" w:rsidP="004A5DF2">
      <w:r>
        <w:separator/>
      </w:r>
    </w:p>
  </w:endnote>
  <w:endnote w:type="continuationSeparator" w:id="0">
    <w:p w:rsidR="002B7E51" w:rsidRDefault="002B7E51" w:rsidP="004A5D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D2000" w:rsidRDefault="00FD2000">
    <w:pPr>
      <w:pStyle w:val="Footer"/>
    </w:pPr>
    <w:r>
      <w:t>Teletha Duberry</w:t>
    </w:r>
    <w:r>
      <w:ptab w:relativeTo="margin" w:alignment="center" w:leader="none"/>
    </w:r>
    <w:r>
      <w:t>1917189</w:t>
    </w:r>
    <w:r>
      <w:ptab w:relativeTo="margin" w:alignment="right" w:leader="none"/>
    </w:r>
    <w:r>
      <w:t>Assignment 1 Term 2</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7E51" w:rsidRDefault="002B7E51" w:rsidP="004A5DF2">
      <w:r>
        <w:separator/>
      </w:r>
    </w:p>
  </w:footnote>
  <w:footnote w:type="continuationSeparator" w:id="0">
    <w:p w:rsidR="002B7E51" w:rsidRDefault="002B7E51" w:rsidP="004A5DF2">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10394960"/>
      <w:docPartObj>
        <w:docPartGallery w:val="Page Numbers (Top of Page)"/>
        <w:docPartUnique/>
      </w:docPartObj>
    </w:sdtPr>
    <w:sdtEndPr>
      <w:rPr>
        <w:color w:val="7F7F7F" w:themeColor="background1" w:themeShade="7F"/>
        <w:spacing w:val="60"/>
      </w:rPr>
    </w:sdtEndPr>
    <w:sdtContent>
      <w:p w:rsidR="00FD2000" w:rsidRDefault="00FD2000">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6812CC" w:rsidRPr="006812CC">
          <w:rPr>
            <w:b/>
            <w:bCs/>
            <w:noProof/>
          </w:rPr>
          <w:t>21</w:t>
        </w:r>
        <w:r>
          <w:rPr>
            <w:b/>
            <w:bCs/>
            <w:noProof/>
          </w:rPr>
          <w:fldChar w:fldCharType="end"/>
        </w:r>
        <w:r>
          <w:rPr>
            <w:b/>
            <w:bCs/>
          </w:rPr>
          <w:t xml:space="preserve"> | </w:t>
        </w:r>
        <w:r>
          <w:rPr>
            <w:color w:val="7F7F7F" w:themeColor="background1" w:themeShade="7F"/>
            <w:spacing w:val="60"/>
          </w:rPr>
          <w:t>Page</w:t>
        </w:r>
      </w:p>
    </w:sdtContent>
  </w:sdt>
  <w:p w:rsidR="004A5DF2" w:rsidRDefault="004A5DF2">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8346B"/>
    <w:multiLevelType w:val="hybridMultilevel"/>
    <w:tmpl w:val="796A78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85296A"/>
    <w:multiLevelType w:val="multilevel"/>
    <w:tmpl w:val="0EA2E3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B420AB9"/>
    <w:multiLevelType w:val="hybridMultilevel"/>
    <w:tmpl w:val="B4AA8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274F7A"/>
    <w:multiLevelType w:val="hybridMultilevel"/>
    <w:tmpl w:val="EE1A2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B42E11"/>
    <w:multiLevelType w:val="hybridMultilevel"/>
    <w:tmpl w:val="F1ACE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9E09DD"/>
    <w:multiLevelType w:val="multilevel"/>
    <w:tmpl w:val="48E04C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E72206C"/>
    <w:multiLevelType w:val="multilevel"/>
    <w:tmpl w:val="23A0FC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28B7676"/>
    <w:multiLevelType w:val="multilevel"/>
    <w:tmpl w:val="B4A23F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3FC4344"/>
    <w:multiLevelType w:val="multilevel"/>
    <w:tmpl w:val="95AC665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7291290"/>
    <w:multiLevelType w:val="hybridMultilevel"/>
    <w:tmpl w:val="6DB8A38C"/>
    <w:lvl w:ilvl="0" w:tplc="F4FE344A">
      <w:numFmt w:val="decimal"/>
      <w:lvlText w:val="%1-"/>
      <w:lvlJc w:val="left"/>
      <w:pPr>
        <w:ind w:left="990" w:hanging="63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E40225"/>
    <w:multiLevelType w:val="hybridMultilevel"/>
    <w:tmpl w:val="CA62B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095DB9"/>
    <w:multiLevelType w:val="hybridMultilevel"/>
    <w:tmpl w:val="93A80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8D6AF1"/>
    <w:multiLevelType w:val="multilevel"/>
    <w:tmpl w:val="E35865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713136E"/>
    <w:multiLevelType w:val="hybridMultilevel"/>
    <w:tmpl w:val="4FB43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5214FC"/>
    <w:multiLevelType w:val="multilevel"/>
    <w:tmpl w:val="9378FD3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7EC0CEC"/>
    <w:multiLevelType w:val="multilevel"/>
    <w:tmpl w:val="BB4CF756"/>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CB24414"/>
    <w:multiLevelType w:val="hybridMultilevel"/>
    <w:tmpl w:val="0CD8F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DA3DD9"/>
    <w:multiLevelType w:val="hybridMultilevel"/>
    <w:tmpl w:val="11D81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DBE7105"/>
    <w:multiLevelType w:val="multilevel"/>
    <w:tmpl w:val="23583F4E"/>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2D22440"/>
    <w:multiLevelType w:val="multilevel"/>
    <w:tmpl w:val="B58C3D14"/>
    <w:lvl w:ilvl="0">
      <w:start w:val="1"/>
      <w:numFmt w:val="decimal"/>
      <w:lvlText w:val="%1."/>
      <w:lvlJc w:val="left"/>
      <w:pPr>
        <w:ind w:left="360" w:hanging="360"/>
      </w:pPr>
      <w:rPr>
        <w:rFonts w:eastAsiaTheme="minorEastAsia" w:hint="default"/>
        <w:color w:val="auto"/>
      </w:rPr>
    </w:lvl>
    <w:lvl w:ilvl="1">
      <w:start w:val="3"/>
      <w:numFmt w:val="decimal"/>
      <w:lvlText w:val="%1.%2."/>
      <w:lvlJc w:val="left"/>
      <w:pPr>
        <w:ind w:left="720" w:hanging="720"/>
      </w:pPr>
      <w:rPr>
        <w:rFonts w:eastAsiaTheme="minorEastAsia" w:hint="default"/>
        <w:color w:val="auto"/>
      </w:rPr>
    </w:lvl>
    <w:lvl w:ilvl="2">
      <w:start w:val="1"/>
      <w:numFmt w:val="decimal"/>
      <w:lvlText w:val="%1.%2.%3."/>
      <w:lvlJc w:val="left"/>
      <w:pPr>
        <w:ind w:left="720" w:hanging="720"/>
      </w:pPr>
      <w:rPr>
        <w:rFonts w:eastAsiaTheme="minorEastAsia" w:hint="default"/>
        <w:color w:val="auto"/>
      </w:rPr>
    </w:lvl>
    <w:lvl w:ilvl="3">
      <w:start w:val="1"/>
      <w:numFmt w:val="decimal"/>
      <w:lvlText w:val="%1.%2.%3.%4."/>
      <w:lvlJc w:val="left"/>
      <w:pPr>
        <w:ind w:left="1080" w:hanging="1080"/>
      </w:pPr>
      <w:rPr>
        <w:rFonts w:eastAsiaTheme="minorEastAsia" w:hint="default"/>
        <w:color w:val="auto"/>
      </w:rPr>
    </w:lvl>
    <w:lvl w:ilvl="4">
      <w:start w:val="1"/>
      <w:numFmt w:val="decimal"/>
      <w:lvlText w:val="%1.%2.%3.%4.%5."/>
      <w:lvlJc w:val="left"/>
      <w:pPr>
        <w:ind w:left="1080" w:hanging="1080"/>
      </w:pPr>
      <w:rPr>
        <w:rFonts w:eastAsiaTheme="minorEastAsia" w:hint="default"/>
        <w:color w:val="auto"/>
      </w:rPr>
    </w:lvl>
    <w:lvl w:ilvl="5">
      <w:start w:val="1"/>
      <w:numFmt w:val="decimal"/>
      <w:lvlText w:val="%1.%2.%3.%4.%5.%6."/>
      <w:lvlJc w:val="left"/>
      <w:pPr>
        <w:ind w:left="1440" w:hanging="1440"/>
      </w:pPr>
      <w:rPr>
        <w:rFonts w:eastAsiaTheme="minorEastAsia" w:hint="default"/>
        <w:color w:val="auto"/>
      </w:rPr>
    </w:lvl>
    <w:lvl w:ilvl="6">
      <w:start w:val="1"/>
      <w:numFmt w:val="decimal"/>
      <w:lvlText w:val="%1.%2.%3.%4.%5.%6.%7."/>
      <w:lvlJc w:val="left"/>
      <w:pPr>
        <w:ind w:left="1440" w:hanging="1440"/>
      </w:pPr>
      <w:rPr>
        <w:rFonts w:eastAsiaTheme="minorEastAsia" w:hint="default"/>
        <w:color w:val="auto"/>
      </w:rPr>
    </w:lvl>
    <w:lvl w:ilvl="7">
      <w:start w:val="1"/>
      <w:numFmt w:val="decimal"/>
      <w:lvlText w:val="%1.%2.%3.%4.%5.%6.%7.%8."/>
      <w:lvlJc w:val="left"/>
      <w:pPr>
        <w:ind w:left="1800" w:hanging="1800"/>
      </w:pPr>
      <w:rPr>
        <w:rFonts w:eastAsiaTheme="minorEastAsia" w:hint="default"/>
        <w:color w:val="auto"/>
      </w:rPr>
    </w:lvl>
    <w:lvl w:ilvl="8">
      <w:start w:val="1"/>
      <w:numFmt w:val="decimal"/>
      <w:lvlText w:val="%1.%2.%3.%4.%5.%6.%7.%8.%9."/>
      <w:lvlJc w:val="left"/>
      <w:pPr>
        <w:ind w:left="1800" w:hanging="1800"/>
      </w:pPr>
      <w:rPr>
        <w:rFonts w:eastAsiaTheme="minorEastAsia" w:hint="default"/>
        <w:color w:val="auto"/>
      </w:rPr>
    </w:lvl>
  </w:abstractNum>
  <w:abstractNum w:abstractNumId="20" w15:restartNumberingAfterBreak="0">
    <w:nsid w:val="4D157303"/>
    <w:multiLevelType w:val="multilevel"/>
    <w:tmpl w:val="0AA4B71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4D172BB8"/>
    <w:multiLevelType w:val="multilevel"/>
    <w:tmpl w:val="D44E512C"/>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16D7815"/>
    <w:multiLevelType w:val="hybridMultilevel"/>
    <w:tmpl w:val="73921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E65332"/>
    <w:multiLevelType w:val="hybridMultilevel"/>
    <w:tmpl w:val="C4D0F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7D0D88"/>
    <w:multiLevelType w:val="multilevel"/>
    <w:tmpl w:val="BD668EB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6C135DF"/>
    <w:multiLevelType w:val="multilevel"/>
    <w:tmpl w:val="BC06CCD6"/>
    <w:lvl w:ilvl="0">
      <w:start w:val="1"/>
      <w:numFmt w:val="decimal"/>
      <w:lvlText w:val="%1."/>
      <w:lvlJc w:val="left"/>
      <w:pPr>
        <w:ind w:left="480" w:hanging="480"/>
      </w:pPr>
      <w:rPr>
        <w:rFonts w:ascii="Arial" w:hAnsi="Arial" w:cs="Arial" w:hint="default"/>
        <w:sz w:val="22"/>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68BE05F3"/>
    <w:multiLevelType w:val="multilevel"/>
    <w:tmpl w:val="EDA8EDBA"/>
    <w:lvl w:ilvl="0">
      <w:start w:val="1"/>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25"/>
  </w:num>
  <w:num w:numId="2">
    <w:abstractNumId w:val="12"/>
  </w:num>
  <w:num w:numId="3">
    <w:abstractNumId w:val="5"/>
  </w:num>
  <w:num w:numId="4">
    <w:abstractNumId w:val="7"/>
  </w:num>
  <w:num w:numId="5">
    <w:abstractNumId w:val="1"/>
  </w:num>
  <w:num w:numId="6">
    <w:abstractNumId w:val="6"/>
  </w:num>
  <w:num w:numId="7">
    <w:abstractNumId w:val="3"/>
  </w:num>
  <w:num w:numId="8">
    <w:abstractNumId w:val="10"/>
  </w:num>
  <w:num w:numId="9">
    <w:abstractNumId w:val="11"/>
  </w:num>
  <w:num w:numId="10">
    <w:abstractNumId w:val="9"/>
  </w:num>
  <w:num w:numId="11">
    <w:abstractNumId w:val="4"/>
  </w:num>
  <w:num w:numId="12">
    <w:abstractNumId w:val="16"/>
  </w:num>
  <w:num w:numId="13">
    <w:abstractNumId w:val="23"/>
  </w:num>
  <w:num w:numId="14">
    <w:abstractNumId w:val="13"/>
  </w:num>
  <w:num w:numId="15">
    <w:abstractNumId w:val="22"/>
  </w:num>
  <w:num w:numId="16">
    <w:abstractNumId w:val="24"/>
  </w:num>
  <w:num w:numId="17">
    <w:abstractNumId w:val="18"/>
  </w:num>
  <w:num w:numId="18">
    <w:abstractNumId w:val="15"/>
  </w:num>
  <w:num w:numId="19">
    <w:abstractNumId w:val="20"/>
  </w:num>
  <w:num w:numId="20">
    <w:abstractNumId w:val="14"/>
  </w:num>
  <w:num w:numId="21">
    <w:abstractNumId w:val="26"/>
  </w:num>
  <w:num w:numId="22">
    <w:abstractNumId w:val="21"/>
  </w:num>
  <w:num w:numId="23">
    <w:abstractNumId w:val="19"/>
  </w:num>
  <w:num w:numId="24">
    <w:abstractNumId w:val="0"/>
  </w:num>
  <w:num w:numId="25">
    <w:abstractNumId w:val="8"/>
  </w:num>
  <w:num w:numId="26">
    <w:abstractNumId w:val="2"/>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DF2"/>
    <w:rsid w:val="00083200"/>
    <w:rsid w:val="00092705"/>
    <w:rsid w:val="000C1BDA"/>
    <w:rsid w:val="000C4438"/>
    <w:rsid w:val="000C6F57"/>
    <w:rsid w:val="000E0008"/>
    <w:rsid w:val="00122A2B"/>
    <w:rsid w:val="0015307D"/>
    <w:rsid w:val="001A3265"/>
    <w:rsid w:val="001F4F20"/>
    <w:rsid w:val="002926F7"/>
    <w:rsid w:val="002944BA"/>
    <w:rsid w:val="002A2FBB"/>
    <w:rsid w:val="002B2DEC"/>
    <w:rsid w:val="002B7E51"/>
    <w:rsid w:val="002C2A8C"/>
    <w:rsid w:val="002E2657"/>
    <w:rsid w:val="002E3A63"/>
    <w:rsid w:val="002F0FD7"/>
    <w:rsid w:val="00310B9E"/>
    <w:rsid w:val="003433A2"/>
    <w:rsid w:val="00355703"/>
    <w:rsid w:val="003633D9"/>
    <w:rsid w:val="003A0895"/>
    <w:rsid w:val="003A68FF"/>
    <w:rsid w:val="003C3426"/>
    <w:rsid w:val="003E0A81"/>
    <w:rsid w:val="003F734F"/>
    <w:rsid w:val="00425DF3"/>
    <w:rsid w:val="0044408F"/>
    <w:rsid w:val="00452A30"/>
    <w:rsid w:val="004A0D02"/>
    <w:rsid w:val="004A5DF2"/>
    <w:rsid w:val="004B0666"/>
    <w:rsid w:val="004D4D15"/>
    <w:rsid w:val="004F1625"/>
    <w:rsid w:val="004F3411"/>
    <w:rsid w:val="004F3753"/>
    <w:rsid w:val="00502D37"/>
    <w:rsid w:val="0050669A"/>
    <w:rsid w:val="00506BC1"/>
    <w:rsid w:val="0052307D"/>
    <w:rsid w:val="005469C0"/>
    <w:rsid w:val="005567D8"/>
    <w:rsid w:val="005571DB"/>
    <w:rsid w:val="00571EA3"/>
    <w:rsid w:val="005E59C7"/>
    <w:rsid w:val="005F7FB6"/>
    <w:rsid w:val="00631694"/>
    <w:rsid w:val="006405BD"/>
    <w:rsid w:val="00651DF0"/>
    <w:rsid w:val="006651F2"/>
    <w:rsid w:val="00674968"/>
    <w:rsid w:val="00674C4F"/>
    <w:rsid w:val="006753D4"/>
    <w:rsid w:val="006812CC"/>
    <w:rsid w:val="00686518"/>
    <w:rsid w:val="00697CB2"/>
    <w:rsid w:val="006B6881"/>
    <w:rsid w:val="006C32A0"/>
    <w:rsid w:val="006C55B8"/>
    <w:rsid w:val="006F5502"/>
    <w:rsid w:val="00700502"/>
    <w:rsid w:val="00744178"/>
    <w:rsid w:val="0076257B"/>
    <w:rsid w:val="0079796E"/>
    <w:rsid w:val="007A3009"/>
    <w:rsid w:val="007D5587"/>
    <w:rsid w:val="007D67F8"/>
    <w:rsid w:val="007F22C6"/>
    <w:rsid w:val="008219AE"/>
    <w:rsid w:val="008246E3"/>
    <w:rsid w:val="00837B35"/>
    <w:rsid w:val="00857653"/>
    <w:rsid w:val="0086450F"/>
    <w:rsid w:val="00895412"/>
    <w:rsid w:val="00895824"/>
    <w:rsid w:val="008A051F"/>
    <w:rsid w:val="008A6DC3"/>
    <w:rsid w:val="008B7D24"/>
    <w:rsid w:val="008C753B"/>
    <w:rsid w:val="008E673A"/>
    <w:rsid w:val="009043A1"/>
    <w:rsid w:val="00945C7C"/>
    <w:rsid w:val="0095173D"/>
    <w:rsid w:val="00954300"/>
    <w:rsid w:val="0097443F"/>
    <w:rsid w:val="009B2394"/>
    <w:rsid w:val="009C0FB9"/>
    <w:rsid w:val="00A059BB"/>
    <w:rsid w:val="00A22BA6"/>
    <w:rsid w:val="00A26032"/>
    <w:rsid w:val="00A32EC1"/>
    <w:rsid w:val="00A350E4"/>
    <w:rsid w:val="00A369B1"/>
    <w:rsid w:val="00A37308"/>
    <w:rsid w:val="00A6780B"/>
    <w:rsid w:val="00A75417"/>
    <w:rsid w:val="00A93994"/>
    <w:rsid w:val="00AD3AA4"/>
    <w:rsid w:val="00B0296E"/>
    <w:rsid w:val="00B15180"/>
    <w:rsid w:val="00B24403"/>
    <w:rsid w:val="00B278D9"/>
    <w:rsid w:val="00B33C59"/>
    <w:rsid w:val="00B76DCA"/>
    <w:rsid w:val="00BE5288"/>
    <w:rsid w:val="00C3780A"/>
    <w:rsid w:val="00CA4C3A"/>
    <w:rsid w:val="00CA6CD4"/>
    <w:rsid w:val="00CB2698"/>
    <w:rsid w:val="00CB3F65"/>
    <w:rsid w:val="00CB7D81"/>
    <w:rsid w:val="00D04059"/>
    <w:rsid w:val="00D05054"/>
    <w:rsid w:val="00D33E0B"/>
    <w:rsid w:val="00D71846"/>
    <w:rsid w:val="00D74654"/>
    <w:rsid w:val="00DE622D"/>
    <w:rsid w:val="00DE6435"/>
    <w:rsid w:val="00DF482A"/>
    <w:rsid w:val="00E23559"/>
    <w:rsid w:val="00E324A8"/>
    <w:rsid w:val="00E40C56"/>
    <w:rsid w:val="00E43906"/>
    <w:rsid w:val="00F10C91"/>
    <w:rsid w:val="00F20FBC"/>
    <w:rsid w:val="00F41148"/>
    <w:rsid w:val="00F84D81"/>
    <w:rsid w:val="00FA1B86"/>
    <w:rsid w:val="00FC078A"/>
    <w:rsid w:val="00FD2000"/>
    <w:rsid w:val="00FD2A20"/>
    <w:rsid w:val="00FE0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D3391A"/>
  <w15:chartTrackingRefBased/>
  <w15:docId w15:val="{109DD5D8-F873-441D-B59C-1EAEDDBF9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A5DF2"/>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2944BA"/>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A5DF2"/>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F0FD7"/>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A5DF2"/>
    <w:rPr>
      <w:rFonts w:asciiTheme="majorHAnsi" w:eastAsiaTheme="majorEastAsia" w:hAnsiTheme="majorHAnsi" w:cstheme="majorBidi"/>
      <w:color w:val="2E74B5" w:themeColor="accent1" w:themeShade="BF"/>
      <w:sz w:val="26"/>
      <w:szCs w:val="26"/>
      <w:lang w:eastAsia="en-GB"/>
    </w:rPr>
  </w:style>
  <w:style w:type="paragraph" w:styleId="Header">
    <w:name w:val="header"/>
    <w:basedOn w:val="Normal"/>
    <w:link w:val="HeaderChar"/>
    <w:uiPriority w:val="99"/>
    <w:unhideWhenUsed/>
    <w:rsid w:val="004A5DF2"/>
    <w:pPr>
      <w:tabs>
        <w:tab w:val="center" w:pos="4513"/>
        <w:tab w:val="right" w:pos="9026"/>
      </w:tabs>
    </w:pPr>
  </w:style>
  <w:style w:type="character" w:customStyle="1" w:styleId="HeaderChar">
    <w:name w:val="Header Char"/>
    <w:basedOn w:val="DefaultParagraphFont"/>
    <w:link w:val="Header"/>
    <w:uiPriority w:val="99"/>
    <w:rsid w:val="004A5DF2"/>
    <w:rPr>
      <w:rFonts w:eastAsiaTheme="minorEastAsia"/>
      <w:lang w:eastAsia="en-GB"/>
    </w:rPr>
  </w:style>
  <w:style w:type="paragraph" w:styleId="Footer">
    <w:name w:val="footer"/>
    <w:basedOn w:val="Normal"/>
    <w:link w:val="FooterChar"/>
    <w:uiPriority w:val="99"/>
    <w:unhideWhenUsed/>
    <w:rsid w:val="004A5DF2"/>
    <w:pPr>
      <w:tabs>
        <w:tab w:val="center" w:pos="4513"/>
        <w:tab w:val="right" w:pos="9026"/>
      </w:tabs>
    </w:pPr>
  </w:style>
  <w:style w:type="character" w:customStyle="1" w:styleId="FooterChar">
    <w:name w:val="Footer Char"/>
    <w:basedOn w:val="DefaultParagraphFont"/>
    <w:link w:val="Footer"/>
    <w:uiPriority w:val="99"/>
    <w:rsid w:val="004A5DF2"/>
    <w:rPr>
      <w:rFonts w:eastAsiaTheme="minorEastAsia"/>
      <w:lang w:eastAsia="en-GB"/>
    </w:rPr>
  </w:style>
  <w:style w:type="paragraph" w:styleId="Title">
    <w:name w:val="Title"/>
    <w:basedOn w:val="Normal"/>
    <w:next w:val="Normal"/>
    <w:link w:val="TitleChar"/>
    <w:uiPriority w:val="10"/>
    <w:qFormat/>
    <w:rsid w:val="002944B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44BA"/>
    <w:rPr>
      <w:rFonts w:asciiTheme="majorHAnsi" w:eastAsiaTheme="majorEastAsia" w:hAnsiTheme="majorHAnsi" w:cstheme="majorBidi"/>
      <w:spacing w:val="-10"/>
      <w:kern w:val="28"/>
      <w:sz w:val="56"/>
      <w:szCs w:val="56"/>
      <w:lang w:eastAsia="en-GB"/>
    </w:rPr>
  </w:style>
  <w:style w:type="character" w:customStyle="1" w:styleId="Heading1Char">
    <w:name w:val="Heading 1 Char"/>
    <w:basedOn w:val="DefaultParagraphFont"/>
    <w:link w:val="Heading1"/>
    <w:uiPriority w:val="9"/>
    <w:rsid w:val="002944BA"/>
    <w:rPr>
      <w:rFonts w:asciiTheme="majorHAnsi" w:eastAsiaTheme="majorEastAsia" w:hAnsiTheme="majorHAnsi" w:cstheme="majorBidi"/>
      <w:color w:val="2E74B5" w:themeColor="accent1" w:themeShade="BF"/>
      <w:sz w:val="32"/>
      <w:szCs w:val="32"/>
      <w:lang w:eastAsia="en-GB"/>
    </w:rPr>
  </w:style>
  <w:style w:type="paragraph" w:styleId="ListParagraph">
    <w:name w:val="List Paragraph"/>
    <w:basedOn w:val="Normal"/>
    <w:uiPriority w:val="34"/>
    <w:qFormat/>
    <w:rsid w:val="002944BA"/>
    <w:pPr>
      <w:ind w:left="720"/>
      <w:contextualSpacing/>
    </w:pPr>
  </w:style>
  <w:style w:type="table" w:styleId="TableGrid">
    <w:name w:val="Table Grid"/>
    <w:basedOn w:val="TableNormal"/>
    <w:uiPriority w:val="39"/>
    <w:rsid w:val="00E439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F0FD7"/>
    <w:rPr>
      <w:rFonts w:asciiTheme="majorHAnsi" w:eastAsiaTheme="majorEastAsia" w:hAnsiTheme="majorHAnsi" w:cstheme="majorBidi"/>
      <w:color w:val="1F4D78" w:themeColor="accent1" w:themeShade="7F"/>
      <w:sz w:val="24"/>
      <w:szCs w:val="24"/>
      <w:lang w:eastAsia="en-GB"/>
    </w:rPr>
  </w:style>
  <w:style w:type="paragraph" w:styleId="NormalWeb">
    <w:name w:val="Normal (Web)"/>
    <w:basedOn w:val="Normal"/>
    <w:uiPriority w:val="99"/>
    <w:unhideWhenUsed/>
    <w:rsid w:val="00FE0785"/>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FE0785"/>
    <w:rPr>
      <w:b/>
      <w:bCs/>
    </w:rPr>
  </w:style>
  <w:style w:type="paragraph" w:customStyle="1" w:styleId="paragraph">
    <w:name w:val="paragraph"/>
    <w:basedOn w:val="Normal"/>
    <w:rsid w:val="00FD2000"/>
    <w:pPr>
      <w:spacing w:before="100" w:beforeAutospacing="1" w:after="100" w:afterAutospacing="1"/>
    </w:pPr>
    <w:rPr>
      <w:rFonts w:ascii="Times New Roman" w:eastAsia="Times New Roman" w:hAnsi="Times New Roman" w:cs="Times New Roman"/>
      <w:sz w:val="24"/>
      <w:szCs w:val="24"/>
    </w:rPr>
  </w:style>
  <w:style w:type="character" w:customStyle="1" w:styleId="normaltextrun">
    <w:name w:val="normaltextrun"/>
    <w:basedOn w:val="DefaultParagraphFont"/>
    <w:rsid w:val="00FD2000"/>
  </w:style>
  <w:style w:type="character" w:customStyle="1" w:styleId="eop">
    <w:name w:val="eop"/>
    <w:basedOn w:val="DefaultParagraphFont"/>
    <w:rsid w:val="00FD2000"/>
  </w:style>
  <w:style w:type="character" w:customStyle="1" w:styleId="spellingerror">
    <w:name w:val="spellingerror"/>
    <w:basedOn w:val="DefaultParagraphFont"/>
    <w:rsid w:val="00FD2000"/>
  </w:style>
  <w:style w:type="paragraph" w:styleId="Bibliography">
    <w:name w:val="Bibliography"/>
    <w:basedOn w:val="Normal"/>
    <w:next w:val="Normal"/>
    <w:uiPriority w:val="37"/>
    <w:unhideWhenUsed/>
    <w:rsid w:val="008C753B"/>
  </w:style>
  <w:style w:type="character" w:styleId="Hyperlink">
    <w:name w:val="Hyperlink"/>
    <w:basedOn w:val="DefaultParagraphFont"/>
    <w:uiPriority w:val="99"/>
    <w:unhideWhenUsed/>
    <w:rsid w:val="00BE528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64236">
      <w:bodyDiv w:val="1"/>
      <w:marLeft w:val="0"/>
      <w:marRight w:val="0"/>
      <w:marTop w:val="0"/>
      <w:marBottom w:val="0"/>
      <w:divBdr>
        <w:top w:val="none" w:sz="0" w:space="0" w:color="auto"/>
        <w:left w:val="none" w:sz="0" w:space="0" w:color="auto"/>
        <w:bottom w:val="none" w:sz="0" w:space="0" w:color="auto"/>
        <w:right w:val="none" w:sz="0" w:space="0" w:color="auto"/>
      </w:divBdr>
    </w:div>
    <w:div w:id="7028426">
      <w:bodyDiv w:val="1"/>
      <w:marLeft w:val="0"/>
      <w:marRight w:val="0"/>
      <w:marTop w:val="0"/>
      <w:marBottom w:val="0"/>
      <w:divBdr>
        <w:top w:val="none" w:sz="0" w:space="0" w:color="auto"/>
        <w:left w:val="none" w:sz="0" w:space="0" w:color="auto"/>
        <w:bottom w:val="none" w:sz="0" w:space="0" w:color="auto"/>
        <w:right w:val="none" w:sz="0" w:space="0" w:color="auto"/>
      </w:divBdr>
    </w:div>
    <w:div w:id="87048780">
      <w:bodyDiv w:val="1"/>
      <w:marLeft w:val="0"/>
      <w:marRight w:val="0"/>
      <w:marTop w:val="0"/>
      <w:marBottom w:val="0"/>
      <w:divBdr>
        <w:top w:val="none" w:sz="0" w:space="0" w:color="auto"/>
        <w:left w:val="none" w:sz="0" w:space="0" w:color="auto"/>
        <w:bottom w:val="none" w:sz="0" w:space="0" w:color="auto"/>
        <w:right w:val="none" w:sz="0" w:space="0" w:color="auto"/>
      </w:divBdr>
    </w:div>
    <w:div w:id="157884972">
      <w:bodyDiv w:val="1"/>
      <w:marLeft w:val="0"/>
      <w:marRight w:val="0"/>
      <w:marTop w:val="0"/>
      <w:marBottom w:val="0"/>
      <w:divBdr>
        <w:top w:val="none" w:sz="0" w:space="0" w:color="auto"/>
        <w:left w:val="none" w:sz="0" w:space="0" w:color="auto"/>
        <w:bottom w:val="none" w:sz="0" w:space="0" w:color="auto"/>
        <w:right w:val="none" w:sz="0" w:space="0" w:color="auto"/>
      </w:divBdr>
    </w:div>
    <w:div w:id="189145486">
      <w:bodyDiv w:val="1"/>
      <w:marLeft w:val="0"/>
      <w:marRight w:val="0"/>
      <w:marTop w:val="0"/>
      <w:marBottom w:val="0"/>
      <w:divBdr>
        <w:top w:val="none" w:sz="0" w:space="0" w:color="auto"/>
        <w:left w:val="none" w:sz="0" w:space="0" w:color="auto"/>
        <w:bottom w:val="none" w:sz="0" w:space="0" w:color="auto"/>
        <w:right w:val="none" w:sz="0" w:space="0" w:color="auto"/>
      </w:divBdr>
    </w:div>
    <w:div w:id="199977769">
      <w:bodyDiv w:val="1"/>
      <w:marLeft w:val="0"/>
      <w:marRight w:val="0"/>
      <w:marTop w:val="0"/>
      <w:marBottom w:val="0"/>
      <w:divBdr>
        <w:top w:val="none" w:sz="0" w:space="0" w:color="auto"/>
        <w:left w:val="none" w:sz="0" w:space="0" w:color="auto"/>
        <w:bottom w:val="none" w:sz="0" w:space="0" w:color="auto"/>
        <w:right w:val="none" w:sz="0" w:space="0" w:color="auto"/>
      </w:divBdr>
    </w:div>
    <w:div w:id="203062182">
      <w:bodyDiv w:val="1"/>
      <w:marLeft w:val="0"/>
      <w:marRight w:val="0"/>
      <w:marTop w:val="0"/>
      <w:marBottom w:val="0"/>
      <w:divBdr>
        <w:top w:val="none" w:sz="0" w:space="0" w:color="auto"/>
        <w:left w:val="none" w:sz="0" w:space="0" w:color="auto"/>
        <w:bottom w:val="none" w:sz="0" w:space="0" w:color="auto"/>
        <w:right w:val="none" w:sz="0" w:space="0" w:color="auto"/>
      </w:divBdr>
    </w:div>
    <w:div w:id="212039615">
      <w:bodyDiv w:val="1"/>
      <w:marLeft w:val="0"/>
      <w:marRight w:val="0"/>
      <w:marTop w:val="0"/>
      <w:marBottom w:val="0"/>
      <w:divBdr>
        <w:top w:val="none" w:sz="0" w:space="0" w:color="auto"/>
        <w:left w:val="none" w:sz="0" w:space="0" w:color="auto"/>
        <w:bottom w:val="none" w:sz="0" w:space="0" w:color="auto"/>
        <w:right w:val="none" w:sz="0" w:space="0" w:color="auto"/>
      </w:divBdr>
    </w:div>
    <w:div w:id="217011821">
      <w:bodyDiv w:val="1"/>
      <w:marLeft w:val="0"/>
      <w:marRight w:val="0"/>
      <w:marTop w:val="0"/>
      <w:marBottom w:val="0"/>
      <w:divBdr>
        <w:top w:val="none" w:sz="0" w:space="0" w:color="auto"/>
        <w:left w:val="none" w:sz="0" w:space="0" w:color="auto"/>
        <w:bottom w:val="none" w:sz="0" w:space="0" w:color="auto"/>
        <w:right w:val="none" w:sz="0" w:space="0" w:color="auto"/>
      </w:divBdr>
    </w:div>
    <w:div w:id="270867644">
      <w:bodyDiv w:val="1"/>
      <w:marLeft w:val="0"/>
      <w:marRight w:val="0"/>
      <w:marTop w:val="0"/>
      <w:marBottom w:val="0"/>
      <w:divBdr>
        <w:top w:val="none" w:sz="0" w:space="0" w:color="auto"/>
        <w:left w:val="none" w:sz="0" w:space="0" w:color="auto"/>
        <w:bottom w:val="none" w:sz="0" w:space="0" w:color="auto"/>
        <w:right w:val="none" w:sz="0" w:space="0" w:color="auto"/>
      </w:divBdr>
    </w:div>
    <w:div w:id="323512546">
      <w:bodyDiv w:val="1"/>
      <w:marLeft w:val="0"/>
      <w:marRight w:val="0"/>
      <w:marTop w:val="0"/>
      <w:marBottom w:val="0"/>
      <w:divBdr>
        <w:top w:val="none" w:sz="0" w:space="0" w:color="auto"/>
        <w:left w:val="none" w:sz="0" w:space="0" w:color="auto"/>
        <w:bottom w:val="none" w:sz="0" w:space="0" w:color="auto"/>
        <w:right w:val="none" w:sz="0" w:space="0" w:color="auto"/>
      </w:divBdr>
    </w:div>
    <w:div w:id="324087952">
      <w:bodyDiv w:val="1"/>
      <w:marLeft w:val="0"/>
      <w:marRight w:val="0"/>
      <w:marTop w:val="0"/>
      <w:marBottom w:val="0"/>
      <w:divBdr>
        <w:top w:val="none" w:sz="0" w:space="0" w:color="auto"/>
        <w:left w:val="none" w:sz="0" w:space="0" w:color="auto"/>
        <w:bottom w:val="none" w:sz="0" w:space="0" w:color="auto"/>
        <w:right w:val="none" w:sz="0" w:space="0" w:color="auto"/>
      </w:divBdr>
    </w:div>
    <w:div w:id="352924832">
      <w:bodyDiv w:val="1"/>
      <w:marLeft w:val="0"/>
      <w:marRight w:val="0"/>
      <w:marTop w:val="0"/>
      <w:marBottom w:val="0"/>
      <w:divBdr>
        <w:top w:val="none" w:sz="0" w:space="0" w:color="auto"/>
        <w:left w:val="none" w:sz="0" w:space="0" w:color="auto"/>
        <w:bottom w:val="none" w:sz="0" w:space="0" w:color="auto"/>
        <w:right w:val="none" w:sz="0" w:space="0" w:color="auto"/>
      </w:divBdr>
    </w:div>
    <w:div w:id="411584233">
      <w:bodyDiv w:val="1"/>
      <w:marLeft w:val="0"/>
      <w:marRight w:val="0"/>
      <w:marTop w:val="0"/>
      <w:marBottom w:val="0"/>
      <w:divBdr>
        <w:top w:val="none" w:sz="0" w:space="0" w:color="auto"/>
        <w:left w:val="none" w:sz="0" w:space="0" w:color="auto"/>
        <w:bottom w:val="none" w:sz="0" w:space="0" w:color="auto"/>
        <w:right w:val="none" w:sz="0" w:space="0" w:color="auto"/>
      </w:divBdr>
    </w:div>
    <w:div w:id="487789105">
      <w:bodyDiv w:val="1"/>
      <w:marLeft w:val="0"/>
      <w:marRight w:val="0"/>
      <w:marTop w:val="0"/>
      <w:marBottom w:val="0"/>
      <w:divBdr>
        <w:top w:val="none" w:sz="0" w:space="0" w:color="auto"/>
        <w:left w:val="none" w:sz="0" w:space="0" w:color="auto"/>
        <w:bottom w:val="none" w:sz="0" w:space="0" w:color="auto"/>
        <w:right w:val="none" w:sz="0" w:space="0" w:color="auto"/>
      </w:divBdr>
    </w:div>
    <w:div w:id="533276210">
      <w:bodyDiv w:val="1"/>
      <w:marLeft w:val="0"/>
      <w:marRight w:val="0"/>
      <w:marTop w:val="0"/>
      <w:marBottom w:val="0"/>
      <w:divBdr>
        <w:top w:val="none" w:sz="0" w:space="0" w:color="auto"/>
        <w:left w:val="none" w:sz="0" w:space="0" w:color="auto"/>
        <w:bottom w:val="none" w:sz="0" w:space="0" w:color="auto"/>
        <w:right w:val="none" w:sz="0" w:space="0" w:color="auto"/>
      </w:divBdr>
    </w:div>
    <w:div w:id="613482547">
      <w:bodyDiv w:val="1"/>
      <w:marLeft w:val="0"/>
      <w:marRight w:val="0"/>
      <w:marTop w:val="0"/>
      <w:marBottom w:val="0"/>
      <w:divBdr>
        <w:top w:val="none" w:sz="0" w:space="0" w:color="auto"/>
        <w:left w:val="none" w:sz="0" w:space="0" w:color="auto"/>
        <w:bottom w:val="none" w:sz="0" w:space="0" w:color="auto"/>
        <w:right w:val="none" w:sz="0" w:space="0" w:color="auto"/>
      </w:divBdr>
    </w:div>
    <w:div w:id="630480165">
      <w:bodyDiv w:val="1"/>
      <w:marLeft w:val="0"/>
      <w:marRight w:val="0"/>
      <w:marTop w:val="0"/>
      <w:marBottom w:val="0"/>
      <w:divBdr>
        <w:top w:val="none" w:sz="0" w:space="0" w:color="auto"/>
        <w:left w:val="none" w:sz="0" w:space="0" w:color="auto"/>
        <w:bottom w:val="none" w:sz="0" w:space="0" w:color="auto"/>
        <w:right w:val="none" w:sz="0" w:space="0" w:color="auto"/>
      </w:divBdr>
    </w:div>
    <w:div w:id="653992642">
      <w:bodyDiv w:val="1"/>
      <w:marLeft w:val="0"/>
      <w:marRight w:val="0"/>
      <w:marTop w:val="0"/>
      <w:marBottom w:val="0"/>
      <w:divBdr>
        <w:top w:val="none" w:sz="0" w:space="0" w:color="auto"/>
        <w:left w:val="none" w:sz="0" w:space="0" w:color="auto"/>
        <w:bottom w:val="none" w:sz="0" w:space="0" w:color="auto"/>
        <w:right w:val="none" w:sz="0" w:space="0" w:color="auto"/>
      </w:divBdr>
    </w:div>
    <w:div w:id="693845284">
      <w:bodyDiv w:val="1"/>
      <w:marLeft w:val="0"/>
      <w:marRight w:val="0"/>
      <w:marTop w:val="0"/>
      <w:marBottom w:val="0"/>
      <w:divBdr>
        <w:top w:val="none" w:sz="0" w:space="0" w:color="auto"/>
        <w:left w:val="none" w:sz="0" w:space="0" w:color="auto"/>
        <w:bottom w:val="none" w:sz="0" w:space="0" w:color="auto"/>
        <w:right w:val="none" w:sz="0" w:space="0" w:color="auto"/>
      </w:divBdr>
    </w:div>
    <w:div w:id="694162847">
      <w:bodyDiv w:val="1"/>
      <w:marLeft w:val="0"/>
      <w:marRight w:val="0"/>
      <w:marTop w:val="0"/>
      <w:marBottom w:val="0"/>
      <w:divBdr>
        <w:top w:val="none" w:sz="0" w:space="0" w:color="auto"/>
        <w:left w:val="none" w:sz="0" w:space="0" w:color="auto"/>
        <w:bottom w:val="none" w:sz="0" w:space="0" w:color="auto"/>
        <w:right w:val="none" w:sz="0" w:space="0" w:color="auto"/>
      </w:divBdr>
    </w:div>
    <w:div w:id="734476242">
      <w:bodyDiv w:val="1"/>
      <w:marLeft w:val="0"/>
      <w:marRight w:val="0"/>
      <w:marTop w:val="0"/>
      <w:marBottom w:val="0"/>
      <w:divBdr>
        <w:top w:val="none" w:sz="0" w:space="0" w:color="auto"/>
        <w:left w:val="none" w:sz="0" w:space="0" w:color="auto"/>
        <w:bottom w:val="none" w:sz="0" w:space="0" w:color="auto"/>
        <w:right w:val="none" w:sz="0" w:space="0" w:color="auto"/>
      </w:divBdr>
    </w:div>
    <w:div w:id="759521357">
      <w:bodyDiv w:val="1"/>
      <w:marLeft w:val="0"/>
      <w:marRight w:val="0"/>
      <w:marTop w:val="0"/>
      <w:marBottom w:val="0"/>
      <w:divBdr>
        <w:top w:val="none" w:sz="0" w:space="0" w:color="auto"/>
        <w:left w:val="none" w:sz="0" w:space="0" w:color="auto"/>
        <w:bottom w:val="none" w:sz="0" w:space="0" w:color="auto"/>
        <w:right w:val="none" w:sz="0" w:space="0" w:color="auto"/>
      </w:divBdr>
    </w:div>
    <w:div w:id="789782291">
      <w:bodyDiv w:val="1"/>
      <w:marLeft w:val="0"/>
      <w:marRight w:val="0"/>
      <w:marTop w:val="0"/>
      <w:marBottom w:val="0"/>
      <w:divBdr>
        <w:top w:val="none" w:sz="0" w:space="0" w:color="auto"/>
        <w:left w:val="none" w:sz="0" w:space="0" w:color="auto"/>
        <w:bottom w:val="none" w:sz="0" w:space="0" w:color="auto"/>
        <w:right w:val="none" w:sz="0" w:space="0" w:color="auto"/>
      </w:divBdr>
    </w:div>
    <w:div w:id="961421741">
      <w:bodyDiv w:val="1"/>
      <w:marLeft w:val="0"/>
      <w:marRight w:val="0"/>
      <w:marTop w:val="0"/>
      <w:marBottom w:val="0"/>
      <w:divBdr>
        <w:top w:val="none" w:sz="0" w:space="0" w:color="auto"/>
        <w:left w:val="none" w:sz="0" w:space="0" w:color="auto"/>
        <w:bottom w:val="none" w:sz="0" w:space="0" w:color="auto"/>
        <w:right w:val="none" w:sz="0" w:space="0" w:color="auto"/>
      </w:divBdr>
    </w:div>
    <w:div w:id="1037776555">
      <w:bodyDiv w:val="1"/>
      <w:marLeft w:val="0"/>
      <w:marRight w:val="0"/>
      <w:marTop w:val="0"/>
      <w:marBottom w:val="0"/>
      <w:divBdr>
        <w:top w:val="none" w:sz="0" w:space="0" w:color="auto"/>
        <w:left w:val="none" w:sz="0" w:space="0" w:color="auto"/>
        <w:bottom w:val="none" w:sz="0" w:space="0" w:color="auto"/>
        <w:right w:val="none" w:sz="0" w:space="0" w:color="auto"/>
      </w:divBdr>
    </w:div>
    <w:div w:id="1104229245">
      <w:bodyDiv w:val="1"/>
      <w:marLeft w:val="0"/>
      <w:marRight w:val="0"/>
      <w:marTop w:val="0"/>
      <w:marBottom w:val="0"/>
      <w:divBdr>
        <w:top w:val="none" w:sz="0" w:space="0" w:color="auto"/>
        <w:left w:val="none" w:sz="0" w:space="0" w:color="auto"/>
        <w:bottom w:val="none" w:sz="0" w:space="0" w:color="auto"/>
        <w:right w:val="none" w:sz="0" w:space="0" w:color="auto"/>
      </w:divBdr>
    </w:div>
    <w:div w:id="1144783475">
      <w:bodyDiv w:val="1"/>
      <w:marLeft w:val="0"/>
      <w:marRight w:val="0"/>
      <w:marTop w:val="0"/>
      <w:marBottom w:val="0"/>
      <w:divBdr>
        <w:top w:val="none" w:sz="0" w:space="0" w:color="auto"/>
        <w:left w:val="none" w:sz="0" w:space="0" w:color="auto"/>
        <w:bottom w:val="none" w:sz="0" w:space="0" w:color="auto"/>
        <w:right w:val="none" w:sz="0" w:space="0" w:color="auto"/>
      </w:divBdr>
    </w:div>
    <w:div w:id="1161387811">
      <w:bodyDiv w:val="1"/>
      <w:marLeft w:val="0"/>
      <w:marRight w:val="0"/>
      <w:marTop w:val="0"/>
      <w:marBottom w:val="0"/>
      <w:divBdr>
        <w:top w:val="none" w:sz="0" w:space="0" w:color="auto"/>
        <w:left w:val="none" w:sz="0" w:space="0" w:color="auto"/>
        <w:bottom w:val="none" w:sz="0" w:space="0" w:color="auto"/>
        <w:right w:val="none" w:sz="0" w:space="0" w:color="auto"/>
      </w:divBdr>
    </w:div>
    <w:div w:id="1164588786">
      <w:bodyDiv w:val="1"/>
      <w:marLeft w:val="0"/>
      <w:marRight w:val="0"/>
      <w:marTop w:val="0"/>
      <w:marBottom w:val="0"/>
      <w:divBdr>
        <w:top w:val="none" w:sz="0" w:space="0" w:color="auto"/>
        <w:left w:val="none" w:sz="0" w:space="0" w:color="auto"/>
        <w:bottom w:val="none" w:sz="0" w:space="0" w:color="auto"/>
        <w:right w:val="none" w:sz="0" w:space="0" w:color="auto"/>
      </w:divBdr>
    </w:div>
    <w:div w:id="1295940124">
      <w:bodyDiv w:val="1"/>
      <w:marLeft w:val="0"/>
      <w:marRight w:val="0"/>
      <w:marTop w:val="0"/>
      <w:marBottom w:val="0"/>
      <w:divBdr>
        <w:top w:val="none" w:sz="0" w:space="0" w:color="auto"/>
        <w:left w:val="none" w:sz="0" w:space="0" w:color="auto"/>
        <w:bottom w:val="none" w:sz="0" w:space="0" w:color="auto"/>
        <w:right w:val="none" w:sz="0" w:space="0" w:color="auto"/>
      </w:divBdr>
    </w:div>
    <w:div w:id="1397968029">
      <w:bodyDiv w:val="1"/>
      <w:marLeft w:val="0"/>
      <w:marRight w:val="0"/>
      <w:marTop w:val="0"/>
      <w:marBottom w:val="0"/>
      <w:divBdr>
        <w:top w:val="none" w:sz="0" w:space="0" w:color="auto"/>
        <w:left w:val="none" w:sz="0" w:space="0" w:color="auto"/>
        <w:bottom w:val="none" w:sz="0" w:space="0" w:color="auto"/>
        <w:right w:val="none" w:sz="0" w:space="0" w:color="auto"/>
      </w:divBdr>
    </w:div>
    <w:div w:id="1464075776">
      <w:bodyDiv w:val="1"/>
      <w:marLeft w:val="0"/>
      <w:marRight w:val="0"/>
      <w:marTop w:val="0"/>
      <w:marBottom w:val="0"/>
      <w:divBdr>
        <w:top w:val="none" w:sz="0" w:space="0" w:color="auto"/>
        <w:left w:val="none" w:sz="0" w:space="0" w:color="auto"/>
        <w:bottom w:val="none" w:sz="0" w:space="0" w:color="auto"/>
        <w:right w:val="none" w:sz="0" w:space="0" w:color="auto"/>
      </w:divBdr>
    </w:div>
    <w:div w:id="1516335726">
      <w:bodyDiv w:val="1"/>
      <w:marLeft w:val="0"/>
      <w:marRight w:val="0"/>
      <w:marTop w:val="0"/>
      <w:marBottom w:val="0"/>
      <w:divBdr>
        <w:top w:val="none" w:sz="0" w:space="0" w:color="auto"/>
        <w:left w:val="none" w:sz="0" w:space="0" w:color="auto"/>
        <w:bottom w:val="none" w:sz="0" w:space="0" w:color="auto"/>
        <w:right w:val="none" w:sz="0" w:space="0" w:color="auto"/>
      </w:divBdr>
    </w:div>
    <w:div w:id="1520702041">
      <w:bodyDiv w:val="1"/>
      <w:marLeft w:val="0"/>
      <w:marRight w:val="0"/>
      <w:marTop w:val="0"/>
      <w:marBottom w:val="0"/>
      <w:divBdr>
        <w:top w:val="none" w:sz="0" w:space="0" w:color="auto"/>
        <w:left w:val="none" w:sz="0" w:space="0" w:color="auto"/>
        <w:bottom w:val="none" w:sz="0" w:space="0" w:color="auto"/>
        <w:right w:val="none" w:sz="0" w:space="0" w:color="auto"/>
      </w:divBdr>
    </w:div>
    <w:div w:id="1567833174">
      <w:bodyDiv w:val="1"/>
      <w:marLeft w:val="0"/>
      <w:marRight w:val="0"/>
      <w:marTop w:val="0"/>
      <w:marBottom w:val="0"/>
      <w:divBdr>
        <w:top w:val="none" w:sz="0" w:space="0" w:color="auto"/>
        <w:left w:val="none" w:sz="0" w:space="0" w:color="auto"/>
        <w:bottom w:val="none" w:sz="0" w:space="0" w:color="auto"/>
        <w:right w:val="none" w:sz="0" w:space="0" w:color="auto"/>
      </w:divBdr>
    </w:div>
    <w:div w:id="1610702335">
      <w:bodyDiv w:val="1"/>
      <w:marLeft w:val="0"/>
      <w:marRight w:val="0"/>
      <w:marTop w:val="0"/>
      <w:marBottom w:val="0"/>
      <w:divBdr>
        <w:top w:val="none" w:sz="0" w:space="0" w:color="auto"/>
        <w:left w:val="none" w:sz="0" w:space="0" w:color="auto"/>
        <w:bottom w:val="none" w:sz="0" w:space="0" w:color="auto"/>
        <w:right w:val="none" w:sz="0" w:space="0" w:color="auto"/>
      </w:divBdr>
    </w:div>
    <w:div w:id="1700158740">
      <w:bodyDiv w:val="1"/>
      <w:marLeft w:val="0"/>
      <w:marRight w:val="0"/>
      <w:marTop w:val="0"/>
      <w:marBottom w:val="0"/>
      <w:divBdr>
        <w:top w:val="none" w:sz="0" w:space="0" w:color="auto"/>
        <w:left w:val="none" w:sz="0" w:space="0" w:color="auto"/>
        <w:bottom w:val="none" w:sz="0" w:space="0" w:color="auto"/>
        <w:right w:val="none" w:sz="0" w:space="0" w:color="auto"/>
      </w:divBdr>
    </w:div>
    <w:div w:id="1758018493">
      <w:bodyDiv w:val="1"/>
      <w:marLeft w:val="0"/>
      <w:marRight w:val="0"/>
      <w:marTop w:val="0"/>
      <w:marBottom w:val="0"/>
      <w:divBdr>
        <w:top w:val="none" w:sz="0" w:space="0" w:color="auto"/>
        <w:left w:val="none" w:sz="0" w:space="0" w:color="auto"/>
        <w:bottom w:val="none" w:sz="0" w:space="0" w:color="auto"/>
        <w:right w:val="none" w:sz="0" w:space="0" w:color="auto"/>
      </w:divBdr>
    </w:div>
    <w:div w:id="1898545044">
      <w:bodyDiv w:val="1"/>
      <w:marLeft w:val="0"/>
      <w:marRight w:val="0"/>
      <w:marTop w:val="0"/>
      <w:marBottom w:val="0"/>
      <w:divBdr>
        <w:top w:val="none" w:sz="0" w:space="0" w:color="auto"/>
        <w:left w:val="none" w:sz="0" w:space="0" w:color="auto"/>
        <w:bottom w:val="none" w:sz="0" w:space="0" w:color="auto"/>
        <w:right w:val="none" w:sz="0" w:space="0" w:color="auto"/>
      </w:divBdr>
    </w:div>
    <w:div w:id="1925872930">
      <w:bodyDiv w:val="1"/>
      <w:marLeft w:val="0"/>
      <w:marRight w:val="0"/>
      <w:marTop w:val="0"/>
      <w:marBottom w:val="0"/>
      <w:divBdr>
        <w:top w:val="none" w:sz="0" w:space="0" w:color="auto"/>
        <w:left w:val="none" w:sz="0" w:space="0" w:color="auto"/>
        <w:bottom w:val="none" w:sz="0" w:space="0" w:color="auto"/>
        <w:right w:val="none" w:sz="0" w:space="0" w:color="auto"/>
      </w:divBdr>
    </w:div>
    <w:div w:id="2002737983">
      <w:bodyDiv w:val="1"/>
      <w:marLeft w:val="0"/>
      <w:marRight w:val="0"/>
      <w:marTop w:val="0"/>
      <w:marBottom w:val="0"/>
      <w:divBdr>
        <w:top w:val="none" w:sz="0" w:space="0" w:color="auto"/>
        <w:left w:val="none" w:sz="0" w:space="0" w:color="auto"/>
        <w:bottom w:val="none" w:sz="0" w:space="0" w:color="auto"/>
        <w:right w:val="none" w:sz="0" w:space="0" w:color="auto"/>
      </w:divBdr>
    </w:div>
    <w:div w:id="2011791354">
      <w:bodyDiv w:val="1"/>
      <w:marLeft w:val="0"/>
      <w:marRight w:val="0"/>
      <w:marTop w:val="0"/>
      <w:marBottom w:val="0"/>
      <w:divBdr>
        <w:top w:val="none" w:sz="0" w:space="0" w:color="auto"/>
        <w:left w:val="none" w:sz="0" w:space="0" w:color="auto"/>
        <w:bottom w:val="none" w:sz="0" w:space="0" w:color="auto"/>
        <w:right w:val="none" w:sz="0" w:space="0" w:color="auto"/>
      </w:divBdr>
    </w:div>
    <w:div w:id="2024159512">
      <w:bodyDiv w:val="1"/>
      <w:marLeft w:val="0"/>
      <w:marRight w:val="0"/>
      <w:marTop w:val="0"/>
      <w:marBottom w:val="0"/>
      <w:divBdr>
        <w:top w:val="none" w:sz="0" w:space="0" w:color="auto"/>
        <w:left w:val="none" w:sz="0" w:space="0" w:color="auto"/>
        <w:bottom w:val="none" w:sz="0" w:space="0" w:color="auto"/>
        <w:right w:val="none" w:sz="0" w:space="0" w:color="auto"/>
      </w:divBdr>
    </w:div>
    <w:div w:id="2061588795">
      <w:bodyDiv w:val="1"/>
      <w:marLeft w:val="0"/>
      <w:marRight w:val="0"/>
      <w:marTop w:val="0"/>
      <w:marBottom w:val="0"/>
      <w:divBdr>
        <w:top w:val="none" w:sz="0" w:space="0" w:color="auto"/>
        <w:left w:val="none" w:sz="0" w:space="0" w:color="auto"/>
        <w:bottom w:val="none" w:sz="0" w:space="0" w:color="auto"/>
        <w:right w:val="none" w:sz="0" w:space="0" w:color="auto"/>
      </w:divBdr>
    </w:div>
    <w:div w:id="2097824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Suk21</b:Tag>
    <b:SourceType>InternetSite</b:SourceType>
    <b:Guid>{29490549-9C18-4101-9A71-7A0DD51E16C9}</b:Guid>
    <b:Author>
      <b:Author>
        <b:NameList>
          <b:Person>
            <b:Last>Chamdal</b:Last>
            <b:First>Sukh</b:First>
          </b:Person>
        </b:NameList>
      </b:Author>
    </b:Author>
    <b:Title>Annual Report and Acconuts 2021</b:Title>
    <b:Year>2021</b:Year>
    <b:YearAccessed>2021</b:YearAccessed>
    <b:MonthAccessed>November</b:MonthAccessed>
    <b:DayAccessed>28</b:DayAccessed>
    <b:URL>https://www.fundslibrary.co.uk/FundsLibrary.DataRetrieval/Documents.aspx/?type=sl.ra.full&amp;id=33e71b26-aef4-4e71-b946-c3aeebdab303&amp;user=kgh8kIE82nr9m1sWomIgXubDa5nmfAEZmtyWpgllFo5mniwObQVBB2lPfc5T6jwh&amp;r=1</b:URL>
    <b:RefOrder>10</b:RefOrder>
  </b:Source>
  <b:Source>
    <b:Tag>Suk201</b:Tag>
    <b:SourceType>InternetSite</b:SourceType>
    <b:Guid>{84E8B479-5168-4B4D-A992-18CCCDD74FC9}</b:Guid>
    <b:Author>
      <b:Author>
        <b:NameList>
          <b:Person>
            <b:Last>Chamdal</b:Last>
            <b:First>Sukh</b:First>
          </b:Person>
        </b:NameList>
      </b:Author>
    </b:Author>
    <b:Title>Full Year Results for the twelve months ended 31 March 2020</b:Title>
    <b:Year>2020</b:Year>
    <b:YearAccessed>2021</b:YearAccessed>
    <b:MonthAccessed>November</b:MonthAccessed>
    <b:DayAccessed>28</b:DayAccessed>
    <b:URL>https://investors.eggfreecake.co.uk/wp-content/uploads/2020/06/Cake-Box-Holdings-Plc-RNS-FY-2020-results-FINAL.pdf</b:URL>
    <b:RefOrder>11</b:RefOrder>
  </b:Source>
  <b:Source>
    <b:Tag>WHA22</b:Tag>
    <b:SourceType>InternetSite</b:SourceType>
    <b:Guid>{FFD316C2-326A-4C57-A26A-2E21EC5F651D}</b:Guid>
    <b:Title>WHAT IS A PROJECT? – DEFINITION AND KEY CHARACTERISTICS</b:Title>
    <b:YearAccessed>2022</b:YearAccessed>
    <b:MonthAccessed>January</b:MonthAccessed>
    <b:DayAccessed>10</b:DayAccessed>
    <b:URL>https://mymanagementguide.com/basics/what-is-a-project/</b:URL>
    <b:Author>
      <b:Author>
        <b:Corporate>MyMG</b:Corporate>
      </b:Author>
    </b:Author>
    <b:RefOrder>12</b:RefOrder>
  </b:Source>
  <b:Source>
    <b:Tag>And00</b:Tag>
    <b:SourceType>BookSection</b:SourceType>
    <b:Guid>{D603AA97-D23D-41E1-9688-DC19B90802FF}</b:Guid>
    <b:Year>2000</b:Year>
    <b:Author>
      <b:Author>
        <b:NameList>
          <b:Person>
            <b:Last>Andy Bruce</b:Last>
            <b:First>Ken</b:First>
            <b:Middle>Langdon</b:Middle>
          </b:Person>
        </b:NameList>
      </b:Author>
    </b:Author>
    <b:BookTitle>Project Management</b:BookTitle>
    <b:City>New York</b:City>
    <b:Publisher>Dorling Kingserley</b:Publisher>
    <b:RefOrder>13</b:RefOrder>
  </b:Source>
  <b:Source>
    <b:Tag>PMI22</b:Tag>
    <b:SourceType>InternetSite</b:SourceType>
    <b:Guid>{23677A81-4517-43CE-81B1-BBE9AB443065}</b:Guid>
    <b:Title>What is Project Management?</b:Title>
    <b:Author>
      <b:Author>
        <b:Corporate>PMI</b:Corporate>
      </b:Author>
    </b:Author>
    <b:YearAccessed>2022</b:YearAccessed>
    <b:MonthAccessed>January</b:MonthAccessed>
    <b:DayAccessed>11</b:DayAccessed>
    <b:URL>https://www.pmi.org/about/learn-about-pmi/what-is-project-management</b:URL>
    <b:RefOrder>14</b:RefOrder>
  </b:Source>
  <b:Source>
    <b:Tag>Pro19</b:Tag>
    <b:SourceType>InternetSite</b:SourceType>
    <b:Guid>{96C98773-84D1-4396-AE8A-C11EBE9C8D1F}</b:Guid>
    <b:Title>Project management plan approval</b:Title>
    <b:Year>2019</b:Year>
    <b:YearAccessed>2021</b:YearAccessed>
    <b:MonthAccessed>November</b:MonthAccessed>
    <b:DayAccessed>13</b:DayAccessed>
    <b:URL>https://www.tpsgc-pwgsc.gc.ca/biens-property/sngp-npms/bi-rp/confirm-eng.html</b:URL>
    <b:Author>
      <b:Author>
        <b:Corporate>PSPC</b:Corporate>
      </b:Author>
    </b:Author>
    <b:RefOrder>15</b:RefOrder>
  </b:Source>
  <b:Source>
    <b:Tag>Wor22</b:Tag>
    <b:SourceType>InternetSite</b:SourceType>
    <b:Guid>{E6245448-379A-4F80-8134-1E57BE44DDBC}</b:Guid>
    <b:Author>
      <b:Author>
        <b:Corporate>Work Breakdown Structure</b:Corporate>
      </b:Author>
    </b:Author>
    <b:Title>What is Work Breakdown Structure?</b:Title>
    <b:Year>2022</b:Year>
    <b:YearAccessed>2022</b:YearAccessed>
    <b:MonthAccessed>March</b:MonthAccessed>
    <b:DayAccessed>5</b:DayAccessed>
    <b:URL>https://www.workbreakdownstructure.com/</b:URL>
    <b:RefOrder>2</b:RefOrder>
  </b:Source>
  <b:Source>
    <b:Tag>Ada21</b:Tag>
    <b:SourceType>InternetSite</b:SourceType>
    <b:Guid>{CFC47AFF-BCC5-43F2-8133-ADA2956F4AE2}</b:Guid>
    <b:Author>
      <b:Author>
        <b:NameList>
          <b:Person>
            <b:Last>Hayes</b:Last>
            <b:First>Adam</b:First>
          </b:Person>
        </b:NameList>
      </b:Author>
    </b:Author>
    <b:Title>Ishikawa Diagram</b:Title>
    <b:Year>2021</b:Year>
    <b:YearAccessed>2022</b:YearAccessed>
    <b:MonthAccessed>March</b:MonthAccessed>
    <b:DayAccessed>4</b:DayAccessed>
    <b:URL>https://www.investopedia.com/terms/i/ishikawa-diagram.asp</b:URL>
    <b:RefOrder>3</b:RefOrder>
  </b:Source>
  <b:Source>
    <b:Tag>PCS22</b:Tag>
    <b:SourceType>InternetSite</b:SourceType>
    <b:Guid>{2E9EC400-2A68-402F-B579-81848EF67B35}</b:Guid>
    <b:Author>
      <b:Author>
        <b:Corporate>PCS</b:Corporate>
      </b:Author>
    </b:Author>
    <b:Title>Why Risk Assessments Are Important</b:Title>
    <b:Year>2022</b:Year>
    <b:YearAccessed>2022</b:YearAccessed>
    <b:MonthAccessed>April</b:MonthAccessed>
    <b:DayAccessed>29</b:DayAccessed>
    <b:URL>https://www.pcs.org.uk/news-events/news/why-risk-assessments-are-important</b:URL>
    <b:RefOrder>4</b:RefOrder>
  </b:Source>
  <b:Source>
    <b:Tag>Nat16</b:Tag>
    <b:SourceType>InternetSite</b:SourceType>
    <b:Guid>{20F9BD0C-CB83-45D8-919A-8FF388ECD993}</b:Guid>
    <b:Author>
      <b:Author>
        <b:NameList>
          <b:Person>
            <b:Last>Gilmore</b:Last>
            <b:First>Nathan</b:First>
          </b:Person>
        </b:NameList>
      </b:Author>
    </b:Author>
    <b:Title>The Advantages of Gantt Charts in Project Management</b:Title>
    <b:Year>2016</b:Year>
    <b:YearAccessed>2022</b:YearAccessed>
    <b:MonthAccessed>April</b:MonthAccessed>
    <b:DayAccessed>15</b:DayAccessed>
    <b:URL>https://www.teamgantt.com/blog/10-benefits-of-using-a-gantt-chart-of-your-next-project</b:URL>
    <b:RefOrder>5</b:RefOrder>
  </b:Source>
  <b:Source>
    <b:Tag>tea22</b:Tag>
    <b:SourceType>InternetSite</b:SourceType>
    <b:Guid>{CC11FF6E-404A-4CA7-8876-011AFCFBA504}</b:Guid>
    <b:Author>
      <b:Author>
        <b:Corporate>teamgantt</b:Corporate>
      </b:Author>
    </b:Author>
    <b:Title>Guide to Project Management</b:Title>
    <b:Year>2022</b:Year>
    <b:YearAccessed>2022</b:YearAccessed>
    <b:MonthAccessed>April</b:MonthAccessed>
    <b:DayAccessed>16</b:DayAccessed>
    <b:URL>https://www.teamgantt.com/project-management-guide/what-is-project-management</b:URL>
    <b:RefOrder>1</b:RefOrder>
  </b:Source>
  <b:Source>
    <b:Tag>CDC20</b:Tag>
    <b:SourceType>InternetSite</b:SourceType>
    <b:Guid>{C3BFDE43-1FFF-417A-B3FC-9496503C90FA}</b:Guid>
    <b:Author>
      <b:Author>
        <b:Corporate>CDC</b:Corporate>
      </b:Author>
    </b:Author>
    <b:Title>Guidance for Businesses and Employers Responding to Coronavirus Disease 2019 (COVID-19)</b:Title>
    <b:Year>2020</b:Year>
    <b:YearAccessed>2022</b:YearAccessed>
    <b:MonthAccessed>April</b:MonthAccessed>
    <b:DayAccessed>6</b:DayAccessed>
    <b:URL>https://www.cdc.gov/coronavirus/2019-ncov/community/guidance-business-response.html</b:URL>
    <b:RefOrder>6</b:RefOrder>
  </b:Source>
  <b:Source>
    <b:Tag>SOM21</b:Tag>
    <b:SourceType>InternetSite</b:SourceType>
    <b:Guid>{B8380CAF-F40E-441C-AD64-8E0A8100B2AE}</b:Guid>
    <b:Author>
      <b:Author>
        <b:Corporate>SOM</b:Corporate>
      </b:Author>
    </b:Author>
    <b:Title>Returning to the Workplace after Covid-19 Lockdown</b:Title>
    <b:Year>2021</b:Year>
    <b:YearAccessed>2022</b:YearAccessed>
    <b:MonthAccessed>April</b:MonthAccessed>
    <b:DayAccessed>6</b:DayAccessed>
    <b:URL>https://www.som.org.uk/Returning_to_the_workplace_COVID-19_toolkit_FINAL.pdf</b:URL>
    <b:RefOrder>7</b:RefOrder>
  </b:Source>
  <b:Source>
    <b:Tag>Egg19</b:Tag>
    <b:SourceType>InternetSite</b:SourceType>
    <b:Guid>{51542486-18C7-477F-99B1-E6C42CEEBB41}</b:Guid>
    <b:Author>
      <b:Author>
        <b:Corporate>Eggfree Cake Box</b:Corporate>
      </b:Author>
    </b:Author>
    <b:Title>2019 Annual Report</b:Title>
    <b:Year>2019</b:Year>
    <b:YearAccessed>2022</b:YearAccessed>
    <b:MonthAccessed>April</b:MonthAccessed>
    <b:DayAccessed>6</b:DayAccessed>
    <b:URL>https://www.annualreports.com/Company/cake-box-holdings-plc</b:URL>
    <b:RefOrder>8</b:RefOrder>
  </b:Source>
  <b:Source>
    <b:Tag>Oxf20</b:Tag>
    <b:SourceType>InternetSite</b:SourceType>
    <b:Guid>{D21677E4-F1F9-4F2A-A63E-F56B5919340F}</b:Guid>
    <b:Author>
      <b:Author>
        <b:Corporate>Oxford Academic - Food Quality and Safety</b:Corporate>
      </b:Author>
    </b:Author>
    <b:Title>Impact of COVID-19 on the food supply chain </b:Title>
    <b:Year>2020</b:Year>
    <b:YearAccessed>2022</b:YearAccessed>
    <b:MonthAccessed>April</b:MonthAccessed>
    <b:DayAccessed>6</b:DayAccessed>
    <b:URL>https://academic.oup.com/fqs/article/4/4/167/5896496</b:URL>
    <b:RefOrder>9</b:RefOrder>
  </b:Source>
</b:Sources>
</file>

<file path=customXml/itemProps1.xml><?xml version="1.0" encoding="utf-8"?>
<ds:datastoreItem xmlns:ds="http://schemas.openxmlformats.org/officeDocument/2006/customXml" ds:itemID="{4624F6F2-79EA-4C83-8B00-57BACC6B7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34</Pages>
  <Words>3901</Words>
  <Characters>22240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Teletha Duberry</dc:creator>
  <cp:keywords/>
  <dc:description/>
  <cp:lastModifiedBy>Teletha Duberry</cp:lastModifiedBy>
  <cp:revision>3</cp:revision>
  <dcterms:created xsi:type="dcterms:W3CDTF">2022-05-04T22:40:00Z</dcterms:created>
  <dcterms:modified xsi:type="dcterms:W3CDTF">2022-05-04T22:56:00Z</dcterms:modified>
</cp:coreProperties>
</file>