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BB0B8" w14:textId="5A08D0F5" w:rsidR="00DC4709" w:rsidRDefault="00EA1A0B" w:rsidP="00DC4709">
      <w:pPr>
        <w:pStyle w:val="a3"/>
        <w:rPr>
          <w:rFonts w:hint="eastAsia"/>
        </w:rPr>
      </w:pPr>
      <w:r w:rsidRPr="00D22B50">
        <w:t>Addressing the Cold-Start Problem in Residential Load Forecasting: An Optimized LSTM Transfer Learning Framework</w:t>
      </w:r>
    </w:p>
    <w:p w14:paraId="62665452" w14:textId="0E493D40" w:rsidR="00572676" w:rsidRDefault="00572676" w:rsidP="00572676">
      <w:pPr>
        <w:jc w:val="center"/>
        <w:rPr>
          <w:rFonts w:hint="eastAsia"/>
        </w:rPr>
      </w:pPr>
    </w:p>
    <w:p w14:paraId="0C8B4679" w14:textId="77777777" w:rsidR="00572676" w:rsidRDefault="00572676" w:rsidP="00572676">
      <w:pPr>
        <w:jc w:val="center"/>
        <w:rPr>
          <w:rFonts w:hint="eastAsia"/>
        </w:rPr>
      </w:pPr>
    </w:p>
    <w:p w14:paraId="6DD757ED" w14:textId="77777777" w:rsidR="00572676" w:rsidRDefault="00572676" w:rsidP="00572676">
      <w:pPr>
        <w:jc w:val="center"/>
        <w:rPr>
          <w:rFonts w:hint="eastAsia"/>
        </w:rPr>
      </w:pPr>
    </w:p>
    <w:p w14:paraId="5011F091" w14:textId="77777777" w:rsidR="00572676" w:rsidRDefault="00572676" w:rsidP="00572676">
      <w:pPr>
        <w:jc w:val="center"/>
        <w:rPr>
          <w:rFonts w:hint="eastAsia"/>
        </w:rPr>
      </w:pPr>
    </w:p>
    <w:p w14:paraId="44E80DE2" w14:textId="77777777" w:rsidR="00572676" w:rsidRDefault="00572676" w:rsidP="00572676">
      <w:pPr>
        <w:jc w:val="center"/>
        <w:rPr>
          <w:rFonts w:hint="eastAsia"/>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F93B43" w14:paraId="491B2EC6" w14:textId="77777777" w:rsidTr="00F93B43">
        <w:tc>
          <w:tcPr>
            <w:tcW w:w="4148" w:type="dxa"/>
          </w:tcPr>
          <w:p w14:paraId="5595B840" w14:textId="18CC6F0D" w:rsidR="00F93B43" w:rsidRPr="00F93B43" w:rsidRDefault="00F93B43" w:rsidP="00F93B43">
            <w:pPr>
              <w:jc w:val="center"/>
              <w:rPr>
                <w:rFonts w:ascii="Times New Roman" w:hAnsi="Times New Roman" w:cs="Times New Roman"/>
                <w:sz w:val="28"/>
                <w:szCs w:val="32"/>
              </w:rPr>
            </w:pPr>
            <w:r w:rsidRPr="00F93B43">
              <w:rPr>
                <w:rFonts w:ascii="Times New Roman" w:hAnsi="Times New Roman" w:cs="Times New Roman"/>
                <w:sz w:val="28"/>
                <w:szCs w:val="32"/>
              </w:rPr>
              <w:t>Course Name:</w:t>
            </w:r>
          </w:p>
        </w:tc>
        <w:tc>
          <w:tcPr>
            <w:tcW w:w="4148" w:type="dxa"/>
          </w:tcPr>
          <w:p w14:paraId="6BCA408C" w14:textId="27FB628D" w:rsidR="00F93B43" w:rsidRPr="00F93B43" w:rsidRDefault="00F93B43" w:rsidP="00572676">
            <w:pPr>
              <w:jc w:val="center"/>
              <w:rPr>
                <w:rFonts w:ascii="Times New Roman" w:hAnsi="Times New Roman" w:cs="Times New Roman"/>
                <w:sz w:val="28"/>
                <w:szCs w:val="32"/>
              </w:rPr>
            </w:pPr>
            <w:r w:rsidRPr="00F93B43">
              <w:rPr>
                <w:rFonts w:ascii="Times New Roman" w:hAnsi="Times New Roman" w:cs="Times New Roman"/>
                <w:sz w:val="28"/>
                <w:szCs w:val="32"/>
              </w:rPr>
              <w:t>Master’s Project</w:t>
            </w:r>
          </w:p>
        </w:tc>
      </w:tr>
      <w:tr w:rsidR="00572676" w14:paraId="4DDFE9D3" w14:textId="77777777" w:rsidTr="00F93B43">
        <w:tc>
          <w:tcPr>
            <w:tcW w:w="4148" w:type="dxa"/>
          </w:tcPr>
          <w:p w14:paraId="1CAD5251" w14:textId="1312C36A" w:rsidR="00572676" w:rsidRPr="00F93B43" w:rsidRDefault="00F93B43" w:rsidP="00F93B43">
            <w:pPr>
              <w:jc w:val="center"/>
              <w:rPr>
                <w:rFonts w:ascii="Times New Roman" w:hAnsi="Times New Roman" w:cs="Times New Roman"/>
                <w:sz w:val="28"/>
                <w:szCs w:val="32"/>
              </w:rPr>
            </w:pPr>
            <w:r w:rsidRPr="00F93B43">
              <w:rPr>
                <w:rFonts w:ascii="Times New Roman" w:hAnsi="Times New Roman" w:cs="Times New Roman"/>
                <w:sz w:val="28"/>
                <w:szCs w:val="32"/>
              </w:rPr>
              <w:t>Instructor:</w:t>
            </w:r>
          </w:p>
        </w:tc>
        <w:tc>
          <w:tcPr>
            <w:tcW w:w="4148" w:type="dxa"/>
          </w:tcPr>
          <w:p w14:paraId="403BB6C8" w14:textId="0410FE16" w:rsidR="00572676" w:rsidRPr="00F93B43" w:rsidRDefault="00F93B43" w:rsidP="00572676">
            <w:pPr>
              <w:jc w:val="center"/>
              <w:rPr>
                <w:rFonts w:ascii="Times New Roman" w:hAnsi="Times New Roman" w:cs="Times New Roman"/>
                <w:sz w:val="28"/>
                <w:szCs w:val="32"/>
              </w:rPr>
            </w:pPr>
            <w:r w:rsidRPr="00F93B43">
              <w:rPr>
                <w:rFonts w:ascii="Times New Roman" w:hAnsi="Times New Roman" w:cs="Times New Roman"/>
                <w:sz w:val="28"/>
                <w:szCs w:val="32"/>
              </w:rPr>
              <w:t xml:space="preserve">Dr. Nouh </w:t>
            </w:r>
            <w:proofErr w:type="spellStart"/>
            <w:r w:rsidRPr="00F93B43">
              <w:rPr>
                <w:rFonts w:ascii="Times New Roman" w:hAnsi="Times New Roman" w:cs="Times New Roman"/>
                <w:sz w:val="28"/>
                <w:szCs w:val="32"/>
              </w:rPr>
              <w:t>Elmitwally</w:t>
            </w:r>
            <w:proofErr w:type="spellEnd"/>
          </w:p>
        </w:tc>
      </w:tr>
      <w:tr w:rsidR="00572676" w14:paraId="56954409" w14:textId="77777777" w:rsidTr="00F93B43">
        <w:tc>
          <w:tcPr>
            <w:tcW w:w="4148" w:type="dxa"/>
          </w:tcPr>
          <w:p w14:paraId="221A3552" w14:textId="2D1E0854" w:rsidR="00572676" w:rsidRPr="00F93B43" w:rsidRDefault="00F93B43" w:rsidP="00F93B43">
            <w:pPr>
              <w:jc w:val="center"/>
              <w:rPr>
                <w:rFonts w:ascii="Times New Roman" w:hAnsi="Times New Roman" w:cs="Times New Roman"/>
                <w:sz w:val="28"/>
                <w:szCs w:val="32"/>
              </w:rPr>
            </w:pPr>
            <w:r w:rsidRPr="00F93B43">
              <w:rPr>
                <w:rFonts w:ascii="Times New Roman" w:hAnsi="Times New Roman" w:cs="Times New Roman"/>
                <w:sz w:val="28"/>
                <w:szCs w:val="32"/>
              </w:rPr>
              <w:t>Author:</w:t>
            </w:r>
          </w:p>
        </w:tc>
        <w:tc>
          <w:tcPr>
            <w:tcW w:w="4148" w:type="dxa"/>
          </w:tcPr>
          <w:p w14:paraId="627C5351" w14:textId="38C29F84" w:rsidR="00572676" w:rsidRPr="00F93B43" w:rsidRDefault="00F93B43" w:rsidP="00572676">
            <w:pPr>
              <w:jc w:val="center"/>
              <w:rPr>
                <w:rFonts w:ascii="Times New Roman" w:hAnsi="Times New Roman" w:cs="Times New Roman"/>
                <w:sz w:val="28"/>
                <w:szCs w:val="32"/>
              </w:rPr>
            </w:pPr>
            <w:r w:rsidRPr="00F93B43">
              <w:rPr>
                <w:rFonts w:ascii="Times New Roman" w:hAnsi="Times New Roman" w:cs="Times New Roman"/>
                <w:sz w:val="28"/>
                <w:szCs w:val="32"/>
              </w:rPr>
              <w:t>Rui Guan</w:t>
            </w:r>
          </w:p>
        </w:tc>
      </w:tr>
      <w:tr w:rsidR="00572676" w14:paraId="15DCE6E7" w14:textId="77777777" w:rsidTr="00F93B43">
        <w:tc>
          <w:tcPr>
            <w:tcW w:w="4148" w:type="dxa"/>
          </w:tcPr>
          <w:p w14:paraId="375FDF8B" w14:textId="3DA5DDB1" w:rsidR="00572676" w:rsidRPr="00F93B43" w:rsidRDefault="00F93B43" w:rsidP="00F93B43">
            <w:pPr>
              <w:jc w:val="center"/>
              <w:rPr>
                <w:rFonts w:ascii="Times New Roman" w:hAnsi="Times New Roman" w:cs="Times New Roman"/>
                <w:sz w:val="28"/>
                <w:szCs w:val="32"/>
              </w:rPr>
            </w:pPr>
            <w:r w:rsidRPr="00F93B43">
              <w:rPr>
                <w:rFonts w:ascii="Times New Roman" w:hAnsi="Times New Roman" w:cs="Times New Roman"/>
                <w:sz w:val="28"/>
                <w:szCs w:val="32"/>
              </w:rPr>
              <w:t>Student ID:</w:t>
            </w:r>
          </w:p>
        </w:tc>
        <w:tc>
          <w:tcPr>
            <w:tcW w:w="4148" w:type="dxa"/>
          </w:tcPr>
          <w:p w14:paraId="740F9BE7" w14:textId="7E8DB590" w:rsidR="00572676" w:rsidRPr="00F93B43" w:rsidRDefault="00F93B43" w:rsidP="00572676">
            <w:pPr>
              <w:jc w:val="center"/>
              <w:rPr>
                <w:rFonts w:ascii="Times New Roman" w:hAnsi="Times New Roman" w:cs="Times New Roman"/>
                <w:sz w:val="28"/>
                <w:szCs w:val="32"/>
              </w:rPr>
            </w:pPr>
            <w:r w:rsidRPr="00F93B43">
              <w:rPr>
                <w:rFonts w:ascii="Times New Roman" w:hAnsi="Times New Roman" w:cs="Times New Roman"/>
                <w:sz w:val="28"/>
                <w:szCs w:val="32"/>
              </w:rPr>
              <w:t>2422400</w:t>
            </w:r>
          </w:p>
        </w:tc>
      </w:tr>
      <w:tr w:rsidR="00572676" w14:paraId="2F8D1461" w14:textId="77777777" w:rsidTr="00F93B43">
        <w:tc>
          <w:tcPr>
            <w:tcW w:w="4148" w:type="dxa"/>
          </w:tcPr>
          <w:p w14:paraId="5692FAAB" w14:textId="48A3D8D3" w:rsidR="00572676" w:rsidRPr="00F93B43" w:rsidRDefault="00F93B43" w:rsidP="00F93B43">
            <w:pPr>
              <w:jc w:val="center"/>
              <w:rPr>
                <w:rFonts w:ascii="Times New Roman" w:hAnsi="Times New Roman" w:cs="Times New Roman"/>
                <w:sz w:val="28"/>
                <w:szCs w:val="32"/>
              </w:rPr>
            </w:pPr>
            <w:r w:rsidRPr="00F93B43">
              <w:rPr>
                <w:rFonts w:ascii="Times New Roman" w:hAnsi="Times New Roman" w:cs="Times New Roman"/>
                <w:sz w:val="28"/>
                <w:szCs w:val="32"/>
              </w:rPr>
              <w:t>Program:</w:t>
            </w:r>
          </w:p>
        </w:tc>
        <w:tc>
          <w:tcPr>
            <w:tcW w:w="4148" w:type="dxa"/>
          </w:tcPr>
          <w:p w14:paraId="5FA74849" w14:textId="1DF14037" w:rsidR="00572676" w:rsidRPr="00F93B43" w:rsidRDefault="00F93B43" w:rsidP="00572676">
            <w:pPr>
              <w:jc w:val="center"/>
              <w:rPr>
                <w:rFonts w:ascii="Times New Roman" w:hAnsi="Times New Roman" w:cs="Times New Roman"/>
                <w:sz w:val="28"/>
                <w:szCs w:val="32"/>
              </w:rPr>
            </w:pPr>
            <w:r w:rsidRPr="00F93B43">
              <w:rPr>
                <w:rFonts w:ascii="Times New Roman" w:hAnsi="Times New Roman" w:cs="Times New Roman"/>
                <w:sz w:val="28"/>
                <w:szCs w:val="32"/>
              </w:rPr>
              <w:t>Data and Artificial Intelligence</w:t>
            </w:r>
          </w:p>
        </w:tc>
      </w:tr>
      <w:tr w:rsidR="00572676" w14:paraId="4C701374" w14:textId="77777777" w:rsidTr="00F93B43">
        <w:tc>
          <w:tcPr>
            <w:tcW w:w="4148" w:type="dxa"/>
          </w:tcPr>
          <w:p w14:paraId="52538A61" w14:textId="1F937090" w:rsidR="00572676" w:rsidRPr="00F93B43" w:rsidRDefault="00F93B43" w:rsidP="00F93B43">
            <w:pPr>
              <w:jc w:val="center"/>
              <w:rPr>
                <w:rFonts w:ascii="Times New Roman" w:hAnsi="Times New Roman" w:cs="Times New Roman"/>
                <w:sz w:val="28"/>
                <w:szCs w:val="32"/>
              </w:rPr>
            </w:pPr>
            <w:r w:rsidRPr="00F93B43">
              <w:rPr>
                <w:rFonts w:ascii="Times New Roman" w:hAnsi="Times New Roman" w:cs="Times New Roman"/>
                <w:sz w:val="28"/>
                <w:szCs w:val="32"/>
              </w:rPr>
              <w:t>Date:</w:t>
            </w:r>
          </w:p>
        </w:tc>
        <w:tc>
          <w:tcPr>
            <w:tcW w:w="4148" w:type="dxa"/>
          </w:tcPr>
          <w:p w14:paraId="69F08D78" w14:textId="4FAC8691" w:rsidR="00572676" w:rsidRPr="00F93B43" w:rsidRDefault="00F93B43" w:rsidP="00572676">
            <w:pPr>
              <w:jc w:val="center"/>
              <w:rPr>
                <w:rFonts w:ascii="Times New Roman" w:hAnsi="Times New Roman" w:cs="Times New Roman"/>
                <w:sz w:val="28"/>
                <w:szCs w:val="32"/>
              </w:rPr>
            </w:pPr>
            <w:r w:rsidRPr="00F93B43">
              <w:rPr>
                <w:rFonts w:ascii="Times New Roman" w:hAnsi="Times New Roman" w:cs="Times New Roman"/>
                <w:sz w:val="28"/>
                <w:szCs w:val="32"/>
              </w:rPr>
              <w:t>02/05/2026</w:t>
            </w:r>
          </w:p>
        </w:tc>
      </w:tr>
    </w:tbl>
    <w:p w14:paraId="0A4991C7" w14:textId="34B6BD78" w:rsidR="00572676" w:rsidRPr="00572676" w:rsidRDefault="00572676" w:rsidP="00572676">
      <w:pPr>
        <w:jc w:val="center"/>
        <w:rPr>
          <w:rFonts w:hint="eastAsia"/>
        </w:rPr>
      </w:pPr>
    </w:p>
    <w:p w14:paraId="1F451C0D" w14:textId="77777777" w:rsidR="00DC4709" w:rsidRDefault="00DC4709">
      <w:pPr>
        <w:widowControl/>
        <w:jc w:val="left"/>
        <w:rPr>
          <w:rFonts w:asciiTheme="majorHAnsi" w:eastAsiaTheme="majorEastAsia" w:hAnsiTheme="majorHAnsi" w:cstheme="majorBidi" w:hint="eastAsia"/>
          <w:spacing w:val="-10"/>
          <w:kern w:val="28"/>
          <w:sz w:val="56"/>
          <w:szCs w:val="56"/>
        </w:rPr>
      </w:pPr>
      <w:r>
        <w:rPr>
          <w:rFonts w:hint="eastAsia"/>
        </w:rPr>
        <w:br w:type="page"/>
      </w:r>
    </w:p>
    <w:p w14:paraId="395BCCA7" w14:textId="77777777" w:rsidR="00DC4709" w:rsidRDefault="00DC4709" w:rsidP="00DC4709">
      <w:pPr>
        <w:pStyle w:val="a3"/>
        <w:rPr>
          <w:rFonts w:hint="eastAsia"/>
        </w:rPr>
        <w:sectPr w:rsidR="00DC4709">
          <w:pgSz w:w="11906" w:h="16838"/>
          <w:pgMar w:top="1440" w:right="1800" w:bottom="1440" w:left="1800" w:header="851" w:footer="992" w:gutter="0"/>
          <w:cols w:space="425"/>
          <w:docGrid w:type="lines" w:linePitch="312"/>
        </w:sectPr>
      </w:pPr>
    </w:p>
    <w:sdt>
      <w:sdtPr>
        <w:rPr>
          <w:rFonts w:asciiTheme="minorHAnsi" w:eastAsiaTheme="minorEastAsia" w:hAnsiTheme="minorHAnsi" w:cstheme="minorBidi"/>
          <w:color w:val="auto"/>
          <w:kern w:val="2"/>
          <w:sz w:val="21"/>
          <w:szCs w:val="22"/>
          <w:lang w:val="zh-CN"/>
        </w:rPr>
        <w:id w:val="913043990"/>
        <w:docPartObj>
          <w:docPartGallery w:val="Table of Contents"/>
          <w:docPartUnique/>
        </w:docPartObj>
      </w:sdtPr>
      <w:sdtEndPr>
        <w:rPr>
          <w:b/>
          <w:bCs/>
        </w:rPr>
      </w:sdtEndPr>
      <w:sdtContent>
        <w:p w14:paraId="50E69CD6" w14:textId="12B73B34" w:rsidR="00DC4709" w:rsidRPr="00B57CBF" w:rsidRDefault="00B57CBF">
          <w:pPr>
            <w:pStyle w:val="TOC"/>
            <w:rPr>
              <w:rStyle w:val="10"/>
              <w:rFonts w:hint="eastAsia"/>
            </w:rPr>
          </w:pPr>
          <w:r w:rsidRPr="00B57CBF">
            <w:rPr>
              <w:rStyle w:val="10"/>
              <w:rFonts w:hint="eastAsia"/>
            </w:rPr>
            <w:t>Contents</w:t>
          </w:r>
        </w:p>
        <w:p w14:paraId="78F84333" w14:textId="74B43029" w:rsidR="00DC4709" w:rsidRPr="00B57CBF" w:rsidRDefault="00DC4709">
          <w:pPr>
            <w:pStyle w:val="TOC1"/>
            <w:tabs>
              <w:tab w:val="right" w:leader="dot" w:pos="8296"/>
            </w:tabs>
            <w:rPr>
              <w:rFonts w:ascii="Times New Roman" w:hAnsi="Times New Roman"/>
              <w:noProof/>
              <w:kern w:val="2"/>
              <w:szCs w:val="24"/>
              <w14:ligatures w14:val="standardContextual"/>
            </w:rPr>
          </w:pPr>
          <w:r>
            <w:fldChar w:fldCharType="begin"/>
          </w:r>
          <w:r>
            <w:instrText xml:space="preserve"> TOC \o "1-3" \h \z \u </w:instrText>
          </w:r>
          <w:r>
            <w:fldChar w:fldCharType="separate"/>
          </w:r>
          <w:hyperlink w:anchor="_Toc228641250" w:history="1">
            <w:r w:rsidRPr="00B57CBF">
              <w:rPr>
                <w:rStyle w:val="af8"/>
                <w:rFonts w:ascii="Times New Roman" w:hAnsi="Times New Roman"/>
                <w:noProof/>
              </w:rPr>
              <w:t>1. Abstract</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w:t>
            </w:r>
            <w:r w:rsidRPr="00B57CBF">
              <w:rPr>
                <w:rFonts w:ascii="Times New Roman" w:hAnsi="Times New Roman"/>
                <w:noProof/>
                <w:webHidden/>
              </w:rPr>
              <w:fldChar w:fldCharType="end"/>
            </w:r>
          </w:hyperlink>
        </w:p>
        <w:p w14:paraId="6736E4F3" w14:textId="3FEB8329" w:rsidR="00DC4709" w:rsidRPr="00B57CBF" w:rsidRDefault="00DC4709">
          <w:pPr>
            <w:pStyle w:val="TOC1"/>
            <w:tabs>
              <w:tab w:val="right" w:leader="dot" w:pos="8296"/>
            </w:tabs>
            <w:rPr>
              <w:rFonts w:ascii="Times New Roman" w:hAnsi="Times New Roman"/>
              <w:noProof/>
              <w:kern w:val="2"/>
              <w:szCs w:val="24"/>
              <w14:ligatures w14:val="standardContextual"/>
            </w:rPr>
          </w:pPr>
          <w:hyperlink w:anchor="_Toc228641251" w:history="1">
            <w:r w:rsidRPr="00B57CBF">
              <w:rPr>
                <w:rStyle w:val="af8"/>
                <w:rFonts w:ascii="Times New Roman" w:hAnsi="Times New Roman"/>
                <w:noProof/>
              </w:rPr>
              <w:t>2. Introduction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w:t>
            </w:r>
            <w:r w:rsidRPr="00B57CBF">
              <w:rPr>
                <w:rFonts w:ascii="Times New Roman" w:hAnsi="Times New Roman"/>
                <w:noProof/>
                <w:webHidden/>
              </w:rPr>
              <w:fldChar w:fldCharType="end"/>
            </w:r>
          </w:hyperlink>
        </w:p>
        <w:p w14:paraId="3FFA2DFF" w14:textId="0CE31BD0"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52" w:history="1">
            <w:r w:rsidRPr="00B57CBF">
              <w:rPr>
                <w:rStyle w:val="af8"/>
                <w:rFonts w:ascii="Times New Roman" w:hAnsi="Times New Roman"/>
                <w:noProof/>
              </w:rPr>
              <w:t>2.1 The Global Energy Transition and the Role of Smart Grids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w:t>
            </w:r>
            <w:r w:rsidRPr="00B57CBF">
              <w:rPr>
                <w:rFonts w:ascii="Times New Roman" w:hAnsi="Times New Roman"/>
                <w:noProof/>
                <w:webHidden/>
              </w:rPr>
              <w:fldChar w:fldCharType="end"/>
            </w:r>
          </w:hyperlink>
        </w:p>
        <w:p w14:paraId="7BC362CE" w14:textId="6B042B0E"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53" w:history="1">
            <w:r w:rsidRPr="00B57CBF">
              <w:rPr>
                <w:rStyle w:val="af8"/>
                <w:rFonts w:ascii="Times New Roman" w:hAnsi="Times New Roman"/>
                <w:noProof/>
              </w:rPr>
              <w:t>2.2 The Criticality of STLF</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w:t>
            </w:r>
            <w:r w:rsidRPr="00B57CBF">
              <w:rPr>
                <w:rFonts w:ascii="Times New Roman" w:hAnsi="Times New Roman"/>
                <w:noProof/>
                <w:webHidden/>
              </w:rPr>
              <w:fldChar w:fldCharType="end"/>
            </w:r>
          </w:hyperlink>
        </w:p>
        <w:p w14:paraId="11B26A81" w14:textId="572A3BDC"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54" w:history="1">
            <w:r w:rsidRPr="00B57CBF">
              <w:rPr>
                <w:rStyle w:val="af8"/>
                <w:rFonts w:ascii="Times New Roman" w:hAnsi="Times New Roman"/>
                <w:noProof/>
              </w:rPr>
              <w:t>2.2.1 Real-Time Stability and Asset Protection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w:t>
            </w:r>
            <w:r w:rsidRPr="00B57CBF">
              <w:rPr>
                <w:rFonts w:ascii="Times New Roman" w:hAnsi="Times New Roman"/>
                <w:noProof/>
                <w:webHidden/>
              </w:rPr>
              <w:fldChar w:fldCharType="end"/>
            </w:r>
          </w:hyperlink>
        </w:p>
        <w:p w14:paraId="04AC9F79" w14:textId="6CAB9211"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55" w:history="1">
            <w:r w:rsidRPr="00B57CBF">
              <w:rPr>
                <w:rStyle w:val="af8"/>
                <w:rFonts w:ascii="Times New Roman" w:hAnsi="Times New Roman"/>
                <w:noProof/>
              </w:rPr>
              <w:t>2.2.2 Integration of Demand-Side Strategies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w:t>
            </w:r>
            <w:r w:rsidRPr="00B57CBF">
              <w:rPr>
                <w:rFonts w:ascii="Times New Roman" w:hAnsi="Times New Roman"/>
                <w:noProof/>
                <w:webHidden/>
              </w:rPr>
              <w:fldChar w:fldCharType="end"/>
            </w:r>
          </w:hyperlink>
        </w:p>
        <w:p w14:paraId="6D6E98CE" w14:textId="283A0DE2"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56" w:history="1">
            <w:r w:rsidRPr="00B57CBF">
              <w:rPr>
                <w:rStyle w:val="af8"/>
                <w:rFonts w:ascii="Times New Roman" w:hAnsi="Times New Roman"/>
                <w:noProof/>
              </w:rPr>
              <w:t>2.2.3 From Aggregate Smoothing to Individual Stochasticity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w:t>
            </w:r>
            <w:r w:rsidRPr="00B57CBF">
              <w:rPr>
                <w:rFonts w:ascii="Times New Roman" w:hAnsi="Times New Roman"/>
                <w:noProof/>
                <w:webHidden/>
              </w:rPr>
              <w:fldChar w:fldCharType="end"/>
            </w:r>
          </w:hyperlink>
        </w:p>
        <w:p w14:paraId="46E90B59" w14:textId="0C7856A2"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57" w:history="1">
            <w:r w:rsidRPr="00B57CBF">
              <w:rPr>
                <w:rStyle w:val="af8"/>
                <w:rFonts w:ascii="Times New Roman" w:hAnsi="Times New Roman"/>
                <w:noProof/>
              </w:rPr>
              <w:t>2.3 Technical Barriers: Volatility and the Cold Start Problem</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4</w:t>
            </w:r>
            <w:r w:rsidRPr="00B57CBF">
              <w:rPr>
                <w:rFonts w:ascii="Times New Roman" w:hAnsi="Times New Roman"/>
                <w:noProof/>
                <w:webHidden/>
              </w:rPr>
              <w:fldChar w:fldCharType="end"/>
            </w:r>
          </w:hyperlink>
        </w:p>
        <w:p w14:paraId="7565408D" w14:textId="4319039B"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58" w:history="1">
            <w:r w:rsidRPr="00B57CBF">
              <w:rPr>
                <w:rStyle w:val="af8"/>
                <w:rFonts w:ascii="Times New Roman" w:hAnsi="Times New Roman"/>
                <w:noProof/>
              </w:rPr>
              <w:t>2.4 Transfer Learning as a Scalable Solution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5</w:t>
            </w:r>
            <w:r w:rsidRPr="00B57CBF">
              <w:rPr>
                <w:rFonts w:ascii="Times New Roman" w:hAnsi="Times New Roman"/>
                <w:noProof/>
                <w:webHidden/>
              </w:rPr>
              <w:fldChar w:fldCharType="end"/>
            </w:r>
          </w:hyperlink>
        </w:p>
        <w:p w14:paraId="486A5EA7" w14:textId="367011EC"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59" w:history="1">
            <w:r w:rsidRPr="00B57CBF">
              <w:rPr>
                <w:rStyle w:val="af8"/>
                <w:rFonts w:ascii="Times New Roman" w:hAnsi="Times New Roman"/>
                <w:noProof/>
              </w:rPr>
              <w:t>2.4.1 The Pre-training and Fine-tuning Paradigm</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_Toc228641259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5</w:t>
            </w:r>
            <w:r w:rsidRPr="00B57CBF">
              <w:rPr>
                <w:rFonts w:ascii="Times New Roman" w:hAnsi="Times New Roman"/>
                <w:noProof/>
                <w:webHidden/>
              </w:rPr>
              <w:fldChar w:fldCharType="end"/>
            </w:r>
          </w:hyperlink>
        </w:p>
        <w:p w14:paraId="33BE0935" w14:textId="4EB9DD4C"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60" w:history="1">
            <w:r w:rsidRPr="00B57CBF">
              <w:rPr>
                <w:rStyle w:val="af8"/>
                <w:rFonts w:ascii="Times New Roman" w:hAnsi="Times New Roman"/>
                <w:noProof/>
              </w:rPr>
              <w:t>2.4.2 Mitigation of Negative Transfer and Optimization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5</w:t>
            </w:r>
            <w:r w:rsidRPr="00B57CBF">
              <w:rPr>
                <w:rFonts w:ascii="Times New Roman" w:hAnsi="Times New Roman"/>
                <w:noProof/>
                <w:webHidden/>
              </w:rPr>
              <w:fldChar w:fldCharType="end"/>
            </w:r>
          </w:hyperlink>
        </w:p>
        <w:p w14:paraId="1C73F63F" w14:textId="76654335"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61" w:history="1">
            <w:r w:rsidRPr="00B57CBF">
              <w:rPr>
                <w:rStyle w:val="af8"/>
                <w:rFonts w:ascii="Times New Roman" w:hAnsi="Times New Roman"/>
                <w:noProof/>
              </w:rPr>
              <w:t>2.4.3 Empirical Validation and Practical Path</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6</w:t>
            </w:r>
            <w:r w:rsidRPr="00B57CBF">
              <w:rPr>
                <w:rFonts w:ascii="Times New Roman" w:hAnsi="Times New Roman"/>
                <w:noProof/>
                <w:webHidden/>
              </w:rPr>
              <w:fldChar w:fldCharType="end"/>
            </w:r>
          </w:hyperlink>
        </w:p>
        <w:p w14:paraId="27BA8703" w14:textId="3F36E7C1" w:rsidR="00DC4709" w:rsidRPr="00B57CBF" w:rsidRDefault="00DC4709">
          <w:pPr>
            <w:pStyle w:val="TOC1"/>
            <w:tabs>
              <w:tab w:val="right" w:leader="dot" w:pos="8296"/>
            </w:tabs>
            <w:rPr>
              <w:rFonts w:ascii="Times New Roman" w:hAnsi="Times New Roman"/>
              <w:noProof/>
              <w:kern w:val="2"/>
              <w:szCs w:val="24"/>
              <w14:ligatures w14:val="standardContextual"/>
            </w:rPr>
          </w:pPr>
          <w:hyperlink w:anchor="_Toc228641262" w:history="1">
            <w:r w:rsidRPr="00B57CBF">
              <w:rPr>
                <w:rStyle w:val="af8"/>
                <w:rFonts w:ascii="Times New Roman" w:hAnsi="Times New Roman"/>
                <w:noProof/>
              </w:rPr>
              <w:t>3. Literature Review</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6</w:t>
            </w:r>
            <w:r w:rsidRPr="00B57CBF">
              <w:rPr>
                <w:rFonts w:ascii="Times New Roman" w:hAnsi="Times New Roman"/>
                <w:noProof/>
                <w:webHidden/>
              </w:rPr>
              <w:fldChar w:fldCharType="end"/>
            </w:r>
          </w:hyperlink>
        </w:p>
        <w:p w14:paraId="39DA3371" w14:textId="321C9CFA"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63" w:history="1">
            <w:r w:rsidRPr="00B57CBF">
              <w:rPr>
                <w:rStyle w:val="af8"/>
                <w:rFonts w:ascii="Times New Roman" w:hAnsi="Times New Roman"/>
                <w:noProof/>
              </w:rPr>
              <w:t>3.1 Evolutionary Trajectory of Short-Term Load Forecasting</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6</w:t>
            </w:r>
            <w:r w:rsidRPr="00B57CBF">
              <w:rPr>
                <w:rFonts w:ascii="Times New Roman" w:hAnsi="Times New Roman"/>
                <w:noProof/>
                <w:webHidden/>
              </w:rPr>
              <w:fldChar w:fldCharType="end"/>
            </w:r>
          </w:hyperlink>
        </w:p>
        <w:p w14:paraId="02F4361E" w14:textId="4BB401D2"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64" w:history="1">
            <w:r w:rsidRPr="00B57CBF">
              <w:rPr>
                <w:rStyle w:val="af8"/>
                <w:rFonts w:ascii="Times New Roman" w:hAnsi="Times New Roman"/>
                <w:noProof/>
              </w:rPr>
              <w:t>3.1.1 The Statistical Era: ARIMA and Smoothing Techniques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6</w:t>
            </w:r>
            <w:r w:rsidRPr="00B57CBF">
              <w:rPr>
                <w:rFonts w:ascii="Times New Roman" w:hAnsi="Times New Roman"/>
                <w:noProof/>
                <w:webHidden/>
              </w:rPr>
              <w:fldChar w:fldCharType="end"/>
            </w:r>
          </w:hyperlink>
        </w:p>
        <w:p w14:paraId="6DCCDBFC" w14:textId="25351676"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65" w:history="1">
            <w:r w:rsidRPr="00B57CBF">
              <w:rPr>
                <w:rStyle w:val="af8"/>
                <w:rFonts w:ascii="Times New Roman" w:hAnsi="Times New Roman"/>
                <w:noProof/>
              </w:rPr>
              <w:t>3.1.2 The Machine Learning Era: SVR and Random Forests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7</w:t>
            </w:r>
            <w:r w:rsidRPr="00B57CBF">
              <w:rPr>
                <w:rFonts w:ascii="Times New Roman" w:hAnsi="Times New Roman"/>
                <w:noProof/>
                <w:webHidden/>
              </w:rPr>
              <w:fldChar w:fldCharType="end"/>
            </w:r>
          </w:hyperlink>
        </w:p>
        <w:p w14:paraId="67205080" w14:textId="4AFD71BC"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66" w:history="1">
            <w:r w:rsidRPr="00B57CBF">
              <w:rPr>
                <w:rStyle w:val="af8"/>
                <w:rFonts w:ascii="Times New Roman" w:hAnsi="Times New Roman"/>
                <w:noProof/>
              </w:rPr>
              <w:t>3.1.3 The Deep Learning Revolution: RNNs and LSTMs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7</w:t>
            </w:r>
            <w:r w:rsidRPr="00B57CBF">
              <w:rPr>
                <w:rFonts w:ascii="Times New Roman" w:hAnsi="Times New Roman"/>
                <w:noProof/>
                <w:webHidden/>
              </w:rPr>
              <w:fldChar w:fldCharType="end"/>
            </w:r>
          </w:hyperlink>
        </w:p>
        <w:p w14:paraId="5DBD3C4E" w14:textId="5AFD71B9"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67" w:history="1">
            <w:r w:rsidRPr="00B57CBF">
              <w:rPr>
                <w:rStyle w:val="af8"/>
                <w:rFonts w:ascii="Times New Roman" w:hAnsi="Times New Roman"/>
                <w:noProof/>
              </w:rPr>
              <w:t>3.1.4 Advanced Hybrid and Multi-User Architectures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8</w:t>
            </w:r>
            <w:r w:rsidRPr="00B57CBF">
              <w:rPr>
                <w:rFonts w:ascii="Times New Roman" w:hAnsi="Times New Roman"/>
                <w:noProof/>
                <w:webHidden/>
              </w:rPr>
              <w:fldChar w:fldCharType="end"/>
            </w:r>
          </w:hyperlink>
        </w:p>
        <w:p w14:paraId="3FBF5534" w14:textId="5BCC353C"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68" w:history="1">
            <w:r w:rsidRPr="00B57CBF">
              <w:rPr>
                <w:rStyle w:val="af8"/>
                <w:rFonts w:ascii="Times New Roman" w:hAnsi="Times New Roman"/>
                <w:noProof/>
              </w:rPr>
              <w:t>3.2 Stochasticity and Complexity in Individual Household Forecasting</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8</w:t>
            </w:r>
            <w:r w:rsidRPr="00B57CBF">
              <w:rPr>
                <w:rFonts w:ascii="Times New Roman" w:hAnsi="Times New Roman"/>
                <w:noProof/>
                <w:webHidden/>
              </w:rPr>
              <w:fldChar w:fldCharType="end"/>
            </w:r>
          </w:hyperlink>
        </w:p>
        <w:p w14:paraId="2A346FB4" w14:textId="156309A0"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69" w:history="1">
            <w:r w:rsidRPr="00B57CBF">
              <w:rPr>
                <w:rStyle w:val="af8"/>
                <w:rFonts w:ascii="Times New Roman" w:hAnsi="Times New Roman"/>
                <w:noProof/>
              </w:rPr>
              <w:t>3.2.1 The Failure of the Law of Large Numbers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_Toc228641269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9</w:t>
            </w:r>
            <w:r w:rsidRPr="00B57CBF">
              <w:rPr>
                <w:rFonts w:ascii="Times New Roman" w:hAnsi="Times New Roman"/>
                <w:noProof/>
                <w:webHidden/>
              </w:rPr>
              <w:fldChar w:fldCharType="end"/>
            </w:r>
          </w:hyperlink>
        </w:p>
        <w:p w14:paraId="38AE0EA1" w14:textId="0ACAB5C1"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70" w:history="1">
            <w:r w:rsidRPr="00B57CBF">
              <w:rPr>
                <w:rStyle w:val="af8"/>
                <w:rFonts w:ascii="Times New Roman" w:hAnsi="Times New Roman"/>
                <w:noProof/>
              </w:rPr>
              <w:t>3.2.2 Signal-to-Noise Ratio and Edge User Variability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9</w:t>
            </w:r>
            <w:r w:rsidRPr="00B57CBF">
              <w:rPr>
                <w:rFonts w:ascii="Times New Roman" w:hAnsi="Times New Roman"/>
                <w:noProof/>
                <w:webHidden/>
              </w:rPr>
              <w:fldChar w:fldCharType="end"/>
            </w:r>
          </w:hyperlink>
        </w:p>
        <w:p w14:paraId="0873FFD9" w14:textId="558AF129"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71" w:history="1">
            <w:r w:rsidRPr="00B57CBF">
              <w:rPr>
                <w:rStyle w:val="af8"/>
                <w:rFonts w:ascii="Times New Roman" w:hAnsi="Times New Roman"/>
                <w:noProof/>
              </w:rPr>
              <w:t>3.2.3 External Drivers and Non-Stationarity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9</w:t>
            </w:r>
            <w:r w:rsidRPr="00B57CBF">
              <w:rPr>
                <w:rFonts w:ascii="Times New Roman" w:hAnsi="Times New Roman"/>
                <w:noProof/>
                <w:webHidden/>
              </w:rPr>
              <w:fldChar w:fldCharType="end"/>
            </w:r>
          </w:hyperlink>
        </w:p>
        <w:p w14:paraId="652AD4A3" w14:textId="5159EADD"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72" w:history="1">
            <w:r w:rsidRPr="00B57CBF">
              <w:rPr>
                <w:rStyle w:val="af8"/>
                <w:rFonts w:ascii="Times New Roman" w:hAnsi="Times New Roman"/>
                <w:noProof/>
              </w:rPr>
              <w:t>3.2.4 The Burn-in Period and the Cold-Start Bottleneck</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10</w:t>
            </w:r>
            <w:r w:rsidRPr="00B57CBF">
              <w:rPr>
                <w:rFonts w:ascii="Times New Roman" w:hAnsi="Times New Roman"/>
                <w:noProof/>
                <w:webHidden/>
              </w:rPr>
              <w:fldChar w:fldCharType="end"/>
            </w:r>
          </w:hyperlink>
        </w:p>
        <w:p w14:paraId="372C62E2" w14:textId="24A4B2A9"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73" w:history="1">
            <w:r w:rsidRPr="00B57CBF">
              <w:rPr>
                <w:rStyle w:val="af8"/>
                <w:rFonts w:ascii="Times New Roman" w:hAnsi="Times New Roman"/>
                <w:noProof/>
              </w:rPr>
              <w:t>3.3 Theoretical Analysis of the Cold-Start Problem</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10</w:t>
            </w:r>
            <w:r w:rsidRPr="00B57CBF">
              <w:rPr>
                <w:rFonts w:ascii="Times New Roman" w:hAnsi="Times New Roman"/>
                <w:noProof/>
                <w:webHidden/>
              </w:rPr>
              <w:fldChar w:fldCharType="end"/>
            </w:r>
          </w:hyperlink>
        </w:p>
        <w:p w14:paraId="3CDA40A2" w14:textId="4C1A0474"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74" w:history="1">
            <w:r w:rsidRPr="00B57CBF">
              <w:rPr>
                <w:rStyle w:val="af8"/>
                <w:rFonts w:ascii="Times New Roman" w:hAnsi="Times New Roman"/>
                <w:noProof/>
              </w:rPr>
              <w:t>3.3.1 The Bias-Variance Dilemma in Small-Sample Regimes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10</w:t>
            </w:r>
            <w:r w:rsidRPr="00B57CBF">
              <w:rPr>
                <w:rFonts w:ascii="Times New Roman" w:hAnsi="Times New Roman"/>
                <w:noProof/>
                <w:webHidden/>
              </w:rPr>
              <w:fldChar w:fldCharType="end"/>
            </w:r>
          </w:hyperlink>
        </w:p>
        <w:p w14:paraId="1BEE5A19" w14:textId="659E4757"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75" w:history="1">
            <w:r w:rsidRPr="00B57CBF">
              <w:rPr>
                <w:rStyle w:val="af8"/>
                <w:rFonts w:ascii="Times New Roman" w:hAnsi="Times New Roman"/>
                <w:noProof/>
              </w:rPr>
              <w:t>3.3.2 Operational Implications of the “Value-Void”</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11</w:t>
            </w:r>
            <w:r w:rsidRPr="00B57CBF">
              <w:rPr>
                <w:rFonts w:ascii="Times New Roman" w:hAnsi="Times New Roman"/>
                <w:noProof/>
                <w:webHidden/>
              </w:rPr>
              <w:fldChar w:fldCharType="end"/>
            </w:r>
          </w:hyperlink>
        </w:p>
        <w:p w14:paraId="2203435B" w14:textId="6D76FD11"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76" w:history="1">
            <w:r w:rsidRPr="00B57CBF">
              <w:rPr>
                <w:rStyle w:val="af8"/>
                <w:rFonts w:ascii="Times New Roman" w:hAnsi="Times New Roman"/>
                <w:noProof/>
              </w:rPr>
              <w:t>3.3.3 The Absence of Temporal “Energy Fingerprints”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11</w:t>
            </w:r>
            <w:r w:rsidRPr="00B57CBF">
              <w:rPr>
                <w:rFonts w:ascii="Times New Roman" w:hAnsi="Times New Roman"/>
                <w:noProof/>
                <w:webHidden/>
              </w:rPr>
              <w:fldChar w:fldCharType="end"/>
            </w:r>
          </w:hyperlink>
        </w:p>
        <w:p w14:paraId="723BBE77" w14:textId="4BADC832"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77" w:history="1">
            <w:r w:rsidRPr="00B57CBF">
              <w:rPr>
                <w:rStyle w:val="af8"/>
                <w:rFonts w:ascii="Times New Roman" w:hAnsi="Times New Roman"/>
                <w:noProof/>
              </w:rPr>
              <w:t>3.3.4 Augmentation through Cross-Domain Knowledge</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11</w:t>
            </w:r>
            <w:r w:rsidRPr="00B57CBF">
              <w:rPr>
                <w:rFonts w:ascii="Times New Roman" w:hAnsi="Times New Roman"/>
                <w:noProof/>
                <w:webHidden/>
              </w:rPr>
              <w:fldChar w:fldCharType="end"/>
            </w:r>
          </w:hyperlink>
        </w:p>
        <w:p w14:paraId="7906D536" w14:textId="67B78B3B"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78" w:history="1">
            <w:r w:rsidRPr="00B57CBF">
              <w:rPr>
                <w:rStyle w:val="af8"/>
                <w:rFonts w:ascii="Times New Roman" w:hAnsi="Times New Roman"/>
                <w:noProof/>
              </w:rPr>
              <w:t>3.4 Transfer Learning Paradigms and Negative Transfer</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12</w:t>
            </w:r>
            <w:r w:rsidRPr="00B57CBF">
              <w:rPr>
                <w:rFonts w:ascii="Times New Roman" w:hAnsi="Times New Roman"/>
                <w:noProof/>
                <w:webHidden/>
              </w:rPr>
              <w:fldChar w:fldCharType="end"/>
            </w:r>
          </w:hyperlink>
        </w:p>
        <w:p w14:paraId="162E6DBC" w14:textId="520207B1"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79" w:history="1">
            <w:r w:rsidRPr="00B57CBF">
              <w:rPr>
                <w:rStyle w:val="af8"/>
                <w:rFonts w:ascii="Times New Roman" w:hAnsi="Times New Roman"/>
                <w:noProof/>
              </w:rPr>
              <w:t>3.4.1 The Mechanism of Knowledge Migration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_Toc228641279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12</w:t>
            </w:r>
            <w:r w:rsidRPr="00B57CBF">
              <w:rPr>
                <w:rFonts w:ascii="Times New Roman" w:hAnsi="Times New Roman"/>
                <w:noProof/>
                <w:webHidden/>
              </w:rPr>
              <w:fldChar w:fldCharType="end"/>
            </w:r>
          </w:hyperlink>
        </w:p>
        <w:p w14:paraId="0E34752E" w14:textId="6F8491AA"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80" w:history="1">
            <w:r w:rsidRPr="00B57CBF">
              <w:rPr>
                <w:rStyle w:val="af8"/>
                <w:rFonts w:ascii="Times New Roman" w:hAnsi="Times New Roman"/>
                <w:noProof/>
              </w:rPr>
              <w:t>3.4.2 The Paradox of Negative Transfer</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12</w:t>
            </w:r>
            <w:r w:rsidRPr="00B57CBF">
              <w:rPr>
                <w:rFonts w:ascii="Times New Roman" w:hAnsi="Times New Roman"/>
                <w:noProof/>
                <w:webHidden/>
              </w:rPr>
              <w:fldChar w:fldCharType="end"/>
            </w:r>
          </w:hyperlink>
        </w:p>
        <w:p w14:paraId="0D801BD0" w14:textId="4B5E5BE0"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81" w:history="1">
            <w:r w:rsidRPr="00B57CBF">
              <w:rPr>
                <w:rStyle w:val="af8"/>
                <w:rFonts w:ascii="Times New Roman" w:hAnsi="Times New Roman"/>
                <w:noProof/>
              </w:rPr>
              <w:t>3.4.3 Self-Adaptive Fine-Tuning and Layer Freezing</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12</w:t>
            </w:r>
            <w:r w:rsidRPr="00B57CBF">
              <w:rPr>
                <w:rFonts w:ascii="Times New Roman" w:hAnsi="Times New Roman"/>
                <w:noProof/>
                <w:webHidden/>
              </w:rPr>
              <w:fldChar w:fldCharType="end"/>
            </w:r>
          </w:hyperlink>
        </w:p>
        <w:p w14:paraId="06B7B396" w14:textId="1A38003B"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82" w:history="1">
            <w:r w:rsidRPr="00B57CBF">
              <w:rPr>
                <w:rStyle w:val="af8"/>
                <w:rFonts w:ascii="Times New Roman" w:hAnsi="Times New Roman"/>
                <w:noProof/>
              </w:rPr>
              <w:t>3.4.4 Automated Optimization of Transferability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13</w:t>
            </w:r>
            <w:r w:rsidRPr="00B57CBF">
              <w:rPr>
                <w:rFonts w:ascii="Times New Roman" w:hAnsi="Times New Roman"/>
                <w:noProof/>
                <w:webHidden/>
              </w:rPr>
              <w:fldChar w:fldCharType="end"/>
            </w:r>
          </w:hyperlink>
        </w:p>
        <w:p w14:paraId="50713DBC" w14:textId="171CE8C7"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83" w:history="1">
            <w:r w:rsidRPr="00B57CBF">
              <w:rPr>
                <w:rStyle w:val="af8"/>
                <w:rFonts w:ascii="Times New Roman" w:hAnsi="Times New Roman"/>
                <w:noProof/>
              </w:rPr>
              <w:t>3.5 Benchmarking against the London Smart Meter Dataset Studies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13</w:t>
            </w:r>
            <w:r w:rsidRPr="00B57CBF">
              <w:rPr>
                <w:rFonts w:ascii="Times New Roman" w:hAnsi="Times New Roman"/>
                <w:noProof/>
                <w:webHidden/>
              </w:rPr>
              <w:fldChar w:fldCharType="end"/>
            </w:r>
          </w:hyperlink>
        </w:p>
        <w:p w14:paraId="235A30A3" w14:textId="614BAE18"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84" w:history="1">
            <w:r w:rsidRPr="00B57CBF">
              <w:rPr>
                <w:rStyle w:val="af8"/>
                <w:rFonts w:ascii="Times New Roman" w:hAnsi="Times New Roman"/>
                <w:noProof/>
              </w:rPr>
              <w:t>3.5.1 The Baseline of Recurrent Architectures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13</w:t>
            </w:r>
            <w:r w:rsidRPr="00B57CBF">
              <w:rPr>
                <w:rFonts w:ascii="Times New Roman" w:hAnsi="Times New Roman"/>
                <w:noProof/>
                <w:webHidden/>
              </w:rPr>
              <w:fldChar w:fldCharType="end"/>
            </w:r>
          </w:hyperlink>
        </w:p>
        <w:p w14:paraId="5608A0CD" w14:textId="7A86DDFA"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85" w:history="1">
            <w:r w:rsidRPr="00B57CBF">
              <w:rPr>
                <w:rStyle w:val="af8"/>
                <w:rFonts w:ascii="Times New Roman" w:hAnsi="Times New Roman"/>
                <w:noProof/>
              </w:rPr>
              <w:t>3.5.2 The Application of Transformers in STLF</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13</w:t>
            </w:r>
            <w:r w:rsidRPr="00B57CBF">
              <w:rPr>
                <w:rFonts w:ascii="Times New Roman" w:hAnsi="Times New Roman"/>
                <w:noProof/>
                <w:webHidden/>
              </w:rPr>
              <w:fldChar w:fldCharType="end"/>
            </w:r>
          </w:hyperlink>
        </w:p>
        <w:p w14:paraId="240DAC2B" w14:textId="1EA41FC3"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86" w:history="1">
            <w:r w:rsidRPr="00B57CBF">
              <w:rPr>
                <w:rStyle w:val="af8"/>
                <w:rFonts w:ascii="Times New Roman" w:hAnsi="Times New Roman"/>
                <w:noProof/>
              </w:rPr>
              <w:t>3.5.3 Knowledge Migration and Our Distinct Contribution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14</w:t>
            </w:r>
            <w:r w:rsidRPr="00B57CBF">
              <w:rPr>
                <w:rFonts w:ascii="Times New Roman" w:hAnsi="Times New Roman"/>
                <w:noProof/>
                <w:webHidden/>
              </w:rPr>
              <w:fldChar w:fldCharType="end"/>
            </w:r>
          </w:hyperlink>
        </w:p>
        <w:p w14:paraId="3B92C357" w14:textId="0E939729" w:rsidR="00DC4709" w:rsidRPr="00B57CBF" w:rsidRDefault="00DC4709">
          <w:pPr>
            <w:pStyle w:val="TOC1"/>
            <w:tabs>
              <w:tab w:val="right" w:leader="dot" w:pos="8296"/>
            </w:tabs>
            <w:rPr>
              <w:rFonts w:ascii="Times New Roman" w:hAnsi="Times New Roman"/>
              <w:noProof/>
              <w:kern w:val="2"/>
              <w:szCs w:val="24"/>
              <w14:ligatures w14:val="standardContextual"/>
            </w:rPr>
          </w:pPr>
          <w:hyperlink w:anchor="_Toc228641287" w:history="1">
            <w:r w:rsidRPr="00B57CBF">
              <w:rPr>
                <w:rStyle w:val="af8"/>
                <w:rFonts w:ascii="Times New Roman" w:hAnsi="Times New Roman"/>
                <w:noProof/>
              </w:rPr>
              <w:t>4. Methodology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14</w:t>
            </w:r>
            <w:r w:rsidRPr="00B57CBF">
              <w:rPr>
                <w:rFonts w:ascii="Times New Roman" w:hAnsi="Times New Roman"/>
                <w:noProof/>
                <w:webHidden/>
              </w:rPr>
              <w:fldChar w:fldCharType="end"/>
            </w:r>
          </w:hyperlink>
        </w:p>
        <w:p w14:paraId="085CB2A8" w14:textId="4DE47ABE"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88" w:history="1">
            <w:r w:rsidRPr="00B57CBF">
              <w:rPr>
                <w:rStyle w:val="af8"/>
                <w:rFonts w:ascii="Times New Roman" w:hAnsi="Times New Roman"/>
                <w:noProof/>
              </w:rPr>
              <w:t>4.1 Data Engineering and Theoretical Preprocessing</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14</w:t>
            </w:r>
            <w:r w:rsidRPr="00B57CBF">
              <w:rPr>
                <w:rFonts w:ascii="Times New Roman" w:hAnsi="Times New Roman"/>
                <w:noProof/>
                <w:webHidden/>
              </w:rPr>
              <w:fldChar w:fldCharType="end"/>
            </w:r>
          </w:hyperlink>
        </w:p>
        <w:p w14:paraId="673E8689" w14:textId="7B507BBC"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89" w:history="1">
            <w:r w:rsidRPr="00B57CBF">
              <w:rPr>
                <w:rStyle w:val="af8"/>
                <w:rFonts w:ascii="Times New Roman" w:hAnsi="Times New Roman"/>
                <w:noProof/>
              </w:rPr>
              <w:t>4.1.1 Data Source and Granularity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_Toc228641289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15</w:t>
            </w:r>
            <w:r w:rsidRPr="00B57CBF">
              <w:rPr>
                <w:rFonts w:ascii="Times New Roman" w:hAnsi="Times New Roman"/>
                <w:noProof/>
                <w:webHidden/>
              </w:rPr>
              <w:fldChar w:fldCharType="end"/>
            </w:r>
          </w:hyperlink>
        </w:p>
        <w:p w14:paraId="64BC15C0" w14:textId="15328AFB"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90" w:history="1">
            <w:r w:rsidRPr="00B57CBF">
              <w:rPr>
                <w:rStyle w:val="af8"/>
                <w:rFonts w:ascii="Times New Roman" w:hAnsi="Times New Roman"/>
                <w:noProof/>
              </w:rPr>
              <w:t>4.1.2 Handling Missing Data and Linear Interpolation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15</w:t>
            </w:r>
            <w:r w:rsidRPr="00B57CBF">
              <w:rPr>
                <w:rFonts w:ascii="Times New Roman" w:hAnsi="Times New Roman"/>
                <w:noProof/>
                <w:webHidden/>
              </w:rPr>
              <w:fldChar w:fldCharType="end"/>
            </w:r>
          </w:hyperlink>
        </w:p>
        <w:p w14:paraId="1E9B5ABE" w14:textId="5F592981"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91" w:history="1">
            <w:r w:rsidRPr="00B57CBF">
              <w:rPr>
                <w:rStyle w:val="af8"/>
                <w:rFonts w:ascii="Times New Roman" w:hAnsi="Times New Roman"/>
                <w:noProof/>
              </w:rPr>
              <w:t>4.1.3 Theoretical Impact of Z-score Normalization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15</w:t>
            </w:r>
            <w:r w:rsidRPr="00B57CBF">
              <w:rPr>
                <w:rFonts w:ascii="Times New Roman" w:hAnsi="Times New Roman"/>
                <w:noProof/>
                <w:webHidden/>
              </w:rPr>
              <w:fldChar w:fldCharType="end"/>
            </w:r>
          </w:hyperlink>
        </w:p>
        <w:p w14:paraId="48F4E564" w14:textId="0611F9A0"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92" w:history="1">
            <w:r w:rsidRPr="00B57CBF">
              <w:rPr>
                <w:rStyle w:val="af8"/>
                <w:rFonts w:ascii="Times New Roman" w:hAnsi="Times New Roman"/>
                <w:noProof/>
              </w:rPr>
              <w:t>4.1.4 Temporal Framing via Sliding Window</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16</w:t>
            </w:r>
            <w:r w:rsidRPr="00B57CBF">
              <w:rPr>
                <w:rFonts w:ascii="Times New Roman" w:hAnsi="Times New Roman"/>
                <w:noProof/>
                <w:webHidden/>
              </w:rPr>
              <w:fldChar w:fldCharType="end"/>
            </w:r>
          </w:hyperlink>
        </w:p>
        <w:p w14:paraId="76111A45" w14:textId="374A544F"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93" w:history="1">
            <w:r w:rsidRPr="00B57CBF">
              <w:rPr>
                <w:rStyle w:val="af8"/>
                <w:rFonts w:ascii="Times New Roman" w:hAnsi="Times New Roman"/>
                <w:noProof/>
              </w:rPr>
              <w:t>4.1.5 Multivariate Expansion: Integration of Temporal Covariates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16</w:t>
            </w:r>
            <w:r w:rsidRPr="00B57CBF">
              <w:rPr>
                <w:rFonts w:ascii="Times New Roman" w:hAnsi="Times New Roman"/>
                <w:noProof/>
                <w:webHidden/>
              </w:rPr>
              <w:fldChar w:fldCharType="end"/>
            </w:r>
          </w:hyperlink>
        </w:p>
        <w:p w14:paraId="0929CD52" w14:textId="13A1D7E9"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94" w:history="1">
            <w:r w:rsidRPr="00B57CBF">
              <w:rPr>
                <w:rStyle w:val="af8"/>
                <w:rFonts w:ascii="Times New Roman" w:hAnsi="Times New Roman"/>
                <w:noProof/>
              </w:rPr>
              <w:t>4.2 The Mathematical Architecture of LSTM Networks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17</w:t>
            </w:r>
            <w:r w:rsidRPr="00B57CBF">
              <w:rPr>
                <w:rFonts w:ascii="Times New Roman" w:hAnsi="Times New Roman"/>
                <w:noProof/>
                <w:webHidden/>
              </w:rPr>
              <w:fldChar w:fldCharType="end"/>
            </w:r>
          </w:hyperlink>
        </w:p>
        <w:p w14:paraId="23B666D5" w14:textId="5C39E4F3"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95" w:history="1">
            <w:r w:rsidRPr="00B57CBF">
              <w:rPr>
                <w:rStyle w:val="af8"/>
                <w:rFonts w:ascii="Times New Roman" w:hAnsi="Times New Roman"/>
                <w:noProof/>
              </w:rPr>
              <w:t>4.2.1 The Core Mechanism: The Cell State</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17</w:t>
            </w:r>
            <w:r w:rsidRPr="00B57CBF">
              <w:rPr>
                <w:rFonts w:ascii="Times New Roman" w:hAnsi="Times New Roman"/>
                <w:noProof/>
                <w:webHidden/>
              </w:rPr>
              <w:fldChar w:fldCharType="end"/>
            </w:r>
          </w:hyperlink>
        </w:p>
        <w:p w14:paraId="2793BB05" w14:textId="0FEAFC29"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96" w:history="1">
            <w:r w:rsidRPr="00B57CBF">
              <w:rPr>
                <w:rStyle w:val="af8"/>
                <w:rFonts w:ascii="Times New Roman" w:hAnsi="Times New Roman"/>
                <w:noProof/>
              </w:rPr>
              <w:t>4.2.2 The Forget Gate: Deciding What to Discard</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17</w:t>
            </w:r>
            <w:r w:rsidRPr="00B57CBF">
              <w:rPr>
                <w:rFonts w:ascii="Times New Roman" w:hAnsi="Times New Roman"/>
                <w:noProof/>
                <w:webHidden/>
              </w:rPr>
              <w:fldChar w:fldCharType="end"/>
            </w:r>
          </w:hyperlink>
        </w:p>
        <w:p w14:paraId="697A66C9" w14:textId="3AB237A7"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97" w:history="1">
            <w:r w:rsidRPr="00B57CBF">
              <w:rPr>
                <w:rStyle w:val="af8"/>
                <w:rFonts w:ascii="Times New Roman" w:hAnsi="Times New Roman"/>
                <w:noProof/>
              </w:rPr>
              <w:t>4.2.3 The Input Gate: Knowledge Synthesis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18</w:t>
            </w:r>
            <w:r w:rsidRPr="00B57CBF">
              <w:rPr>
                <w:rFonts w:ascii="Times New Roman" w:hAnsi="Times New Roman"/>
                <w:noProof/>
                <w:webHidden/>
              </w:rPr>
              <w:fldChar w:fldCharType="end"/>
            </w:r>
          </w:hyperlink>
        </w:p>
        <w:p w14:paraId="17C62129" w14:textId="47A267CC"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298" w:history="1">
            <w:r w:rsidRPr="00B57CBF">
              <w:rPr>
                <w:rStyle w:val="af8"/>
                <w:rFonts w:ascii="Times New Roman" w:hAnsi="Times New Roman"/>
                <w:noProof/>
              </w:rPr>
              <w:t>4.2.4 The Output Gate: Hidden State Generation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18</w:t>
            </w:r>
            <w:r w:rsidRPr="00B57CBF">
              <w:rPr>
                <w:rFonts w:ascii="Times New Roman" w:hAnsi="Times New Roman"/>
                <w:noProof/>
                <w:webHidden/>
              </w:rPr>
              <w:fldChar w:fldCharType="end"/>
            </w:r>
          </w:hyperlink>
        </w:p>
        <w:p w14:paraId="26F2EA34" w14:textId="68A9427C"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299" w:history="1">
            <w:r w:rsidRPr="00B57CBF">
              <w:rPr>
                <w:rStyle w:val="af8"/>
                <w:rFonts w:ascii="Times New Roman" w:hAnsi="Times New Roman"/>
                <w:noProof/>
              </w:rPr>
              <w:t>4.3 The Transformer Architecture for Sequence Modeling</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_Toc228641299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19</w:t>
            </w:r>
            <w:r w:rsidRPr="00B57CBF">
              <w:rPr>
                <w:rFonts w:ascii="Times New Roman" w:hAnsi="Times New Roman"/>
                <w:noProof/>
                <w:webHidden/>
              </w:rPr>
              <w:fldChar w:fldCharType="end"/>
            </w:r>
          </w:hyperlink>
        </w:p>
        <w:p w14:paraId="500F8B3B" w14:textId="00FF98F8"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00" w:history="1">
            <w:r w:rsidRPr="00B57CBF">
              <w:rPr>
                <w:rStyle w:val="af8"/>
                <w:rFonts w:ascii="Times New Roman" w:hAnsi="Times New Roman"/>
                <w:noProof/>
              </w:rPr>
              <w:t>4.4 Experimental Framework and Comparative Logic</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19</w:t>
            </w:r>
            <w:r w:rsidRPr="00B57CBF">
              <w:rPr>
                <w:rFonts w:ascii="Times New Roman" w:hAnsi="Times New Roman"/>
                <w:noProof/>
                <w:webHidden/>
              </w:rPr>
              <w:fldChar w:fldCharType="end"/>
            </w:r>
          </w:hyperlink>
        </w:p>
        <w:p w14:paraId="7F5D3511" w14:textId="452E2825" w:rsidR="00DC4709" w:rsidRPr="00B57CBF" w:rsidRDefault="00DC4709">
          <w:pPr>
            <w:pStyle w:val="TOC1"/>
            <w:tabs>
              <w:tab w:val="right" w:leader="dot" w:pos="8296"/>
            </w:tabs>
            <w:rPr>
              <w:rFonts w:ascii="Times New Roman" w:hAnsi="Times New Roman"/>
              <w:noProof/>
              <w:kern w:val="2"/>
              <w:szCs w:val="24"/>
              <w14:ligatures w14:val="standardContextual"/>
            </w:rPr>
          </w:pPr>
          <w:hyperlink w:anchor="_Toc228641301" w:history="1">
            <w:r w:rsidRPr="00B57CBF">
              <w:rPr>
                <w:rStyle w:val="af8"/>
                <w:rFonts w:ascii="Times New Roman" w:hAnsi="Times New Roman"/>
                <w:noProof/>
              </w:rPr>
              <w:t>5: System Implementation and Computational Framework</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20</w:t>
            </w:r>
            <w:r w:rsidRPr="00B57CBF">
              <w:rPr>
                <w:rFonts w:ascii="Times New Roman" w:hAnsi="Times New Roman"/>
                <w:noProof/>
                <w:webHidden/>
              </w:rPr>
              <w:fldChar w:fldCharType="end"/>
            </w:r>
          </w:hyperlink>
        </w:p>
        <w:p w14:paraId="35C9B6D3" w14:textId="6A0803A0"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02" w:history="1">
            <w:r w:rsidRPr="00B57CBF">
              <w:rPr>
                <w:rStyle w:val="af8"/>
                <w:rFonts w:ascii="Times New Roman" w:hAnsi="Times New Roman"/>
                <w:noProof/>
              </w:rPr>
              <w:t>5.1 Engineering Philosophy and Modular Architecture</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20</w:t>
            </w:r>
            <w:r w:rsidRPr="00B57CBF">
              <w:rPr>
                <w:rFonts w:ascii="Times New Roman" w:hAnsi="Times New Roman"/>
                <w:noProof/>
                <w:webHidden/>
              </w:rPr>
              <w:fldChar w:fldCharType="end"/>
            </w:r>
          </w:hyperlink>
        </w:p>
        <w:p w14:paraId="16779AFD" w14:textId="5A6DC8F9"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03" w:history="1">
            <w:r w:rsidRPr="00B57CBF">
              <w:rPr>
                <w:rStyle w:val="af8"/>
                <w:rFonts w:ascii="Times New Roman" w:hAnsi="Times New Roman"/>
                <w:noProof/>
              </w:rPr>
              <w:t>5.1.1 Technological Stack and Rationale</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20</w:t>
            </w:r>
            <w:r w:rsidRPr="00B57CBF">
              <w:rPr>
                <w:rFonts w:ascii="Times New Roman" w:hAnsi="Times New Roman"/>
                <w:noProof/>
                <w:webHidden/>
              </w:rPr>
              <w:fldChar w:fldCharType="end"/>
            </w:r>
          </w:hyperlink>
        </w:p>
        <w:p w14:paraId="0581A9B1" w14:textId="35D74338"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04" w:history="1">
            <w:r w:rsidRPr="00B57CBF">
              <w:rPr>
                <w:rStyle w:val="af8"/>
                <w:rFonts w:ascii="Times New Roman" w:hAnsi="Times New Roman"/>
                <w:noProof/>
              </w:rPr>
              <w:t>5.2 Implementation of the Data Engineering Pipeline</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21</w:t>
            </w:r>
            <w:r w:rsidRPr="00B57CBF">
              <w:rPr>
                <w:rFonts w:ascii="Times New Roman" w:hAnsi="Times New Roman"/>
                <w:noProof/>
                <w:webHidden/>
              </w:rPr>
              <w:fldChar w:fldCharType="end"/>
            </w:r>
          </w:hyperlink>
        </w:p>
        <w:p w14:paraId="5A578D3E" w14:textId="469FB316"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05" w:history="1">
            <w:r w:rsidRPr="00B57CBF">
              <w:rPr>
                <w:rStyle w:val="af8"/>
                <w:rFonts w:ascii="Times New Roman" w:hAnsi="Times New Roman"/>
                <w:noProof/>
              </w:rPr>
              <w:t>5.2.1 Instance Normalization and Preprocessing Logic</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21</w:t>
            </w:r>
            <w:r w:rsidRPr="00B57CBF">
              <w:rPr>
                <w:rFonts w:ascii="Times New Roman" w:hAnsi="Times New Roman"/>
                <w:noProof/>
                <w:webHidden/>
              </w:rPr>
              <w:fldChar w:fldCharType="end"/>
            </w:r>
          </w:hyperlink>
        </w:p>
        <w:p w14:paraId="6BD2683A" w14:textId="3B6C2C10"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06" w:history="1">
            <w:r w:rsidRPr="00B57CBF">
              <w:rPr>
                <w:rStyle w:val="af8"/>
                <w:rFonts w:ascii="Times New Roman" w:hAnsi="Times New Roman"/>
                <w:noProof/>
              </w:rPr>
              <w:t>5.2.2 The SmartMeterDataset Class and Sliding Window Mechanism</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21</w:t>
            </w:r>
            <w:r w:rsidRPr="00B57CBF">
              <w:rPr>
                <w:rFonts w:ascii="Times New Roman" w:hAnsi="Times New Roman"/>
                <w:noProof/>
                <w:webHidden/>
              </w:rPr>
              <w:fldChar w:fldCharType="end"/>
            </w:r>
          </w:hyperlink>
        </w:p>
        <w:p w14:paraId="01F557B5" w14:textId="0A3255D4"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07" w:history="1">
            <w:r w:rsidRPr="00B57CBF">
              <w:rPr>
                <w:rStyle w:val="af8"/>
                <w:rFonts w:ascii="Times New Roman" w:hAnsi="Times New Roman"/>
                <w:noProof/>
              </w:rPr>
              <w:t>5.2.3 Implementation of Temporal Feature Fusion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22</w:t>
            </w:r>
            <w:r w:rsidRPr="00B57CBF">
              <w:rPr>
                <w:rFonts w:ascii="Times New Roman" w:hAnsi="Times New Roman"/>
                <w:noProof/>
                <w:webHidden/>
              </w:rPr>
              <w:fldChar w:fldCharType="end"/>
            </w:r>
          </w:hyperlink>
        </w:p>
        <w:p w14:paraId="3C327E1D" w14:textId="2979C727"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08" w:history="1">
            <w:r w:rsidRPr="00B57CBF">
              <w:rPr>
                <w:rStyle w:val="af8"/>
                <w:rFonts w:ascii="Times New Roman" w:hAnsi="Times New Roman"/>
                <w:noProof/>
              </w:rPr>
              <w:t>5.3 Automated Optimization and Search Space Design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22</w:t>
            </w:r>
            <w:r w:rsidRPr="00B57CBF">
              <w:rPr>
                <w:rFonts w:ascii="Times New Roman" w:hAnsi="Times New Roman"/>
                <w:noProof/>
                <w:webHidden/>
              </w:rPr>
              <w:fldChar w:fldCharType="end"/>
            </w:r>
          </w:hyperlink>
        </w:p>
        <w:p w14:paraId="781D03B0" w14:textId="284D8D17"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09" w:history="1">
            <w:r w:rsidRPr="00B57CBF">
              <w:rPr>
                <w:rStyle w:val="af8"/>
                <w:rFonts w:ascii="Times New Roman" w:hAnsi="Times New Roman"/>
                <w:noProof/>
              </w:rPr>
              <w:t>5.3.1 Optuna TPE and SQLite Integration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_Toc228641309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22</w:t>
            </w:r>
            <w:r w:rsidRPr="00B57CBF">
              <w:rPr>
                <w:rFonts w:ascii="Times New Roman" w:hAnsi="Times New Roman"/>
                <w:noProof/>
                <w:webHidden/>
              </w:rPr>
              <w:fldChar w:fldCharType="end"/>
            </w:r>
          </w:hyperlink>
        </w:p>
        <w:p w14:paraId="0C237006" w14:textId="72A0F3B7"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10" w:history="1">
            <w:r w:rsidRPr="00B57CBF">
              <w:rPr>
                <w:rStyle w:val="af8"/>
                <w:rFonts w:ascii="Times New Roman" w:hAnsi="Times New Roman"/>
                <w:noProof/>
              </w:rPr>
              <w:t>5.3.2 Search Space and Convergence Strategy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22</w:t>
            </w:r>
            <w:r w:rsidRPr="00B57CBF">
              <w:rPr>
                <w:rFonts w:ascii="Times New Roman" w:hAnsi="Times New Roman"/>
                <w:noProof/>
                <w:webHidden/>
              </w:rPr>
              <w:fldChar w:fldCharType="end"/>
            </w:r>
          </w:hyperlink>
        </w:p>
        <w:p w14:paraId="468D5E09" w14:textId="17C1280D"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11" w:history="1">
            <w:r w:rsidRPr="00B57CBF">
              <w:rPr>
                <w:rStyle w:val="af8"/>
                <w:rFonts w:ascii="Times New Roman" w:hAnsi="Times New Roman"/>
                <w:noProof/>
              </w:rPr>
              <w:t>5.3.3 Multi-Architecture Search Space Design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22</w:t>
            </w:r>
            <w:r w:rsidRPr="00B57CBF">
              <w:rPr>
                <w:rFonts w:ascii="Times New Roman" w:hAnsi="Times New Roman"/>
                <w:noProof/>
                <w:webHidden/>
              </w:rPr>
              <w:fldChar w:fldCharType="end"/>
            </w:r>
          </w:hyperlink>
        </w:p>
        <w:p w14:paraId="385D6087" w14:textId="367A3DD8"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12" w:history="1">
            <w:r w:rsidRPr="00B57CBF">
              <w:rPr>
                <w:rStyle w:val="af8"/>
                <w:rFonts w:ascii="Times New Roman" w:hAnsi="Times New Roman"/>
                <w:noProof/>
              </w:rPr>
              <w:t>5.4 Implementation of the Transfer Learning Framework</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23</w:t>
            </w:r>
            <w:r w:rsidRPr="00B57CBF">
              <w:rPr>
                <w:rFonts w:ascii="Times New Roman" w:hAnsi="Times New Roman"/>
                <w:noProof/>
                <w:webHidden/>
              </w:rPr>
              <w:fldChar w:fldCharType="end"/>
            </w:r>
          </w:hyperlink>
        </w:p>
        <w:p w14:paraId="714CEC0A" w14:textId="3937C11B"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13" w:history="1">
            <w:r w:rsidRPr="00B57CBF">
              <w:rPr>
                <w:rStyle w:val="af8"/>
                <w:rFonts w:ascii="Times New Roman" w:hAnsi="Times New Roman"/>
                <w:noProof/>
              </w:rPr>
              <w:t>5.4.1 Programmatic Gradient Masking</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23</w:t>
            </w:r>
            <w:r w:rsidRPr="00B57CBF">
              <w:rPr>
                <w:rFonts w:ascii="Times New Roman" w:hAnsi="Times New Roman"/>
                <w:noProof/>
                <w:webHidden/>
              </w:rPr>
              <w:fldChar w:fldCharType="end"/>
            </w:r>
          </w:hyperlink>
        </w:p>
        <w:p w14:paraId="2F082309" w14:textId="045730D7"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14" w:history="1">
            <w:r w:rsidRPr="00B57CBF">
              <w:rPr>
                <w:rStyle w:val="af8"/>
                <w:rFonts w:ascii="Times New Roman" w:hAnsi="Times New Roman"/>
                <w:noProof/>
              </w:rPr>
              <w:t>5.4.2 Comparative Evaluation and Multi-Strategy Testing</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23</w:t>
            </w:r>
            <w:r w:rsidRPr="00B57CBF">
              <w:rPr>
                <w:rFonts w:ascii="Times New Roman" w:hAnsi="Times New Roman"/>
                <w:noProof/>
                <w:webHidden/>
              </w:rPr>
              <w:fldChar w:fldCharType="end"/>
            </w:r>
          </w:hyperlink>
        </w:p>
        <w:p w14:paraId="6634DD38" w14:textId="39F3AF0E"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15" w:history="1">
            <w:r w:rsidRPr="00B57CBF">
              <w:rPr>
                <w:rStyle w:val="af8"/>
                <w:rFonts w:ascii="Times New Roman" w:hAnsi="Times New Roman"/>
                <w:noProof/>
              </w:rPr>
              <w:t>5.5 Computational Performance and Metrics Implementation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24</w:t>
            </w:r>
            <w:r w:rsidRPr="00B57CBF">
              <w:rPr>
                <w:rFonts w:ascii="Times New Roman" w:hAnsi="Times New Roman"/>
                <w:noProof/>
                <w:webHidden/>
              </w:rPr>
              <w:fldChar w:fldCharType="end"/>
            </w:r>
          </w:hyperlink>
        </w:p>
        <w:p w14:paraId="15179C17" w14:textId="1FE3D45A"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16" w:history="1">
            <w:r w:rsidRPr="00B57CBF">
              <w:rPr>
                <w:rStyle w:val="af8"/>
                <w:rFonts w:ascii="Times New Roman" w:hAnsi="Times New Roman"/>
                <w:noProof/>
              </w:rPr>
              <w:t>5.5.1 Robust Metric Calculation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24</w:t>
            </w:r>
            <w:r w:rsidRPr="00B57CBF">
              <w:rPr>
                <w:rFonts w:ascii="Times New Roman" w:hAnsi="Times New Roman"/>
                <w:noProof/>
                <w:webHidden/>
              </w:rPr>
              <w:fldChar w:fldCharType="end"/>
            </w:r>
          </w:hyperlink>
        </w:p>
        <w:p w14:paraId="45CBE3AA" w14:textId="41A61BF0"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17" w:history="1">
            <w:r w:rsidRPr="00B57CBF">
              <w:rPr>
                <w:rStyle w:val="af8"/>
                <w:rFonts w:ascii="Times New Roman" w:hAnsi="Times New Roman"/>
                <w:noProof/>
              </w:rPr>
              <w:t>5.5.2 Visualization and Result Persistance</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24</w:t>
            </w:r>
            <w:r w:rsidRPr="00B57CBF">
              <w:rPr>
                <w:rFonts w:ascii="Times New Roman" w:hAnsi="Times New Roman"/>
                <w:noProof/>
                <w:webHidden/>
              </w:rPr>
              <w:fldChar w:fldCharType="end"/>
            </w:r>
          </w:hyperlink>
        </w:p>
        <w:p w14:paraId="39E9CB46" w14:textId="0EB9A33F"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18" w:history="1">
            <w:r w:rsidRPr="00B57CBF">
              <w:rPr>
                <w:rStyle w:val="af8"/>
                <w:rFonts w:ascii="Times New Roman" w:hAnsi="Times New Roman"/>
                <w:noProof/>
              </w:rPr>
              <w:t>5.5.3 Automated Comparative Reporting</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24</w:t>
            </w:r>
            <w:r w:rsidRPr="00B57CBF">
              <w:rPr>
                <w:rFonts w:ascii="Times New Roman" w:hAnsi="Times New Roman"/>
                <w:noProof/>
                <w:webHidden/>
              </w:rPr>
              <w:fldChar w:fldCharType="end"/>
            </w:r>
          </w:hyperlink>
        </w:p>
        <w:p w14:paraId="59280017" w14:textId="748D5C5A" w:rsidR="00DC4709" w:rsidRPr="00B57CBF" w:rsidRDefault="00DC4709">
          <w:pPr>
            <w:pStyle w:val="TOC1"/>
            <w:tabs>
              <w:tab w:val="right" w:leader="dot" w:pos="8296"/>
            </w:tabs>
            <w:rPr>
              <w:rFonts w:ascii="Times New Roman" w:hAnsi="Times New Roman"/>
              <w:noProof/>
              <w:kern w:val="2"/>
              <w:szCs w:val="24"/>
              <w14:ligatures w14:val="standardContextual"/>
            </w:rPr>
          </w:pPr>
          <w:hyperlink w:anchor="_Toc228641319" w:history="1">
            <w:r w:rsidRPr="00B57CBF">
              <w:rPr>
                <w:rStyle w:val="af8"/>
                <w:rFonts w:ascii="Times New Roman" w:hAnsi="Times New Roman"/>
                <w:noProof/>
              </w:rPr>
              <w:t>6. Results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_Toc228641319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25</w:t>
            </w:r>
            <w:r w:rsidRPr="00B57CBF">
              <w:rPr>
                <w:rFonts w:ascii="Times New Roman" w:hAnsi="Times New Roman"/>
                <w:noProof/>
                <w:webHidden/>
              </w:rPr>
              <w:fldChar w:fldCharType="end"/>
            </w:r>
          </w:hyperlink>
        </w:p>
        <w:p w14:paraId="6E984D04" w14:textId="6561F0C3"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20" w:history="1">
            <w:r w:rsidRPr="00B57CBF">
              <w:rPr>
                <w:rStyle w:val="af8"/>
                <w:rFonts w:ascii="Times New Roman" w:hAnsi="Times New Roman"/>
                <w:noProof/>
              </w:rPr>
              <w:t>6.1 Comprehensive Quantitative Analysis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25</w:t>
            </w:r>
            <w:r w:rsidRPr="00B57CBF">
              <w:rPr>
                <w:rFonts w:ascii="Times New Roman" w:hAnsi="Times New Roman"/>
                <w:noProof/>
                <w:webHidden/>
              </w:rPr>
              <w:fldChar w:fldCharType="end"/>
            </w:r>
          </w:hyperlink>
        </w:p>
        <w:p w14:paraId="63CF8A69" w14:textId="350AA704"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21" w:history="1">
            <w:r w:rsidRPr="00B57CBF">
              <w:rPr>
                <w:rStyle w:val="af8"/>
                <w:rFonts w:ascii="Times New Roman" w:hAnsi="Times New Roman"/>
                <w:noProof/>
              </w:rPr>
              <w:t>6.1.1 Experimental Configuration and the 10-Day Window</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25</w:t>
            </w:r>
            <w:r w:rsidRPr="00B57CBF">
              <w:rPr>
                <w:rFonts w:ascii="Times New Roman" w:hAnsi="Times New Roman"/>
                <w:noProof/>
                <w:webHidden/>
              </w:rPr>
              <w:fldChar w:fldCharType="end"/>
            </w:r>
          </w:hyperlink>
        </w:p>
        <w:p w14:paraId="2BFDD701" w14:textId="07539057"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22" w:history="1">
            <w:r w:rsidRPr="00B57CBF">
              <w:rPr>
                <w:rStyle w:val="af8"/>
                <w:rFonts w:ascii="Times New Roman" w:hAnsi="Times New Roman"/>
                <w:noProof/>
              </w:rPr>
              <w:t>6.1.2 Definition of Forecasting Strategies and Architectures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25</w:t>
            </w:r>
            <w:r w:rsidRPr="00B57CBF">
              <w:rPr>
                <w:rFonts w:ascii="Times New Roman" w:hAnsi="Times New Roman"/>
                <w:noProof/>
                <w:webHidden/>
              </w:rPr>
              <w:fldChar w:fldCharType="end"/>
            </w:r>
          </w:hyperlink>
        </w:p>
        <w:p w14:paraId="442E1AAE" w14:textId="260ABFD2"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23" w:history="1">
            <w:r w:rsidRPr="00B57CBF">
              <w:rPr>
                <w:rStyle w:val="af8"/>
                <w:rFonts w:ascii="Times New Roman" w:hAnsi="Times New Roman"/>
                <w:noProof/>
              </w:rPr>
              <w:t>6.1.3 Evaluation Protocol and Metrics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26</w:t>
            </w:r>
            <w:r w:rsidRPr="00B57CBF">
              <w:rPr>
                <w:rFonts w:ascii="Times New Roman" w:hAnsi="Times New Roman"/>
                <w:noProof/>
                <w:webHidden/>
              </w:rPr>
              <w:fldChar w:fldCharType="end"/>
            </w:r>
          </w:hyperlink>
        </w:p>
        <w:p w14:paraId="37C24C78" w14:textId="5C184CAD"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24" w:history="1">
            <w:r w:rsidRPr="00B57CBF">
              <w:rPr>
                <w:rStyle w:val="af8"/>
                <w:rFonts w:ascii="Times New Roman" w:hAnsi="Times New Roman"/>
                <w:noProof/>
              </w:rPr>
              <w:t>6.2 The Mechanism of the “Performance Ladder”</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26</w:t>
            </w:r>
            <w:r w:rsidRPr="00B57CBF">
              <w:rPr>
                <w:rFonts w:ascii="Times New Roman" w:hAnsi="Times New Roman"/>
                <w:noProof/>
                <w:webHidden/>
              </w:rPr>
              <w:fldChar w:fldCharType="end"/>
            </w:r>
          </w:hyperlink>
        </w:p>
        <w:p w14:paraId="33FC6778" w14:textId="308B20AD"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25" w:history="1">
            <w:r w:rsidRPr="00B57CBF">
              <w:rPr>
                <w:rStyle w:val="af8"/>
                <w:rFonts w:ascii="Times New Roman" w:hAnsi="Times New Roman"/>
                <w:noProof/>
              </w:rPr>
              <w:t>6.2.1 Overcoming the Overfitting Threshold</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26</w:t>
            </w:r>
            <w:r w:rsidRPr="00B57CBF">
              <w:rPr>
                <w:rFonts w:ascii="Times New Roman" w:hAnsi="Times New Roman"/>
                <w:noProof/>
                <w:webHidden/>
              </w:rPr>
              <w:fldChar w:fldCharType="end"/>
            </w:r>
          </w:hyperlink>
        </w:p>
        <w:p w14:paraId="751A3232" w14:textId="699AAC5B"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26" w:history="1">
            <w:r w:rsidRPr="00B57CBF">
              <w:rPr>
                <w:rStyle w:val="af8"/>
                <w:rFonts w:ascii="Times New Roman" w:hAnsi="Times New Roman"/>
                <w:noProof/>
              </w:rPr>
              <w:t>6.2.2 The Efficacy of Localized Adaptation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27</w:t>
            </w:r>
            <w:r w:rsidRPr="00B57CBF">
              <w:rPr>
                <w:rFonts w:ascii="Times New Roman" w:hAnsi="Times New Roman"/>
                <w:noProof/>
                <w:webHidden/>
              </w:rPr>
              <w:fldChar w:fldCharType="end"/>
            </w:r>
          </w:hyperlink>
        </w:p>
        <w:p w14:paraId="09048C92" w14:textId="528956E1"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27" w:history="1">
            <w:r w:rsidRPr="00B57CBF">
              <w:rPr>
                <w:rStyle w:val="af8"/>
                <w:rFonts w:ascii="Times New Roman" w:hAnsi="Times New Roman"/>
                <w:noProof/>
              </w:rPr>
              <w:t>6.3 Empirical Evidence of Negative Transfer</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28</w:t>
            </w:r>
            <w:r w:rsidRPr="00B57CBF">
              <w:rPr>
                <w:rFonts w:ascii="Times New Roman" w:hAnsi="Times New Roman"/>
                <w:noProof/>
                <w:webHidden/>
              </w:rPr>
              <w:fldChar w:fldCharType="end"/>
            </w:r>
          </w:hyperlink>
        </w:p>
        <w:p w14:paraId="0E917FCE" w14:textId="4330980E"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28" w:history="1">
            <w:r w:rsidRPr="00B57CBF">
              <w:rPr>
                <w:rStyle w:val="af8"/>
                <w:rFonts w:ascii="Times New Roman" w:hAnsi="Times New Roman"/>
                <w:noProof/>
              </w:rPr>
              <w:t>6.3.1 The Failure of Model 1 and Informative Bias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29</w:t>
            </w:r>
            <w:r w:rsidRPr="00B57CBF">
              <w:rPr>
                <w:rFonts w:ascii="Times New Roman" w:hAnsi="Times New Roman"/>
                <w:noProof/>
                <w:webHidden/>
              </w:rPr>
              <w:fldChar w:fldCharType="end"/>
            </w:r>
          </w:hyperlink>
        </w:p>
        <w:p w14:paraId="7EE0AF3D" w14:textId="315C9299"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29" w:history="1">
            <w:r w:rsidRPr="00B57CBF">
              <w:rPr>
                <w:rStyle w:val="af8"/>
                <w:rFonts w:ascii="Times New Roman" w:hAnsi="Times New Roman"/>
                <w:noProof/>
              </w:rPr>
              <w:t>6.3.2 Systematic Optimization via Optuna (v1 and v2)</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_Toc228641329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30</w:t>
            </w:r>
            <w:r w:rsidRPr="00B57CBF">
              <w:rPr>
                <w:rFonts w:ascii="Times New Roman" w:hAnsi="Times New Roman"/>
                <w:noProof/>
                <w:webHidden/>
              </w:rPr>
              <w:fldChar w:fldCharType="end"/>
            </w:r>
          </w:hyperlink>
        </w:p>
        <w:p w14:paraId="0CAFBA37" w14:textId="4C58C257"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30" w:history="1">
            <w:r w:rsidRPr="00B57CBF">
              <w:rPr>
                <w:rStyle w:val="af8"/>
                <w:rFonts w:ascii="Times New Roman" w:hAnsi="Times New Roman"/>
                <w:noProof/>
              </w:rPr>
              <w:t>6.4 Architectural Duel: LSTM vs. Transformer in Cold-Start</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31</w:t>
            </w:r>
            <w:r w:rsidRPr="00B57CBF">
              <w:rPr>
                <w:rFonts w:ascii="Times New Roman" w:hAnsi="Times New Roman"/>
                <w:noProof/>
                <w:webHidden/>
              </w:rPr>
              <w:fldChar w:fldCharType="end"/>
            </w:r>
          </w:hyperlink>
        </w:p>
        <w:p w14:paraId="4C87779E" w14:textId="01E832AD"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31" w:history="1">
            <w:r w:rsidRPr="00B57CBF">
              <w:rPr>
                <w:rStyle w:val="af8"/>
                <w:rFonts w:ascii="Times New Roman" w:hAnsi="Times New Roman"/>
                <w:noProof/>
              </w:rPr>
              <w:t>6.4.1 Quantitative Comparison of Mean Performance</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31</w:t>
            </w:r>
            <w:r w:rsidRPr="00B57CBF">
              <w:rPr>
                <w:rFonts w:ascii="Times New Roman" w:hAnsi="Times New Roman"/>
                <w:noProof/>
                <w:webHidden/>
              </w:rPr>
              <w:fldChar w:fldCharType="end"/>
            </w:r>
          </w:hyperlink>
        </w:p>
        <w:p w14:paraId="0404C59D" w14:textId="6EE3DAC5"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32" w:history="1">
            <w:r w:rsidRPr="00B57CBF">
              <w:rPr>
                <w:rStyle w:val="af8"/>
                <w:rFonts w:ascii="Times New Roman" w:hAnsi="Times New Roman"/>
                <w:noProof/>
              </w:rPr>
              <w:t>6.4.2 Theoretical Analysis: Inductive Bias vs. Data Hunger</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32</w:t>
            </w:r>
            <w:r w:rsidRPr="00B57CBF">
              <w:rPr>
                <w:rFonts w:ascii="Times New Roman" w:hAnsi="Times New Roman"/>
                <w:noProof/>
                <w:webHidden/>
              </w:rPr>
              <w:fldChar w:fldCharType="end"/>
            </w:r>
          </w:hyperlink>
        </w:p>
        <w:p w14:paraId="461DCA03" w14:textId="38976DDD"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33" w:history="1">
            <w:r w:rsidRPr="00B57CBF">
              <w:rPr>
                <w:rStyle w:val="af8"/>
                <w:rFonts w:ascii="Times New Roman" w:hAnsi="Times New Roman"/>
                <w:noProof/>
              </w:rPr>
              <w:t>6.4.3 Visual Evidence of Forecasting Stability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32</w:t>
            </w:r>
            <w:r w:rsidRPr="00B57CBF">
              <w:rPr>
                <w:rFonts w:ascii="Times New Roman" w:hAnsi="Times New Roman"/>
                <w:noProof/>
                <w:webHidden/>
              </w:rPr>
              <w:fldChar w:fldCharType="end"/>
            </w:r>
          </w:hyperlink>
        </w:p>
        <w:p w14:paraId="7FDBB4D8" w14:textId="58998553"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34" w:history="1">
            <w:r w:rsidRPr="00B57CBF">
              <w:rPr>
                <w:rStyle w:val="af8"/>
                <w:rFonts w:ascii="Times New Roman" w:hAnsi="Times New Roman"/>
                <w:noProof/>
              </w:rPr>
              <w:t>6.5 Robustness Analysis and Metric Discussion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33</w:t>
            </w:r>
            <w:r w:rsidRPr="00B57CBF">
              <w:rPr>
                <w:rFonts w:ascii="Times New Roman" w:hAnsi="Times New Roman"/>
                <w:noProof/>
                <w:webHidden/>
              </w:rPr>
              <w:fldChar w:fldCharType="end"/>
            </w:r>
          </w:hyperlink>
        </w:p>
        <w:p w14:paraId="2AB5C7EB" w14:textId="597996D9"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35" w:history="1">
            <w:r w:rsidRPr="00B57CBF">
              <w:rPr>
                <w:rStyle w:val="af8"/>
                <w:rFonts w:ascii="Times New Roman" w:hAnsi="Times New Roman"/>
                <w:noProof/>
              </w:rPr>
              <w:t>6.5.1 Error Stability and Architecture Reliability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33</w:t>
            </w:r>
            <w:r w:rsidRPr="00B57CBF">
              <w:rPr>
                <w:rFonts w:ascii="Times New Roman" w:hAnsi="Times New Roman"/>
                <w:noProof/>
                <w:webHidden/>
              </w:rPr>
              <w:fldChar w:fldCharType="end"/>
            </w:r>
          </w:hyperlink>
        </w:p>
        <w:p w14:paraId="1AC3492E" w14:textId="23BF3030"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36" w:history="1">
            <w:r w:rsidRPr="00B57CBF">
              <w:rPr>
                <w:rStyle w:val="af8"/>
                <w:rFonts w:ascii="Times New Roman" w:hAnsi="Times New Roman"/>
                <w:noProof/>
              </w:rPr>
              <w:t>6.5.2 Interpreting the MAPE Anomaly in Standardized Spaces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34</w:t>
            </w:r>
            <w:r w:rsidRPr="00B57CBF">
              <w:rPr>
                <w:rFonts w:ascii="Times New Roman" w:hAnsi="Times New Roman"/>
                <w:noProof/>
                <w:webHidden/>
              </w:rPr>
              <w:fldChar w:fldCharType="end"/>
            </w:r>
          </w:hyperlink>
        </w:p>
        <w:p w14:paraId="50DB3623" w14:textId="6CAEC81A" w:rsidR="00DC4709" w:rsidRPr="00B57CBF" w:rsidRDefault="00DC4709">
          <w:pPr>
            <w:pStyle w:val="TOC1"/>
            <w:tabs>
              <w:tab w:val="right" w:leader="dot" w:pos="8296"/>
            </w:tabs>
            <w:rPr>
              <w:rFonts w:ascii="Times New Roman" w:hAnsi="Times New Roman"/>
              <w:noProof/>
              <w:kern w:val="2"/>
              <w:szCs w:val="24"/>
              <w14:ligatures w14:val="standardContextual"/>
            </w:rPr>
          </w:pPr>
          <w:hyperlink w:anchor="_Toc228641337" w:history="1">
            <w:r w:rsidRPr="00B57CBF">
              <w:rPr>
                <w:rStyle w:val="af8"/>
                <w:rFonts w:ascii="Times New Roman" w:hAnsi="Times New Roman"/>
                <w:noProof/>
              </w:rPr>
              <w:t>7. Discussion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34</w:t>
            </w:r>
            <w:r w:rsidRPr="00B57CBF">
              <w:rPr>
                <w:rFonts w:ascii="Times New Roman" w:hAnsi="Times New Roman"/>
                <w:noProof/>
                <w:webHidden/>
              </w:rPr>
              <w:fldChar w:fldCharType="end"/>
            </w:r>
          </w:hyperlink>
        </w:p>
        <w:p w14:paraId="04B8C10C" w14:textId="046721E4"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38" w:history="1">
            <w:r w:rsidRPr="00B57CBF">
              <w:rPr>
                <w:rStyle w:val="af8"/>
                <w:rFonts w:ascii="Times New Roman" w:hAnsi="Times New Roman"/>
                <w:noProof/>
              </w:rPr>
              <w:t>7.1 Theoretical Foundations of the Performance Hierarchy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34</w:t>
            </w:r>
            <w:r w:rsidRPr="00B57CBF">
              <w:rPr>
                <w:rFonts w:ascii="Times New Roman" w:hAnsi="Times New Roman"/>
                <w:noProof/>
                <w:webHidden/>
              </w:rPr>
              <w:fldChar w:fldCharType="end"/>
            </w:r>
          </w:hyperlink>
        </w:p>
        <w:p w14:paraId="3ED2A527" w14:textId="25C843C3"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39" w:history="1">
            <w:r w:rsidRPr="00B57CBF">
              <w:rPr>
                <w:rStyle w:val="af8"/>
                <w:rFonts w:ascii="Times New Roman" w:hAnsi="Times New Roman"/>
                <w:noProof/>
              </w:rPr>
              <w:t>7.1.1 The Universality of Circadian Rhythms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_Toc228641339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35</w:t>
            </w:r>
            <w:r w:rsidRPr="00B57CBF">
              <w:rPr>
                <w:rFonts w:ascii="Times New Roman" w:hAnsi="Times New Roman"/>
                <w:noProof/>
                <w:webHidden/>
              </w:rPr>
              <w:fldChar w:fldCharType="end"/>
            </w:r>
          </w:hyperlink>
        </w:p>
        <w:p w14:paraId="3216A10F" w14:textId="364E06B9"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40" w:history="1">
            <w:r w:rsidRPr="00B57CBF">
              <w:rPr>
                <w:rStyle w:val="af8"/>
                <w:rFonts w:ascii="Times New Roman" w:hAnsi="Times New Roman"/>
                <w:noProof/>
              </w:rPr>
              <w:t>7.1.2 Transfer Learning as a Structural Regularizer</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35</w:t>
            </w:r>
            <w:r w:rsidRPr="00B57CBF">
              <w:rPr>
                <w:rFonts w:ascii="Times New Roman" w:hAnsi="Times New Roman"/>
                <w:noProof/>
                <w:webHidden/>
              </w:rPr>
              <w:fldChar w:fldCharType="end"/>
            </w:r>
          </w:hyperlink>
        </w:p>
        <w:p w14:paraId="292D98C3" w14:textId="35FB5EC8"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41" w:history="1">
            <w:r w:rsidRPr="00B57CBF">
              <w:rPr>
                <w:rStyle w:val="af8"/>
                <w:rFonts w:ascii="Times New Roman" w:hAnsi="Times New Roman"/>
                <w:noProof/>
              </w:rPr>
              <w:t>7.2 Architectural Trade-offs: Inductive Bias vs. Data Scarcity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35</w:t>
            </w:r>
            <w:r w:rsidRPr="00B57CBF">
              <w:rPr>
                <w:rFonts w:ascii="Times New Roman" w:hAnsi="Times New Roman"/>
                <w:noProof/>
                <w:webHidden/>
              </w:rPr>
              <w:fldChar w:fldCharType="end"/>
            </w:r>
          </w:hyperlink>
        </w:p>
        <w:p w14:paraId="554A4249" w14:textId="6E354AF4"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42" w:history="1">
            <w:r w:rsidRPr="00B57CBF">
              <w:rPr>
                <w:rStyle w:val="af8"/>
                <w:rFonts w:ascii="Times New Roman" w:hAnsi="Times New Roman"/>
                <w:noProof/>
              </w:rPr>
              <w:t>7.2.1 The “Data Hunger” Paradox of Self-Attention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36</w:t>
            </w:r>
            <w:r w:rsidRPr="00B57CBF">
              <w:rPr>
                <w:rFonts w:ascii="Times New Roman" w:hAnsi="Times New Roman"/>
                <w:noProof/>
                <w:webHidden/>
              </w:rPr>
              <w:fldChar w:fldCharType="end"/>
            </w:r>
          </w:hyperlink>
        </w:p>
        <w:p w14:paraId="1CDDD55F" w14:textId="68F9E8FA"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43" w:history="1">
            <w:r w:rsidRPr="00B57CBF">
              <w:rPr>
                <w:rStyle w:val="af8"/>
                <w:rFonts w:ascii="Times New Roman" w:hAnsi="Times New Roman"/>
                <w:noProof/>
              </w:rPr>
              <w:t>7.2.2 The Advantage of Sequential Inductive Bias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36</w:t>
            </w:r>
            <w:r w:rsidRPr="00B57CBF">
              <w:rPr>
                <w:rFonts w:ascii="Times New Roman" w:hAnsi="Times New Roman"/>
                <w:noProof/>
                <w:webHidden/>
              </w:rPr>
              <w:fldChar w:fldCharType="end"/>
            </w:r>
          </w:hyperlink>
        </w:p>
        <w:p w14:paraId="054F51BE" w14:textId="798CF466"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44" w:history="1">
            <w:r w:rsidRPr="00B57CBF">
              <w:rPr>
                <w:rStyle w:val="af8"/>
                <w:rFonts w:ascii="Times New Roman" w:hAnsi="Times New Roman"/>
                <w:noProof/>
              </w:rPr>
              <w:t>7.3 The Critical Threshold of Negative Transfer and Optimization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37</w:t>
            </w:r>
            <w:r w:rsidRPr="00B57CBF">
              <w:rPr>
                <w:rFonts w:ascii="Times New Roman" w:hAnsi="Times New Roman"/>
                <w:noProof/>
                <w:webHidden/>
              </w:rPr>
              <w:fldChar w:fldCharType="end"/>
            </w:r>
          </w:hyperlink>
        </w:p>
        <w:p w14:paraId="4EFF8A4A" w14:textId="31CF3C7D"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45" w:history="1">
            <w:r w:rsidRPr="00B57CBF">
              <w:rPr>
                <w:rStyle w:val="af8"/>
                <w:rFonts w:ascii="Times New Roman" w:hAnsi="Times New Roman"/>
                <w:noProof/>
              </w:rPr>
              <w:t>7.3.1 Informative Bias and Source Domain Over-specialization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37</w:t>
            </w:r>
            <w:r w:rsidRPr="00B57CBF">
              <w:rPr>
                <w:rFonts w:ascii="Times New Roman" w:hAnsi="Times New Roman"/>
                <w:noProof/>
                <w:webHidden/>
              </w:rPr>
              <w:fldChar w:fldCharType="end"/>
            </w:r>
          </w:hyperlink>
        </w:p>
        <w:p w14:paraId="3C690F6D" w14:textId="01B5E833"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46" w:history="1">
            <w:r w:rsidRPr="00B57CBF">
              <w:rPr>
                <w:rStyle w:val="af8"/>
                <w:rFonts w:ascii="Times New Roman" w:hAnsi="Times New Roman"/>
                <w:noProof/>
              </w:rPr>
              <w:t>7.3.2 Bayesian Optimization as a Catalyst for Transferability</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37</w:t>
            </w:r>
            <w:r w:rsidRPr="00B57CBF">
              <w:rPr>
                <w:rFonts w:ascii="Times New Roman" w:hAnsi="Times New Roman"/>
                <w:noProof/>
                <w:webHidden/>
              </w:rPr>
              <w:fldChar w:fldCharType="end"/>
            </w:r>
          </w:hyperlink>
        </w:p>
        <w:p w14:paraId="25819A92" w14:textId="2F7CFBFE"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47" w:history="1">
            <w:r w:rsidRPr="00B57CBF">
              <w:rPr>
                <w:rStyle w:val="af8"/>
                <w:rFonts w:ascii="Times New Roman" w:hAnsi="Times New Roman"/>
                <w:noProof/>
              </w:rPr>
              <w:t>7.4 Implications for Smart Grid Reliability and Service Deployment</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_Toc228641347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38</w:t>
            </w:r>
            <w:r w:rsidRPr="00B57CBF">
              <w:rPr>
                <w:rFonts w:ascii="Times New Roman" w:hAnsi="Times New Roman"/>
                <w:noProof/>
                <w:webHidden/>
              </w:rPr>
              <w:fldChar w:fldCharType="end"/>
            </w:r>
          </w:hyperlink>
        </w:p>
        <w:p w14:paraId="7813A1EF" w14:textId="5B94838C"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48" w:history="1">
            <w:r w:rsidRPr="00B57CBF">
              <w:rPr>
                <w:rStyle w:val="af8"/>
                <w:rFonts w:ascii="Times New Roman" w:hAnsi="Times New Roman"/>
                <w:noProof/>
              </w:rPr>
              <w:t>7.4.1 The “Variance Compressor” Effect and Risk Mitigation</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_Toc228641348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38</w:t>
            </w:r>
            <w:r w:rsidRPr="00B57CBF">
              <w:rPr>
                <w:rFonts w:ascii="Times New Roman" w:hAnsi="Times New Roman"/>
                <w:noProof/>
                <w:webHidden/>
              </w:rPr>
              <w:fldChar w:fldCharType="end"/>
            </w:r>
          </w:hyperlink>
        </w:p>
        <w:p w14:paraId="2438584B" w14:textId="463B5830"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49" w:history="1">
            <w:r w:rsidRPr="00B57CBF">
              <w:rPr>
                <w:rStyle w:val="af8"/>
                <w:rFonts w:ascii="Times New Roman" w:hAnsi="Times New Roman"/>
                <w:noProof/>
              </w:rPr>
              <w:t>7.4.2 Interpreting the MAPE Anomaly and Scaling Artifacts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_Toc228641349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38</w:t>
            </w:r>
            <w:r w:rsidRPr="00B57CBF">
              <w:rPr>
                <w:rFonts w:ascii="Times New Roman" w:hAnsi="Times New Roman"/>
                <w:noProof/>
                <w:webHidden/>
              </w:rPr>
              <w:fldChar w:fldCharType="end"/>
            </w:r>
          </w:hyperlink>
        </w:p>
        <w:p w14:paraId="20A00280" w14:textId="0A09F004" w:rsidR="00DC4709" w:rsidRPr="00B57CBF" w:rsidRDefault="00DC4709">
          <w:pPr>
            <w:pStyle w:val="TOC3"/>
            <w:tabs>
              <w:tab w:val="right" w:leader="dot" w:pos="8296"/>
            </w:tabs>
            <w:rPr>
              <w:rFonts w:ascii="Times New Roman" w:hAnsi="Times New Roman"/>
              <w:noProof/>
              <w:kern w:val="2"/>
              <w:szCs w:val="24"/>
              <w14:ligatures w14:val="standardContextual"/>
            </w:rPr>
          </w:pPr>
          <w:hyperlink w:anchor="_Toc228641350" w:history="1">
            <w:r w:rsidRPr="00B57CBF">
              <w:rPr>
                <w:rStyle w:val="af8"/>
                <w:rFonts w:ascii="Times New Roman" w:hAnsi="Times New Roman"/>
                <w:noProof/>
              </w:rPr>
              <w:t>7.4.3 Accelerating the ROI of Smart Metering Infrastructure</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_Toc228641350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39</w:t>
            </w:r>
            <w:r w:rsidRPr="00B57CBF">
              <w:rPr>
                <w:rFonts w:ascii="Times New Roman" w:hAnsi="Times New Roman"/>
                <w:noProof/>
                <w:webHidden/>
              </w:rPr>
              <w:fldChar w:fldCharType="end"/>
            </w:r>
          </w:hyperlink>
        </w:p>
        <w:p w14:paraId="358CA664" w14:textId="325B7057" w:rsidR="00DC4709" w:rsidRPr="00B57CBF" w:rsidRDefault="00DC4709">
          <w:pPr>
            <w:pStyle w:val="TOC1"/>
            <w:tabs>
              <w:tab w:val="right" w:leader="dot" w:pos="8296"/>
            </w:tabs>
            <w:rPr>
              <w:rFonts w:ascii="Times New Roman" w:hAnsi="Times New Roman"/>
              <w:noProof/>
              <w:kern w:val="2"/>
              <w:szCs w:val="24"/>
              <w14:ligatures w14:val="standardContextual"/>
            </w:rPr>
          </w:pPr>
          <w:hyperlink w:anchor="_Toc228641351" w:history="1">
            <w:r w:rsidRPr="00B57CBF">
              <w:rPr>
                <w:rStyle w:val="af8"/>
                <w:rFonts w:ascii="Times New Roman" w:hAnsi="Times New Roman"/>
                <w:noProof/>
              </w:rPr>
              <w:t>8.Conclusion and Future Work</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_Toc228641351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39</w:t>
            </w:r>
            <w:r w:rsidRPr="00B57CBF">
              <w:rPr>
                <w:rFonts w:ascii="Times New Roman" w:hAnsi="Times New Roman"/>
                <w:noProof/>
                <w:webHidden/>
              </w:rPr>
              <w:fldChar w:fldCharType="end"/>
            </w:r>
          </w:hyperlink>
        </w:p>
        <w:p w14:paraId="6FD82583" w14:textId="623A418E"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52" w:history="1">
            <w:r w:rsidRPr="00B57CBF">
              <w:rPr>
                <w:rStyle w:val="af8"/>
                <w:rFonts w:ascii="Times New Roman" w:hAnsi="Times New Roman"/>
                <w:noProof/>
              </w:rPr>
              <w:t>8.1 Summary of Contributions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_Toc228641352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39</w:t>
            </w:r>
            <w:r w:rsidRPr="00B57CBF">
              <w:rPr>
                <w:rFonts w:ascii="Times New Roman" w:hAnsi="Times New Roman"/>
                <w:noProof/>
                <w:webHidden/>
              </w:rPr>
              <w:fldChar w:fldCharType="end"/>
            </w:r>
          </w:hyperlink>
        </w:p>
        <w:p w14:paraId="522414F7" w14:textId="2C677C21"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53" w:history="1">
            <w:r w:rsidRPr="00B57CBF">
              <w:rPr>
                <w:rStyle w:val="af8"/>
                <w:rFonts w:ascii="Times New Roman" w:hAnsi="Times New Roman"/>
                <w:noProof/>
              </w:rPr>
              <w:t>8.2 Key Empirical Findings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_Toc228641353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39</w:t>
            </w:r>
            <w:r w:rsidRPr="00B57CBF">
              <w:rPr>
                <w:rFonts w:ascii="Times New Roman" w:hAnsi="Times New Roman"/>
                <w:noProof/>
                <w:webHidden/>
              </w:rPr>
              <w:fldChar w:fldCharType="end"/>
            </w:r>
          </w:hyperlink>
        </w:p>
        <w:p w14:paraId="4D4523AB" w14:textId="57CEE885"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54" w:history="1">
            <w:r w:rsidRPr="00B57CBF">
              <w:rPr>
                <w:rStyle w:val="af8"/>
                <w:rFonts w:ascii="Times New Roman" w:hAnsi="Times New Roman"/>
                <w:noProof/>
              </w:rPr>
              <w:t>8.3 Practical Implications for Utility Operators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_Toc228641354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40</w:t>
            </w:r>
            <w:r w:rsidRPr="00B57CBF">
              <w:rPr>
                <w:rFonts w:ascii="Times New Roman" w:hAnsi="Times New Roman"/>
                <w:noProof/>
                <w:webHidden/>
              </w:rPr>
              <w:fldChar w:fldCharType="end"/>
            </w:r>
          </w:hyperlink>
        </w:p>
        <w:p w14:paraId="70762C16" w14:textId="217B3CC5" w:rsidR="00DC4709" w:rsidRPr="00B57CBF" w:rsidRDefault="00DC4709">
          <w:pPr>
            <w:pStyle w:val="TOC2"/>
            <w:tabs>
              <w:tab w:val="right" w:leader="dot" w:pos="8296"/>
            </w:tabs>
            <w:rPr>
              <w:rFonts w:ascii="Times New Roman" w:hAnsi="Times New Roman"/>
              <w:noProof/>
              <w:kern w:val="2"/>
              <w:szCs w:val="24"/>
              <w14:ligatures w14:val="standardContextual"/>
            </w:rPr>
          </w:pPr>
          <w:hyperlink w:anchor="_Toc228641355" w:history="1">
            <w:r w:rsidRPr="00B57CBF">
              <w:rPr>
                <w:rStyle w:val="af8"/>
                <w:rFonts w:ascii="Times New Roman" w:hAnsi="Times New Roman"/>
                <w:noProof/>
              </w:rPr>
              <w:t>8.4 Limitations and Future Directions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_Toc228641355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40</w:t>
            </w:r>
            <w:r w:rsidRPr="00B57CBF">
              <w:rPr>
                <w:rFonts w:ascii="Times New Roman" w:hAnsi="Times New Roman"/>
                <w:noProof/>
                <w:webHidden/>
              </w:rPr>
              <w:fldChar w:fldCharType="end"/>
            </w:r>
          </w:hyperlink>
        </w:p>
        <w:p w14:paraId="00864773" w14:textId="4A19A3F0" w:rsidR="00DC4709" w:rsidRDefault="00DC4709">
          <w:pPr>
            <w:pStyle w:val="TOC1"/>
            <w:tabs>
              <w:tab w:val="right" w:leader="dot" w:pos="8296"/>
            </w:tabs>
            <w:rPr>
              <w:rFonts w:cstheme="minorBidi" w:hint="eastAsia"/>
              <w:noProof/>
              <w:kern w:val="2"/>
              <w:szCs w:val="24"/>
              <w14:ligatures w14:val="standardContextual"/>
            </w:rPr>
          </w:pPr>
          <w:hyperlink w:anchor="_Toc228641356" w:history="1">
            <w:r w:rsidRPr="00B57CBF">
              <w:rPr>
                <w:rStyle w:val="af8"/>
                <w:rFonts w:ascii="Times New Roman" w:hAnsi="Times New Roman"/>
                <w:noProof/>
              </w:rPr>
              <w:t>References</w:t>
            </w:r>
            <w:r w:rsidRPr="00B57CBF">
              <w:rPr>
                <w:rFonts w:ascii="Times New Roman" w:hAnsi="Times New Roman"/>
                <w:noProof/>
                <w:webHidden/>
              </w:rPr>
              <w:tab/>
            </w:r>
            <w:r w:rsidRPr="00B57CBF">
              <w:rPr>
                <w:rFonts w:ascii="Times New Roman" w:hAnsi="Times New Roman"/>
                <w:noProof/>
                <w:webHidden/>
              </w:rPr>
              <w:fldChar w:fldCharType="begin"/>
            </w:r>
            <w:r w:rsidRPr="00B57CBF">
              <w:rPr>
                <w:rFonts w:ascii="Times New Roman" w:hAnsi="Times New Roman"/>
                <w:noProof/>
                <w:webHidden/>
              </w:rPr>
              <w:instrText xml:space="preserve"> PAGEREF _Toc228641356 \h </w:instrText>
            </w:r>
            <w:r w:rsidRPr="00B57CBF">
              <w:rPr>
                <w:rFonts w:ascii="Times New Roman" w:hAnsi="Times New Roman"/>
                <w:noProof/>
                <w:webHidden/>
              </w:rPr>
            </w:r>
            <w:r w:rsidRPr="00B57CBF">
              <w:rPr>
                <w:rFonts w:ascii="Times New Roman" w:hAnsi="Times New Roman"/>
                <w:noProof/>
                <w:webHidden/>
              </w:rPr>
              <w:fldChar w:fldCharType="separate"/>
            </w:r>
            <w:r w:rsidRPr="00B57CBF">
              <w:rPr>
                <w:rFonts w:ascii="Times New Roman" w:hAnsi="Times New Roman"/>
                <w:noProof/>
                <w:webHidden/>
              </w:rPr>
              <w:t>42</w:t>
            </w:r>
            <w:r w:rsidRPr="00B57CBF">
              <w:rPr>
                <w:rFonts w:ascii="Times New Roman" w:hAnsi="Times New Roman"/>
                <w:noProof/>
                <w:webHidden/>
              </w:rPr>
              <w:fldChar w:fldCharType="end"/>
            </w:r>
          </w:hyperlink>
        </w:p>
        <w:p w14:paraId="3A1BAEF6" w14:textId="54B31A75" w:rsidR="00DC4709" w:rsidRDefault="00DC4709">
          <w:pPr>
            <w:rPr>
              <w:rFonts w:hint="eastAsia"/>
            </w:rPr>
          </w:pPr>
          <w:r>
            <w:rPr>
              <w:b/>
              <w:bCs/>
              <w:lang w:val="zh-CN"/>
            </w:rPr>
            <w:fldChar w:fldCharType="end"/>
          </w:r>
        </w:p>
      </w:sdtContent>
    </w:sdt>
    <w:p w14:paraId="6535BFB8" w14:textId="77777777" w:rsidR="00DC4709" w:rsidRPr="00DC4709" w:rsidRDefault="00DC4709" w:rsidP="00DC4709">
      <w:pPr>
        <w:pStyle w:val="a3"/>
        <w:rPr>
          <w:rFonts w:hint="eastAsia"/>
        </w:rPr>
        <w:sectPr w:rsidR="00DC4709" w:rsidRPr="00DC4709" w:rsidSect="00B57CBF">
          <w:footerReference w:type="default" r:id="rId8"/>
          <w:pgSz w:w="11906" w:h="16838"/>
          <w:pgMar w:top="1440" w:right="1800" w:bottom="1440" w:left="1800" w:header="851" w:footer="992" w:gutter="0"/>
          <w:pgNumType w:fmt="lowerRoman" w:start="1"/>
          <w:cols w:space="425"/>
          <w:docGrid w:type="lines" w:linePitch="312"/>
        </w:sectPr>
      </w:pPr>
    </w:p>
    <w:p w14:paraId="69CED677" w14:textId="77777777" w:rsidR="001D631B" w:rsidRPr="001D631B" w:rsidRDefault="001D631B" w:rsidP="001D631B">
      <w:pPr>
        <w:pStyle w:val="a3"/>
        <w:rPr>
          <w:rFonts w:hint="eastAsia"/>
        </w:rPr>
      </w:pPr>
    </w:p>
    <w:p w14:paraId="2B0DBA43" w14:textId="2E2A206A" w:rsidR="002C44EF" w:rsidRPr="00D22B50" w:rsidRDefault="002C44EF" w:rsidP="00F61464">
      <w:pPr>
        <w:pStyle w:val="1"/>
        <w:rPr>
          <w:rFonts w:hint="eastAsia"/>
        </w:rPr>
      </w:pPr>
      <w:bookmarkStart w:id="0" w:name="_Toc228641250"/>
      <w:r w:rsidRPr="00D22B50">
        <w:t>1. Abstract</w:t>
      </w:r>
      <w:bookmarkEnd w:id="0"/>
    </w:p>
    <w:p w14:paraId="0FC7E92F" w14:textId="694F753B" w:rsidR="00243B98" w:rsidRPr="00D22B50" w:rsidRDefault="00243B98" w:rsidP="00FA00E5">
      <w:pPr>
        <w:pStyle w:val="af5"/>
        <w:spacing w:before="156" w:after="156"/>
      </w:pPr>
      <w:r w:rsidRPr="00D22B50">
        <w:t xml:space="preserve">The widespread deployment of Advanced Metering Infrastructure (AMI) necessitates accurate Short-Term Load Forecasting (STLF) for demand-side management. However, newly commissioned residential meters suffer from the </w:t>
      </w:r>
      <w:r w:rsidR="00BD7543">
        <w:t>“</w:t>
      </w:r>
      <w:r w:rsidRPr="00D22B50">
        <w:t>cold-start</w:t>
      </w:r>
      <w:r w:rsidR="00BD7543">
        <w:t>”</w:t>
      </w:r>
      <w:r w:rsidRPr="00D22B50">
        <w:t xml:space="preserve"> problem—a critical data-scarcity period where traditional high-capacity neural networks fail to converge. While transfer learning and Attention-based models (Transformers) dominate data-rich forecasting, their efficacy in extreme small-sample regimes remains critically underexplored. This study proposes a multivariate transfer learning framework to mitigate the cold-start bottleneck, executing a head-to-head empirical benchmark between Recurrence-based (LSTM) and Attention-based (Transformer) architectures. Utilizing the London Smart Meter dataset, models were pre-trained on a source domain, optimized via the </w:t>
      </w:r>
      <w:proofErr w:type="spellStart"/>
      <w:r w:rsidRPr="00D22B50">
        <w:t>Optuna</w:t>
      </w:r>
      <w:proofErr w:type="spellEnd"/>
      <w:r w:rsidRPr="00D22B50">
        <w:t xml:space="preserve"> Bayesian framework to successfully eliminate negative transfer, and subjected to a strict 10-day adaptive fine-tuning window across 30 diverse target households.</w:t>
      </w:r>
    </w:p>
    <w:p w14:paraId="03497636" w14:textId="77B22432" w:rsidR="00243B98" w:rsidRPr="00D22B50" w:rsidRDefault="00243B98" w:rsidP="00FA00E5">
      <w:pPr>
        <w:pStyle w:val="af5"/>
        <w:spacing w:before="156" w:after="156"/>
      </w:pPr>
      <w:r w:rsidRPr="00D22B50">
        <w:t xml:space="preserve">The results establish a definitive performance hierarchy: the proposed fine-tuning strategy significantly outperformed the scratch-training baseline, reducing the Mean Squared Error (MSE) from 0.7080 to 0.4849. Crucially, the comparative analysis reveals that the fine-tuned LSTM framework (MSE: 0.4849) empirically outperforms the Transformer (MSE: 0.4984) under extreme data constraints. This divergence demonstrates that the sequential </w:t>
      </w:r>
      <w:r w:rsidR="00BD7543">
        <w:t>“</w:t>
      </w:r>
      <w:r w:rsidRPr="00D22B50">
        <w:t>inductive bias</w:t>
      </w:r>
      <w:r w:rsidR="00BD7543">
        <w:t>”</w:t>
      </w:r>
      <w:r w:rsidRPr="00D22B50">
        <w:t xml:space="preserve"> of LSTMs acts as a powerful structural </w:t>
      </w:r>
      <w:proofErr w:type="spellStart"/>
      <w:r w:rsidRPr="00D22B50">
        <w:t>regularizer</w:t>
      </w:r>
      <w:proofErr w:type="spellEnd"/>
      <w:r w:rsidRPr="00D22B50">
        <w:t xml:space="preserve"> against localized stochastic noise, whereas the </w:t>
      </w:r>
      <w:r w:rsidR="00BD7543">
        <w:t>“</w:t>
      </w:r>
      <w:r w:rsidRPr="00D22B50">
        <w:t>data-hungry</w:t>
      </w:r>
      <w:r w:rsidR="00BD7543">
        <w:t>”</w:t>
      </w:r>
      <w:r w:rsidRPr="00D22B50">
        <w:t xml:space="preserve"> self-attention mechanism struggles to converge reliably without sufficient samples. Ultimately, the proposed framework acts as a </w:t>
      </w:r>
      <w:r w:rsidR="00BD7543">
        <w:t>“</w:t>
      </w:r>
      <w:r w:rsidRPr="00D22B50">
        <w:t>variance compressor,</w:t>
      </w:r>
      <w:r w:rsidR="00BD7543">
        <w:t>”</w:t>
      </w:r>
      <w:r w:rsidRPr="00D22B50">
        <w:t xml:space="preserve"> mitigating forecasting tail risk and enabling utility operators to bypass the traditional data-accumulation phase, thereby facilitating the highly reliable, Day-1 deployment of smart grid services.</w:t>
      </w:r>
    </w:p>
    <w:p w14:paraId="6F696416" w14:textId="5F183B8D" w:rsidR="002C44EF" w:rsidRPr="00D22B50" w:rsidRDefault="00D22B50" w:rsidP="00D22B50">
      <w:pPr>
        <w:pStyle w:val="af5"/>
        <w:spacing w:before="156" w:after="156"/>
      </w:pPr>
      <w:r w:rsidRPr="00D22B50">
        <w:rPr>
          <w:rFonts w:eastAsiaTheme="minorEastAsia" w:hint="eastAsia"/>
        </w:rPr>
        <w:t>Key Words</w:t>
      </w:r>
      <w:r w:rsidR="00243B98" w:rsidRPr="00D22B50">
        <w:t>: Short-Term Load Forecasting, Cold-Start Problem, Transfer Learning, Long Short-Term Memory (LSTM), Transformer, Inductive Bias, Smart Grid.</w:t>
      </w:r>
    </w:p>
    <w:p w14:paraId="6BF035B0" w14:textId="6050B239" w:rsidR="00AC7269" w:rsidRPr="00D22B50" w:rsidRDefault="00AC7269" w:rsidP="00F61464">
      <w:pPr>
        <w:pStyle w:val="1"/>
        <w:rPr>
          <w:rFonts w:hint="eastAsia"/>
        </w:rPr>
      </w:pPr>
      <w:bookmarkStart w:id="1" w:name="_Toc228641251"/>
      <w:r w:rsidRPr="00D22B50">
        <w:lastRenderedPageBreak/>
        <w:t>2. Introduction</w:t>
      </w:r>
      <w:bookmarkEnd w:id="1"/>
    </w:p>
    <w:p w14:paraId="6088E17D" w14:textId="77777777" w:rsidR="00753254" w:rsidRPr="00D22B50" w:rsidRDefault="00753254" w:rsidP="00F61464">
      <w:pPr>
        <w:pStyle w:val="2"/>
        <w:rPr>
          <w:rFonts w:hint="eastAsia"/>
        </w:rPr>
      </w:pPr>
      <w:bookmarkStart w:id="2" w:name="_Toc228641252"/>
      <w:r w:rsidRPr="00D22B50">
        <w:rPr>
          <w:rFonts w:hint="eastAsia"/>
        </w:rPr>
        <w:t>2.1 The Global Energy Transition and the Role of Smart Grids</w:t>
      </w:r>
      <w:bookmarkEnd w:id="2"/>
    </w:p>
    <w:p w14:paraId="5FE9BFE9" w14:textId="0861B889" w:rsidR="00753254" w:rsidRPr="00D22B50" w:rsidRDefault="00753254" w:rsidP="00FA00E5">
      <w:pPr>
        <w:pStyle w:val="af5"/>
        <w:spacing w:before="156" w:after="156"/>
        <w:rPr>
          <w:rFonts w:eastAsiaTheme="minorEastAsia"/>
        </w:rPr>
      </w:pPr>
      <w:r w:rsidRPr="00D22B50">
        <w:rPr>
          <w:rFonts w:hint="eastAsia"/>
        </w:rPr>
        <w:t xml:space="preserve">The contemporary global energy landscape is currently traversing a period of profound and irreversible transformation, moving away from centralized fossil-fuel-based architectures toward decentralized, sustainable, and highly intelligent power systems. This macro-scale shift is primarily catalyzed by the urgent international mandate to achieve carbon neutrality by the mid-century, a goal that necessitates the massive integration of volatile and intermittent renewable energy sources, most notably solar and wind power. As the penetration of these non-dispatchable energy sources increases, the physical inertia of the traditional grid decreases, leading to significant challenges in maintaining frequency stability and voltage regulation. To manage the inherent complexity and stochastic nature of these green energy sources, the power industry has pivoted toward the large-scale implementation of Smart Grids. This paradigm shift is fundamentally characterized by the widespread integration and deployment of Advanced Metering Infrastructure (AMI) </w:t>
      </w:r>
      <w:r w:rsidR="00FD5200" w:rsidRPr="00D22B50">
        <w:fldChar w:fldCharType="begin"/>
      </w:r>
      <w:r w:rsidR="00FD5200" w:rsidRPr="00D22B50">
        <w:instrText xml:space="preserve"> ADDIN ZOTERO_ITEM CSL_CITATION {"citationID":"whsCeSlu","properties":{"formattedCitation":"[1]","plainCitation":"[1]","noteIndex":0},"citationItems":[{"id":539,"uris":["http://zotero.org/users/local/p3tV44H5/items/HWZLV4UQ"],"itemData":{"id":539,"type":"article-journal","abstract":"Accurate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schema":"https://github.com/citation-style-language/schema/raw/master/csl-citation.json"} </w:instrText>
      </w:r>
      <w:r w:rsidR="00FD5200" w:rsidRPr="00D22B50">
        <w:fldChar w:fldCharType="separate"/>
      </w:r>
      <w:r w:rsidR="00FD5200" w:rsidRPr="00D22B50">
        <w:rPr>
          <w:rFonts w:cs="Times New Roman"/>
        </w:rPr>
        <w:t>[1]</w:t>
      </w:r>
      <w:r w:rsidR="00FD5200" w:rsidRPr="00D22B50">
        <w:fldChar w:fldCharType="end"/>
      </w:r>
      <w:r w:rsidRPr="00D22B50">
        <w:rPr>
          <w:rFonts w:hint="eastAsia"/>
        </w:rPr>
        <w:t>.</w:t>
      </w:r>
    </w:p>
    <w:p w14:paraId="7540C486" w14:textId="72582DB0" w:rsidR="00753254" w:rsidRPr="00D22B50" w:rsidRDefault="00236858" w:rsidP="00FA00E5">
      <w:pPr>
        <w:pStyle w:val="af5"/>
        <w:spacing w:before="156" w:after="156"/>
        <w:rPr>
          <w:rFonts w:eastAsiaTheme="minorEastAsia"/>
        </w:rPr>
      </w:pPr>
      <w:r w:rsidRPr="00D22B50">
        <w:t xml:space="preserve">AMI serves as the sensory nervous system of the intelligent grid, comprising high-precision smart meters, advanced bidirectional communication networks, and sophisticated Meter Data Management Systems </w:t>
      </w:r>
      <w:r w:rsidR="00FD5200" w:rsidRPr="00D22B50">
        <w:fldChar w:fldCharType="begin"/>
      </w:r>
      <w:r w:rsidR="00FD5200" w:rsidRPr="00D22B50">
        <w:instrText xml:space="preserve"> ADDIN ZOTERO_ITEM CSL_CITATION {"citationID":"FiDngZks","properties":{"formattedCitation":"[1], [2], [3]","plainCitation":"[1], [2], [3]","noteIndex":0},"citationItems":[{"id":539,"uris":["http://zotero.org/users/local/p3tV44H5/items/HWZLV4UQ"],"itemData":{"id":539,"type":"article-journal","abstract":"Accurate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id":611,"uris":["http://zotero.org/users/local/p3tV44H5/items/6LHZDVUQ"],"itemData":{"id":611,"type":"article-journal","abstract":"Data analytics are now playing a more important role in the modern industrial systems. Driven by the development of information and communication technology, an information layer is now added to the conventional electricity transmission and distribution network for data collection, storage and analysis with the help of wide installation of smart meters and sensors. This paper introduces the big data analytics and corresponding applications in smart grids. The characterizations of big data, smart grids as well as huge amount of data collection are firstly discussed as a prelude to illustrating the motivation and potential advantages of implementing advanced data analytics in smart grids. Basic concepts and the procedures of the typical data analytics for general problems are also discussed. The advanced applications of different data analytics in smart grids are addressed as the main part of this paper. By dealing with huge amount of data from electricity network, meteorological information system, geographical information system etc., many benefits can be brought to the existing power system and improve the customer service as well as the social welfare in the era of big data. However, to advance the applications of the big data analytics in real smart grids, many issues such as techniques, awareness, synergies, etc., have to be overcome.","container-title":"Energy Informatics","DOI":"10.1186/s42162-018-0007-5","ISSN":"2520-8942","issue":"1","journalAbbreviation":"Energy Inform","language":"en","page":"8","source":"Springer Link","title":"Big data analytics in smart grids: a review","title-short":"Big data analytics in smart grids","volume":"1","author":[{"family":"Zhang","given":"Yang"},{"family":"Huang","given":"Tao"},{"family":"Bompard","given":"Ettore Francesco"}],"issued":{"date-parts":[["2018",8,13]]}}},{"id":602,"uris":["http://zotero.org/users/local/p3tV44H5/items/WARSYNUR"],"itemData":{"id":602,"type":"paper-conference","abstract":"Smart meter is an advanced energy meter that measures consumption of electrical energy providing additional information compared to a conventional energy meter. Integration of smart meters into electricity grid involves implementation of a variety of techniques and software, depending on the features that the situation demands. Design of a smart meter depends on the requirements of the utility company as well as the customer. This paper discusses various features and technologies that can be integrated with a smart meter. In fact, deployment of smart meters needs proper selection and implementation of a communication network satisfying the security standards of smart grid communication. This paper outlines various issues and challenges involved in design, deployment, utilization, and maintenance of the smart meter infrastructure. In addition, several applications and advantages of smart meter, in the view of future electricity market are discussed in detail. This paper explains the importance of introducing smart meters in developing countries. In addition, the status of smart metering in various countries is also illustrated.","container-title":"2011 IEEE/PES Power Systems Conference and Exposition","DOI":"10.1109/PSCE.2011.5772451","event-title":"2011 IEEE/PES Power Systems Conference and Exposition","page":"1-7","source":"IEEE Xplore","title":"Smart meters for power grid — Challenges, issues, advantages and status","URL":"https://ieeexplore.ieee.org/abstract/document/5772451","author":[{"family":"Depuru","given":"Soma Shekara Sreenadh Reddy"},{"family":"Wang","given":"Lingfeng"},{"family":"Devabhaktuni","given":"Vijay"},{"family":"Gudi","given":"Nikhil"}],"accessed":{"date-parts":[["2026",5,1]]},"issued":{"date-parts":[["2011",3]]}}}],"schema":"https://github.com/citation-style-language/schema/raw/master/csl-citation.json"} </w:instrText>
      </w:r>
      <w:r w:rsidR="00FD5200" w:rsidRPr="00D22B50">
        <w:fldChar w:fldCharType="separate"/>
      </w:r>
      <w:r w:rsidR="00FD5200" w:rsidRPr="00D22B50">
        <w:rPr>
          <w:rFonts w:cs="Times New Roman"/>
        </w:rPr>
        <w:t>[1], [2], [3]</w:t>
      </w:r>
      <w:r w:rsidR="00FD5200" w:rsidRPr="00D22B50">
        <w:fldChar w:fldCharType="end"/>
      </w:r>
      <w:r w:rsidRPr="00D22B50">
        <w:t>.</w:t>
      </w:r>
      <w:r w:rsidR="00753254" w:rsidRPr="00D22B50">
        <w:rPr>
          <w:rFonts w:hint="eastAsia"/>
        </w:rPr>
        <w:t xml:space="preserve"> Unlike traditional power grids that operate on a rigid, one-way energy flow and rely on low-resolution, manual monthly consumption metrics, smart grids leverage high-frequency and granular data to create a dynamic, bidirectional communication ecosystem. In this modern context, electricity is no longer just a physical commodity but is inextricably linked to a digital information layer. This technological evolution has effectively transformed traditional, reactive power systems into proactive, data-driven environments where information and predictive analytics serve as strategic assets for ensuring grid stability and efficiency </w:t>
      </w:r>
      <w:r w:rsidR="00FD5200" w:rsidRPr="00D22B50">
        <w:fldChar w:fldCharType="begin"/>
      </w:r>
      <w:r w:rsidR="00FD5200" w:rsidRPr="00D22B50">
        <w:instrText xml:space="preserve"> ADDIN ZOTERO_ITEM CSL_CITATION {"citationID":"SoqYWpjC","properties":{"formattedCitation":"[4]","plainCitation":"[4]","noteIndex":0},"citationItems":[{"id":567,"uris":["http://zotero.org/users/local/p3tV44H5/items/J38MU6UU"],"itemData":{"id":567,"type":"article-journal","abstract":"The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FD5200" w:rsidRPr="00D22B50">
        <w:fldChar w:fldCharType="separate"/>
      </w:r>
      <w:r w:rsidR="00FD5200" w:rsidRPr="00D22B50">
        <w:rPr>
          <w:rFonts w:cs="Times New Roman"/>
        </w:rPr>
        <w:t>[4]</w:t>
      </w:r>
      <w:r w:rsidR="00FD5200" w:rsidRPr="00D22B50">
        <w:fldChar w:fldCharType="end"/>
      </w:r>
      <w:r w:rsidR="00753254" w:rsidRPr="00D22B50">
        <w:rPr>
          <w:rFonts w:hint="eastAsia"/>
        </w:rPr>
        <w:t>.</w:t>
      </w:r>
    </w:p>
    <w:p w14:paraId="6E9D7EF6" w14:textId="5ED8D00A" w:rsidR="00AC7269" w:rsidRPr="00D22B50" w:rsidRDefault="00753254" w:rsidP="00FA00E5">
      <w:pPr>
        <w:pStyle w:val="af5"/>
        <w:spacing w:before="156" w:after="156"/>
      </w:pPr>
      <w:r w:rsidRPr="00D22B50">
        <w:rPr>
          <w:rFonts w:hint="eastAsia"/>
        </w:rPr>
        <w:t xml:space="preserve">The transition also facilitates the rise of </w:t>
      </w:r>
      <w:r w:rsidR="00BD7543">
        <w:t>“</w:t>
      </w:r>
      <w:r w:rsidRPr="00D22B50">
        <w:rPr>
          <w:rFonts w:hint="eastAsia"/>
        </w:rPr>
        <w:t>prosumers,</w:t>
      </w:r>
      <w:r w:rsidR="00BD7543">
        <w:t>”</w:t>
      </w:r>
      <w:r w:rsidRPr="00D22B50">
        <w:rPr>
          <w:rFonts w:hint="eastAsia"/>
        </w:rPr>
        <w:t xml:space="preserve"> residential users who both consume and produce energy through distributed resources like rooftop solar panels and electric vehicles. This decentralized generation complicates the net load profile, making accurate forecasting at the individual level more critical than ever before. The core objective of these socio-technical advancements is to optimize the synchronization between real-time electricity generation and end-user demand. By utilizing granular STLF models, utility providers can achieve a higher degree of precision in balancing the grid, thereby minimizing energy waste and reducing the massive operational costs associated with maintaining excess spinning reserves or deploying expensive, high-carbon </w:t>
      </w:r>
      <w:proofErr w:type="spellStart"/>
      <w:r w:rsidRPr="00D22B50">
        <w:rPr>
          <w:rFonts w:hint="eastAsia"/>
        </w:rPr>
        <w:t>peaker</w:t>
      </w:r>
      <w:proofErr w:type="spellEnd"/>
      <w:r w:rsidRPr="00D22B50">
        <w:rPr>
          <w:rFonts w:hint="eastAsia"/>
        </w:rPr>
        <w:t xml:space="preserve"> plants during periods of unexpected demand surges. Ultimately, this accurate anticipation of load fluctuations is a prerequisite for the successful </w:t>
      </w:r>
      <w:r w:rsidRPr="00D22B50">
        <w:rPr>
          <w:rFonts w:hint="eastAsia"/>
        </w:rPr>
        <w:lastRenderedPageBreak/>
        <w:t xml:space="preserve">implementation of Demand-Side Management (DSM) strategies </w:t>
      </w:r>
      <w:r w:rsidR="00FD5200" w:rsidRPr="00D22B50">
        <w:fldChar w:fldCharType="begin"/>
      </w:r>
      <w:r w:rsidR="00FD5200" w:rsidRPr="00D22B50">
        <w:instrText xml:space="preserve"> ADDIN ZOTERO_ITEM CSL_CITATION {"citationID":"vRctMLQA","properties":{"formattedCitation":"[5]","plainCitation":"[5]","noteIndex":0},"citationItems":[{"id":542,"uris":["http://zotero.org/users/local/p3tV44H5/items/WNFTH4DZ"],"itemData":{"id":542,"type":"article-journal","abstract":"Power grids are transforming into flexible, smart, and cooperative systems with greater dissemination of distributed energy resources, advanced metering infrastructure, and advanced communication technologies. Short-term electric load forecasting for individual residential customers plays a progressively crucial role in the operation and planning of future grids. Compared to the aggregated electrical load at the community level, the prediction of individual household electric loads is legitimately challenging because of the high uncertainty and volatility involved. Results from previous studies show that prediction using machine learning and deep learning models is far from accurate, and there is still room for improvement. We herein propose a deep learning framework based on a combination of a convolutional neural network (CNN) and long short-term memory (LSTM). The proposed hybrid CNN-LSTM model uses CNN layers for feature extraction from the input data with LSTM layers for sequence learning. The performance of our developed framework is comprehensively compared to state-of-the-art systems currently in use for short-term individual household electric load forecasting. The proposed model achieved significantly better results compared to other competing techniques. We evaluated our proposed model with the recently explored LSTM-based deep learning model on a publicly available electrical load data of individual household customers from the Smart Grid Smart City (SGSC) project. We obtained an average mean absolute percentage error (MAPE) of 40.38% for individual household electric load forecasts in comparison with the LSTM-based model that obtained an average MAPE of 44.06%. Furthermore, we evaluated the effectiveness of the proposed model on different time horizons (up to 3 h ahead). Compared to the recently developed LSTM-based model tested on the same dataset, we obtained 4.01%, 4.76%, and 5.98% improvement for one, two, and six look-forward time steps, respectively (with 2 lookback time steps). Additionally, we have performed clustering analysis based on the power consumption behavior of the energy users, which indicate that prediction accuracy could be improved by grouping and training the representative model using large amount of data. The results indicated that the proposed model outperforms the LSTM-based model for both 1 h ahead and 3 h ahead in forecasting individual household electric loads.","container-title":"IEEE Access","DOI":"10.1109/ACCESS.2020.3028281","ISSN":"2169-3536","page":"180544-180557","source":"IEEE Xplore","title":"Hybrid CNN-LSTM Model for Short-Term Individual Household Load Forecasting","volume":"8","author":[{"family":"Alhussein","given":"Musaed"},{"family":"Aurangzeb","given":"Khursheed"},{"family":"Haider","given":"Syed Irtaza"}],"issued":{"date-parts":[["2020"]]}}}],"schema":"https://github.com/citation-style-language/schema/raw/master/csl-citation.json"} </w:instrText>
      </w:r>
      <w:r w:rsidR="00FD5200" w:rsidRPr="00D22B50">
        <w:fldChar w:fldCharType="separate"/>
      </w:r>
      <w:r w:rsidR="00FD5200" w:rsidRPr="00D22B50">
        <w:rPr>
          <w:rFonts w:cs="Times New Roman"/>
        </w:rPr>
        <w:t>[5]</w:t>
      </w:r>
      <w:r w:rsidR="00FD5200" w:rsidRPr="00D22B50">
        <w:fldChar w:fldCharType="end"/>
      </w:r>
      <w:r w:rsidR="00AC7269" w:rsidRPr="00D22B50">
        <w:t>.</w:t>
      </w:r>
    </w:p>
    <w:p w14:paraId="599BDD54" w14:textId="4DCED0AB" w:rsidR="00753254" w:rsidRPr="00D22B50" w:rsidRDefault="00753254" w:rsidP="00F61464">
      <w:pPr>
        <w:pStyle w:val="2"/>
        <w:rPr>
          <w:rFonts w:hint="eastAsia"/>
        </w:rPr>
      </w:pPr>
      <w:bookmarkStart w:id="3" w:name="_Toc228641253"/>
      <w:r w:rsidRPr="00D22B50">
        <w:rPr>
          <w:rFonts w:hint="eastAsia"/>
        </w:rPr>
        <w:t>2.2 The Criticality of STLF</w:t>
      </w:r>
      <w:bookmarkEnd w:id="3"/>
    </w:p>
    <w:p w14:paraId="0B817E39" w14:textId="20CE14CB" w:rsidR="00753254" w:rsidRPr="00D22B50" w:rsidRDefault="00753254" w:rsidP="00FD5200">
      <w:pPr>
        <w:pStyle w:val="af5"/>
        <w:spacing w:before="156" w:after="156"/>
        <w:rPr>
          <w:rFonts w:eastAsiaTheme="minorEastAsia"/>
        </w:rPr>
      </w:pPr>
      <w:r w:rsidRPr="00D22B50">
        <w:rPr>
          <w:rFonts w:hint="eastAsia"/>
        </w:rPr>
        <w:t>Within the sophisticated framework of smart grid management,</w:t>
      </w:r>
      <w:r w:rsidR="00E75C1D">
        <w:rPr>
          <w:rFonts w:eastAsiaTheme="minorEastAsia" w:hint="eastAsia"/>
        </w:rPr>
        <w:t xml:space="preserve"> </w:t>
      </w:r>
      <w:r w:rsidRPr="00D22B50">
        <w:rPr>
          <w:rFonts w:hint="eastAsia"/>
        </w:rPr>
        <w:t xml:space="preserve">STLF at the residential level has emerged as a critical cornerstone for operational success. As the power grid transitions from a centralized </w:t>
      </w:r>
      <w:r w:rsidR="00BD7543">
        <w:t>“</w:t>
      </w:r>
      <w:r w:rsidRPr="00D22B50">
        <w:rPr>
          <w:rFonts w:hint="eastAsia"/>
        </w:rPr>
        <w:t>generation-follows-load</w:t>
      </w:r>
      <w:r w:rsidR="00BD7543">
        <w:t>”</w:t>
      </w:r>
      <w:r w:rsidRPr="00D22B50">
        <w:rPr>
          <w:rFonts w:hint="eastAsia"/>
        </w:rPr>
        <w:t xml:space="preserve"> model to a decentralized </w:t>
      </w:r>
      <w:r w:rsidR="00BD7543">
        <w:t>“</w:t>
      </w:r>
      <w:r w:rsidRPr="00D22B50">
        <w:rPr>
          <w:rFonts w:hint="eastAsia"/>
        </w:rPr>
        <w:t>load-follows-generation</w:t>
      </w:r>
      <w:r w:rsidR="00BD7543">
        <w:t>”</w:t>
      </w:r>
      <w:r w:rsidRPr="00D22B50">
        <w:rPr>
          <w:rFonts w:hint="eastAsia"/>
        </w:rPr>
        <w:t xml:space="preserve"> paradigm, the ability to predict energy requirements with high temporal resolution becomes a non-negotiable requirement for system operators. Achieving high precision in STLF is essential for several technical, economic, and environmental reasons.</w:t>
      </w:r>
    </w:p>
    <w:p w14:paraId="01D41499" w14:textId="77777777" w:rsidR="00753254" w:rsidRPr="00D22B50" w:rsidRDefault="00753254" w:rsidP="00F61464">
      <w:pPr>
        <w:pStyle w:val="3"/>
        <w:rPr>
          <w:rFonts w:hint="eastAsia"/>
        </w:rPr>
      </w:pPr>
      <w:bookmarkStart w:id="4" w:name="_Toc228641254"/>
      <w:r w:rsidRPr="00D22B50">
        <w:rPr>
          <w:rFonts w:hint="eastAsia"/>
        </w:rPr>
        <w:t>2.2.1 Real-Time Stability and Asset Protection</w:t>
      </w:r>
      <w:bookmarkEnd w:id="4"/>
    </w:p>
    <w:p w14:paraId="2CB01ED6" w14:textId="3D48D59F" w:rsidR="00753254" w:rsidRPr="004F3598" w:rsidRDefault="00753254" w:rsidP="004F3598">
      <w:pPr>
        <w:pStyle w:val="af5"/>
        <w:spacing w:before="156" w:after="156"/>
        <w:rPr>
          <w:rFonts w:eastAsiaTheme="minorEastAsia"/>
        </w:rPr>
      </w:pPr>
      <w:r w:rsidRPr="00D22B50">
        <w:rPr>
          <w:rFonts w:hint="eastAsia"/>
        </w:rPr>
        <w:t>First, accurate forecasts allow grid operators to maintain real-time operational stability by preventing transformer overloads and managing peak demand surges</w:t>
      </w:r>
      <w:r w:rsidR="008F1B5F" w:rsidRPr="00D22B50">
        <w:rPr>
          <w:rFonts w:eastAsiaTheme="minorEastAsia" w:hint="eastAsia"/>
        </w:rPr>
        <w:t xml:space="preserve"> </w:t>
      </w:r>
      <w:r w:rsidR="008F1B5F" w:rsidRPr="00D22B50">
        <w:rPr>
          <w:rFonts w:eastAsiaTheme="minorEastAsia"/>
        </w:rPr>
        <w:fldChar w:fldCharType="begin"/>
      </w:r>
      <w:r w:rsidR="008F1B5F" w:rsidRPr="00D22B50">
        <w:rPr>
          <w:rFonts w:eastAsiaTheme="minorEastAsia"/>
        </w:rPr>
        <w:instrText xml:space="preserve"> ADDIN ZOTERO_ITEM CSL_CITATION {"citationID":"flXC4jAi","properties":{"formattedCitation":"[4]","plainCitation":"[4]","noteIndex":0},"citationItems":[{"id":567,"uris":["http://zotero.org/users/local/p3tV44H5/items/J38MU6UU"],"itemData":{"id":567,"type":"article-journal","abstract":"The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8F1B5F" w:rsidRPr="00D22B50">
        <w:rPr>
          <w:rFonts w:eastAsiaTheme="minorEastAsia"/>
        </w:rPr>
        <w:fldChar w:fldCharType="separate"/>
      </w:r>
      <w:r w:rsidR="008F1B5F" w:rsidRPr="00D22B50">
        <w:rPr>
          <w:rFonts w:eastAsiaTheme="minorEastAsia" w:cs="Times New Roman"/>
        </w:rPr>
        <w:t>[4]</w:t>
      </w:r>
      <w:r w:rsidR="008F1B5F" w:rsidRPr="00D22B50">
        <w:rPr>
          <w:rFonts w:eastAsiaTheme="minorEastAsia"/>
        </w:rPr>
        <w:fldChar w:fldCharType="end"/>
      </w:r>
      <w:r w:rsidRPr="00D22B50">
        <w:rPr>
          <w:rFonts w:hint="eastAsia"/>
        </w:rPr>
        <w:t>. In a traditional grid, assets such as distribution transformers and underground cables are designed with specific thermal limits. Unpredicted surges in residential demand—driven by the simultaneous use of high-power appliances—can cause these assets to exceed their operating temperatures, leading to accelerated insulation degradation or even catastrophic hardware failure. By utilizing granular STLF, utility providers can implement proactive grid reconfigurations or activate localized energy storage systems to buffer these peaks, thereby extending the lifespan of the physical infrastructure and reducing maintenance capital expenditure.</w:t>
      </w:r>
    </w:p>
    <w:p w14:paraId="7B9BBBEC" w14:textId="77777777" w:rsidR="00753254" w:rsidRPr="00D22B50" w:rsidRDefault="00753254" w:rsidP="00F61464">
      <w:pPr>
        <w:pStyle w:val="3"/>
        <w:rPr>
          <w:rFonts w:hint="eastAsia"/>
        </w:rPr>
      </w:pPr>
      <w:bookmarkStart w:id="5" w:name="_Toc228641255"/>
      <w:r w:rsidRPr="00D22B50">
        <w:rPr>
          <w:rFonts w:hint="eastAsia"/>
        </w:rPr>
        <w:t>2.2.2 Integration of Demand-Side Strategies</w:t>
      </w:r>
      <w:bookmarkEnd w:id="5"/>
    </w:p>
    <w:p w14:paraId="36949189" w14:textId="1F692C2A" w:rsidR="00753254" w:rsidRPr="00D22B50" w:rsidRDefault="00753254" w:rsidP="00FA00E5">
      <w:pPr>
        <w:pStyle w:val="af5"/>
        <w:spacing w:before="156" w:after="156"/>
        <w:rPr>
          <w:rFonts w:eastAsiaTheme="minorEastAsia"/>
        </w:rPr>
      </w:pPr>
      <w:r w:rsidRPr="00D22B50">
        <w:rPr>
          <w:rFonts w:hint="eastAsia"/>
        </w:rPr>
        <w:t xml:space="preserve">Second, it provides the fundamental data required for the successful implementation of Demand-Side Management (DSM) and Demand Response (DR) strategies </w:t>
      </w:r>
      <w:r w:rsidR="008F1B5F" w:rsidRPr="00D22B50">
        <w:fldChar w:fldCharType="begin"/>
      </w:r>
      <w:r w:rsidR="008F1B5F" w:rsidRPr="00D22B50">
        <w:instrText xml:space="preserve"> ADDIN ZOTERO_ITEM CSL_CITATION {"citationID":"n7VaDbCo","properties":{"formattedCitation":"[5]","plainCitation":"[5]","noteIndex":0},"citationItems":[{"id":542,"uris":["http://zotero.org/users/local/p3tV44H5/items/WNFTH4DZ"],"itemData":{"id":542,"type":"article-journal","abstract":"Power grids are transforming into flexible, smart, and cooperative systems with greater dissemination of distributed energy resources, advanced metering infrastructure, and advanced communication technologies. Short-term electric load forecasting for individual residential customers plays a progressively crucial role in the operation and planning of future grids. Compared to the aggregated electrical load at the community level, the prediction of individual household electric loads is legitimately challenging because of the high uncertainty and volatility involved. Results from previous studies show that prediction using machine learning and deep learning models is far from accurate, and there is still room for improvement. We herein propose a deep learning framework based on a combination of a convolutional neural network (CNN) and long short-term memory (LSTM). The proposed hybrid CNN-LSTM model uses CNN layers for feature extraction from the input data with LSTM layers for sequence learning. The performance of our developed framework is comprehensively compared to state-of-the-art systems currently in use for short-term individual household electric load forecasting. The proposed model achieved significantly better results compared to other competing techniques. We evaluated our proposed model with the recently explored LSTM-based deep learning model on a publicly available electrical load data of individual household customers from the Smart Grid Smart City (SGSC) project. We obtained an average mean absolute percentage error (MAPE) of 40.38% for individual household electric load forecasts in comparison with the LSTM-based model that obtained an average MAPE of 44.06%. Furthermore, we evaluated the effectiveness of the proposed model on different time horizons (up to 3 h ahead). Compared to the recently developed LSTM-based model tested on the same dataset, we obtained 4.01%, 4.76%, and 5.98% improvement for one, two, and six look-forward time steps, respectively (with 2 lookback time steps). Additionally, we have performed clustering analysis based on the power consumption behavior of the energy users, which indicate that prediction accuracy could be improved by grouping and training the representative model using large amount of data. The results indicated that the proposed model outperforms the LSTM-based model for both 1 h ahead and 3 h ahead in forecasting individual household electric loads.","container-title":"IEEE Access","DOI":"10.1109/ACCESS.2020.3028281","ISSN":"2169-3536","page":"180544-180557","source":"IEEE Xplore","title":"Hybrid CNN-LSTM Model for Short-Term Individual Household Load Forecasting","volume":"8","author":[{"family":"Alhussein","given":"Musaed"},{"family":"Aurangzeb","given":"Khursheed"},{"family":"Haider","given":"Syed Irtaza"}],"issued":{"date-parts":[["2020"]]}}}],"schema":"https://github.com/citation-style-language/schema/raw/master/csl-citation.json"} </w:instrText>
      </w:r>
      <w:r w:rsidR="008F1B5F" w:rsidRPr="00D22B50">
        <w:fldChar w:fldCharType="separate"/>
      </w:r>
      <w:r w:rsidR="008F1B5F" w:rsidRPr="00D22B50">
        <w:rPr>
          <w:rFonts w:cs="Times New Roman"/>
        </w:rPr>
        <w:t>[5]</w:t>
      </w:r>
      <w:r w:rsidR="008F1B5F" w:rsidRPr="00D22B50">
        <w:fldChar w:fldCharType="end"/>
      </w:r>
      <w:r w:rsidRPr="00D22B50">
        <w:rPr>
          <w:rFonts w:hint="eastAsia"/>
        </w:rPr>
        <w:t>. In a modern energy market, utility providers utilize these forecasts to design dynamic pricing models that incentivize consumers to shift their consumption from peak to off-peak hours. These strategies, such as Time-of-Use (</w:t>
      </w:r>
      <w:proofErr w:type="spellStart"/>
      <w:r w:rsidRPr="00D22B50">
        <w:rPr>
          <w:rFonts w:hint="eastAsia"/>
        </w:rPr>
        <w:t>ToU</w:t>
      </w:r>
      <w:proofErr w:type="spellEnd"/>
      <w:r w:rsidRPr="00D22B50">
        <w:rPr>
          <w:rFonts w:hint="eastAsia"/>
        </w:rPr>
        <w:t>) pricing or Real-Time Pricing (RTP), rely heavily on the accuracy of predicted load profiles. If a forecast is inaccurate, the price signals sent to consumers may fail to alleviate grid stress or, in some cases, inadvertently create new peaks. By accurately anticipating load fluctuations, providers can better balance supply and demand while optimizing the dispatch of traditional and renewable energy generators. This optimization is particularly vital for the integration of intermittent renewables, as it allows for the alignment of flexible residential loads with periods of high solar or wind availability.</w:t>
      </w:r>
    </w:p>
    <w:p w14:paraId="7CA010C7" w14:textId="77777777" w:rsidR="00753254" w:rsidRPr="00D22B50" w:rsidRDefault="00753254" w:rsidP="00F61464">
      <w:pPr>
        <w:pStyle w:val="3"/>
        <w:rPr>
          <w:rFonts w:hint="eastAsia"/>
        </w:rPr>
      </w:pPr>
      <w:bookmarkStart w:id="6" w:name="_Toc228641256"/>
      <w:r w:rsidRPr="00D22B50">
        <w:rPr>
          <w:rFonts w:hint="eastAsia"/>
        </w:rPr>
        <w:t>2.2.3 From Aggregate Smoothing to Individual Stochasticity</w:t>
      </w:r>
      <w:bookmarkEnd w:id="6"/>
    </w:p>
    <w:p w14:paraId="0573E183" w14:textId="06471F32" w:rsidR="00AC7269" w:rsidRPr="00D22B50" w:rsidRDefault="00753254" w:rsidP="00FA00E5">
      <w:pPr>
        <w:pStyle w:val="af5"/>
        <w:spacing w:before="156" w:after="156"/>
      </w:pPr>
      <w:r w:rsidRPr="00D22B50">
        <w:rPr>
          <w:rFonts w:hint="eastAsia"/>
        </w:rPr>
        <w:t xml:space="preserve">However, as the focus shifts from aggregate substation-level forecasting to individual household-level forecasting, the complexity of the task increases exponentially due to </w:t>
      </w:r>
      <w:r w:rsidRPr="00D22B50">
        <w:rPr>
          <w:rFonts w:hint="eastAsia"/>
        </w:rPr>
        <w:lastRenderedPageBreak/>
        <w:t xml:space="preserve">the high volatility and stochastic nature of human behavior. At the substation level, the </w:t>
      </w:r>
      <w:r w:rsidR="00BD7543">
        <w:t>“</w:t>
      </w:r>
      <w:r w:rsidRPr="00D22B50">
        <w:rPr>
          <w:rFonts w:hint="eastAsia"/>
        </w:rPr>
        <w:t>aggregation effect</w:t>
      </w:r>
      <w:r w:rsidR="00BD7543">
        <w:t>”</w:t>
      </w:r>
      <w:r w:rsidRPr="00D22B50">
        <w:rPr>
          <w:rFonts w:hint="eastAsia"/>
        </w:rPr>
        <w:t>—rooted in the Law of Large Numbers—effectively smooths out the erratic behaviors of thousands of individual users, resulting in predictable periodic curves. In contrast, at the individual household level, this smoothing effect disappears. A single decision by a resident to activate a high-draw appliance, such as an electric vehicle (EV) charger or an electric oven, can cause an instantaneous doubling or tripling of the household</w:t>
      </w:r>
      <w:r w:rsidR="00BD7543">
        <w:t>’</w:t>
      </w:r>
      <w:r w:rsidRPr="00D22B50">
        <w:rPr>
          <w:rFonts w:hint="eastAsia"/>
        </w:rPr>
        <w:t>s base load. This high-entropy environment makes traditional linear models obsolete and necessitates the use of advanced deep learning architectures capable of capturing non-linear temporal dependencies.</w:t>
      </w:r>
      <w:r w:rsidR="000F2983" w:rsidRPr="00D22B50">
        <w:rPr>
          <w:rFonts w:asciiTheme="minorHAnsi" w:eastAsiaTheme="minorEastAsia" w:hAnsiTheme="minorHAnsi"/>
          <w:sz w:val="21"/>
        </w:rPr>
        <w:t xml:space="preserve"> </w:t>
      </w:r>
      <w:r w:rsidR="000F2983" w:rsidRPr="00D22B50">
        <w:t xml:space="preserve">These dependencies are often influenced by the double-seasonal cycles (daily and weekly) inherent in electricity consumption </w:t>
      </w:r>
      <w:r w:rsidR="008F1B5F" w:rsidRPr="00D22B50">
        <w:fldChar w:fldCharType="begin"/>
      </w:r>
      <w:r w:rsidR="008F1B5F" w:rsidRPr="00D22B50">
        <w:instrText xml:space="preserve"> ADDIN ZOTERO_ITEM CSL_CITATION {"citationID":"Pfpq8uIx","properties":{"formattedCitation":"[6]","plainCitation":"[6]","noteIndex":0},"citationItems":[{"id":651,"uris":["http://zotero.org/users/local/p3tV44H5/items/L57MP6R5"],"itemData":{"id":651,"type":"article-journal","abstract":"This paper considers univariate online electricity demand forecasting for lead times from a half-hour-ahead to a day-ahead. A time series of demand recorded at half-hourly intervals contains more than one seasonal pattern. A within-day seasonal cycle is apparent from the similarity of the demand profile from one day to the next, and a within-week seasonal cycle is evident when one compares the demand on the corresponding day of adjacent weeks. There is strong appeal in using a forecasting method that is able to capture both seasonalities. The multiplicative seasonal ARIMA model has been adapted for this purpose. In this paper, we adapt the Holt-Winters exponential smoothing formulation so that it can accommodate two seasonalities. We correct for residual autocorrelation using a simple autoregressive model. The forecasts produced by the new double seasonal Holt-Winters method outperform those from traditional Holt-Winters and from a well-specified multiplicative double seasonal ARIMA model.","container-title":"Journal of the Operational Research Society","DOI":"10.1057/palgrave.jors.2601589","ISSN":"0160-5682, 1476-9360","issue":"8","journalAbbreviation":"Journal of the Operational Research Society","language":"en","license":"http://www.springer.com/tdm","page":"799-805","source":"DOI.org (Crossref)","title":"Short-term electricity demand forecasting using double seasonal exponential smoothing","volume":"54","author":[{"family":"Taylor","given":"J W"}],"issued":{"date-parts":[["2003",8]]}}}],"schema":"https://github.com/citation-style-language/schema/raw/master/csl-citation.json"} </w:instrText>
      </w:r>
      <w:r w:rsidR="008F1B5F" w:rsidRPr="00D22B50">
        <w:fldChar w:fldCharType="separate"/>
      </w:r>
      <w:r w:rsidR="008F1B5F" w:rsidRPr="00D22B50">
        <w:rPr>
          <w:rFonts w:cs="Times New Roman"/>
        </w:rPr>
        <w:t>[6]</w:t>
      </w:r>
      <w:r w:rsidR="008F1B5F" w:rsidRPr="00D22B50">
        <w:fldChar w:fldCharType="end"/>
      </w:r>
      <w:r w:rsidR="000F2983" w:rsidRPr="00D22B50">
        <w:t xml:space="preserve">, which necessitates specialized time-series decomposition techniques </w:t>
      </w:r>
      <w:r w:rsidR="008F1B5F" w:rsidRPr="00D22B50">
        <w:fldChar w:fldCharType="begin"/>
      </w:r>
      <w:r w:rsidR="008F1B5F" w:rsidRPr="00D22B50">
        <w:instrText xml:space="preserve"> ADDIN ZOTERO_ITEM CSL_CITATION {"citationID":"sA4clul5","properties":{"formattedCitation":"[7]","plainCitation":"[7]","noteIndex":0},"citationItems":[{"id":638,"uris":["http://zotero.org/users/local/p3tV44H5/items/B2DIZMPA"],"itemData":{"id":638,"type":"book","abstract":"Introduction -- Basic descriptive techniques -- Some linear time series models -- Fitting time series models in the time domain -- Forecasting -- Stationary processes in the frequency domain -- Spectral analysis -- Bivariate processes -- Linear systems -- State-space models and the Kalman filter -- Non-linear models -- Volatility models -- Multivariate time series modelling -- Some more advanced topics -- Appendices","collection-title":"Chapman &amp; Hall/CRC texts in statistical science series","edition":"Seventh edition","ISBN":"978-1-4987-9563-0","language":"eng","number-of-pages":"1","publisher":"CRC Press","publisher-place":"Boca Raton, Florida","source":"K10plus ISBN","title":"The analysis of time series: an introduction","title-short":"The analysis of time series","author":[{"family":"Chatfield","given":"Christopher"},{"family":"Xing","given":"Haipeng"}],"issued":{"date-parts":[["2019"]]}}}],"schema":"https://github.com/citation-style-language/schema/raw/master/csl-citation.json"} </w:instrText>
      </w:r>
      <w:r w:rsidR="008F1B5F" w:rsidRPr="00D22B50">
        <w:fldChar w:fldCharType="separate"/>
      </w:r>
      <w:r w:rsidR="008F1B5F" w:rsidRPr="00D22B50">
        <w:rPr>
          <w:rFonts w:cs="Times New Roman"/>
        </w:rPr>
        <w:t>[7]</w:t>
      </w:r>
      <w:r w:rsidR="008F1B5F" w:rsidRPr="00D22B50">
        <w:fldChar w:fldCharType="end"/>
      </w:r>
      <w:r w:rsidR="000F2983" w:rsidRPr="00D22B50">
        <w:t>.</w:t>
      </w:r>
    </w:p>
    <w:p w14:paraId="7AEE4227" w14:textId="77777777" w:rsidR="00753254" w:rsidRPr="00D22B50" w:rsidRDefault="00753254" w:rsidP="00F61464">
      <w:pPr>
        <w:pStyle w:val="2"/>
        <w:rPr>
          <w:rFonts w:hint="eastAsia"/>
        </w:rPr>
      </w:pPr>
      <w:bookmarkStart w:id="7" w:name="_Toc228641257"/>
      <w:r w:rsidRPr="00D22B50">
        <w:rPr>
          <w:rFonts w:hint="eastAsia"/>
        </w:rPr>
        <w:t>2.3 Technical Barriers: Volatility and the Cold Start Problem</w:t>
      </w:r>
      <w:bookmarkEnd w:id="7"/>
    </w:p>
    <w:p w14:paraId="637C7E89" w14:textId="06216AFA" w:rsidR="00753254" w:rsidRPr="00D22B50" w:rsidRDefault="00753254" w:rsidP="00FA00E5">
      <w:pPr>
        <w:pStyle w:val="af5"/>
        <w:spacing w:before="156" w:after="156"/>
      </w:pPr>
      <w:r w:rsidRPr="00D22B50">
        <w:rPr>
          <w:rFonts w:hint="eastAsia"/>
        </w:rPr>
        <w:t xml:space="preserve">Currently, state-of-the-art deep learning architectures, particularly Long Short-Term Memory (LSTM) networks, are lauded for their ability to capture long-range temporal dependencies in complex time-series data </w:t>
      </w:r>
      <w:r w:rsidR="008F1B5F" w:rsidRPr="00D22B50">
        <w:fldChar w:fldCharType="begin"/>
      </w:r>
      <w:r w:rsidR="008F1B5F" w:rsidRPr="00D22B50">
        <w:instrText xml:space="preserve"> ADDIN ZOTERO_ITEM CSL_CITATION {"citationID":"zYQhGjiL","properties":{"formattedCitation":"[8]","plainCitation":"[8]","noteIndex":0},"citationItems":[{"id":512,"uris":["http://zotero.org/users/local/p3tV44H5/items/HCMHHT5F"],"itemData":{"id":512,"type":"article-journal","abstract":"Learning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Memory","volume":"9","author":[{"family":"Hochreiter","given":"Sepp"},{"family":"Schmidhuber","given":"Jürgen"}],"issued":{"date-parts":[["1997",11]]}}}],"schema":"https://github.com/citation-style-language/schema/raw/master/csl-citation.json"} </w:instrText>
      </w:r>
      <w:r w:rsidR="008F1B5F" w:rsidRPr="00D22B50">
        <w:fldChar w:fldCharType="separate"/>
      </w:r>
      <w:r w:rsidR="008F1B5F" w:rsidRPr="00D22B50">
        <w:rPr>
          <w:rFonts w:cs="Times New Roman"/>
        </w:rPr>
        <w:t>[8]</w:t>
      </w:r>
      <w:r w:rsidR="008F1B5F" w:rsidRPr="00D22B50">
        <w:fldChar w:fldCharType="end"/>
      </w:r>
      <w:r w:rsidRPr="00D22B50">
        <w:rPr>
          <w:rFonts w:hint="eastAsia"/>
        </w:rPr>
        <w:t>. The fundamental strength of the LSTM architecture lies in its sophisticated gating mechanisms, which allow the network to selectively retain or discard information over extended sequences. These models excel in data-rich environments where thousands of historical observations are available to train the internal gating mechanisms, enabling the model to learn the intricate periodicity of residential energy consumption, such as daily cycles and weekly fluctuations.</w:t>
      </w:r>
    </w:p>
    <w:p w14:paraId="77FE3D53" w14:textId="05D94ECB" w:rsidR="00753254" w:rsidRPr="00D22B50" w:rsidRDefault="00753254" w:rsidP="00FA00E5">
      <w:pPr>
        <w:pStyle w:val="af5"/>
        <w:spacing w:before="156" w:after="156"/>
      </w:pPr>
      <w:r w:rsidRPr="00D22B50">
        <w:rPr>
          <w:rFonts w:hint="eastAsia"/>
        </w:rPr>
        <w:t xml:space="preserve">However, the performance of these deep learning structures is inherently dependent on the volume of training data to achieve model convergence and mitigate the risk of overfitting </w:t>
      </w:r>
      <w:r w:rsidR="008F1B5F" w:rsidRPr="00D22B50">
        <w:fldChar w:fldCharType="begin"/>
      </w:r>
      <w:r w:rsidR="008F1B5F" w:rsidRPr="00D22B50">
        <w:instrText xml:space="preserve"> ADDIN ZOTERO_ITEM CSL_CITATION {"citationID":"C8jWNQqm","properties":{"formattedCitation":"[8], [9]","plainCitation":"[8], [9]","noteIndex":0},"citationItems":[{"id":512,"uris":["http://zotero.org/users/local/p3tV44H5/items/HCMHHT5F"],"itemData":{"id":512,"type":"article-journal","abstract":"Learning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8F1B5F" w:rsidRPr="00D22B50">
        <w:fldChar w:fldCharType="separate"/>
      </w:r>
      <w:r w:rsidR="008F1B5F" w:rsidRPr="00D22B50">
        <w:rPr>
          <w:rFonts w:cs="Times New Roman"/>
        </w:rPr>
        <w:t>[8], [9]</w:t>
      </w:r>
      <w:r w:rsidR="008F1B5F" w:rsidRPr="00D22B50">
        <w:fldChar w:fldCharType="end"/>
      </w:r>
      <w:r w:rsidRPr="00D22B50">
        <w:rPr>
          <w:rFonts w:hint="eastAsia"/>
        </w:rPr>
        <w:t xml:space="preserve">. Because LSTMs are parameter-heavy architectures, they require a sufficiently large ratio of observations to trainable weights to ensure that the network identifies the underlying statistical distribution rather than simply memorizing the noise in the training sample. When the available dataset is small, the gradient descent process often fails to find a stable global optimum, leading to high variance and poor generalization on unseen data. </w:t>
      </w:r>
      <w:r w:rsidR="009B36BC" w:rsidRPr="00D22B50">
        <w:rPr>
          <w:rFonts w:hint="eastAsia"/>
        </w:rPr>
        <w:t xml:space="preserve">This dependency creates a significant and persistent operational bottleneck in the form of the </w:t>
      </w:r>
      <w:r w:rsidR="00BD7543">
        <w:t>“</w:t>
      </w:r>
      <w:r w:rsidR="009B36BC" w:rsidRPr="00D22B50">
        <w:rPr>
          <w:rFonts w:hint="eastAsia"/>
        </w:rPr>
        <w:t>cold start</w:t>
      </w:r>
      <w:r w:rsidR="00BD7543">
        <w:t>”</w:t>
      </w:r>
      <w:r w:rsidR="009B36BC" w:rsidRPr="00D22B50">
        <w:rPr>
          <w:rFonts w:hint="eastAsia"/>
        </w:rPr>
        <w:t xml:space="preserve"> problem—a scenario where model generalization is fundamentally constrained by the extreme small-sample regime </w:t>
      </w:r>
      <w:r w:rsidR="008F1B5F" w:rsidRPr="00D22B50">
        <w:fldChar w:fldCharType="begin"/>
      </w:r>
      <w:r w:rsidR="008F1B5F" w:rsidRPr="00D22B50">
        <w:instrText xml:space="preserve"> ADDIN ZOTERO_ITEM CSL_CITATION {"citationID":"Dzw8IGFF","properties":{"formattedCitation":"[10]","plainCitation":"[10]","noteIndex":0},"citationItems":[{"id":681,"uris":["http://zotero.org/users/local/p3tV44H5/items/ABNC39X8"],"itemData":{"id":681,"type":"article-journal","abstract":"Machine learning has been highly successful in data-intensive applications but is often hampered when the data set is small. Recently, Few-shot Learning (FSL) is proposed to tackle this problem. Using prior knowledge, FSL can rapidly generalize to new tasks containing only a few samples with supervised information. In this article, we conduct a thorough survey to fully understand FSL. Starting from a formal definition of FSL, we distinguish FSL from several relevant machine learning problems. We then point out that the core issue in FSL is that the empirical risk minimizer is unreliable. Based on how prior knowledge can be used to handle this core issue, we categorize FSL methods from three perspectives: (i) data, which uses prior knowledge to augment the supervised experience; (ii) model, which uses prior knowledge to reduce the size of the hypothesis space; and (iii) algorithm, which uses prior knowledge to alter the search for the best hypothesis in the given hypothesis space. With this taxonomy, we review and discuss the pros and cons of each category. Promising directions, in the aspects of the FSL problem setups, techniques, applications, and theories, are also proposed to provide insights for future research.1","container-title":"ACM Comput. Surv.","DOI":"10.1145/3386252","ISSN":"0360-0300","issue":"3","page":"63:1–63:34","source":"ACM Digital Library","title":"Generalizing from a Few Examples: A Survey on Few-shot Learning","title-short":"Generalizing from a Few Examples","volume":"53","author":[{"family":"Wang","given":"Yaqing"},{"family":"Yao","given":"Quanming"},{"family":"Kwok","given":"James T."},{"family":"Ni","given":"Lionel M."}],"issued":{"date-parts":[["2020",6,12]]}}}],"schema":"https://github.com/citation-style-language/schema/raw/master/csl-citation.json"} </w:instrText>
      </w:r>
      <w:r w:rsidR="008F1B5F" w:rsidRPr="00D22B50">
        <w:fldChar w:fldCharType="separate"/>
      </w:r>
      <w:r w:rsidR="008F1B5F" w:rsidRPr="00D22B50">
        <w:rPr>
          <w:rFonts w:cs="Times New Roman"/>
        </w:rPr>
        <w:t>[10]</w:t>
      </w:r>
      <w:r w:rsidR="008F1B5F" w:rsidRPr="00D22B50">
        <w:fldChar w:fldCharType="end"/>
      </w:r>
      <w:r w:rsidR="009B36BC" w:rsidRPr="00D22B50">
        <w:rPr>
          <w:rFonts w:hint="eastAsia"/>
        </w:rPr>
        <w:t>.</w:t>
      </w:r>
    </w:p>
    <w:p w14:paraId="258DF605" w14:textId="03B3C77D" w:rsidR="00753254" w:rsidRPr="00D22B50" w:rsidRDefault="00753254" w:rsidP="00FA00E5">
      <w:pPr>
        <w:pStyle w:val="af5"/>
        <w:spacing w:before="156" w:after="156"/>
      </w:pPr>
      <w:r w:rsidRPr="00D22B50">
        <w:rPr>
          <w:rFonts w:hint="eastAsia"/>
        </w:rPr>
        <w:t xml:space="preserve">This phenomenon occurs when new residential participants are integrated into the grid or when existing meters are upgraded, resulting in a critically sparse data window. Typically, these new users provide less than 14 days of historical records, which is insufficient for a parameter-heavy LSTM model to learn the specific consumption rhythms and seasonal patterns of a specific household </w:t>
      </w:r>
      <w:r w:rsidR="008F1B5F" w:rsidRPr="00D22B50">
        <w:fldChar w:fldCharType="begin"/>
      </w:r>
      <w:r w:rsidR="008F1B5F" w:rsidRPr="00D22B50">
        <w:instrText xml:space="preserve"> ADDIN ZOTERO_ITEM CSL_CITATION {"citationID":"MsxdKeiY","properties":{"formattedCitation":"[11]","plainCitation":"[11]","noteIndex":0},"citationItems":[{"id":595,"uris":["http://zotero.org/users/local/p3tV44H5/items/RYGGA6L8"],"itemData":{"id":595,"type":"article-journal","abstract":"While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8F1B5F" w:rsidRPr="00D22B50">
        <w:fldChar w:fldCharType="separate"/>
      </w:r>
      <w:r w:rsidR="008F1B5F" w:rsidRPr="00D22B50">
        <w:rPr>
          <w:rFonts w:cs="Times New Roman"/>
        </w:rPr>
        <w:t>[11]</w:t>
      </w:r>
      <w:r w:rsidR="008F1B5F" w:rsidRPr="00D22B50">
        <w:fldChar w:fldCharType="end"/>
      </w:r>
      <w:r w:rsidRPr="00D22B50">
        <w:rPr>
          <w:rFonts w:hint="eastAsia"/>
        </w:rPr>
        <w:t xml:space="preserve">. From a mathematical perspective, 14 days of hourly readings provide only 336 data points, a volume that is grossly inadequate for tuning the thousands of parameters within a modern recurrent </w:t>
      </w:r>
      <w:r w:rsidRPr="00D22B50">
        <w:rPr>
          <w:rFonts w:hint="eastAsia"/>
        </w:rPr>
        <w:lastRenderedPageBreak/>
        <w:t xml:space="preserve">neural network. Under such conditions, traditional </w:t>
      </w:r>
      <w:r w:rsidR="00BD7543">
        <w:t>“</w:t>
      </w:r>
      <w:r w:rsidRPr="00D22B50">
        <w:rPr>
          <w:rFonts w:hint="eastAsia"/>
        </w:rPr>
        <w:t>from-scratch</w:t>
      </w:r>
      <w:r w:rsidR="00BD7543">
        <w:t>”</w:t>
      </w:r>
      <w:r w:rsidRPr="00D22B50">
        <w:rPr>
          <w:rFonts w:hint="eastAsia"/>
        </w:rPr>
        <w:t xml:space="preserve"> training methods fail to yield reliable results, often leading to model divergence and erratic predictions.</w:t>
      </w:r>
    </w:p>
    <w:p w14:paraId="7836F451" w14:textId="18D0045F" w:rsidR="00AC7269" w:rsidRPr="00D22B50" w:rsidRDefault="00753254" w:rsidP="00FA00E5">
      <w:pPr>
        <w:pStyle w:val="af5"/>
        <w:spacing w:before="156" w:after="156"/>
      </w:pPr>
      <w:r w:rsidRPr="00D22B50">
        <w:rPr>
          <w:rFonts w:hint="eastAsia"/>
        </w:rPr>
        <w:t xml:space="preserve">This technical barrier creates a </w:t>
      </w:r>
      <w:r w:rsidR="00BD7543">
        <w:t>“</w:t>
      </w:r>
      <w:r w:rsidRPr="00D22B50">
        <w:rPr>
          <w:rFonts w:hint="eastAsia"/>
        </w:rPr>
        <w:t>value-void</w:t>
      </w:r>
      <w:r w:rsidR="00BD7543">
        <w:t>”</w:t>
      </w:r>
      <w:r w:rsidRPr="00D22B50">
        <w:rPr>
          <w:rFonts w:hint="eastAsia"/>
        </w:rPr>
        <w:t xml:space="preserve"> period where the newly installed smart meter cannot yet support high-value energy services. During this interval, the utility provider cannot deliver personalized demand-response recommendations or accurate localized load balancing because the model has not yet stabilized. For the grid operator, this lack of predictive visibility for new nodes introduces a layer of stochastic uncertainty that complicates real-time balancing. This research targets this specific gap by utilizing transfer learning to provide immediate predictive utility from the moment a smart meter is commissioned.</w:t>
      </w:r>
    </w:p>
    <w:p w14:paraId="192EA077" w14:textId="77777777" w:rsidR="00753254" w:rsidRPr="00D22B50" w:rsidRDefault="00753254" w:rsidP="00F61464">
      <w:pPr>
        <w:pStyle w:val="2"/>
        <w:rPr>
          <w:rFonts w:hint="eastAsia"/>
        </w:rPr>
      </w:pPr>
      <w:bookmarkStart w:id="8" w:name="_Toc228641258"/>
      <w:r w:rsidRPr="00D22B50">
        <w:rPr>
          <w:rFonts w:hint="eastAsia"/>
        </w:rPr>
        <w:t>2.4 Transfer Learning as a Scalable Solution</w:t>
      </w:r>
      <w:bookmarkEnd w:id="8"/>
    </w:p>
    <w:p w14:paraId="10EB6541" w14:textId="2E380516" w:rsidR="00753254" w:rsidRPr="004F3598" w:rsidRDefault="00753254" w:rsidP="004F3598">
      <w:pPr>
        <w:pStyle w:val="af5"/>
        <w:spacing w:before="156" w:after="156"/>
        <w:rPr>
          <w:rFonts w:eastAsiaTheme="minorEastAsia"/>
        </w:rPr>
      </w:pPr>
      <w:r w:rsidRPr="00D22B50">
        <w:rPr>
          <w:rFonts w:hint="eastAsia"/>
        </w:rPr>
        <w:t xml:space="preserve">This research addresses the pervasive data scarcity challenge in energy systems by developing a robust LSTM-based transfer learning framework designed specifically for cold-start scenarios. Transfer learning operates on the foundational principle of knowledge reuse, where insights and statistical representations gained from a data-rich source domain are applied to improve the learning process in a data-poor target domain </w:t>
      </w:r>
      <w:r w:rsidR="008F1B5F" w:rsidRPr="00D22B50">
        <w:fldChar w:fldCharType="begin"/>
      </w:r>
      <w:r w:rsidR="008F1B5F" w:rsidRPr="00D22B50">
        <w:instrText xml:space="preserve"> ADDIN ZOTERO_ITEM CSL_CITATION {"citationID":"clqXpd16","properties":{"formattedCitation":"[12]","plainCitation":"[12]","noteIndex":0},"citationItems":[{"id":516,"uris":["http://zotero.org/users/local/p3tV44H5/items/DT3M3WEH"],"itemData":{"id":516,"type":"article-journal","abstract":"Transfer learning aims at improving the performance of target learners on target domains by transferring the knowledge contained in different but related source domains. In this way, the dependence on a large number of target-domain data can be reduced for constructing target learners. Due to the wide application prospects, transfer learning has become a popular and promising area in machine learning. Although there are already some valuable and impressive surveys on transfer learning, these surveys introduce approaches in a relatively isolated way and lack the recent advances in transfer learning. Due to the rapid expansion of the transfer learning area, it is both necessary and challenging to comprehensively review the relevant studies. This survey attempts to connect and systematize the existing transfer learning research studies, as well as to summarize and interpret the mechanisms and the strategies of transfer learning in a comprehensive way, which may help readers have a better understanding of the current research status and ideas. Unlike previous surveys, this survey article reviews more than 40 representative transfer learning approaches, especially homogeneous transfer learning approaches, from the perspectives of data and model. The applications of transfer learning are also briefly introduced. In order to show the performance of different transfer learning models, over 20 representative transfer learning models are used for experiments. The models are performed on three different data sets, that is, Amazon Reviews, Reuters-21578, and Office-31, and the experimental results demonstrate the importance of selecting appropriate transfer learning models for different applications in practice.","container-title":"Proceedings of the IEEE","DOI":"10.1109/JPROC.2020.3004555","ISSN":"1558-2256","issue":"1","page":"43-76","source":"IEEE Xplore","title":"A Comprehensive Survey on Transfer Learning","volume":"109","author":[{"family":"Zhuang","given":"Fuzhen"},{"family":"Qi","given":"Zhiyuan"},{"family":"Duan","given":"Keyu"},{"family":"Xi","given":"Dongbo"},{"family":"Zhu","given":"Yongchun"},{"family":"Zhu","given":"Hengshu"},{"family":"Xiong","given":"Hui"},{"family":"He","given":"Qing"}],"issued":{"date-parts":[["2021",1]]}}}],"schema":"https://github.com/citation-style-language/schema/raw/master/csl-citation.json"} </w:instrText>
      </w:r>
      <w:r w:rsidR="008F1B5F" w:rsidRPr="00D22B50">
        <w:fldChar w:fldCharType="separate"/>
      </w:r>
      <w:r w:rsidR="008F1B5F" w:rsidRPr="00D22B50">
        <w:rPr>
          <w:rFonts w:cs="Times New Roman"/>
        </w:rPr>
        <w:t>[12]</w:t>
      </w:r>
      <w:r w:rsidR="008F1B5F" w:rsidRPr="00D22B50">
        <w:fldChar w:fldCharType="end"/>
      </w:r>
      <w:r w:rsidRPr="00D22B50">
        <w:rPr>
          <w:rFonts w:hint="eastAsia"/>
        </w:rPr>
        <w:t xml:space="preserve">. </w:t>
      </w:r>
      <w:r w:rsidR="00236858" w:rsidRPr="00D22B50">
        <w:t xml:space="preserve">In accordance with the established theoretical taxonomy of knowledge migration </w:t>
      </w:r>
      <w:r w:rsidR="008F1B5F" w:rsidRPr="00D22B50">
        <w:fldChar w:fldCharType="begin"/>
      </w:r>
      <w:r w:rsidR="008F1B5F" w:rsidRPr="00D22B50">
        <w:instrText xml:space="preserve"> ADDIN ZOTERO_ITEM CSL_CITATION {"citationID":"3rxy9Wf0","properties":{"formattedCitation":"[13]","plainCitation":"[13]","noteIndex":0},"citationItems":[{"id":585,"uris":["http://zotero.org/users/local/p3tV44H5/items/SRPRYVXS"],"itemData":{"id":585,"type":"article-journal","abstract":"A major assumption in many machine learning and data mining algorithms is that the training and future data must be in the same feature space and have the same distribution. However, in many real-world applications, this assumption may not hold. For example, we sometimes have a classification task in one domain of interest, but we only have sufficient training data in another domain of interest, where the latter data may be in a different feature space or follow a different data distribution. In such cases, knowledge transfer, if done successfully, would greatly improve the performance of learning by avoiding much expensive data-labeling efforts. In recent years, transfer learning has emerged as a new learning framework to address this problem. This survey focuses on categorizing and reviewing the current progress on transfer learning for classification, regression, and clustering problems. In this survey, we discuss the relationship between transfer learning and other related machine learning techniques such as domain adaptation, multitask learning and sample selection bias, as well as covariate shift. We also explore some potential future issues in transfer learning research.","container-title":"IEEE Transactions on Knowledge and Data Engineering","DOI":"10.1109/TKDE.2009.191","ISSN":"1558-2191","issue":"10","page":"1345-1359","source":"IEEE Xplore","title":"A Survey on Transfer Learning","volume":"22","author":[{"family":"Pan","given":"Sinno Jialin"},{"family":"Yang","given":"Qiang"}],"issued":{"date-parts":[["2010",10]]}}}],"schema":"https://github.com/citation-style-language/schema/raw/master/csl-citation.json"} </w:instrText>
      </w:r>
      <w:r w:rsidR="008F1B5F" w:rsidRPr="00D22B50">
        <w:fldChar w:fldCharType="separate"/>
      </w:r>
      <w:r w:rsidR="008F1B5F" w:rsidRPr="00D22B50">
        <w:rPr>
          <w:rFonts w:cs="Times New Roman"/>
        </w:rPr>
        <w:t>[13]</w:t>
      </w:r>
      <w:r w:rsidR="008F1B5F" w:rsidRPr="00D22B50">
        <w:fldChar w:fldCharType="end"/>
      </w:r>
      <w:r w:rsidR="00236858" w:rsidRPr="00D22B50">
        <w:t>, this involves mapping the universal temporal features—such as the daily periodicity of appliance usage and the thermal response of buildings—from established smart meter users to new residential participants who lack a historical footprint.</w:t>
      </w:r>
    </w:p>
    <w:p w14:paraId="31982AEF" w14:textId="77777777" w:rsidR="00753254" w:rsidRPr="00D22B50" w:rsidRDefault="00753254" w:rsidP="00F61464">
      <w:pPr>
        <w:pStyle w:val="3"/>
        <w:rPr>
          <w:rFonts w:hint="eastAsia"/>
        </w:rPr>
      </w:pPr>
      <w:bookmarkStart w:id="9" w:name="_Toc228641259"/>
      <w:r w:rsidRPr="00D22B50">
        <w:rPr>
          <w:rFonts w:hint="eastAsia"/>
        </w:rPr>
        <w:t>2.4.1 The Pre-training and Fine-tuning Paradigm</w:t>
      </w:r>
      <w:bookmarkEnd w:id="9"/>
    </w:p>
    <w:p w14:paraId="4E101B08" w14:textId="67881C39" w:rsidR="00753254" w:rsidRPr="00D22B50" w:rsidRDefault="00753254" w:rsidP="008F1B5F">
      <w:pPr>
        <w:pStyle w:val="af5"/>
        <w:spacing w:before="156" w:after="156"/>
        <w:rPr>
          <w:rFonts w:eastAsiaTheme="minorEastAsia"/>
        </w:rPr>
      </w:pPr>
      <w:r w:rsidRPr="00D22B50">
        <w:rPr>
          <w:rFonts w:hint="eastAsia"/>
        </w:rPr>
        <w:t xml:space="preserve">The proposed framework implements a sophisticated </w:t>
      </w:r>
      <w:r w:rsidR="00BD7543">
        <w:t>“</w:t>
      </w:r>
      <w:r w:rsidRPr="00D22B50">
        <w:rPr>
          <w:rFonts w:hint="eastAsia"/>
        </w:rPr>
        <w:t>pre-training and fine-tuning</w:t>
      </w:r>
      <w:r w:rsidR="00BD7543">
        <w:t>”</w:t>
      </w:r>
      <w:r w:rsidRPr="00D22B50">
        <w:rPr>
          <w:rFonts w:hint="eastAsia"/>
        </w:rPr>
        <w:t xml:space="preserve"> paradigm. In the pre-training phase, the LSTM network is exposed to a large-scale source domain comprising hundreds of households with multi-year data.</w:t>
      </w:r>
      <w:r w:rsidR="00CE1344" w:rsidRPr="00D22B50">
        <w:rPr>
          <w:rFonts w:asciiTheme="minorHAnsi" w:eastAsiaTheme="minorEastAsia" w:hAnsiTheme="minorHAnsi"/>
          <w:sz w:val="21"/>
        </w:rPr>
        <w:t xml:space="preserve"> </w:t>
      </w:r>
      <w:r w:rsidR="00CE1344" w:rsidRPr="00D22B50">
        <w:t xml:space="preserve">This allows the internal hidden layers of the network to act as generalized feature extractors, leveraging deep representation learning to internalize a rich latent space of consumption rhythms </w:t>
      </w:r>
      <w:r w:rsidR="008F1B5F" w:rsidRPr="00D22B50">
        <w:fldChar w:fldCharType="begin"/>
      </w:r>
      <w:r w:rsidR="008F1B5F" w:rsidRPr="00D22B50">
        <w:instrText xml:space="preserve"> ADDIN ZOTERO_ITEM CSL_CITATION {"citationID":"nVkgasQe","properties":{"formattedCitation":"[14]","plainCitation":"[14]","noteIndex":0},"citationItems":[{"id":658,"uris":["http://zotero.org/users/local/p3tV44H5/items/9BSWJJPK"],"itemData":{"id":658,"type":"article-journal","abstract":"The success of machine learning algorithms generally depends on data representation, and we hypothesize that this is because different representations can entangle and hide more or less the different explanatory factors of variation behind the data. Although specific domain knowledge can be used to help design representations, learning with generic priors can also be used, and the quest for AI is motivating the design of more powerful representation-learning algorithms implementing such priors. This paper reviews recent work in the area of unsupervised feature learning and deep learning, covering advances in probabilistic models, autoencoders, manifold learning, and deep networks. This motivates longer term unanswered questions about the appropriate objectives for learning good representations, for computing representations (i.e., inference), and the geometrical connections between representation learning, density estimation, and manifold learning.","container-title":"IEEE Transactions on Pattern Analysis and Machine Intelligence","DOI":"10.1109/TPAMI.2013.50","ISSN":"1939-3539","issue":"8","page":"1798-1828","source":"IEEE Xplore","title":"Representation Learning: A Review and New Perspectives","title-short":"Representation Learning","volume":"35","author":[{"family":"Bengio","given":"Yoshua"},{"family":"Courville","given":"Aaron"},{"family":"Vincent","given":"Pascal"}],"issued":{"date-parts":[["2013",8]]}}}],"schema":"https://github.com/citation-style-language/schema/raw/master/csl-citation.json"} </w:instrText>
      </w:r>
      <w:r w:rsidR="008F1B5F" w:rsidRPr="00D22B50">
        <w:fldChar w:fldCharType="separate"/>
      </w:r>
      <w:r w:rsidR="008F1B5F" w:rsidRPr="00D22B50">
        <w:rPr>
          <w:rFonts w:cs="Times New Roman"/>
        </w:rPr>
        <w:t>[14]</w:t>
      </w:r>
      <w:r w:rsidR="008F1B5F" w:rsidRPr="00D22B50">
        <w:fldChar w:fldCharType="end"/>
      </w:r>
      <w:r w:rsidR="00CE1344" w:rsidRPr="00D22B50">
        <w:t>.</w:t>
      </w:r>
      <w:r w:rsidRPr="00D22B50">
        <w:rPr>
          <w:rFonts w:hint="eastAsia"/>
        </w:rPr>
        <w:t xml:space="preserve"> By migrating these learned weights to a new user, the model does not start its learning process from a random distribution but rather from an informed prior that already understands the basic mechanics of electricity demand. A comprehensive survey on time-series transfer learning suggests that such knowledge migration can significantly reduce the data accumulation period required for accurate forecasting </w:t>
      </w:r>
      <w:r w:rsidR="008F1B5F" w:rsidRPr="00D22B50">
        <w:fldChar w:fldCharType="begin"/>
      </w:r>
      <w:r w:rsidR="008F1B5F" w:rsidRPr="00D22B50">
        <w:instrText xml:space="preserve"> ADDIN ZOTERO_ITEM CSL_CITATION {"citationID":"Dd1p0pPE","properties":{"formattedCitation":"[15]","plainCitation":"[15]","noteIndex":0},"citationItems":[{"id":587,"uris":["http://zotero.org/users/local/p3tV44H5/items/JV45ZU2Z"],"itemData":{"id":587,"type":"paper-conference","abstract":"Transfer learning for deep neural networks is the process of first training a base network on a source dataset, and then transferring the learned features (the network’s weights) to a second network to be trained on a target dataset. This idea has been shown to improve deep neural network’s generalization capabilities in many computer vision tasks such as image recognition and object localization. Apart from these applications, deep Convolutional Neural Networks (CNNs) have also recently gained popularity in the Time Series Classification (TSC) community. However, unlike for image recognition problems, transfer learning techniques have not yet been investigated thoroughly for the TSC task. This is surprising as the accuracy of deep learning models for TSC could potentially be improved if the model is fine-tuned from a pre-trained neural network instead of training it from scratch. In this paper, we fill this gap by investigating how to transfer deep CNNs for the TSC task. To evaluate the potential of transfer learning, we performed extensive experiments using the UCR archive which is the largest publicly available TSC benchmark containing 85 datasets. For each dataset in the archive, we pre-trained a model and then fine-tuned it on the other datasets resulting in 7140 different deep neural networks. These experiments revealed that transfer learning can improve or degrade the models predictions depending on the dataset used for transfer. Therefore, in an effort to predict the best source dataset for a given target dataset, we propose a new method relying on Dynamic Time Warping to measure inter-datasets similarities. We describe how our method can guide the transfer to choose the best source dataset leading to an improvement in accuracy on 71 out of 85 datasets.","container-title":"2018 IEEE International Conference on Big Data (Big Data)","DOI":"10.1109/BigData.2018.8621990","event-title":"2018 IEEE International Conference on Big Data (Big Data)","page":"1367-1376","source":"IEEE Xplore","title":"Transfer learning for time series classification","URL":"https://ieeexplore.ieee.org/document/8621990","author":[{"family":"Ismail Fawaz","given":"Hassan"},{"family":"Forestier","given":"Germain"},{"family":"Weber","given":"Jonathan"},{"family":"Idoumghar","given":"Lhassane"},{"family":"Muller","given":"Pierre-Alain"}],"accessed":{"date-parts":[["2026",5,1]]},"issued":{"date-parts":[["2018",12]]}}}],"schema":"https://github.com/citation-style-language/schema/raw/master/csl-citation.json"} </w:instrText>
      </w:r>
      <w:r w:rsidR="008F1B5F" w:rsidRPr="00D22B50">
        <w:fldChar w:fldCharType="separate"/>
      </w:r>
      <w:r w:rsidR="008F1B5F" w:rsidRPr="00D22B50">
        <w:rPr>
          <w:rFonts w:cs="Times New Roman"/>
        </w:rPr>
        <w:t>[15]</w:t>
      </w:r>
      <w:r w:rsidR="008F1B5F" w:rsidRPr="00D22B50">
        <w:fldChar w:fldCharType="end"/>
      </w:r>
      <w:r w:rsidRPr="00D22B50">
        <w:rPr>
          <w:rFonts w:hint="eastAsia"/>
        </w:rPr>
        <w:t>. This reduction is vital for utility providers, as it effectively eliminates the multi-week waiting period typically required before a predictive model becomes operational.</w:t>
      </w:r>
    </w:p>
    <w:p w14:paraId="5AE9D5F9" w14:textId="77777777" w:rsidR="00753254" w:rsidRPr="00D22B50" w:rsidRDefault="00753254" w:rsidP="00F61464">
      <w:pPr>
        <w:pStyle w:val="3"/>
        <w:rPr>
          <w:rFonts w:hint="eastAsia"/>
        </w:rPr>
      </w:pPr>
      <w:bookmarkStart w:id="10" w:name="_Toc228641260"/>
      <w:r w:rsidRPr="00D22B50">
        <w:rPr>
          <w:rFonts w:hint="eastAsia"/>
        </w:rPr>
        <w:t>2.4.2 Mitigation of Negative Transfer and Optimization</w:t>
      </w:r>
      <w:bookmarkEnd w:id="10"/>
    </w:p>
    <w:p w14:paraId="62013F41" w14:textId="19DECECA" w:rsidR="00753254" w:rsidRPr="00D22B50" w:rsidRDefault="00753254" w:rsidP="00FA00E5">
      <w:pPr>
        <w:pStyle w:val="af5"/>
        <w:spacing w:before="156" w:after="156"/>
        <w:rPr>
          <w:rFonts w:eastAsiaTheme="minorEastAsia"/>
        </w:rPr>
      </w:pPr>
      <w:r w:rsidRPr="00D22B50">
        <w:rPr>
          <w:rFonts w:hint="eastAsia"/>
        </w:rPr>
        <w:t xml:space="preserve">The primary contributions of this work are focused on bridging the gap between theoretical potential and practical implementation. One of the most significant hurdles in knowledge migration is the phenomenon where unoptimized pre-trained weights can lead to negative transfer, a condition where the initial knowledge actually hinders target </w:t>
      </w:r>
      <w:r w:rsidRPr="00D22B50">
        <w:rPr>
          <w:rFonts w:hint="eastAsia"/>
        </w:rPr>
        <w:lastRenderedPageBreak/>
        <w:t xml:space="preserve">performance </w:t>
      </w:r>
      <w:r w:rsidR="008F1B5F" w:rsidRPr="00D22B50">
        <w:fldChar w:fldCharType="begin"/>
      </w:r>
      <w:r w:rsidR="008F1B5F" w:rsidRPr="00D22B50">
        <w:instrText xml:space="preserve"> ADDIN ZOTERO_ITEM CSL_CITATION {"citationID":"IqNMkKCO","properties":{"formattedCitation":"[13]","plainCitation":"[13]","noteIndex":0},"citationItems":[{"id":585,"uris":["http://zotero.org/users/local/p3tV44H5/items/SRPRYVXS"],"itemData":{"id":585,"type":"article-journal","abstract":"A major assumption in many machine learning and data mining algorithms is that the training and future data must be in the same feature space and have the same distribution. However, in many real-world applications, this assumption may not hold. For example, we sometimes have a classification task in one domain of interest, but we only have sufficient training data in another domain of interest, where the latter data may be in a different feature space or follow a different data distribution. In such cases, knowledge transfer, if done successfully, would greatly improve the performance of learning by avoiding much expensive data-labeling efforts. In recent years, transfer learning has emerged as a new learning framework to address this problem. This survey focuses on categorizing and reviewing the current progress on transfer learning for classification, regression, and clustering problems. In this survey, we discuss the relationship between transfer learning and other related machine learning techniques such as domain adaptation, multitask learning and sample selection bias, as well as covariate shift. We also explore some potential future issues in transfer learning research.","container-title":"IEEE Transactions on Knowledge and Data Engineering","DOI":"10.1109/TKDE.2009.191","ISSN":"1558-2191","issue":"10","page":"1345-1359","source":"IEEE Xplore","title":"A Survey on Transfer Learning","volume":"22","author":[{"family":"Pan","given":"Sinno Jialin"},{"family":"Yang","given":"Qiang"}],"issued":{"date-parts":[["2010",10]]}}}],"schema":"https://github.com/citation-style-language/schema/raw/master/csl-citation.json"} </w:instrText>
      </w:r>
      <w:r w:rsidR="008F1B5F" w:rsidRPr="00D22B50">
        <w:fldChar w:fldCharType="separate"/>
      </w:r>
      <w:r w:rsidR="008F1B5F" w:rsidRPr="00D22B50">
        <w:rPr>
          <w:rFonts w:cs="Times New Roman"/>
        </w:rPr>
        <w:t>[13]</w:t>
      </w:r>
      <w:r w:rsidR="008F1B5F" w:rsidRPr="00D22B50">
        <w:fldChar w:fldCharType="end"/>
      </w:r>
      <w:r w:rsidRPr="00D22B50">
        <w:rPr>
          <w:rFonts w:hint="eastAsia"/>
        </w:rPr>
        <w:t>. Negative transfer often occurs when the source domain is too divergent from the target or when the model has over-fitted to specific noise in the source data. To prevent this, the initial weights must provide a robust but flexible representation that can be quickly adapted to localized behavioral nuances.</w:t>
      </w:r>
    </w:p>
    <w:p w14:paraId="31A9C738" w14:textId="232472B9" w:rsidR="00753254" w:rsidRPr="00D22B50" w:rsidRDefault="00753254" w:rsidP="00FA00E5">
      <w:pPr>
        <w:pStyle w:val="af5"/>
        <w:spacing w:before="156" w:after="156"/>
        <w:rPr>
          <w:rFonts w:eastAsiaTheme="minorEastAsia"/>
        </w:rPr>
      </w:pPr>
      <w:r w:rsidRPr="00D22B50">
        <w:rPr>
          <w:rFonts w:hint="eastAsia"/>
        </w:rPr>
        <w:t xml:space="preserve">To ensure stable knowledge transfer and avoid the degradation of predictive accuracy, this research utilizes a systematic hyperparameter optimization process using the </w:t>
      </w:r>
      <w:proofErr w:type="spellStart"/>
      <w:r w:rsidRPr="00D22B50">
        <w:rPr>
          <w:rFonts w:hint="eastAsia"/>
        </w:rPr>
        <w:t>Optuna</w:t>
      </w:r>
      <w:proofErr w:type="spellEnd"/>
      <w:r w:rsidRPr="00D22B50">
        <w:rPr>
          <w:rFonts w:hint="eastAsia"/>
        </w:rPr>
        <w:t xml:space="preserve"> framework </w:t>
      </w:r>
      <w:r w:rsidR="00DF73D4" w:rsidRPr="00D22B50">
        <w:fldChar w:fldCharType="begin"/>
      </w:r>
      <w:r w:rsidR="00DF73D4" w:rsidRPr="00D22B50">
        <w:instrText xml:space="preserve"> ADDIN ZOTERO_ITEM CSL_CITATION {"citationID":"2rn6tXLo","properties":{"formattedCitation":"[16]","plainCitation":"[16]","noteIndex":0},"citationItems":[{"id":575,"uris":["http://zotero.org/users/local/p3tV44H5/items/KGFYWMJL"],"itemData":{"id":575,"type":"paper-conference","abstract":"The purpose of this study is to introduce new design-criteria for next-generation hyperparameter optimization software. The criteria we propose include (1) define-by-run API that allows users to construct the parameter search space dynamically, (2) efficient implementation of both searching and pruning strategies, and (3) easy-to-setup, versatile architecture that can be deployed for various purposes, ranging from scalable distributed computing to light-weight experiment conducted via interactive interface. In order to prove our point, we will introduce Optuna, an optimization software which is a culmination of our effort in the development of a next generation optimization software. As an optimization software designed with define-by-run principle, Optuna is particularly the first of its kind. We will present the design-techniques that became necessary in the development of the software that meets the above criteria, and demonstrate the power of our new design through experimental results and real world applications. Our software is available under the MIT license (https://github.com/pfnet/optuna/).","collection-title":"KDD '19","container-title":"Proceedings of the 25th ACM SIGKDD International Conference on Knowledge Discovery &amp; Data Mining","DOI":"10.1145/3292500.3330701","ISBN":"978-1-4503-6201-6","page":"2623–2631","publisher":"Association for Computing Machinery","publisher-place":"New York, NY, USA","source":"ACM Digital Library","title":"Optuna: A Next-generation Hyperparameter Optimization Framework","title-short":"Optuna","URL":"https://dl.acm.org/doi/10.1145/3292500.3330701","author":[{"family":"Akiba","given":"Takuya"},{"family":"Sano","given":"Shotaro"},{"family":"Yanase","given":"Toshihiko"},{"family":"Ohta","given":"Takeru"},{"family":"Koyama","given":"Masanori"}],"accessed":{"date-parts":[["2026",5,1]]},"issued":{"date-parts":[["2019",7,25]]}}}],"schema":"https://github.com/citation-style-language/schema/raw/master/csl-citation.json"} </w:instrText>
      </w:r>
      <w:r w:rsidR="00DF73D4" w:rsidRPr="00D22B50">
        <w:fldChar w:fldCharType="separate"/>
      </w:r>
      <w:r w:rsidR="00DF73D4" w:rsidRPr="00D22B50">
        <w:rPr>
          <w:rFonts w:cs="Times New Roman"/>
        </w:rPr>
        <w:t>[16]</w:t>
      </w:r>
      <w:r w:rsidR="00DF73D4" w:rsidRPr="00D22B50">
        <w:fldChar w:fldCharType="end"/>
      </w:r>
      <w:r w:rsidRPr="00D22B50">
        <w:rPr>
          <w:rFonts w:hint="eastAsia"/>
        </w:rPr>
        <w:t xml:space="preserve">. </w:t>
      </w:r>
      <w:proofErr w:type="spellStart"/>
      <w:r w:rsidRPr="00D22B50">
        <w:rPr>
          <w:rFonts w:hint="eastAsia"/>
        </w:rPr>
        <w:t>Optuna</w:t>
      </w:r>
      <w:proofErr w:type="spellEnd"/>
      <w:r w:rsidRPr="00D22B50">
        <w:rPr>
          <w:rFonts w:hint="eastAsia"/>
        </w:rPr>
        <w:t xml:space="preserve"> employs a Tree-structured </w:t>
      </w:r>
      <w:proofErr w:type="spellStart"/>
      <w:r w:rsidRPr="00D22B50">
        <w:rPr>
          <w:rFonts w:hint="eastAsia"/>
        </w:rPr>
        <w:t>Parzen</w:t>
      </w:r>
      <w:proofErr w:type="spellEnd"/>
      <w:r w:rsidRPr="00D22B50">
        <w:rPr>
          <w:rFonts w:hint="eastAsia"/>
        </w:rPr>
        <w:t xml:space="preserve"> Estimator (TPE) algorithm to search the high-dimensional parameter space, identifying the optimal learning rates, hidden units, and dropout ratios that maximize the </w:t>
      </w:r>
      <w:r w:rsidR="00BD7543">
        <w:t>“</w:t>
      </w:r>
      <w:r w:rsidRPr="00D22B50">
        <w:rPr>
          <w:rFonts w:hint="eastAsia"/>
        </w:rPr>
        <w:t>transferability</w:t>
      </w:r>
      <w:r w:rsidR="00BD7543">
        <w:t>”</w:t>
      </w:r>
      <w:r w:rsidRPr="00D22B50">
        <w:rPr>
          <w:rFonts w:hint="eastAsia"/>
        </w:rPr>
        <w:t xml:space="preserve"> of the features. This automated search process replaces manual heuristics, which are often insufficient for handling the high volatility of residential energy data.</w:t>
      </w:r>
    </w:p>
    <w:p w14:paraId="594C8908" w14:textId="77777777" w:rsidR="00753254" w:rsidRPr="00D22B50" w:rsidRDefault="00753254" w:rsidP="00F61464">
      <w:pPr>
        <w:pStyle w:val="3"/>
        <w:rPr>
          <w:rFonts w:hint="eastAsia"/>
        </w:rPr>
      </w:pPr>
      <w:bookmarkStart w:id="11" w:name="_Toc228641261"/>
      <w:r w:rsidRPr="00D22B50">
        <w:rPr>
          <w:rFonts w:hint="eastAsia"/>
        </w:rPr>
        <w:t>2.4.3 Empirical Validation and Practical Path</w:t>
      </w:r>
      <w:bookmarkEnd w:id="11"/>
    </w:p>
    <w:p w14:paraId="1CF92E8A" w14:textId="76314FB9" w:rsidR="002C44EF" w:rsidRPr="00D22B50" w:rsidRDefault="00753254" w:rsidP="00FA00E5">
      <w:pPr>
        <w:pStyle w:val="af5"/>
        <w:spacing w:before="156" w:after="156"/>
      </w:pPr>
      <w:r w:rsidRPr="00D22B50">
        <w:rPr>
          <w:rFonts w:hint="eastAsia"/>
        </w:rPr>
        <w:t xml:space="preserve">The effectiveness of this optimized transfer learning approach is validated through a rigorous experimental protocol. Extensive batch evaluation on </w:t>
      </w:r>
      <w:r w:rsidR="00723FDC" w:rsidRPr="00D22B50">
        <w:rPr>
          <w:rFonts w:hint="eastAsia"/>
        </w:rPr>
        <w:t>30</w:t>
      </w:r>
      <w:r w:rsidRPr="00D22B50">
        <w:rPr>
          <w:rFonts w:hint="eastAsia"/>
        </w:rPr>
        <w:t xml:space="preserve"> diverse households from the London Smart Meter dataset demonstrates that the optimized framework achieves a </w:t>
      </w:r>
      <w:r w:rsidR="00EF32D5" w:rsidRPr="00EF32D5">
        <w:t>31.5%</w:t>
      </w:r>
      <w:r w:rsidRPr="00D22B50">
        <w:rPr>
          <w:rFonts w:hint="eastAsia"/>
        </w:rPr>
        <w:t xml:space="preserve"> improvement over the traditional scratch-training baseline. By providing a scalable solution that works with as little as 10 days of target data, this work establishes a viable path for immediate, high-value service deployment in smart grids from the very first day of meter installation.</w:t>
      </w:r>
    </w:p>
    <w:p w14:paraId="09D1FCFC" w14:textId="37F72308" w:rsidR="00AC7269" w:rsidRPr="00D22B50" w:rsidRDefault="00AC7269" w:rsidP="00F61464">
      <w:pPr>
        <w:pStyle w:val="1"/>
        <w:rPr>
          <w:rFonts w:hint="eastAsia"/>
        </w:rPr>
      </w:pPr>
      <w:bookmarkStart w:id="12" w:name="_Toc228641262"/>
      <w:bookmarkStart w:id="13" w:name="_Hlk228641565"/>
      <w:r w:rsidRPr="00D22B50">
        <w:t>3. Literature Review</w:t>
      </w:r>
      <w:bookmarkEnd w:id="12"/>
    </w:p>
    <w:p w14:paraId="03E9D6C6" w14:textId="77777777" w:rsidR="00753254" w:rsidRPr="00D22B50" w:rsidRDefault="00753254" w:rsidP="00F61464">
      <w:pPr>
        <w:pStyle w:val="2"/>
        <w:rPr>
          <w:rFonts w:hint="eastAsia"/>
        </w:rPr>
      </w:pPr>
      <w:bookmarkStart w:id="14" w:name="_Toc228641263"/>
      <w:r w:rsidRPr="00D22B50">
        <w:rPr>
          <w:rFonts w:hint="eastAsia"/>
        </w:rPr>
        <w:t>3.1 Evolutionary Trajectory of Short-Term Load Forecasting</w:t>
      </w:r>
      <w:bookmarkEnd w:id="14"/>
    </w:p>
    <w:p w14:paraId="3CE12486" w14:textId="331F110D" w:rsidR="00753254" w:rsidRPr="00D22B50" w:rsidRDefault="00CE1344" w:rsidP="00FA00E5">
      <w:pPr>
        <w:pStyle w:val="af5"/>
        <w:spacing w:before="156" w:after="156"/>
      </w:pPr>
      <w:r w:rsidRPr="00D22B50">
        <w:t xml:space="preserve">The historical development of STLF represents a fundamental shift from linear statistical modeling to sophisticated deep learning architectures </w:t>
      </w:r>
      <w:r w:rsidR="00DF73D4" w:rsidRPr="00D22B50">
        <w:fldChar w:fldCharType="begin"/>
      </w:r>
      <w:r w:rsidR="00DF73D4" w:rsidRPr="00D22B50">
        <w:instrText xml:space="preserve"> ADDIN ZOTERO_ITEM CSL_CITATION {"citationID":"XFoj8UQb","properties":{"formattedCitation":"[17]","plainCitation":"[17]","noteIndex":0},"citationItems":[{"id":673,"uris":["http://zotero.org/users/local/p3tV44H5/items/E2P7VV6V"],"itemData":{"id":673,"type":"article-journal","abstract":"Deep learning allows computational models that are composed of multiple processing layers to learn representations of data with multiple levels of abstraction. These methods have dramatically improved the state-of-the-art in speech recognition, visual object recognition, object detection and many other domains such as drug discovery and genomics. Deep learning discovers intricate structure in large data sets by using the backpropagation algorithm to indicate how a machine should change its internal parameters that are used to compute the representation in each layer from the representation in the previous layer. Deep convolutional nets have brought about breakthroughs in processing images, video, speech and audio, whereas recurrent nets have shone light on sequential data such as text and speech.","container-title":"Nature","DOI":"10.1038/nature14539","ISSN":"1476-4687","issue":"7553","language":"en","license":"2015 Springer Nature Limited","page":"436-444","publisher":"Nature Publishing Group","source":"www.nature.com","title":"Deep learning","volume":"521","author":[{"family":"LeCun","given":"Yann"},{"family":"Bengio","given":"Yoshua"},{"family":"Hinton","given":"Geoffrey"}],"issued":{"date-parts":[["2015",5]]}}}],"schema":"https://github.com/citation-style-language/schema/raw/master/csl-citation.json"} </w:instrText>
      </w:r>
      <w:r w:rsidR="00DF73D4" w:rsidRPr="00D22B50">
        <w:fldChar w:fldCharType="separate"/>
      </w:r>
      <w:r w:rsidR="00DF73D4" w:rsidRPr="00D22B50">
        <w:rPr>
          <w:rFonts w:cs="Times New Roman"/>
        </w:rPr>
        <w:t>[17]</w:t>
      </w:r>
      <w:r w:rsidR="00DF73D4" w:rsidRPr="00D22B50">
        <w:fldChar w:fldCharType="end"/>
      </w:r>
      <w:r w:rsidRPr="00D22B50">
        <w:t xml:space="preserve">. While early neural networks offered initial breakthroughs in capturing non-linear consumption patterns </w:t>
      </w:r>
      <w:r w:rsidR="00DF73D4" w:rsidRPr="00D22B50">
        <w:fldChar w:fldCharType="begin"/>
      </w:r>
      <w:r w:rsidR="00DF73D4" w:rsidRPr="00D22B50">
        <w:instrText xml:space="preserve"> ADDIN ZOTERO_ITEM CSL_CITATION {"citationID":"wJTOeZxt","properties":{"formattedCitation":"[18]","plainCitation":"[18]","noteIndex":0},"citationItems":[{"id":677,"uris":["http://zotero.org/users/local/p3tV44H5/items/D8QPXLJQ"],"itemData":{"id":677,"type":"article-journal","abstract":"Load forecasting has become one of the major areas of research in electrical engineering, and most traditional forecasting models and artificial intelligence techniques have been tried out in this task. Artificial neural networks (NNs) have lately received much attention, and a great number of papers have reported successful experiments and practical tests with them. Nevertheless, some authors remain skeptical, and believe that the advantages of using NNs in forecasting have not been systematically proved yet. In order to investigate the reasons for such skepticism, this review examines a collection of papers (published between 1991 and 1999) that report the application of NNs to short-term load forecasting. Our aim is to help to clarify the issue, by critically evaluating the ways in which the NNs proposed in these papers were designed and tested.","container-title":"IEEE Transactions on Power Systems","DOI":"10.1109/59.910780","ISSN":"1558-0679","issue":"1","page":"44-55","source":"IEEE Xplore","title":"Neural networks for short-term load forecasting: a review and evaluation","title-short":"Neural networks for short-term load forecasting","volume":"16","author":[{"family":"Hippert","given":"H.S."},{"family":"Pedreira","given":"C.E."},{"family":"Souza","given":"R.C."}],"issued":{"date-parts":[["2001",2]]}}}],"schema":"https://github.com/citation-style-language/schema/raw/master/csl-citation.json"} </w:instrText>
      </w:r>
      <w:r w:rsidR="00DF73D4" w:rsidRPr="00D22B50">
        <w:fldChar w:fldCharType="separate"/>
      </w:r>
      <w:r w:rsidR="00DF73D4" w:rsidRPr="00D22B50">
        <w:rPr>
          <w:rFonts w:cs="Times New Roman"/>
        </w:rPr>
        <w:t>[18]</w:t>
      </w:r>
      <w:r w:rsidR="00DF73D4" w:rsidRPr="00D22B50">
        <w:fldChar w:fldCharType="end"/>
      </w:r>
      <w:r w:rsidRPr="00D22B50">
        <w:t xml:space="preserve">, recent successes in recurrent applications have further proven the efficacy of sequential deep modeling </w:t>
      </w:r>
      <w:r w:rsidR="00DF73D4" w:rsidRPr="00D22B50">
        <w:fldChar w:fldCharType="begin"/>
      </w:r>
      <w:r w:rsidR="00DF73D4" w:rsidRPr="00D22B50">
        <w:instrText xml:space="preserve"> ADDIN ZOTERO_ITEM CSL_CITATION {"citationID":"PQRLMu0q","properties":{"formattedCitation":"[19]","plainCitation":"[19]","noteIndex":0},"citationItems":[{"id":660,"uris":["http://zotero.org/users/local/p3tV44H5/items/BHCLRV35"],"itemData":{"id":660,"type":"paper-conference","abstract":"Electric load forecasting plays a vital role in smart grids. Short term electric load forecasting forecasts the load that is several hours to several weeks ahead. Due to the nonlinear, non-stationary and nonseasonal nature of the short term electric load time series in small scale power systems, accurate forecasting is challenging. This paper explores Long-Short-Term-Memory (LSTM) based Recurrent Neural Network (RNN) to deal with this challenge. LSTM-based RNN is able to exploit the long term dependencies in the electric load time series for more accurate forecasting. Experiments are conducted to demonstrate that LSTM-based RNN is capable of forecasting accurately the complex electric load time series with a long forecasting horizon. Its performance compares favorably to many other forecasting methods.","container-title":"2017 51st Annual Conference on Information Sciences and Systems (CISS)","DOI":"10.1109/CISS.2017.7926112","event-title":"2017 51st Annual Conference on Information Sciences and Systems (CISS)","page":"1-6","source":"IEEE Xplore","title":"Electric load forecasting in smart grids using Long-Short-Term-Memory based Recurrent Neural Network","URL":"https://ieeexplore.ieee.org/document/7926112/","author":[{"family":"Zheng","given":"Jian"},{"family":"Xu","given":"Cencen"},{"family":"Zhang","given":"Ziang"},{"family":"Li","given":"Xiaohua"}],"accessed":{"date-parts":[["2026",5,1]]},"issued":{"date-parts":[["2017",3]]}}}],"schema":"https://github.com/citation-style-language/schema/raw/master/csl-citation.json"} </w:instrText>
      </w:r>
      <w:r w:rsidR="00DF73D4" w:rsidRPr="00D22B50">
        <w:fldChar w:fldCharType="separate"/>
      </w:r>
      <w:r w:rsidR="00DF73D4" w:rsidRPr="00D22B50">
        <w:rPr>
          <w:rFonts w:cs="Times New Roman"/>
        </w:rPr>
        <w:t>[19]</w:t>
      </w:r>
      <w:r w:rsidR="00DF73D4" w:rsidRPr="00D22B50">
        <w:fldChar w:fldCharType="end"/>
      </w:r>
      <w:r w:rsidRPr="00D22B50">
        <w:t>.</w:t>
      </w:r>
    </w:p>
    <w:p w14:paraId="2443042B" w14:textId="77777777" w:rsidR="00753254" w:rsidRPr="00D22B50" w:rsidRDefault="00753254" w:rsidP="00753254">
      <w:pPr>
        <w:rPr>
          <w:rFonts w:hint="eastAsia"/>
        </w:rPr>
      </w:pPr>
    </w:p>
    <w:p w14:paraId="3A03B725" w14:textId="77777777" w:rsidR="00753254" w:rsidRPr="00D22B50" w:rsidRDefault="00753254" w:rsidP="00F61464">
      <w:pPr>
        <w:pStyle w:val="3"/>
        <w:rPr>
          <w:rFonts w:hint="eastAsia"/>
        </w:rPr>
      </w:pPr>
      <w:bookmarkStart w:id="15" w:name="_Toc228641264"/>
      <w:r w:rsidRPr="00D22B50">
        <w:rPr>
          <w:rFonts w:hint="eastAsia"/>
        </w:rPr>
        <w:t>3.1.1 The Statistical Era: ARIMA and Smoothing Techniques</w:t>
      </w:r>
      <w:bookmarkEnd w:id="15"/>
    </w:p>
    <w:p w14:paraId="7DA214A8" w14:textId="25A23216" w:rsidR="00753254" w:rsidRPr="00D22B50" w:rsidRDefault="00753254" w:rsidP="00DF73D4">
      <w:pPr>
        <w:pStyle w:val="af5"/>
        <w:spacing w:before="156" w:after="156"/>
        <w:rPr>
          <w:rFonts w:eastAsiaTheme="minorEastAsia"/>
        </w:rPr>
      </w:pPr>
      <w:r w:rsidRPr="00D22B50">
        <w:rPr>
          <w:rFonts w:hint="eastAsia"/>
        </w:rPr>
        <w:t xml:space="preserve">Early methodologies were dominated by Autoregressive Integrated Moving Average (ARIMA) and exponential smoothing techniques. These models rely on the assumption of stationarity or near-stationarity in time-series data. While effective for aggregate load forecasting where noise is filtered out through summation—a phenomenon explained </w:t>
      </w:r>
      <w:r w:rsidRPr="00D22B50">
        <w:rPr>
          <w:rFonts w:hint="eastAsia"/>
        </w:rPr>
        <w:lastRenderedPageBreak/>
        <w:t>by the Central Limit Theorem where the sum of independent random variables tends toward a Gaussian distribution—these methods struggle with the sharp fluctuations inherent in individual household data. In the context of a single residence, electricity consumption is not a smooth continuous function but rather a series of discrete, high-variance events driven by human behavior. Consequently, the linear nature of ARIMA fails to capture the heteroscedasticity and non-linear spikes typical of modern residential energy use.</w:t>
      </w:r>
    </w:p>
    <w:p w14:paraId="4DFF6266" w14:textId="77777777" w:rsidR="00753254" w:rsidRPr="00D22B50" w:rsidRDefault="00753254" w:rsidP="00F61464">
      <w:pPr>
        <w:pStyle w:val="3"/>
        <w:rPr>
          <w:rFonts w:hint="eastAsia"/>
        </w:rPr>
      </w:pPr>
      <w:bookmarkStart w:id="16" w:name="_Toc228641265"/>
      <w:r w:rsidRPr="00D22B50">
        <w:rPr>
          <w:rFonts w:hint="eastAsia"/>
        </w:rPr>
        <w:t>3.1.2 The Machine Learning Era: SVR and Random Forests</w:t>
      </w:r>
      <w:bookmarkEnd w:id="16"/>
    </w:p>
    <w:p w14:paraId="074EBA82" w14:textId="483472E1" w:rsidR="00753254" w:rsidRPr="00D22B50" w:rsidRDefault="00753254" w:rsidP="00DF73D4">
      <w:pPr>
        <w:pStyle w:val="af5"/>
        <w:spacing w:before="156" w:after="156"/>
        <w:rPr>
          <w:rFonts w:eastAsiaTheme="minorEastAsia"/>
        </w:rPr>
      </w:pPr>
      <w:r w:rsidRPr="00D22B50">
        <w:rPr>
          <w:rFonts w:hint="eastAsia"/>
        </w:rPr>
        <w:t xml:space="preserve">The emergence of machine learning introduced a new set of tools, most notably Support Vector Regression (SVR) and Random Forests. These models offered a significant leap forward by providing the capacity to model non-linear relationships without requiring strict parametric assumptions. SVR, for instance, utilizes the kernel trick to map input data into high-dimensional spaces where linear separation or regression becomes possible. However, these shallow learners often fail to capture the long-term temporal dependencies present in energy time series. Their performance is heavily contingent upon manual feature engineering, where experts must pre-define lagged variables and seasonal indicators. Because they lack an inherent </w:t>
      </w:r>
      <w:r w:rsidR="00BD7543">
        <w:t>“</w:t>
      </w:r>
      <w:r w:rsidRPr="00D22B50">
        <w:rPr>
          <w:rFonts w:hint="eastAsia"/>
        </w:rPr>
        <w:t>memory</w:t>
      </w:r>
      <w:r w:rsidR="00BD7543">
        <w:t>”</w:t>
      </w:r>
      <w:r w:rsidRPr="00D22B50">
        <w:rPr>
          <w:rFonts w:hint="eastAsia"/>
        </w:rPr>
        <w:t xml:space="preserve"> mechanism, they treat each input window as a static snapshot, often overlooking the sequential context that defines residential routines.</w:t>
      </w:r>
    </w:p>
    <w:p w14:paraId="50E52B8F" w14:textId="77777777" w:rsidR="00753254" w:rsidRPr="00D22B50" w:rsidRDefault="00753254" w:rsidP="00F61464">
      <w:pPr>
        <w:pStyle w:val="3"/>
        <w:rPr>
          <w:rFonts w:hint="eastAsia"/>
        </w:rPr>
      </w:pPr>
      <w:bookmarkStart w:id="17" w:name="_Toc228641266"/>
      <w:r w:rsidRPr="00D22B50">
        <w:rPr>
          <w:rFonts w:hint="eastAsia"/>
        </w:rPr>
        <w:t>3.1.3 The Deep Learning Revolution: RNNs and LSTMs</w:t>
      </w:r>
      <w:bookmarkEnd w:id="17"/>
    </w:p>
    <w:p w14:paraId="3648DA43" w14:textId="6D5629E0" w:rsidR="00753254" w:rsidRPr="00D22B50" w:rsidRDefault="00753254" w:rsidP="00FA00E5">
      <w:pPr>
        <w:pStyle w:val="af5"/>
        <w:spacing w:before="156" w:after="156"/>
      </w:pPr>
      <w:r w:rsidRPr="00D22B50">
        <w:rPr>
          <w:rFonts w:hint="eastAsia"/>
        </w:rPr>
        <w:t>The introduction of Recurrent Neural Networks (RNNs) marked a true paradigm shift in the field by treating load forecasting as a dynamic sequence modeling problem rather than a static regression task. Unlike feed-forward neural networks, RNNs maintain a hidden state that functions as a temporal memory, carrying information from previous time steps to influence the current output. This recurrent structure theoretically allows the network to model the sequential nature of residential routines. However, traditional RNNs are plagued by the vanishing gradient problem. During the Backpropagation Through Time (BPTT) process, the gradients of the loss function are repeatedly multiplied by the weight matrices as they propagate back to earlier time steps. If these weights are small, the gradient diminishes exponentially, effectively preventing the network from learning dependencies across long sequences. This limitation is particularly detrimental in STLF, where the model must understand patterns over several days (</w:t>
      </w:r>
      <w:proofErr w:type="gramStart"/>
      <w:r w:rsidRPr="00D22B50">
        <w:rPr>
          <w:rFonts w:hint="eastAsia"/>
        </w:rPr>
        <w:t>96 time</w:t>
      </w:r>
      <w:proofErr w:type="gramEnd"/>
      <w:r w:rsidRPr="00D22B50">
        <w:rPr>
          <w:rFonts w:hint="eastAsia"/>
        </w:rPr>
        <w:t xml:space="preserve"> steps for 15-minute intervals).</w:t>
      </w:r>
      <w:r w:rsidR="00FA00E5" w:rsidRPr="00D22B50">
        <w:rPr>
          <w:rFonts w:hint="eastAsia"/>
        </w:rPr>
        <w:t xml:space="preserve"> </w:t>
      </w:r>
      <w:r w:rsidRPr="00D22B50">
        <w:rPr>
          <w:rFonts w:hint="eastAsia"/>
        </w:rPr>
        <w:t xml:space="preserve">Long Short-Term Memory (LSTM) networks solved this critical flaw by introducing a sophisticated gating mechanism consisting of forget, input, and output gates </w:t>
      </w:r>
      <w:r w:rsidR="00DF73D4" w:rsidRPr="00D22B50">
        <w:fldChar w:fldCharType="begin"/>
      </w:r>
      <w:r w:rsidR="00DF73D4" w:rsidRPr="00D22B50">
        <w:instrText xml:space="preserve"> ADDIN ZOTERO_ITEM CSL_CITATION {"citationID":"CrttTByz","properties":{"formattedCitation":"[8]","plainCitation":"[8]","noteIndex":0},"citationItems":[{"id":512,"uris":["http://zotero.org/users/local/p3tV44H5/items/HCMHHT5F"],"itemData":{"id":512,"type":"article-journal","abstract":"Learning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Memory","volume":"9","author":[{"family":"Hochreiter","given":"Sepp"},{"family":"Schmidhuber","given":"Jürgen"}],"issued":{"date-parts":[["1997",11]]}}}],"schema":"https://github.com/citation-style-language/schema/raw/master/csl-citation.json"} </w:instrText>
      </w:r>
      <w:r w:rsidR="00DF73D4" w:rsidRPr="00D22B50">
        <w:fldChar w:fldCharType="separate"/>
      </w:r>
      <w:r w:rsidR="00DF73D4" w:rsidRPr="00D22B50">
        <w:rPr>
          <w:rFonts w:cs="Times New Roman"/>
        </w:rPr>
        <w:t>[8]</w:t>
      </w:r>
      <w:r w:rsidR="00DF73D4" w:rsidRPr="00D22B50">
        <w:fldChar w:fldCharType="end"/>
      </w:r>
      <w:r w:rsidRPr="00D22B50">
        <w:rPr>
          <w:rFonts w:hint="eastAsia"/>
        </w:rPr>
        <w:t xml:space="preserve">. The core innovation of the LSTM is the cell state, which serves as an information highway that can maintain information with minimal modification. The forget gate regulates how much of the previous cell state should be retained, the input gate decides which new information from the current observation should be stored, and the output gate determines which part of the cell state will be passed to the hidden state. This mathematical architecture allows the model to </w:t>
      </w:r>
      <w:r w:rsidRPr="00D22B50">
        <w:rPr>
          <w:rFonts w:hint="eastAsia"/>
        </w:rPr>
        <w:lastRenderedPageBreak/>
        <w:t>selectively retain or discard information over hundreds of time steps, making it capable of capturing both high-frequency daily peaks and low-frequency weekly trends.</w:t>
      </w:r>
    </w:p>
    <w:p w14:paraId="49BBCF7F" w14:textId="23214B5E" w:rsidR="00753254" w:rsidRPr="00D22B50" w:rsidRDefault="00753254" w:rsidP="00FA00E5">
      <w:pPr>
        <w:pStyle w:val="af5"/>
        <w:spacing w:before="156" w:after="156"/>
      </w:pPr>
      <w:r w:rsidRPr="00D22B50">
        <w:rPr>
          <w:rFonts w:hint="eastAsia"/>
        </w:rPr>
        <w:t xml:space="preserve">Kong et al. pioneered the application of LSTM to residential STLF, proving its superiority in handling the extreme volatility of single-user consumption </w:t>
      </w:r>
      <w:r w:rsidR="00DF73D4" w:rsidRPr="00D22B50">
        <w:fldChar w:fldCharType="begin"/>
      </w:r>
      <w:r w:rsidR="00DF73D4" w:rsidRPr="00D22B50">
        <w:instrText xml:space="preserve"> ADDIN ZOTERO_ITEM CSL_CITATION {"citationID":"C4bENqdp","properties":{"formattedCitation":"[9]","plainCitation":"[9]","noteIndex":0},"citationItems":[{"id":557,"uris":["http://zotero.org/users/local/p3tV44H5/items/N4D6A4RG"],"itemData":{"id":557,"type":"article-journal","abstract":"As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DF73D4" w:rsidRPr="00D22B50">
        <w:fldChar w:fldCharType="separate"/>
      </w:r>
      <w:r w:rsidR="00DF73D4" w:rsidRPr="00D22B50">
        <w:rPr>
          <w:rFonts w:cs="Times New Roman"/>
        </w:rPr>
        <w:t>[9]</w:t>
      </w:r>
      <w:r w:rsidR="00DF73D4" w:rsidRPr="00D22B50">
        <w:fldChar w:fldCharType="end"/>
      </w:r>
      <w:r w:rsidRPr="00D22B50">
        <w:rPr>
          <w:rFonts w:hint="eastAsia"/>
        </w:rPr>
        <w:t xml:space="preserve">. Their research demonstrated that the internal gating mechanisms of LSTMs could effectively filter out the stochastic </w:t>
      </w:r>
      <w:r w:rsidR="00BD7543">
        <w:t>“</w:t>
      </w:r>
      <w:r w:rsidRPr="00D22B50">
        <w:rPr>
          <w:rFonts w:hint="eastAsia"/>
        </w:rPr>
        <w:t>noise</w:t>
      </w:r>
      <w:r w:rsidR="00BD7543">
        <w:t>”</w:t>
      </w:r>
      <w:r w:rsidRPr="00D22B50">
        <w:rPr>
          <w:rFonts w:hint="eastAsia"/>
        </w:rPr>
        <w:t xml:space="preserve"> of individual appliance activations while identifying the underlying energy </w:t>
      </w:r>
      <w:r w:rsidR="00BD7543">
        <w:t>“</w:t>
      </w:r>
      <w:r w:rsidRPr="00D22B50">
        <w:rPr>
          <w:rFonts w:hint="eastAsia"/>
        </w:rPr>
        <w:t>fingerprint</w:t>
      </w:r>
      <w:r w:rsidR="00BD7543">
        <w:t>”</w:t>
      </w:r>
      <w:r w:rsidRPr="00D22B50">
        <w:rPr>
          <w:rFonts w:hint="eastAsia"/>
        </w:rPr>
        <w:t xml:space="preserve"> of a household. </w:t>
      </w:r>
      <w:r w:rsidR="00236858" w:rsidRPr="00D22B50">
        <w:t>This established the LSTM as the gold standard for high-resolution residential forecasting in modern smart grid research</w:t>
      </w:r>
      <w:r w:rsidR="00DF73D4" w:rsidRPr="00D22B50">
        <w:fldChar w:fldCharType="begin"/>
      </w:r>
      <w:r w:rsidR="00DF73D4" w:rsidRPr="00D22B50">
        <w:instrText xml:space="preserve"> ADDIN ZOTERO_ITEM CSL_CITATION {"citationID":"TcG3W2M5","properties":{"formattedCitation":"[9], [20], [21]","plainCitation":"[9], [20], [21]","noteIndex":0},"citationItems":[{"id":557,"uris":["http://zotero.org/users/local/p3tV44H5/items/N4D6A4RG"],"itemData":{"id":557,"type":"article-journal","abstract":"As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J."},{"family":"Xu","given":"Yan"},{"family":"Zhang","given":"Yuan"}],"issued":{"date-parts":[["2019",1]]}}},{"id":599,"uris":["http://zotero.org/users/local/p3tV44H5/items/RAZSRL9D"],"itemData":{"id":599,"type":"article","abstract":"We focus on solving the univariate times series point forecasting problem using deep learning. We propose a deep neural architecture based on backward and forward residual links and a very deep stack of fully-connected layers. The architecture has a number of desirable properties, being interpretable, applicable without modification to a wide array of target domains, and fast to train. We test the proposed architecture on several well-known datasets, including M3, M4 and TOURISM competition datasets containing time series from diverse domains. We demonstrate state-of-the-art performance for two configurations of N-BEATS for all the datasets, improving forecast accuracy by 11% over a statistical benchmark and by 3% over last year's winner of the M4 competition, a domain-adjusted hand-crafted hybrid between neural network and statistical time series models. The first configuration of our model does not employ any time-series-specific components and its performance on heterogeneous datasets strongly suggests that, contrarily to received wisdom, deep learning primitives such as residual blocks are by themselves sufficient to solve a wide range of forecasting problems. Finally, we demonstrate how the proposed architecture can be augmented to provide outputs that are interpretable without considerable loss in accuracy.","DOI":"10.48550/arXiv.1905.10437","note":"arXiv:1905.10437 [cs]","number":"arXiv:1905.10437","publisher":"arXiv","source":"arXiv.org","title":"N-BEATS: Neural basis expansion analysis for interpretable time series forecasting","title-short":"N-BEATS","URL":"http://arxiv.org/abs/1905.10437","author":[{"family":"Oreshkin","given":"Boris N."},{"family":"Carpov","given":"Dmitri"},{"family":"Chapados","given":"Nicolas"},{"family":"Bengio","given":"Yoshua"}],"accessed":{"date-parts":[["2026",5,1]]},"issued":{"date-parts":[["2020",2,20]]}}},{"id":604,"uris":["http://zotero.org/users/local/p3tV44H5/items/MNH3PGL5"],"itemData":{"id":604,"type":"article-journal","abstract":"The installation of smart meters enables the collection of massive fine-grained electricity consumption data and makes individual consumer level load forecasting possible. Compared to aggregated loads, load forecasting for individual consumers is prone to non-stationary and stochastic features. In this paper, a probabilistic load forecasting method for individual consumers is proposed to handle the variability and uncertainty of future load profiles. Specifically, a deep neural network, long short-term memory (LSTM), is used to model both the long-term and short-term dependencies within the load profiles. Pinball loss, instead of the mean square error (MSE), is used to guide the training of the parameters. In this way, traditional LSTM-based point forecasting is extended to probabilistic forecasting in the form of quantiles. Numerical experiments are conducted on an open dataset from Ireland. Forecasting for both residential and commercial consumers is tested. Results show that the proposed method has superior performance over traditional methods.","container-title":"Applied Energy","DOI":"10.1016/j.apenergy.2018.10.078","ISSN":"0306-2619","journalAbbreviation":"Applied Energy","page":"10-20","source":"ScienceDirect","title":"Probabilistic individual load forecasting using pinball loss guided LSTM","volume":"235","author":[{"family":"Wang","given":"Yi"},{"family":"Gan","given":"Dahua"},{"family":"Sun","given":"Mingyang"},{"family":"Zhang","given":"Ning"},{"family":"Lu","given":"Zongxiang"},{"family":"Kang","given":"Chongqing"}],"issued":{"date-parts":[["2019",2,1]]}}}],"schema":"https://github.com/citation-style-language/schema/raw/master/csl-citation.json"} </w:instrText>
      </w:r>
      <w:r w:rsidR="00DF73D4" w:rsidRPr="00D22B50">
        <w:fldChar w:fldCharType="separate"/>
      </w:r>
      <w:r w:rsidR="00DF73D4" w:rsidRPr="00D22B50">
        <w:rPr>
          <w:rFonts w:cs="Times New Roman"/>
        </w:rPr>
        <w:t>[9], [20], [21]</w:t>
      </w:r>
      <w:r w:rsidR="00DF73D4" w:rsidRPr="00D22B50">
        <w:fldChar w:fldCharType="end"/>
      </w:r>
      <w:r w:rsidR="00236858" w:rsidRPr="00D22B50">
        <w:t>.</w:t>
      </w:r>
    </w:p>
    <w:p w14:paraId="2DF7122F" w14:textId="77777777" w:rsidR="00753254" w:rsidRPr="00D22B50" w:rsidRDefault="00753254" w:rsidP="00F61464">
      <w:pPr>
        <w:pStyle w:val="3"/>
        <w:rPr>
          <w:rFonts w:hint="eastAsia"/>
        </w:rPr>
      </w:pPr>
      <w:bookmarkStart w:id="18" w:name="_Toc228641267"/>
      <w:r w:rsidRPr="00D22B50">
        <w:rPr>
          <w:rFonts w:hint="eastAsia"/>
        </w:rPr>
        <w:t>3.1.4 Advanced Hybrid and Multi-User Architectures</w:t>
      </w:r>
      <w:bookmarkEnd w:id="18"/>
    </w:p>
    <w:p w14:paraId="5AB37891" w14:textId="78CB5336" w:rsidR="00753254" w:rsidRPr="00D22B50" w:rsidRDefault="00753254" w:rsidP="00FA00E5">
      <w:pPr>
        <w:pStyle w:val="af5"/>
        <w:spacing w:before="156" w:after="156"/>
      </w:pPr>
      <w:r w:rsidRPr="00D22B50">
        <w:rPr>
          <w:rFonts w:hint="eastAsia"/>
        </w:rPr>
        <w:t xml:space="preserve">Following the success of standard LSTMs, the research community branched into more specialized and complex structures to further enhance predictive robustness. One prominent development is the Pooling LSTM model, designed specifically to mitigate the impact of individual noise by learning shared features across a group of similar users </w:t>
      </w:r>
      <w:r w:rsidR="00DF73D4" w:rsidRPr="00D22B50">
        <w:fldChar w:fldCharType="begin"/>
      </w:r>
      <w:r w:rsidR="00DF73D4" w:rsidRPr="00D22B50">
        <w:instrText xml:space="preserve"> ADDIN ZOTERO_ITEM CSL_CITATION {"citationID":"7yxzmXVp","properties":{"formattedCitation":"[22]","plainCitation":"[22]","noteIndex":0},"citationItems":[{"id":582,"uris":["http://zotero.org/users/local/p3tV44H5/items/ZEP5S279"],"itemData":{"id":582,"type":"article-journal","abstract":"The key challenge for household load forecasting lies in the high volatility and uncertainty of load profiles. Traditional methods tend to avoid such uncertainty by load aggregation (to offset uncertainties), customer classification (to cluster uncertainties) and spectral analysis (to filter out uncertainties). This paper, for the first time, aims to directly learn the uncertainty by applying a new breed of machine learning algorithms – deep learning.","container-title":"IEEE Transactions on Smart Grid","DOI":"10.1109/TSG.2017.2686012","ISSN":"1949-3053, 1949-3061","issue":"5","journalAbbreviation":"IEEE Trans. Smart Grid","language":"en","license":"https://ieeexplore.ieee.org/Xplorehelp/downloads/license-information/IEEE.html","page":"5271-5280","source":"DOI.org (Crossref)","title":"Deep Learning for Household Load Forecasting—A Novel Pooling Deep RNN","volume":"9","author":[{"family":"Shi","given":"Heng"},{"family":"Xu","given":"Minghao"},{"family":"Li","given":"Ran"}],"issued":{"date-parts":[["2018",9]]}}}],"schema":"https://github.com/citation-style-language/schema/raw/master/csl-citation.json"} </w:instrText>
      </w:r>
      <w:r w:rsidR="00DF73D4" w:rsidRPr="00D22B50">
        <w:fldChar w:fldCharType="separate"/>
      </w:r>
      <w:r w:rsidR="00DF73D4" w:rsidRPr="00D22B50">
        <w:rPr>
          <w:rFonts w:cs="Times New Roman"/>
        </w:rPr>
        <w:t>[22]</w:t>
      </w:r>
      <w:r w:rsidR="00DF73D4" w:rsidRPr="00D22B50">
        <w:fldChar w:fldCharType="end"/>
      </w:r>
      <w:r w:rsidRPr="00D22B50">
        <w:rPr>
          <w:rFonts w:hint="eastAsia"/>
        </w:rPr>
        <w:t>. By pooling data from multiple households, the model can leverage cross-user correlations to compensate for the sparsity of data in any single residence. This approach addresses the inherent high-entropy nature of residential load by emphasizing collective consumption rhythms over individual stochastic events.</w:t>
      </w:r>
    </w:p>
    <w:p w14:paraId="575D6A4D" w14:textId="0244C034" w:rsidR="00753254" w:rsidRPr="00D22B50" w:rsidRDefault="00753254" w:rsidP="00FA00E5">
      <w:pPr>
        <w:pStyle w:val="af5"/>
        <w:spacing w:before="156" w:after="156"/>
      </w:pPr>
      <w:r w:rsidRPr="00D22B50">
        <w:rPr>
          <w:rFonts w:hint="eastAsia"/>
        </w:rPr>
        <w:t xml:space="preserve">Simultaneously, hybrid CNN-LSTM structures have emerged to extract local spatial-temporal features from raw energy time series </w:t>
      </w:r>
      <w:r w:rsidR="00DF73D4" w:rsidRPr="00D22B50">
        <w:fldChar w:fldCharType="begin"/>
      </w:r>
      <w:r w:rsidR="00DF73D4" w:rsidRPr="00D22B50">
        <w:instrText xml:space="preserve"> ADDIN ZOTERO_ITEM CSL_CITATION {"citationID":"zYJgYSxs","properties":{"formattedCitation":"[5]","plainCitation":"[5]","noteIndex":0},"citationItems":[{"id":542,"uris":["http://zotero.org/users/local/p3tV44H5/items/WNFTH4DZ"],"itemData":{"id":542,"type":"article-journal","abstract":"Power grids are transforming into flexible, smart, and cooperative systems with greater dissemination of distributed energy resources, advanced metering infrastructure, and advanced communication technologies. Short-term electric load forecasting for individual residential customers plays a progressively crucial role in the operation and planning of future grids. Compared to the aggregated electrical load at the community level, the prediction of individual household electric loads is legitimately challenging because of the high uncertainty and volatility involved. Results from previous studies show that prediction using machine learning and deep learning models is far from accurate, and there is still room for improvement. We herein propose a deep learning framework based on a combination of a convolutional neural network (CNN) and long short-term memory (LSTM). The proposed hybrid CNN-LSTM model uses CNN layers for feature extraction from the input data with LSTM layers for sequence learning. The performance of our developed framework is comprehensively compared to state-of-the-art systems currently in use for short-term individual household electric load forecasting. The proposed model achieved significantly better results compared to other competing techniques. We evaluated our proposed model with the recently explored LSTM-based deep learning model on a publicly available electrical load data of individual household customers from the Smart Grid Smart City (SGSC) project. We obtained an average mean absolute percentage error (MAPE) of 40.38% for individual household electric load forecasts in comparison with the LSTM-based model that obtained an average MAPE of 44.06%. Furthermore, we evaluated the effectiveness of the proposed model on different time horizons (up to 3 h ahead). Compared to the recently developed LSTM-based model tested on the same dataset, we obtained 4.01%, 4.76%, and 5.98% improvement for one, two, and six look-forward time steps, respectively (with 2 lookback time steps). Additionally, we have performed clustering analysis based on the power consumption behavior of the energy users, which indicate that prediction accuracy could be improved by grouping and training the representative model using large amount of data. The results indicated that the proposed model outperforms the LSTM-based model for both 1 h ahead and 3 h ahead in forecasting individual household electric loads.","container-title":"IEEE Access","DOI":"10.1109/ACCESS.2020.3028281","ISSN":"2169-3536","page":"180544-180557","source":"IEEE Xplore","title":"Hybrid CNN-LSTM Model for Short-Term Individual Household Load Forecasting","volume":"8","author":[{"family":"Alhussein","given":"Musaed"},{"family":"Aurangzeb","given":"Khursheed"},{"family":"Haider","given":"Syed Irtaza"}],"issued":{"date-parts":[["2020"]]}}}],"schema":"https://github.com/citation-style-language/schema/raw/master/csl-citation.json"} </w:instrText>
      </w:r>
      <w:r w:rsidR="00DF73D4" w:rsidRPr="00D22B50">
        <w:fldChar w:fldCharType="separate"/>
      </w:r>
      <w:r w:rsidR="00DF73D4" w:rsidRPr="00D22B50">
        <w:rPr>
          <w:rFonts w:cs="Times New Roman"/>
        </w:rPr>
        <w:t>[5]</w:t>
      </w:r>
      <w:r w:rsidR="00DF73D4" w:rsidRPr="00D22B50">
        <w:fldChar w:fldCharType="end"/>
      </w:r>
      <w:r w:rsidRPr="00D22B50">
        <w:rPr>
          <w:rFonts w:hint="eastAsia"/>
        </w:rPr>
        <w:t xml:space="preserve">. In these hybrid frameworks, Convolutional Neural Networks (CNNs) are utilized as automated feature extractors in the initial layers. The convolutional kernels slide across the temporal window to identify localized </w:t>
      </w:r>
      <w:r w:rsidR="00BD7543">
        <w:t>“</w:t>
      </w:r>
      <w:r w:rsidRPr="00D22B50">
        <w:rPr>
          <w:rFonts w:hint="eastAsia"/>
        </w:rPr>
        <w:t>shapes</w:t>
      </w:r>
      <w:r w:rsidR="00BD7543">
        <w:t>”</w:t>
      </w:r>
      <w:r w:rsidRPr="00D22B50">
        <w:rPr>
          <w:rFonts w:hint="eastAsia"/>
        </w:rPr>
        <w:t xml:space="preserve"> and gradient changes in the load curve, such as the sharp rise during a morning surge. These extracted features are then fed into LSTM layers, which model the long-term sequential dependencies. This dual-stage extraction significantly improves the model</w:t>
      </w:r>
      <w:r w:rsidR="00BD7543">
        <w:t>’</w:t>
      </w:r>
      <w:r w:rsidRPr="00D22B50">
        <w:rPr>
          <w:rFonts w:hint="eastAsia"/>
        </w:rPr>
        <w:t>s ability to generalize across different consumption profiles.</w:t>
      </w:r>
    </w:p>
    <w:p w14:paraId="59E56070" w14:textId="70B22FAB" w:rsidR="00AC7269" w:rsidRPr="00D22B50" w:rsidRDefault="00753254" w:rsidP="00FA00E5">
      <w:pPr>
        <w:pStyle w:val="af5"/>
        <w:spacing w:before="156" w:after="156"/>
      </w:pPr>
      <w:r w:rsidRPr="00D22B50">
        <w:rPr>
          <w:rFonts w:hint="eastAsia"/>
        </w:rPr>
        <w:t xml:space="preserve">Despite these remarkable technical advancements, the reliance on massive datasets remains a significant constraint for practical deployment </w:t>
      </w:r>
      <w:r w:rsidR="00DF73D4" w:rsidRPr="00D22B50">
        <w:fldChar w:fldCharType="begin"/>
      </w:r>
      <w:r w:rsidR="00DF73D4" w:rsidRPr="00D22B50">
        <w:instrText xml:space="preserve"> ADDIN ZOTERO_ITEM CSL_CITATION {"citationID":"kWEDy2FX","properties":{"formattedCitation":"[4]","plainCitation":"[4]","noteIndex":0},"citationItems":[{"id":567,"uris":["http://zotero.org/users/local/p3tV44H5/items/J38MU6UU"],"itemData":{"id":567,"type":"article-journal","abstract":"The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DF73D4" w:rsidRPr="00D22B50">
        <w:fldChar w:fldCharType="separate"/>
      </w:r>
      <w:r w:rsidR="00DF73D4" w:rsidRPr="00D22B50">
        <w:rPr>
          <w:rFonts w:cs="Times New Roman"/>
        </w:rPr>
        <w:t>[4]</w:t>
      </w:r>
      <w:r w:rsidR="00DF73D4" w:rsidRPr="00D22B50">
        <w:fldChar w:fldCharType="end"/>
      </w:r>
      <w:r w:rsidRPr="00D22B50">
        <w:rPr>
          <w:rFonts w:hint="eastAsia"/>
        </w:rPr>
        <w:t>. Most high-performing deep models require months or even a full year of historical records to reach an acceptable level of convergence and accuracy. This data-dependency threshold creates a substantial barrier for new smart grid participants, necessitating the development of transfer learning strategies that can provide immediate utility during the initial phases of meter installation.</w:t>
      </w:r>
    </w:p>
    <w:p w14:paraId="7F9DCD58" w14:textId="77777777" w:rsidR="005E508E" w:rsidRPr="00D22B50" w:rsidRDefault="005E508E" w:rsidP="00F61464">
      <w:pPr>
        <w:pStyle w:val="2"/>
        <w:rPr>
          <w:rFonts w:hint="eastAsia"/>
        </w:rPr>
      </w:pPr>
      <w:bookmarkStart w:id="19" w:name="_Toc228641268"/>
      <w:r w:rsidRPr="00D22B50">
        <w:rPr>
          <w:rFonts w:hint="eastAsia"/>
        </w:rPr>
        <w:t>3.2 Stochasticity and Complexity in Individual Household Forecasting</w:t>
      </w:r>
      <w:bookmarkEnd w:id="19"/>
    </w:p>
    <w:p w14:paraId="7A07908F" w14:textId="2EE82A33" w:rsidR="005E508E" w:rsidRPr="00D22B50" w:rsidRDefault="005E508E" w:rsidP="00FA00E5">
      <w:pPr>
        <w:pStyle w:val="af5"/>
        <w:spacing w:before="156" w:after="156"/>
        <w:rPr>
          <w:rFonts w:eastAsiaTheme="minorEastAsia"/>
        </w:rPr>
      </w:pPr>
      <w:r w:rsidRPr="00D22B50">
        <w:rPr>
          <w:rFonts w:hint="eastAsia"/>
        </w:rPr>
        <w:t xml:space="preserve">Predicting the energy demand of a single household presents a set of unique challenges that are fundamentally different from traditional substation-level or city-level </w:t>
      </w:r>
      <w:r w:rsidRPr="00D22B50">
        <w:rPr>
          <w:rFonts w:hint="eastAsia"/>
        </w:rPr>
        <w:lastRenderedPageBreak/>
        <w:t>forecasting. At the individual meter level, the data is characterized by high entropy, extreme stochasticity, and a lack of clear periodicity that is typically found in aggregate data.</w:t>
      </w:r>
    </w:p>
    <w:p w14:paraId="0F41A6B4" w14:textId="77777777" w:rsidR="005E508E" w:rsidRPr="00D22B50" w:rsidRDefault="005E508E" w:rsidP="00F61464">
      <w:pPr>
        <w:pStyle w:val="3"/>
        <w:rPr>
          <w:rFonts w:hint="eastAsia"/>
        </w:rPr>
      </w:pPr>
      <w:bookmarkStart w:id="20" w:name="_Toc228641269"/>
      <w:r w:rsidRPr="00D22B50">
        <w:rPr>
          <w:rFonts w:hint="eastAsia"/>
        </w:rPr>
        <w:t>3.2.1 The Failure of the Law of Large Numbers</w:t>
      </w:r>
      <w:bookmarkEnd w:id="20"/>
    </w:p>
    <w:p w14:paraId="27DCEC76" w14:textId="154AAAB1" w:rsidR="005E508E" w:rsidRPr="00D22B50" w:rsidRDefault="005E508E" w:rsidP="00FA00E5">
      <w:pPr>
        <w:pStyle w:val="af5"/>
        <w:spacing w:before="156" w:after="156"/>
        <w:rPr>
          <w:rFonts w:eastAsiaTheme="minorEastAsia"/>
        </w:rPr>
      </w:pPr>
      <w:r w:rsidRPr="00D22B50">
        <w:rPr>
          <w:rFonts w:hint="eastAsia"/>
        </w:rPr>
        <w:t xml:space="preserve">In power systems, aggregate loads benefit from the </w:t>
      </w:r>
      <w:r w:rsidR="00BD7543">
        <w:t>“</w:t>
      </w:r>
      <w:r w:rsidRPr="00D22B50">
        <w:rPr>
          <w:rFonts w:hint="eastAsia"/>
        </w:rPr>
        <w:t>Law of Large Numbers</w:t>
      </w:r>
      <w:r w:rsidR="00BD7543">
        <w:t>”</w:t>
      </w:r>
      <w:r w:rsidRPr="00D22B50">
        <w:rPr>
          <w:rFonts w:hint="eastAsia"/>
        </w:rPr>
        <w:t xml:space="preserve"> (LLN). From a statistical perspective, the LLN dictates that the average of a large number of independent and identically distributed random variables will converge to the expected value as the sample size increases. At the substation level, the erratic and random behaviors of thousands of individual households cancel each other out, resulting in smooth, predictable, and periodic load curves.</w:t>
      </w:r>
    </w:p>
    <w:p w14:paraId="74D38B72" w14:textId="4AAB78C6" w:rsidR="005E508E" w:rsidRPr="00D22B50" w:rsidRDefault="005E508E" w:rsidP="00FA00E5">
      <w:pPr>
        <w:pStyle w:val="af5"/>
        <w:spacing w:before="156" w:after="156"/>
        <w:rPr>
          <w:rFonts w:eastAsiaTheme="minorEastAsia"/>
        </w:rPr>
      </w:pPr>
      <w:r w:rsidRPr="00D22B50">
        <w:rPr>
          <w:rFonts w:hint="eastAsia"/>
        </w:rPr>
        <w:t xml:space="preserve">In contrast, at the household level, this smoothing effect is non-existent. The residential load is a direct reflection of individual human behavior, which is composed of discrete, high-power events. These events include the activation of high-power appliances such as HVAC (Heating, Ventilation, and Air Conditioning) systems, electric water heaters, or electric vehicle (EV) charging stations. The operation of these devices creates sharp, sporadic spikes and non-periodic patterns that do not follow a Gaussian distribution </w:t>
      </w:r>
      <w:r w:rsidR="00DF73D4" w:rsidRPr="00D22B50">
        <w:fldChar w:fldCharType="begin"/>
      </w:r>
      <w:r w:rsidR="00DF73D4" w:rsidRPr="00D22B50">
        <w:instrText xml:space="preserve"> ADDIN ZOTERO_ITEM CSL_CITATION {"citationID":"BAQhNtnW","properties":{"formattedCitation":"[4]","plainCitation":"[4]","noteIndex":0},"citationItems":[{"id":567,"uris":["http://zotero.org/users/local/p3tV44H5/items/J38MU6UU"],"itemData":{"id":567,"type":"article-journal","abstract":"The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DF73D4" w:rsidRPr="00D22B50">
        <w:fldChar w:fldCharType="separate"/>
      </w:r>
      <w:r w:rsidR="00DF73D4" w:rsidRPr="00D22B50">
        <w:rPr>
          <w:rFonts w:cs="Times New Roman"/>
        </w:rPr>
        <w:t>[4]</w:t>
      </w:r>
      <w:r w:rsidR="00DF73D4" w:rsidRPr="00D22B50">
        <w:fldChar w:fldCharType="end"/>
      </w:r>
      <w:r w:rsidRPr="00D22B50">
        <w:rPr>
          <w:rFonts w:hint="eastAsia"/>
        </w:rPr>
        <w:t xml:space="preserve">. This makes the load profile highly </w:t>
      </w:r>
      <w:r w:rsidR="00BD7543">
        <w:t>“</w:t>
      </w:r>
      <w:r w:rsidRPr="00D22B50">
        <w:rPr>
          <w:rFonts w:hint="eastAsia"/>
        </w:rPr>
        <w:t>spiky</w:t>
      </w:r>
      <w:r w:rsidR="00BD7543">
        <w:t>”</w:t>
      </w:r>
      <w:r w:rsidRPr="00D22B50">
        <w:rPr>
          <w:rFonts w:hint="eastAsia"/>
        </w:rPr>
        <w:t xml:space="preserve"> and mathematically difficult to model using traditional regression techniques.</w:t>
      </w:r>
    </w:p>
    <w:p w14:paraId="72998421" w14:textId="77777777" w:rsidR="005E508E" w:rsidRPr="00D22B50" w:rsidRDefault="005E508E" w:rsidP="00F61464">
      <w:pPr>
        <w:pStyle w:val="3"/>
        <w:rPr>
          <w:rFonts w:hint="eastAsia"/>
        </w:rPr>
      </w:pPr>
      <w:bookmarkStart w:id="21" w:name="_Toc228641270"/>
      <w:r w:rsidRPr="00D22B50">
        <w:rPr>
          <w:rFonts w:hint="eastAsia"/>
        </w:rPr>
        <w:t>3.2.2 Signal-to-Noise Ratio and Edge User Variability</w:t>
      </w:r>
      <w:bookmarkEnd w:id="21"/>
    </w:p>
    <w:p w14:paraId="6684C2ED" w14:textId="1926DE7E" w:rsidR="005E508E" w:rsidRPr="00D22B50" w:rsidRDefault="005E508E" w:rsidP="00FA00E5">
      <w:pPr>
        <w:pStyle w:val="af5"/>
        <w:spacing w:before="156" w:after="156"/>
        <w:rPr>
          <w:rFonts w:eastAsiaTheme="minorEastAsia"/>
        </w:rPr>
      </w:pPr>
      <w:r w:rsidRPr="00D22B50">
        <w:rPr>
          <w:rFonts w:hint="eastAsia"/>
        </w:rPr>
        <w:t xml:space="preserve">Recent literature highlights that the signal-to-noise ratio (SNR) in residential data is significantly lower than in aggregate data. In this context, the </w:t>
      </w:r>
      <w:r w:rsidR="00BD7543">
        <w:t>“</w:t>
      </w:r>
      <w:r w:rsidRPr="00D22B50">
        <w:rPr>
          <w:rFonts w:hint="eastAsia"/>
        </w:rPr>
        <w:t>signal</w:t>
      </w:r>
      <w:r w:rsidR="00BD7543">
        <w:t>”</w:t>
      </w:r>
      <w:r w:rsidRPr="00D22B50">
        <w:rPr>
          <w:rFonts w:hint="eastAsia"/>
        </w:rPr>
        <w:t xml:space="preserve"> represents the underlying routine of the resident, while the </w:t>
      </w:r>
      <w:r w:rsidR="00BD7543">
        <w:t>“</w:t>
      </w:r>
      <w:r w:rsidRPr="00D22B50">
        <w:rPr>
          <w:rFonts w:hint="eastAsia"/>
        </w:rPr>
        <w:t>noise</w:t>
      </w:r>
      <w:r w:rsidR="00BD7543">
        <w:t>”</w:t>
      </w:r>
      <w:r w:rsidRPr="00D22B50">
        <w:rPr>
          <w:rFonts w:hint="eastAsia"/>
        </w:rPr>
        <w:t xml:space="preserve"> represents the random activation of appliances and sensor errors. Because the noise often has a magnitude comparable to the signal itself, identifying recurrent temporal features becomes a high-dimensional search problem.</w:t>
      </w:r>
    </w:p>
    <w:p w14:paraId="6C9BDA9A" w14:textId="1C4BE82E" w:rsidR="005E508E" w:rsidRPr="00D22B50" w:rsidRDefault="005E508E" w:rsidP="00FA00E5">
      <w:pPr>
        <w:pStyle w:val="af5"/>
        <w:spacing w:before="156" w:after="156"/>
        <w:rPr>
          <w:rFonts w:eastAsiaTheme="minorEastAsia"/>
        </w:rPr>
      </w:pPr>
      <w:proofErr w:type="spellStart"/>
      <w:r w:rsidRPr="00D22B50">
        <w:rPr>
          <w:rFonts w:hint="eastAsia"/>
        </w:rPr>
        <w:t>Alemazkoor</w:t>
      </w:r>
      <w:proofErr w:type="spellEnd"/>
      <w:r w:rsidRPr="00D22B50">
        <w:rPr>
          <w:rFonts w:hint="eastAsia"/>
        </w:rPr>
        <w:t xml:space="preserve"> et al. argued that traditional clustering-based approaches often fail to capture the extreme variability of these </w:t>
      </w:r>
      <w:r w:rsidR="00BD7543">
        <w:t>“</w:t>
      </w:r>
      <w:r w:rsidRPr="00D22B50">
        <w:rPr>
          <w:rFonts w:hint="eastAsia"/>
        </w:rPr>
        <w:t>edge</w:t>
      </w:r>
      <w:r w:rsidR="00BD7543">
        <w:t>”</w:t>
      </w:r>
      <w:r w:rsidRPr="00D22B50">
        <w:rPr>
          <w:rFonts w:hint="eastAsia"/>
        </w:rPr>
        <w:t xml:space="preserve"> users </w:t>
      </w:r>
      <w:r w:rsidR="00DF73D4" w:rsidRPr="00D22B50">
        <w:fldChar w:fldCharType="begin"/>
      </w:r>
      <w:r w:rsidR="00DF73D4" w:rsidRPr="00D22B50">
        <w:instrText xml:space="preserve"> ADDIN ZOTERO_ITEM CSL_CITATION {"citationID":"NW82VMjp","properties":{"formattedCitation":"[1]","plainCitation":"[1]","noteIndex":0},"citationItems":[{"id":539,"uris":["http://zotero.org/users/local/p3tV44H5/items/HWZLV4UQ"],"itemData":{"id":539,"type":"article-journal","abstract":"Accurate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schema":"https://github.com/citation-style-language/schema/raw/master/csl-citation.json"} </w:instrText>
      </w:r>
      <w:r w:rsidR="00DF73D4" w:rsidRPr="00D22B50">
        <w:fldChar w:fldCharType="separate"/>
      </w:r>
      <w:r w:rsidR="00DF73D4" w:rsidRPr="00D22B50">
        <w:rPr>
          <w:rFonts w:cs="Times New Roman"/>
        </w:rPr>
        <w:t>[1]</w:t>
      </w:r>
      <w:r w:rsidR="00DF73D4" w:rsidRPr="00D22B50">
        <w:fldChar w:fldCharType="end"/>
      </w:r>
      <w:r w:rsidRPr="00D22B50">
        <w:rPr>
          <w:rFonts w:hint="eastAsia"/>
        </w:rPr>
        <w:t xml:space="preserve">. In a diverse population, edge users—those whose consumption behavior deviates significantly from the mean—are often marginalized by global models. These users may have irregular work shifts, specific medical equipment needs, or unique thermal preferences, making their </w:t>
      </w:r>
      <w:r w:rsidR="00BD7543">
        <w:t>“</w:t>
      </w:r>
      <w:r w:rsidRPr="00D22B50">
        <w:rPr>
          <w:rFonts w:hint="eastAsia"/>
        </w:rPr>
        <w:t>energy fingerprint</w:t>
      </w:r>
      <w:r w:rsidR="00BD7543">
        <w:t>”</w:t>
      </w:r>
      <w:r w:rsidRPr="00D22B50">
        <w:rPr>
          <w:rFonts w:hint="eastAsia"/>
        </w:rPr>
        <w:t xml:space="preserve"> an outlier in a standard dataset. Capturing the consumption dynamics of such households requires models that can learn localized behavioral nuances rather than just global averages.</w:t>
      </w:r>
    </w:p>
    <w:p w14:paraId="321E3B6F" w14:textId="77777777" w:rsidR="005E508E" w:rsidRPr="00D22B50" w:rsidRDefault="005E508E" w:rsidP="00F61464">
      <w:pPr>
        <w:pStyle w:val="3"/>
        <w:rPr>
          <w:rFonts w:hint="eastAsia"/>
        </w:rPr>
      </w:pPr>
      <w:bookmarkStart w:id="22" w:name="_Toc228641271"/>
      <w:r w:rsidRPr="00D22B50">
        <w:rPr>
          <w:rFonts w:hint="eastAsia"/>
        </w:rPr>
        <w:t>3.2.3 External Drivers and Non-Stationarity</w:t>
      </w:r>
      <w:bookmarkEnd w:id="22"/>
    </w:p>
    <w:p w14:paraId="04688859" w14:textId="42ED9100" w:rsidR="005E508E" w:rsidRPr="00D22B50" w:rsidRDefault="005E508E" w:rsidP="00FA00E5">
      <w:pPr>
        <w:pStyle w:val="af5"/>
        <w:spacing w:before="156" w:after="156"/>
        <w:rPr>
          <w:rFonts w:eastAsiaTheme="minorEastAsia"/>
        </w:rPr>
      </w:pPr>
      <w:r w:rsidRPr="00D22B50">
        <w:rPr>
          <w:rFonts w:hint="eastAsia"/>
        </w:rPr>
        <w:t xml:space="preserve">The complexity of individual forecasting is further compounded by a myriad of external factors that introduce non-stationarity into the time series. These factors include occupancy patterns (whether someone is at home or not), localized weather conditions </w:t>
      </w:r>
      <w:r w:rsidRPr="00D22B50">
        <w:rPr>
          <w:rFonts w:hint="eastAsia"/>
        </w:rPr>
        <w:lastRenderedPageBreak/>
        <w:t xml:space="preserve">(temperature, humidity, and solar irradiance), and the socio-economic status of the household </w:t>
      </w:r>
      <w:r w:rsidR="00DF73D4" w:rsidRPr="00D22B50">
        <w:fldChar w:fldCharType="begin"/>
      </w:r>
      <w:r w:rsidR="00DF73D4" w:rsidRPr="00D22B50">
        <w:instrText xml:space="preserve"> ADDIN ZOTERO_ITEM CSL_CITATION {"citationID":"mDcZdwm0","properties":{"formattedCitation":"[4]","plainCitation":"[4]","noteIndex":0},"citationItems":[{"id":567,"uris":["http://zotero.org/users/local/p3tV44H5/items/J38MU6UU"],"itemData":{"id":567,"type":"article-journal","abstract":"The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DF73D4" w:rsidRPr="00D22B50">
        <w:fldChar w:fldCharType="separate"/>
      </w:r>
      <w:r w:rsidR="00DF73D4" w:rsidRPr="00D22B50">
        <w:rPr>
          <w:rFonts w:cs="Times New Roman"/>
        </w:rPr>
        <w:t>[4]</w:t>
      </w:r>
      <w:r w:rsidR="00DF73D4" w:rsidRPr="00D22B50">
        <w:fldChar w:fldCharType="end"/>
      </w:r>
      <w:r w:rsidRPr="00D22B50">
        <w:rPr>
          <w:rFonts w:hint="eastAsia"/>
        </w:rPr>
        <w:t xml:space="preserve">. For instance, a sudden drop in outdoor temperature will trigger an immediate and non-linear increase in the load of a house equipped with electric heating, but the magnitude of this increase depends on the insulation quality and the </w:t>
      </w:r>
      <w:proofErr w:type="spellStart"/>
      <w:r w:rsidRPr="00D22B50">
        <w:rPr>
          <w:rFonts w:hint="eastAsia"/>
        </w:rPr>
        <w:t>resident</w:t>
      </w:r>
      <w:r w:rsidR="00BD7543">
        <w:t>’</w:t>
      </w:r>
      <w:r w:rsidRPr="00D22B50">
        <w:rPr>
          <w:rFonts w:hint="eastAsia"/>
        </w:rPr>
        <w:t>s</w:t>
      </w:r>
      <w:proofErr w:type="spellEnd"/>
      <w:r w:rsidRPr="00D22B50">
        <w:rPr>
          <w:rFonts w:hint="eastAsia"/>
        </w:rPr>
        <w:t xml:space="preserve"> personal comfort threshold.</w:t>
      </w:r>
    </w:p>
    <w:p w14:paraId="6D2C8FF4" w14:textId="219EA874" w:rsidR="005E508E" w:rsidRPr="00D22B50" w:rsidRDefault="005E508E" w:rsidP="00DF73D4">
      <w:pPr>
        <w:pStyle w:val="af5"/>
        <w:spacing w:before="156" w:after="156"/>
        <w:rPr>
          <w:rFonts w:eastAsiaTheme="minorEastAsia"/>
        </w:rPr>
      </w:pPr>
      <w:r w:rsidRPr="00D22B50">
        <w:rPr>
          <w:rFonts w:hint="eastAsia"/>
        </w:rPr>
        <w:t xml:space="preserve">Smyl emphasized that hybrid models combining statistical smoothing with neural networks can better handle such non-stationary series </w:t>
      </w:r>
      <w:r w:rsidR="00DF73D4" w:rsidRPr="00D22B50">
        <w:fldChar w:fldCharType="begin"/>
      </w:r>
      <w:r w:rsidR="00DF73D4" w:rsidRPr="00D22B50">
        <w:instrText xml:space="preserve"> ADDIN ZOTERO_ITEM CSL_CITATION {"citationID":"ntwWjI5f","properties":{"formattedCitation":"[23]","plainCitation":"[23]","noteIndex":0},"citationItems":[{"id":580,"uris":["http://zotero.org/users/local/p3tV44H5/items/D7STRUDU"],"itemData":{"id":580,"type":"article-journal","abstract":"This paper presents the winning submission of the M4 forecasting competition. The submission utilizes a dynamic computational graph neural network system that enables a standard exponential smoothing model to be mixed with advanced long short term memory networks into a common framework. The result is a hybrid and hierarchical forecasting method.","container-title":"International Journal of Forecasting","DOI":"10.1016/j.ijforecast.2019.03.017","ISSN":"01692070","issue":"1","journalAbbreviation":"International Journal of Forecasting","language":"en","page":"75-85","source":"DOI.org (Crossref)","title":"A hybrid method of exponential smoothing and recurrent neural networks for time series forecasting","volume":"36","author":[{"family":"Smyl","given":"Slawek"}],"issued":{"date-parts":[["2020",1]]}}}],"schema":"https://github.com/citation-style-language/schema/raw/master/csl-citation.json"} </w:instrText>
      </w:r>
      <w:r w:rsidR="00DF73D4" w:rsidRPr="00D22B50">
        <w:fldChar w:fldCharType="separate"/>
      </w:r>
      <w:r w:rsidR="00DF73D4" w:rsidRPr="00D22B50">
        <w:rPr>
          <w:rFonts w:cs="Times New Roman"/>
        </w:rPr>
        <w:t>[23]</w:t>
      </w:r>
      <w:r w:rsidR="00DF73D4" w:rsidRPr="00D22B50">
        <w:fldChar w:fldCharType="end"/>
      </w:r>
      <w:r w:rsidRPr="00D22B50">
        <w:rPr>
          <w:rFonts w:hint="eastAsia"/>
        </w:rPr>
        <w:t>. Statistical smoothing can help stabilize the volatile base load, while neural networks (such as LSTMs) focus on capturing the complex, non-linear dependencies between the external drivers and the resulting demand.</w:t>
      </w:r>
    </w:p>
    <w:p w14:paraId="619B6E90" w14:textId="77777777" w:rsidR="005E508E" w:rsidRPr="00D22B50" w:rsidRDefault="005E508E" w:rsidP="00F61464">
      <w:pPr>
        <w:pStyle w:val="3"/>
        <w:rPr>
          <w:rFonts w:hint="eastAsia"/>
        </w:rPr>
      </w:pPr>
      <w:bookmarkStart w:id="23" w:name="_Toc228641272"/>
      <w:r w:rsidRPr="00D22B50">
        <w:rPr>
          <w:rFonts w:hint="eastAsia"/>
        </w:rPr>
        <w:t>3.2.4 The Burn-in Period and the Cold-Start Bottleneck</w:t>
      </w:r>
      <w:bookmarkEnd w:id="23"/>
    </w:p>
    <w:p w14:paraId="02E64421" w14:textId="4B23EC7F" w:rsidR="00AC7269" w:rsidRPr="00D22B50" w:rsidRDefault="005E508E" w:rsidP="00FA00E5">
      <w:pPr>
        <w:pStyle w:val="af5"/>
        <w:spacing w:before="156" w:after="156"/>
      </w:pPr>
      <w:r w:rsidRPr="00D22B50">
        <w:rPr>
          <w:rFonts w:hint="eastAsia"/>
        </w:rPr>
        <w:t xml:space="preserve">Despite the potential of these hybrid and deep architectures, they face a fundamental practical limitation: the need for historical context. Even the most advanced models require a substantial </w:t>
      </w:r>
      <w:r w:rsidR="00BD7543">
        <w:t>“</w:t>
      </w:r>
      <w:r w:rsidRPr="00D22B50">
        <w:rPr>
          <w:rFonts w:hint="eastAsia"/>
        </w:rPr>
        <w:t>burn-in</w:t>
      </w:r>
      <w:r w:rsidR="00BD7543">
        <w:t>”</w:t>
      </w:r>
      <w:r w:rsidRPr="00D22B50">
        <w:rPr>
          <w:rFonts w:hint="eastAsia"/>
        </w:rPr>
        <w:t xml:space="preserve"> period of data accumulation—often spanning several months—to learn the unique behavioral signatures and seasonal sensitivities of a specific resident. This requirement brings the cold-start problem to the forefront of current energy research </w:t>
      </w:r>
      <w:r w:rsidR="00DF73D4" w:rsidRPr="00D22B50">
        <w:fldChar w:fldCharType="begin"/>
      </w:r>
      <w:r w:rsidR="00DF73D4" w:rsidRPr="00D22B50">
        <w:instrText xml:space="preserve"> ADDIN ZOTERO_ITEM CSL_CITATION {"citationID":"YaxsvIbu","properties":{"formattedCitation":"[11]","plainCitation":"[11]","noteIndex":0},"citationItems":[{"id":595,"uris":["http://zotero.org/users/local/p3tV44H5/items/RYGGA6L8"],"itemData":{"id":595,"type":"article-journal","abstract":"While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DF73D4" w:rsidRPr="00D22B50">
        <w:fldChar w:fldCharType="separate"/>
      </w:r>
      <w:r w:rsidR="00DF73D4" w:rsidRPr="00D22B50">
        <w:rPr>
          <w:rFonts w:cs="Times New Roman"/>
        </w:rPr>
        <w:t>[11]</w:t>
      </w:r>
      <w:r w:rsidR="00DF73D4" w:rsidRPr="00D22B50">
        <w:fldChar w:fldCharType="end"/>
      </w:r>
      <w:r w:rsidRPr="00D22B50">
        <w:rPr>
          <w:rFonts w:hint="eastAsia"/>
        </w:rPr>
        <w:t xml:space="preserve">. For a utility provider, waiting months to collect enough data to </w:t>
      </w:r>
      <w:r w:rsidR="00BD7543">
        <w:t>“</w:t>
      </w:r>
      <w:r w:rsidRPr="00D22B50">
        <w:rPr>
          <w:rFonts w:hint="eastAsia"/>
        </w:rPr>
        <w:t>warm up</w:t>
      </w:r>
      <w:r w:rsidR="00BD7543">
        <w:t>”</w:t>
      </w:r>
      <w:r w:rsidRPr="00D22B50">
        <w:rPr>
          <w:rFonts w:hint="eastAsia"/>
        </w:rPr>
        <w:t xml:space="preserve"> a model is unacceptable in a fast-paced smart grid environment. This necessitates the development of strategies, such as the transfer learning framework explored in this study, which can bridge the knowledge gap during the initial phase of smart meter integration.</w:t>
      </w:r>
    </w:p>
    <w:p w14:paraId="51309EBB" w14:textId="77777777" w:rsidR="005E508E" w:rsidRPr="00D22B50" w:rsidRDefault="005E508E" w:rsidP="00F61464">
      <w:pPr>
        <w:pStyle w:val="2"/>
        <w:rPr>
          <w:rFonts w:hint="eastAsia"/>
        </w:rPr>
      </w:pPr>
      <w:bookmarkStart w:id="24" w:name="_Toc228641273"/>
      <w:r w:rsidRPr="00D22B50">
        <w:t>3.3 Theoretical Analysis of the Cold-Start Problem</w:t>
      </w:r>
      <w:bookmarkEnd w:id="24"/>
    </w:p>
    <w:p w14:paraId="5146477F" w14:textId="75852494" w:rsidR="005E508E" w:rsidRPr="00D22B50" w:rsidRDefault="005E508E" w:rsidP="00FA00E5">
      <w:pPr>
        <w:pStyle w:val="af5"/>
        <w:spacing w:before="156" w:after="156"/>
      </w:pPr>
      <w:r w:rsidRPr="00D22B50">
        <w:t xml:space="preserve">The cold-start problem in energy systems is not merely a data acquisition delay, but is fundamentally a manifestation of the </w:t>
      </w:r>
      <w:r w:rsidR="00BD7543">
        <w:t>“</w:t>
      </w:r>
      <w:r w:rsidRPr="00D22B50">
        <w:t>bias-variance tradeoff</w:t>
      </w:r>
      <w:r w:rsidR="00BD7543">
        <w:t>”</w:t>
      </w:r>
      <w:r w:rsidRPr="00D22B50">
        <w:t xml:space="preserve"> in the regime of small-sample learning. This statistical dilemma defines the limits of any supervised learning model</w:t>
      </w:r>
      <w:r w:rsidR="00BD7543">
        <w:t>’</w:t>
      </w:r>
      <w:r w:rsidRPr="00D22B50">
        <w:t>s ability to generalize to unseen data when the training set is insufficiently representative of the underlying population.</w:t>
      </w:r>
    </w:p>
    <w:p w14:paraId="1031ABA1" w14:textId="77777777" w:rsidR="005E508E" w:rsidRPr="00D22B50" w:rsidRDefault="005E508E" w:rsidP="00F61464">
      <w:pPr>
        <w:pStyle w:val="3"/>
        <w:rPr>
          <w:rFonts w:hint="eastAsia"/>
        </w:rPr>
      </w:pPr>
      <w:bookmarkStart w:id="25" w:name="_Toc228641274"/>
      <w:r w:rsidRPr="00D22B50">
        <w:t>3.3.1 The Bias-Variance Dilemma in Small-Sample Regimes</w:t>
      </w:r>
      <w:bookmarkEnd w:id="25"/>
    </w:p>
    <w:p w14:paraId="5C9206D2" w14:textId="5C114AC6" w:rsidR="005E508E" w:rsidRPr="00D22B50" w:rsidRDefault="005E508E" w:rsidP="00FA00E5">
      <w:pPr>
        <w:pStyle w:val="af5"/>
        <w:spacing w:before="156" w:after="156"/>
      </w:pPr>
      <w:r w:rsidRPr="00D22B50">
        <w:t xml:space="preserve">In statistical learning, the expected prediction error of a model can be decomposed into three components: the square of the bias, the variance, and the irreducible noise. Mathematically, for a target function </w:t>
      </w:r>
      <m:oMath>
        <m:r>
          <w:rPr>
            <w:rFonts w:ascii="Cambria Math" w:hAnsi="Cambria Math"/>
          </w:rPr>
          <m:t>f</m:t>
        </m:r>
        <m:r>
          <w:rPr>
            <w:rFonts w:ascii="Cambria Math" w:eastAsiaTheme="minorEastAsia" w:hAnsi="Cambria Math"/>
          </w:rPr>
          <m:t>(x)</m:t>
        </m:r>
      </m:oMath>
      <w:r w:rsidRPr="00D22B50">
        <w:t xml:space="preserve"> and an estimate</w:t>
      </w:r>
      <w:r w:rsidR="00DF73D4" w:rsidRPr="00D22B50">
        <w:rPr>
          <w:rFonts w:eastAsiaTheme="minorEastAsia" w:hint="eastAsia"/>
        </w:rPr>
        <w:t xml:space="preserve"> </w:t>
      </w:r>
      <m:oMath>
        <m:acc>
          <m:accPr>
            <m:ctrlPr>
              <w:rPr>
                <w:rFonts w:ascii="Cambria Math" w:eastAsiaTheme="minorEastAsia" w:hAnsi="Cambria Math"/>
                <w:i/>
              </w:rPr>
            </m:ctrlPr>
          </m:accPr>
          <m:e>
            <m:r>
              <w:rPr>
                <w:rFonts w:ascii="Cambria Math" w:eastAsiaTheme="minorEastAsia" w:hAnsi="Cambria Math"/>
              </w:rPr>
              <m:t>f</m:t>
            </m:r>
          </m:e>
        </m:acc>
        <m:r>
          <w:rPr>
            <w:rFonts w:ascii="Cambria Math" w:eastAsiaTheme="minorEastAsia" w:hAnsi="Cambria Math"/>
          </w:rPr>
          <m:t>(x)</m:t>
        </m:r>
      </m:oMath>
      <w:r w:rsidRPr="00D22B50">
        <w:t>, the error is expressed as:</w:t>
      </w:r>
    </w:p>
    <w:p w14:paraId="691C7D21" w14:textId="377F2A58" w:rsidR="005E508E" w:rsidRPr="00D22B50" w:rsidRDefault="005E508E" w:rsidP="005E508E">
      <w:pPr>
        <w:rPr>
          <w:rFonts w:hint="eastAsia"/>
        </w:rPr>
      </w:pPr>
      <w:r w:rsidRPr="00D22B50">
        <w:rPr>
          <w:noProof/>
        </w:rPr>
        <w:drawing>
          <wp:inline distT="0" distB="0" distL="0" distR="0" wp14:anchorId="24884D15" wp14:editId="2BB2990D">
            <wp:extent cx="5274310" cy="734695"/>
            <wp:effectExtent l="0" t="0" r="2540" b="8255"/>
            <wp:docPr id="12833579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357999" name=""/>
                    <pic:cNvPicPr/>
                  </pic:nvPicPr>
                  <pic:blipFill>
                    <a:blip r:embed="rId9"/>
                    <a:stretch>
                      <a:fillRect/>
                    </a:stretch>
                  </pic:blipFill>
                  <pic:spPr>
                    <a:xfrm>
                      <a:off x="0" y="0"/>
                      <a:ext cx="5274310" cy="734695"/>
                    </a:xfrm>
                    <a:prstGeom prst="rect">
                      <a:avLst/>
                    </a:prstGeom>
                  </pic:spPr>
                </pic:pic>
              </a:graphicData>
            </a:graphic>
          </wp:inline>
        </w:drawing>
      </w:r>
    </w:p>
    <w:p w14:paraId="04F948D6" w14:textId="1A99D1E1" w:rsidR="005E508E" w:rsidRPr="00D22B50" w:rsidRDefault="005E508E" w:rsidP="00FA00E5">
      <w:pPr>
        <w:pStyle w:val="af5"/>
        <w:spacing w:before="156" w:after="156"/>
      </w:pPr>
      <w:r w:rsidRPr="00D22B50">
        <w:t xml:space="preserve">When a parameter-heavy model like an LSTM—which may contain thousands of </w:t>
      </w:r>
      <w:r w:rsidRPr="00D22B50">
        <w:lastRenderedPageBreak/>
        <w:t>trainable weights—is trained on a sparse dataset (e.g., &lt; 14 days), the model tends to have high variance. This means the network becomes hyper-sensitive to the specific stochastic fluctuations present in that short two-week window. Rather than learning the true underlying distribution of the resident</w:t>
      </w:r>
      <w:r w:rsidR="00BD7543">
        <w:t>’</w:t>
      </w:r>
      <w:r w:rsidRPr="00D22B50">
        <w:t xml:space="preserve">s behavior, the model </w:t>
      </w:r>
      <w:r w:rsidR="00BD7543">
        <w:t>“</w:t>
      </w:r>
      <w:r w:rsidRPr="00D22B50">
        <w:t>memorizes</w:t>
      </w:r>
      <w:r w:rsidR="00BD7543">
        <w:t>”</w:t>
      </w:r>
      <w:r w:rsidRPr="00D22B50">
        <w:t xml:space="preserve"> the noise. This leads to catastrophic overfitting, where the training error is driven toward zero, but the generalization error on future data remains extremely high </w:t>
      </w:r>
      <w:r w:rsidR="00E0746C" w:rsidRPr="00D22B50">
        <w:fldChar w:fldCharType="begin"/>
      </w:r>
      <w:r w:rsidR="00E0746C" w:rsidRPr="00D22B50">
        <w:instrText xml:space="preserve"> ADDIN ZOTERO_ITEM CSL_CITATION {"citationID":"9B1roENs","properties":{"formattedCitation":"[8], [9]","plainCitation":"[8], [9]","noteIndex":0},"citationItems":[{"id":512,"uris":["http://zotero.org/users/local/p3tV44H5/items/HCMHHT5F"],"itemData":{"id":512,"type":"article-journal","abstract":"Learning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E0746C" w:rsidRPr="00D22B50">
        <w:fldChar w:fldCharType="separate"/>
      </w:r>
      <w:r w:rsidR="00E0746C" w:rsidRPr="00D22B50">
        <w:rPr>
          <w:rFonts w:cs="Times New Roman"/>
        </w:rPr>
        <w:t>[8], [9]</w:t>
      </w:r>
      <w:r w:rsidR="00E0746C" w:rsidRPr="00D22B50">
        <w:fldChar w:fldCharType="end"/>
      </w:r>
      <w:r w:rsidRPr="00D22B50">
        <w:t>.</w:t>
      </w:r>
    </w:p>
    <w:p w14:paraId="6A6BF828" w14:textId="78367413" w:rsidR="005E508E" w:rsidRPr="00D22B50" w:rsidRDefault="005E508E" w:rsidP="00F61464">
      <w:pPr>
        <w:pStyle w:val="3"/>
        <w:rPr>
          <w:rFonts w:hint="eastAsia"/>
        </w:rPr>
      </w:pPr>
      <w:bookmarkStart w:id="26" w:name="_Toc228641275"/>
      <w:r w:rsidRPr="00D22B50">
        <w:t xml:space="preserve">3.3.2 Operational Implications of the </w:t>
      </w:r>
      <w:r w:rsidR="00BD7543">
        <w:t>“</w:t>
      </w:r>
      <w:r w:rsidRPr="00D22B50">
        <w:t>Value-Void</w:t>
      </w:r>
      <w:r w:rsidR="00BD7543">
        <w:t>”</w:t>
      </w:r>
      <w:bookmarkEnd w:id="26"/>
    </w:p>
    <w:p w14:paraId="4B1BFC22" w14:textId="1C6E16D9" w:rsidR="005E508E" w:rsidRPr="00D22B50" w:rsidRDefault="005E508E" w:rsidP="00FA00E5">
      <w:pPr>
        <w:pStyle w:val="af5"/>
        <w:spacing w:before="156" w:after="156"/>
      </w:pPr>
      <w:r w:rsidRPr="00D22B50">
        <w:t xml:space="preserve">In a smart grid context, the cold-start period represents what is known as a </w:t>
      </w:r>
      <w:r w:rsidR="00BD7543">
        <w:t>“</w:t>
      </w:r>
      <w:r w:rsidRPr="00D22B50">
        <w:t>value-void</w:t>
      </w:r>
      <w:r w:rsidR="00BD7543">
        <w:t>”</w:t>
      </w:r>
      <w:r w:rsidRPr="00D22B50">
        <w:t xml:space="preserve"> for utility providers </w:t>
      </w:r>
      <w:r w:rsidR="00E0746C" w:rsidRPr="00D22B50">
        <w:fldChar w:fldCharType="begin"/>
      </w:r>
      <w:r w:rsidR="00E0746C" w:rsidRPr="00D22B50">
        <w:instrText xml:space="preserve"> ADDIN ZOTERO_ITEM CSL_CITATION {"citationID":"2IXvbJ0p","properties":{"formattedCitation":"[4]","plainCitation":"[4]","noteIndex":0},"citationItems":[{"id":567,"uris":["http://zotero.org/users/local/p3tV44H5/items/J38MU6UU"],"itemData":{"id":567,"type":"article-journal","abstract":"The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E0746C" w:rsidRPr="00D22B50">
        <w:fldChar w:fldCharType="separate"/>
      </w:r>
      <w:r w:rsidR="00E0746C" w:rsidRPr="00D22B50">
        <w:rPr>
          <w:rFonts w:cs="Times New Roman"/>
        </w:rPr>
        <w:t>[4]</w:t>
      </w:r>
      <w:r w:rsidR="00E0746C" w:rsidRPr="00D22B50">
        <w:fldChar w:fldCharType="end"/>
      </w:r>
      <w:r w:rsidRPr="00D22B50">
        <w:t xml:space="preserve">. This period defines the gap between the physical installation of a smart meter and the realization of its digital intelligence. Without accurate forecasts, the infrastructure remains underutilized. Personalized services, such as real-time pricing alerts, energy-saving recommendations, and participation in demand-response programs, cannot be reliably delivered. From a business perspective, the </w:t>
      </w:r>
      <w:r w:rsidR="00BD7543">
        <w:t>“</w:t>
      </w:r>
      <w:r w:rsidRPr="00D22B50">
        <w:t>value-void</w:t>
      </w:r>
      <w:r w:rsidR="00BD7543">
        <w:t>”</w:t>
      </w:r>
      <w:r w:rsidRPr="00D22B50">
        <w:t xml:space="preserve"> delays the return on investment for Advanced Metering Infrastructure (AMI) and prevents the utility from building an early trust relationship with the new consumer through proactive insights.</w:t>
      </w:r>
    </w:p>
    <w:p w14:paraId="0BA489E2" w14:textId="1E2A7B1C" w:rsidR="005E508E" w:rsidRPr="00D22B50" w:rsidRDefault="005E508E" w:rsidP="00F61464">
      <w:pPr>
        <w:pStyle w:val="3"/>
        <w:rPr>
          <w:rFonts w:hint="eastAsia"/>
        </w:rPr>
      </w:pPr>
      <w:bookmarkStart w:id="27" w:name="_Toc228641276"/>
      <w:r w:rsidRPr="00D22B50">
        <w:t xml:space="preserve">3.3.3 The Absence of Temporal </w:t>
      </w:r>
      <w:r w:rsidR="00BD7543">
        <w:t>“</w:t>
      </w:r>
      <w:r w:rsidRPr="00D22B50">
        <w:t>Energy Fingerprints</w:t>
      </w:r>
      <w:r w:rsidR="00BD7543">
        <w:t>”</w:t>
      </w:r>
      <w:bookmarkEnd w:id="27"/>
    </w:p>
    <w:p w14:paraId="424A5B4C" w14:textId="2E3871AA" w:rsidR="005E508E" w:rsidRPr="00D22B50" w:rsidRDefault="005E508E" w:rsidP="00FA00E5">
      <w:pPr>
        <w:pStyle w:val="af5"/>
        <w:spacing w:before="156" w:after="156"/>
      </w:pPr>
      <w:r w:rsidRPr="00D22B50">
        <w:t xml:space="preserve">Every household possesses a unique temporal </w:t>
      </w:r>
      <w:r w:rsidR="00BD7543">
        <w:t>“</w:t>
      </w:r>
      <w:r w:rsidRPr="00D22B50">
        <w:t>energy fingerprint</w:t>
      </w:r>
      <w:r w:rsidR="00BD7543">
        <w:t>”</w:t>
      </w:r>
      <w:r w:rsidRPr="00D22B50">
        <w:t xml:space="preserve">—a distinct pattern of appliance usage, thermal inertia, and occupancy rhythms. Lu et al. noted that for new users, the lack of historical records makes it impossible for models to distinguish between routine consumption and anomalous events </w:t>
      </w:r>
      <w:r w:rsidR="00E0746C" w:rsidRPr="00D22B50">
        <w:fldChar w:fldCharType="begin"/>
      </w:r>
      <w:r w:rsidR="00E0746C" w:rsidRPr="00D22B50">
        <w:instrText xml:space="preserve"> ADDIN ZOTERO_ITEM CSL_CITATION {"citationID":"mO81oNTX","properties":{"formattedCitation":"[11]","plainCitation":"[11]","noteIndex":0},"citationItems":[{"id":595,"uris":["http://zotero.org/users/local/p3tV44H5/items/RYGGA6L8"],"itemData":{"id":595,"type":"article-journal","abstract":"While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E0746C" w:rsidRPr="00D22B50">
        <w:fldChar w:fldCharType="separate"/>
      </w:r>
      <w:r w:rsidR="00E0746C" w:rsidRPr="00D22B50">
        <w:rPr>
          <w:rFonts w:cs="Times New Roman"/>
        </w:rPr>
        <w:t>[11]</w:t>
      </w:r>
      <w:r w:rsidR="00E0746C" w:rsidRPr="00D22B50">
        <w:fldChar w:fldCharType="end"/>
      </w:r>
      <w:r w:rsidRPr="00D22B50">
        <w:t>. For example, without a month of baseline data, an LSTM cannot determine if a high consumption spike at 10 PM is a regular nightly habit (routine) or an accidental appliance leak (anomaly).</w:t>
      </w:r>
    </w:p>
    <w:p w14:paraId="399D554A" w14:textId="56FF4569" w:rsidR="005E508E" w:rsidRPr="00D22B50" w:rsidRDefault="005E508E" w:rsidP="00FA00E5">
      <w:pPr>
        <w:pStyle w:val="af5"/>
        <w:spacing w:before="156" w:after="156"/>
      </w:pPr>
      <w:r w:rsidRPr="00D22B50">
        <w:t xml:space="preserve">In the absence of these fingerprints, the model lacks the </w:t>
      </w:r>
      <w:r w:rsidR="00BD7543">
        <w:t>“</w:t>
      </w:r>
      <w:r w:rsidRPr="00D22B50">
        <w:t>contextual memory</w:t>
      </w:r>
      <w:r w:rsidR="00BD7543">
        <w:t>”</w:t>
      </w:r>
      <w:r w:rsidRPr="00D22B50">
        <w:t xml:space="preserve"> required to make informed predictions. The scarcity of data prevents the gates of the LSTM from learning the multi-scale dependencies (such as the difference between weekday and weekend behaviors) that are essential for high-resolution forecasting.</w:t>
      </w:r>
    </w:p>
    <w:p w14:paraId="63DDDA30" w14:textId="77777777" w:rsidR="005E508E" w:rsidRPr="00D22B50" w:rsidRDefault="005E508E" w:rsidP="00F61464">
      <w:pPr>
        <w:pStyle w:val="3"/>
        <w:rPr>
          <w:rFonts w:hint="eastAsia"/>
        </w:rPr>
      </w:pPr>
      <w:bookmarkStart w:id="28" w:name="_Toc228641277"/>
      <w:r w:rsidRPr="00D22B50">
        <w:t>3.3.4 Augmentation through Cross-Domain Knowledge</w:t>
      </w:r>
      <w:bookmarkEnd w:id="28"/>
    </w:p>
    <w:p w14:paraId="38D4A984" w14:textId="53B62742" w:rsidR="00AC7269" w:rsidRPr="00D22B50" w:rsidRDefault="005E508E" w:rsidP="00FA00E5">
      <w:pPr>
        <w:pStyle w:val="af5"/>
        <w:spacing w:before="156" w:after="156"/>
        <w:rPr>
          <w:rFonts w:eastAsiaTheme="minorEastAsia"/>
        </w:rPr>
      </w:pPr>
      <w:r w:rsidRPr="00D22B50">
        <w:t>This theoretical bottleneck suggests that for new participants, the learning process must be augmented with external knowledge rather than relying solely on the target user</w:t>
      </w:r>
      <w:r w:rsidR="00BD7543">
        <w:t>’</w:t>
      </w:r>
      <w:r w:rsidRPr="00D22B50">
        <w:t xml:space="preserve">s data. By looking at the problem as a </w:t>
      </w:r>
      <w:r w:rsidR="00BD7543">
        <w:t>“</w:t>
      </w:r>
      <w:r w:rsidRPr="00D22B50">
        <w:t>Cold Start,</w:t>
      </w:r>
      <w:r w:rsidR="00BD7543">
        <w:t>”</w:t>
      </w:r>
      <w:r w:rsidRPr="00D22B50">
        <w:t xml:space="preserve"> </w:t>
      </w:r>
      <w:r w:rsidR="002657F3">
        <w:t xml:space="preserve">I </w:t>
      </w:r>
      <w:r w:rsidRPr="00D22B50">
        <w:t xml:space="preserve">recognize that the only way to lower the variance without increasing the bias is to provide the model with a strong </w:t>
      </w:r>
      <w:r w:rsidR="00BD7543">
        <w:t>“</w:t>
      </w:r>
      <w:r w:rsidRPr="00D22B50">
        <w:t>prior.</w:t>
      </w:r>
      <w:r w:rsidR="00BD7543">
        <w:t>”</w:t>
      </w:r>
      <w:r w:rsidRPr="00D22B50">
        <w:t xml:space="preserve"> This prior is found in the consumption patterns of similar, long-term grid participants. Through transfer learning, </w:t>
      </w:r>
      <w:r w:rsidR="002657F3">
        <w:t xml:space="preserve">I </w:t>
      </w:r>
      <w:r w:rsidRPr="00D22B50">
        <w:t xml:space="preserve">can migrate the </w:t>
      </w:r>
      <w:r w:rsidR="00BD7543">
        <w:t>“</w:t>
      </w:r>
      <w:r w:rsidRPr="00D22B50">
        <w:t>universal energy fingerprints</w:t>
      </w:r>
      <w:r w:rsidR="00BD7543">
        <w:t>”</w:t>
      </w:r>
      <w:r w:rsidRPr="00D22B50">
        <w:t xml:space="preserve"> from established users to the new user, providing the model with a representational foundation that it cannot yet build for itself.</w:t>
      </w:r>
    </w:p>
    <w:p w14:paraId="517805F8" w14:textId="77777777" w:rsidR="00AC7269" w:rsidRPr="00D22B50" w:rsidRDefault="00AC7269" w:rsidP="00F61464">
      <w:pPr>
        <w:pStyle w:val="2"/>
        <w:rPr>
          <w:rFonts w:hint="eastAsia"/>
        </w:rPr>
      </w:pPr>
      <w:bookmarkStart w:id="29" w:name="_Toc228641278"/>
      <w:r w:rsidRPr="00D22B50">
        <w:lastRenderedPageBreak/>
        <w:t>3.4 Transfer Learning Paradigms and Negative Transfer</w:t>
      </w:r>
      <w:bookmarkEnd w:id="29"/>
    </w:p>
    <w:p w14:paraId="24532852" w14:textId="15C7DCEF" w:rsidR="005E508E" w:rsidRPr="00D22B50" w:rsidRDefault="005E508E" w:rsidP="00FA00E5">
      <w:pPr>
        <w:pStyle w:val="af5"/>
        <w:spacing w:before="156" w:after="156"/>
      </w:pPr>
      <w:r w:rsidRPr="00D22B50">
        <w:t xml:space="preserve">Transfer learning (TL) provides a sophisticated mathematical framework for applying knowledge from a source domain to a target domain </w:t>
      </w:r>
      <w:r w:rsidR="00E0746C" w:rsidRPr="00D22B50">
        <w:fldChar w:fldCharType="begin"/>
      </w:r>
      <w:r w:rsidR="00E0746C" w:rsidRPr="00D22B50">
        <w:instrText xml:space="preserve"> ADDIN ZOTERO_ITEM CSL_CITATION {"citationID":"AJFwA8Mj","properties":{"formattedCitation":"[12]","plainCitation":"[12]","noteIndex":0},"citationItems":[{"id":516,"uris":["http://zotero.org/users/local/p3tV44H5/items/DT3M3WEH"],"itemData":{"id":516,"type":"article-journal","abstract":"Transfer learning aims at improving the performance of target learners on target domains by transferring the knowledge contained in different but related source domains. In this way, the dependence on a large number of target-domain data can be reduced for constructing target learners. Due to the wide application prospects, transfer learning has become a popular and promising area in machine learning. Although there are already some valuable and impressive surveys on transfer learning, these surveys introduce approaches in a relatively isolated way and lack the recent advances in transfer learning. Due to the rapid expansion of the transfer learning area, it is both necessary and challenging to comprehensively review the relevant studies. This survey attempts to connect and systematize the existing transfer learning research studies, as well as to summarize and interpret the mechanisms and the strategies of transfer learning in a comprehensive way, which may help readers have a better understanding of the current research status and ideas. Unlike previous surveys, this survey article reviews more than 40 representative transfer learning approaches, especially homogeneous transfer learning approaches, from the perspectives of data and model. The applications of transfer learning are also briefly introduced. In order to show the performance of different transfer learning models, over 20 representative transfer learning models are used for experiments. The models are performed on three different data sets, that is, Amazon Reviews, Reuters-21578, and Office-31, and the experimental results demonstrate the importance of selecting appropriate transfer learning models for different applications in practice.","container-title":"Proceedings of the IEEE","DOI":"10.1109/JPROC.2020.3004555","ISSN":"1558-2256","issue":"1","page":"43-76","source":"IEEE Xplore","title":"A Comprehensive Survey on Transfer Learning","volume":"109","author":[{"family":"Zhuang","given":"Fuzhen"},{"family":"Qi","given":"Zhiyuan"},{"family":"Duan","given":"Keyu"},{"family":"Xi","given":"Dongbo"},{"family":"Zhu","given":"Yongchun"},{"family":"Zhu","given":"Hengshu"},{"family":"Xiong","given":"Hui"},{"family":"He","given":"Qing"}],"issued":{"date-parts":[["2021",1]]}}}],"schema":"https://github.com/citation-style-language/schema/raw/master/csl-citation.json"} </w:instrText>
      </w:r>
      <w:r w:rsidR="00E0746C" w:rsidRPr="00D22B50">
        <w:fldChar w:fldCharType="separate"/>
      </w:r>
      <w:r w:rsidR="00E0746C" w:rsidRPr="00D22B50">
        <w:rPr>
          <w:rFonts w:cs="Times New Roman"/>
        </w:rPr>
        <w:t>[12]</w:t>
      </w:r>
      <w:r w:rsidR="00E0746C" w:rsidRPr="00D22B50">
        <w:fldChar w:fldCharType="end"/>
      </w:r>
      <w:r w:rsidRPr="00D22B50">
        <w:t xml:space="preserve">. In the context of machine learning, this involves the extraction of representational patterns from a source domain </w:t>
      </w:r>
      <m:oMath>
        <m:sSub>
          <m:sSubPr>
            <m:ctrlPr>
              <w:rPr>
                <w:rFonts w:ascii="Cambria Math" w:hAnsi="Cambria Math"/>
                <w:i/>
              </w:rPr>
            </m:ctrlPr>
          </m:sSubPr>
          <m:e>
            <m:r>
              <w:rPr>
                <w:rFonts w:ascii="Cambria Math" w:eastAsiaTheme="minorEastAsia" w:hAnsi="Cambria Math" w:hint="eastAsia"/>
              </w:rPr>
              <m:t>D</m:t>
            </m:r>
          </m:e>
          <m:sub>
            <m:r>
              <w:rPr>
                <w:rFonts w:ascii="Cambria Math" w:eastAsiaTheme="minorEastAsia" w:hAnsi="Cambria Math" w:hint="eastAsia"/>
              </w:rPr>
              <m:t>s</m:t>
            </m:r>
          </m:sub>
        </m:sSub>
      </m:oMath>
      <w:r w:rsidRPr="00D22B50">
        <w:t xml:space="preserve"> (defined by a feature space </w:t>
      </w:r>
      <m:oMath>
        <m:sSub>
          <m:sSubPr>
            <m:ctrlPr>
              <w:rPr>
                <w:rFonts w:ascii="Cambria Math" w:hAnsi="Cambria Math"/>
                <w:i/>
              </w:rPr>
            </m:ctrlPr>
          </m:sSubPr>
          <m:e>
            <m:r>
              <w:rPr>
                <w:rFonts w:ascii="Cambria Math" w:eastAsiaTheme="minorEastAsia" w:hAnsi="Cambria Math" w:hint="eastAsia"/>
              </w:rPr>
              <m:t>X</m:t>
            </m:r>
          </m:e>
          <m:sub>
            <m:r>
              <w:rPr>
                <w:rFonts w:ascii="Cambria Math" w:eastAsiaTheme="minorEastAsia" w:hAnsi="Cambria Math" w:hint="eastAsia"/>
              </w:rPr>
              <m:t>s</m:t>
            </m:r>
          </m:sub>
        </m:sSub>
      </m:oMath>
      <w:r w:rsidRPr="00D22B50">
        <w:t xml:space="preserve"> and a marginal probability distribution </w:t>
      </w:r>
      <m:oMath>
        <m:r>
          <w:rPr>
            <w:rFonts w:ascii="Cambria Math" w:eastAsiaTheme="minorEastAsia" w:hAnsi="Cambria Math" w:hint="eastAsia"/>
          </w:rPr>
          <m:t>P</m:t>
        </m:r>
        <m:r>
          <w:rPr>
            <w:rFonts w:ascii="Cambria Math" w:eastAsia="宋体" w:hAnsi="Cambria Math" w:cs="宋体"/>
          </w:rPr>
          <m:t>(</m:t>
        </m:r>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m:t>
        </m:r>
      </m:oMath>
      <w:r w:rsidRPr="00D22B50">
        <w:t>) to improve the predictive performance of a target task</w:t>
      </w:r>
      <w:r w:rsidR="00FA00E5" w:rsidRPr="00D22B50">
        <w:rPr>
          <w:rFonts w:eastAsiaTheme="minorEastAsia" w:hint="eastAsia"/>
        </w:rPr>
        <w:t xml:space="preserve">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t</m:t>
            </m:r>
          </m:sub>
        </m:sSub>
      </m:oMath>
      <w:r w:rsidRPr="00D22B50">
        <w:t xml:space="preserve"> in a target domain </w:t>
      </w:r>
      <m:oMath>
        <m:sSub>
          <m:sSubPr>
            <m:ctrlPr>
              <w:rPr>
                <w:rFonts w:ascii="Cambria Math" w:hAnsi="Cambria Math"/>
                <w:i/>
              </w:rPr>
            </m:ctrlPr>
          </m:sSubPr>
          <m:e>
            <m:r>
              <w:rPr>
                <w:rFonts w:ascii="Cambria Math" w:hAnsi="Cambria Math"/>
              </w:rPr>
              <m:t>D</m:t>
            </m:r>
          </m:e>
          <m:sub>
            <m:r>
              <w:rPr>
                <w:rFonts w:ascii="Cambria Math" w:hAnsi="Cambria Math"/>
              </w:rPr>
              <m:t>t</m:t>
            </m:r>
          </m:sub>
        </m:sSub>
      </m:oMath>
      <w:r w:rsidRPr="00D22B50">
        <w:t xml:space="preserve">. In STLF, this typically involves a </w:t>
      </w:r>
      <w:r w:rsidR="00BD7543">
        <w:t>“</w:t>
      </w:r>
      <w:r w:rsidRPr="00D22B50">
        <w:t>pre-training + fine-tuning</w:t>
      </w:r>
      <w:r w:rsidR="00BD7543">
        <w:t>”</w:t>
      </w:r>
      <w:r w:rsidRPr="00D22B50">
        <w:t xml:space="preserve"> paradigm where a model learns universal electricity consumption rhythms from a large pool of established users.</w:t>
      </w:r>
    </w:p>
    <w:p w14:paraId="253E9527" w14:textId="77777777" w:rsidR="005E508E" w:rsidRPr="00D22B50" w:rsidRDefault="005E508E" w:rsidP="00F61464">
      <w:pPr>
        <w:pStyle w:val="3"/>
        <w:rPr>
          <w:rFonts w:hint="eastAsia"/>
        </w:rPr>
      </w:pPr>
      <w:bookmarkStart w:id="30" w:name="_Toc228641279"/>
      <w:r w:rsidRPr="00D22B50">
        <w:t>3.4.1 The Mechanism of Knowledge Migration</w:t>
      </w:r>
      <w:bookmarkEnd w:id="30"/>
    </w:p>
    <w:p w14:paraId="6CECB7F5" w14:textId="57C81FDA" w:rsidR="005E508E" w:rsidRPr="00D22B50" w:rsidRDefault="005E508E" w:rsidP="00FA00E5">
      <w:pPr>
        <w:pStyle w:val="af5"/>
        <w:spacing w:before="156" w:after="156"/>
      </w:pPr>
      <w:r w:rsidRPr="00D22B50">
        <w:t xml:space="preserve">The fundamental premise of TL in energy systems is that while every household is unique, they all share common </w:t>
      </w:r>
      <w:r w:rsidR="00BD7543">
        <w:t>“</w:t>
      </w:r>
      <w:r w:rsidRPr="00D22B50">
        <w:t>macro-features</w:t>
      </w:r>
      <w:r w:rsidR="00BD7543">
        <w:t>”</w:t>
      </w:r>
      <w:r w:rsidRPr="00D22B50">
        <w:t xml:space="preserve"> such as daily cycles, seasonal trends, and responses to external temperature changes. By training a deep LSTM network on a vast source domain, the hidden layers develop weights that function as generalized temporal filters. A comprehensive survey by </w:t>
      </w:r>
      <w:r w:rsidR="00E0746C" w:rsidRPr="00D22B50">
        <w:t>Fawaz</w:t>
      </w:r>
      <w:r w:rsidRPr="00D22B50">
        <w:t xml:space="preserve"> et al. indicates that TL can effectively reduce the data requirement for a new task by providing a high-quality initial weight distribution </w:t>
      </w:r>
      <w:r w:rsidR="00E0746C" w:rsidRPr="00D22B50">
        <w:fldChar w:fldCharType="begin"/>
      </w:r>
      <w:r w:rsidR="00E0746C" w:rsidRPr="00D22B50">
        <w:instrText xml:space="preserve"> ADDIN ZOTERO_ITEM CSL_CITATION {"citationID":"o9UF4efC","properties":{"formattedCitation":"[15]","plainCitation":"[15]","noteIndex":0},"citationItems":[{"id":587,"uris":["http://zotero.org/users/local/p3tV44H5/items/JV45ZU2Z"],"itemData":{"id":587,"type":"paper-conference","abstract":"Transfer learning for deep neural networks is the process of first training a base network on a source dataset, and then transferring the learned features (the network’s weights) to a second network to be trained on a target dataset. This idea has been shown to improve deep neural network’s generalization capabilities in many computer vision tasks such as image recognition and object localization. Apart from these applications, deep Convolutional Neural Networks (CNNs) have also recently gained popularity in the Time Series Classification (TSC) community. However, unlike for image recognition problems, transfer learning techniques have not yet been investigated thoroughly for the TSC task. This is surprising as the accuracy of deep learning models for TSC could potentially be improved if the model is fine-tuned from a pre-trained neural network instead of training it from scratch. In this paper, we fill this gap by investigating how to transfer deep CNNs for the TSC task. To evaluate the potential of transfer learning, we performed extensive experiments using the UCR archive which is the largest publicly available TSC benchmark containing 85 datasets. For each dataset in the archive, we pre-trained a model and then fine-tuned it on the other datasets resulting in 7140 different deep neural networks. These experiments revealed that transfer learning can improve or degrade the models predictions depending on the dataset used for transfer. Therefore, in an effort to predict the best source dataset for a given target dataset, we propose a new method relying on Dynamic Time Warping to measure inter-datasets similarities. We describe how our method can guide the transfer to choose the best source dataset leading to an improvement in accuracy on 71 out of 85 datasets.","container-title":"2018 IEEE International Conference on Big Data (Big Data)","DOI":"10.1109/BigData.2018.8621990","event-title":"2018 IEEE International Conference on Big Data (Big Data)","page":"1367-1376","source":"IEEE Xplore","title":"Transfer learning for time series classification","URL":"https://ieeexplore.ieee.org/document/8621990","author":[{"family":"Ismail Fawaz","given":"Hassan"},{"family":"Forestier","given":"Germain"},{"family":"Weber","given":"Jonathan"},{"family":"Idoumghar","given":"Lhassane"},{"family":"Muller","given":"Pierre-Alain"}],"accessed":{"date-parts":[["2026",5,1]]},"issued":{"date-parts":[["2018",12]]}}}],"schema":"https://github.com/citation-style-language/schema/raw/master/csl-citation.json"} </w:instrText>
      </w:r>
      <w:r w:rsidR="00E0746C" w:rsidRPr="00D22B50">
        <w:fldChar w:fldCharType="separate"/>
      </w:r>
      <w:r w:rsidR="00E0746C" w:rsidRPr="00D22B50">
        <w:rPr>
          <w:rFonts w:cs="Times New Roman"/>
        </w:rPr>
        <w:t>[15]</w:t>
      </w:r>
      <w:r w:rsidR="00E0746C" w:rsidRPr="00D22B50">
        <w:fldChar w:fldCharType="end"/>
      </w:r>
      <w:r w:rsidRPr="00D22B50">
        <w:t>. Instead of starting the gradient descent process from a randomized state (which is prone to local minima in small-sample regimes), the model begins with a pre-conditioned representational foundation.</w:t>
      </w:r>
    </w:p>
    <w:p w14:paraId="505A1416" w14:textId="77777777" w:rsidR="005E508E" w:rsidRPr="00D22B50" w:rsidRDefault="005E508E" w:rsidP="00F61464">
      <w:pPr>
        <w:pStyle w:val="3"/>
        <w:rPr>
          <w:rFonts w:hint="eastAsia"/>
        </w:rPr>
      </w:pPr>
      <w:bookmarkStart w:id="31" w:name="_Toc228641280"/>
      <w:r w:rsidRPr="00D22B50">
        <w:t>3.4.2 The Paradox of Negative Transfer</w:t>
      </w:r>
      <w:bookmarkEnd w:id="31"/>
    </w:p>
    <w:p w14:paraId="2AC160FE" w14:textId="457920C5" w:rsidR="005E508E" w:rsidRPr="00D22B50" w:rsidRDefault="005E508E" w:rsidP="00FA00E5">
      <w:pPr>
        <w:pStyle w:val="af5"/>
        <w:spacing w:before="156" w:after="156"/>
      </w:pPr>
      <w:r w:rsidRPr="00D22B50">
        <w:t xml:space="preserve">However, knowledge transfer is not inherently beneficial. A significant and persistent challenge in this field is </w:t>
      </w:r>
      <w:r w:rsidR="00BD7543">
        <w:t>“</w:t>
      </w:r>
      <w:r w:rsidRPr="00D22B50">
        <w:t>negative transfer,</w:t>
      </w:r>
      <w:r w:rsidR="00BD7543">
        <w:t>”</w:t>
      </w:r>
      <w:r w:rsidRPr="00D22B50">
        <w:t xml:space="preserve"> which occurs when the source and target domains are sufficiently different that the transferred knowledge actually degrades the predictive performance on the target task </w:t>
      </w:r>
      <w:r w:rsidR="00E0746C" w:rsidRPr="00D22B50">
        <w:fldChar w:fldCharType="begin"/>
      </w:r>
      <w:r w:rsidR="00E0746C" w:rsidRPr="00D22B50">
        <w:instrText xml:space="preserve"> ADDIN ZOTERO_ITEM CSL_CITATION {"citationID":"EtpQosr9","properties":{"formattedCitation":"[13]","plainCitation":"[13]","noteIndex":0},"citationItems":[{"id":585,"uris":["http://zotero.org/users/local/p3tV44H5/items/SRPRYVXS"],"itemData":{"id":585,"type":"article-journal","abstract":"A major assumption in many machine learning and data mining algorithms is that the training and future data must be in the same feature space and have the same distribution. However, in many real-world applications, this assumption may not hold. For example, we sometimes have a classification task in one domain of interest, but we only have sufficient training data in another domain of interest, where the latter data may be in a different feature space or follow a different data distribution. In such cases, knowledge transfer, if done successfully, would greatly improve the performance of learning by avoiding much expensive data-labeling efforts. In recent years, transfer learning has emerged as a new learning framework to address this problem. This survey focuses on categorizing and reviewing the current progress on transfer learning for classification, regression, and clustering problems. In this survey, we discuss the relationship between transfer learning and other related machine learning techniques such as domain adaptation, multitask learning and sample selection bias, as well as covariate shift. We also explore some potential future issues in transfer learning research.","container-title":"IEEE Transactions on Knowledge and Data Engineering","DOI":"10.1109/TKDE.2009.191","ISSN":"1558-2191","issue":"10","page":"1345-1359","source":"IEEE Xplore","title":"A Survey on Transfer Learning","volume":"22","author":[{"family":"Pan","given":"Sinno Jialin"},{"family":"Yang","given":"Qiang"}],"issued":{"date-parts":[["2010",10]]}}}],"schema":"https://github.com/citation-style-language/schema/raw/master/csl-citation.json"} </w:instrText>
      </w:r>
      <w:r w:rsidR="00E0746C" w:rsidRPr="00D22B50">
        <w:fldChar w:fldCharType="separate"/>
      </w:r>
      <w:r w:rsidR="00E0746C" w:rsidRPr="00D22B50">
        <w:rPr>
          <w:rFonts w:cs="Times New Roman"/>
        </w:rPr>
        <w:t>[13]</w:t>
      </w:r>
      <w:r w:rsidR="00E0746C" w:rsidRPr="00D22B50">
        <w:fldChar w:fldCharType="end"/>
      </w:r>
      <w:r w:rsidRPr="00D22B50">
        <w:t>. In such cases, the source model may have over-fitted to the idiosyncratic noise of the source population,</w:t>
      </w:r>
      <w:r w:rsidR="009B36BC" w:rsidRPr="00D22B50">
        <w:rPr>
          <w:rFonts w:asciiTheme="minorHAnsi" w:eastAsiaTheme="minorEastAsia" w:hAnsiTheme="minorHAnsi"/>
          <w:sz w:val="21"/>
        </w:rPr>
        <w:t xml:space="preserve"> </w:t>
      </w:r>
      <w:r w:rsidR="009B36BC" w:rsidRPr="00D22B50">
        <w:t xml:space="preserve">This distribution mismatch, often characterized as concept drift, creates a representation gap that renders </w:t>
      </w:r>
      <w:proofErr w:type="spellStart"/>
      <w:r w:rsidR="009B36BC" w:rsidRPr="00D22B50">
        <w:t>unadapted</w:t>
      </w:r>
      <w:proofErr w:type="spellEnd"/>
      <w:r w:rsidR="009B36BC" w:rsidRPr="00D22B50">
        <w:t xml:space="preserve"> pre-trained weights counterproductive </w:t>
      </w:r>
      <w:r w:rsidR="00E0746C" w:rsidRPr="00D22B50">
        <w:fldChar w:fldCharType="begin"/>
      </w:r>
      <w:r w:rsidR="00E0746C" w:rsidRPr="00D22B50">
        <w:instrText xml:space="preserve"> ADDIN ZOTERO_ITEM CSL_CITATION {"citationID":"7nckUNwf","properties":{"formattedCitation":"[24]","plainCitation":"[24]","noteIndex":0},"citationItems":[{"id":679,"uris":["http://zotero.org/users/local/p3tV44H5/items/YW2CKEQ7"],"itemData":{"id":679,"type":"article-journal","abstract":"Concept drift describes unforeseeable changes in the underlying distribution of streaming data overtime. Concept drift research involves the development of methodologies and techniques for drift detection, understanding, and adaptation. Data analysis has revealed that machine learning in a concept drift environment will result in poor learning results if the drift is not addressed. To help researchers identify which research topics are significant and how to apply related techniques in data analysis tasks, it is necessary that a high quality, instructive review of current research developments and trends in the concept drift field is conducted. In addition, due to the rapid development of concept drift in recent years, the methodologies of learning under concept drift have become noticeably systematic, unveiling a framework which has not been mentioned in literature. This paper reviews over 130 high quality publications in concept drift related research areas, analyzes up-to-date developments in methodologies and techniques, and establishes a framework of learning under concept drift including three main components: concept drift detection, concept drift understanding, and concept drift adaptation. This paper lists and discusses 10 popular synthetic datasets and 14 publicly available benchmark datasets used for evaluating the performance of learning algorithms aiming at handling concept drift. Also, concept drift related research directions are covered and discussed. By providing state-of-the-art knowledge, this survey will directly support researchers in their understanding of research developments in the field of learning under concept drift.","container-title":"IEEE Transactions on Knowledge and Data Engineering","DOI":"10.1109/TKDE.2018.2876857","ISSN":"1558-2191","issue":"12","page":"2346-2363","source":"IEEE Xplore","title":"Learning under Concept Drift: A Review","title-short":"Learning under Concept Drift","volume":"31","author":[{"family":"Lu","given":"Jie"},{"family":"Liu","given":"Anjin"},{"family":"Dong","given":"Fan"},{"family":"Gu","given":"Feng"},{"family":"Gama","given":"João"},{"family":"Zhang","given":"Guangquan"}],"issued":{"date-parts":[["2019",12]]}}}],"schema":"https://github.com/citation-style-language/schema/raw/master/csl-citation.json"} </w:instrText>
      </w:r>
      <w:r w:rsidR="00E0746C" w:rsidRPr="00D22B50">
        <w:fldChar w:fldCharType="separate"/>
      </w:r>
      <w:r w:rsidR="00E0746C" w:rsidRPr="00D22B50">
        <w:rPr>
          <w:rFonts w:cs="Times New Roman"/>
        </w:rPr>
        <w:t>[24]</w:t>
      </w:r>
      <w:r w:rsidR="00E0746C" w:rsidRPr="00D22B50">
        <w:fldChar w:fldCharType="end"/>
      </w:r>
      <w:r w:rsidR="009B36BC" w:rsidRPr="00D22B50">
        <w:rPr>
          <w:rFonts w:eastAsiaTheme="minorEastAsia" w:hint="eastAsia"/>
        </w:rPr>
        <w:t xml:space="preserve">, </w:t>
      </w:r>
      <w:r w:rsidRPr="00D22B50">
        <w:t>or the source domain</w:t>
      </w:r>
      <w:r w:rsidR="00BD7543">
        <w:t>’</w:t>
      </w:r>
      <w:r w:rsidRPr="00D22B50">
        <w:t xml:space="preserve">s distribution </w:t>
      </w:r>
      <m:oMath>
        <m:r>
          <w:rPr>
            <w:rFonts w:ascii="Cambria Math" w:eastAsiaTheme="minorEastAsia" w:hAnsi="Cambria Math" w:hint="eastAsia"/>
          </w:rPr>
          <m:t>P</m:t>
        </m:r>
        <m:r>
          <w:rPr>
            <w:rFonts w:ascii="Cambria Math" w:eastAsia="宋体" w:hAnsi="Cambria Math" w:cs="宋体"/>
          </w:rPr>
          <m:t>(</m:t>
        </m:r>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m:t>
        </m:r>
      </m:oMath>
      <w:r w:rsidRPr="00D22B50">
        <w:t xml:space="preserve"> may be too divergent from the target domain</w:t>
      </w:r>
      <w:r w:rsidR="00BD7543">
        <w:t>’</w:t>
      </w:r>
      <w:r w:rsidRPr="00D22B50">
        <w:t xml:space="preserve">s </w:t>
      </w:r>
      <m:oMath>
        <m:r>
          <w:rPr>
            <w:rFonts w:ascii="Cambria Math" w:eastAsiaTheme="minorEastAsia" w:hAnsi="Cambria Math" w:hint="eastAsia"/>
          </w:rPr>
          <m:t>P</m:t>
        </m:r>
        <m:r>
          <w:rPr>
            <w:rFonts w:ascii="Cambria Math" w:eastAsia="宋体" w:hAnsi="Cambria Math" w:cs="宋体"/>
          </w:rPr>
          <m:t>(</m:t>
        </m:r>
        <m:sSub>
          <m:sSubPr>
            <m:ctrlPr>
              <w:rPr>
                <w:rFonts w:ascii="Cambria Math" w:hAnsi="Cambria Math"/>
                <w:i/>
              </w:rPr>
            </m:ctrlPr>
          </m:sSubPr>
          <m:e>
            <m:r>
              <w:rPr>
                <w:rFonts w:ascii="Cambria Math" w:hAnsi="Cambria Math"/>
              </w:rPr>
              <m:t>X</m:t>
            </m:r>
          </m:e>
          <m:sub>
            <m:r>
              <w:rPr>
                <w:rFonts w:ascii="Cambria Math" w:hAnsi="Cambria Math"/>
              </w:rPr>
              <m:t>t</m:t>
            </m:r>
          </m:sub>
        </m:sSub>
        <m:r>
          <w:rPr>
            <w:rFonts w:ascii="Cambria Math" w:hAnsi="Cambria Math"/>
          </w:rPr>
          <m:t>)</m:t>
        </m:r>
      </m:oMath>
      <w:r w:rsidRPr="00D22B50">
        <w:t>. Zhang et al. demonstrated that poor alignment between the source population and the target household is a primary driver of this phenomenon. If the source domain consists mainly of industrial users but the target is a residential user, the transferred weights will be fundamentally mismatched, leading to errors that are higher than those of a model trained from scratch.</w:t>
      </w:r>
    </w:p>
    <w:p w14:paraId="57B2B14F" w14:textId="77777777" w:rsidR="005E508E" w:rsidRPr="00D22B50" w:rsidRDefault="005E508E" w:rsidP="00F61464">
      <w:pPr>
        <w:pStyle w:val="3"/>
        <w:rPr>
          <w:rFonts w:hint="eastAsia"/>
        </w:rPr>
      </w:pPr>
      <w:bookmarkStart w:id="32" w:name="_Toc228641281"/>
      <w:r w:rsidRPr="00D22B50">
        <w:t>3.4.3 Self-Adaptive Fine-Tuning and Layer Freezing</w:t>
      </w:r>
      <w:bookmarkEnd w:id="32"/>
    </w:p>
    <w:p w14:paraId="7D491703" w14:textId="31413C93" w:rsidR="005E508E" w:rsidRPr="00D22B50" w:rsidRDefault="005E508E" w:rsidP="00FA00E5">
      <w:pPr>
        <w:pStyle w:val="af5"/>
        <w:spacing w:before="156" w:after="156"/>
      </w:pPr>
      <w:r w:rsidRPr="00D22B50">
        <w:t xml:space="preserve">To prevent this degradation, recent research has focused on self-adaptive fine-tuning techniques that selectively update layers based on local feedback </w:t>
      </w:r>
      <w:r w:rsidR="00E0746C" w:rsidRPr="00D22B50">
        <w:fldChar w:fldCharType="begin"/>
      </w:r>
      <w:r w:rsidR="00E0746C" w:rsidRPr="00D22B50">
        <w:instrText xml:space="preserve"> ADDIN ZOTERO_ITEM CSL_CITATION {"citationID":"FGkadneD","properties":{"formattedCitation":"[25]","plainCitation":"[25]","noteIndex":0},"citationItems":[{"id":592,"uris":["http://zotero.org/users/local/p3tV44H5/items/T8SI9SBW"],"itemData":{"id":592,"type":"article-journal","abstract":"Load forecasting problems have traditionally been addressed using various statistical methods, among which autoregressive integrated moving average with exogenous inputs (ARIMAX) has gained the most attention as a classical time-series modeling method. Recently, the booming development of deep learning techniques make them promising alternatives to conventional data-driven approaches. While deep learning offers exceptional capability in handling complex non-linear relationships, model complexity and computation efficiency are of concern. A few papers have explored the possibility of applying deep neural networks to forecast time-series load data but only limited to system-level or single-step building-level forecasting. This study, however, aims at filling in the knowledge gap of deep learning-based techniques for day-ahead multi-step load forecasting in commercial buildings. Two classical deep neural network models, namely recurrent neural network (RNN) and convolutional neural network (CNN), have been proposed and formulated under both recursive and direct multi-step manners. Their performances are compared with the Seasonal ARIMAX model with regard to accuracy, computational efficiency, generalizability and robustness. Among all of the investigated deep learning techniques, the gated 24-h CNN model, performed in a direct multi-step manner, proves itself to have the best performance, improving the forecasting accuracy by 22.6% compared to that of the seasonal ARIMAX.","container-title":"Applied Energy","DOI":"10.1016/j.apenergy.2018.12.042","ISSN":"0306-2619","journalAbbreviation":"Applied Energy","page":"1078-1088","source":"ScienceDirect","title":"Day-ahead building-level load forecasts using deep learning vs. traditional time-series techniques","volume":"236","author":[{"family":"Cai","given":"Mengmeng"},{"family":"Pipattanasomporn","given":"Manisa"},{"family":"Rahman","given":"Saifur"}],"issued":{"date-parts":[["2019",2,15]]}}}],"schema":"https://github.com/citation-style-language/schema/raw/master/csl-citation.json"} </w:instrText>
      </w:r>
      <w:r w:rsidR="00E0746C" w:rsidRPr="00D22B50">
        <w:fldChar w:fldCharType="separate"/>
      </w:r>
      <w:r w:rsidR="00E0746C" w:rsidRPr="00D22B50">
        <w:rPr>
          <w:rFonts w:cs="Times New Roman"/>
        </w:rPr>
        <w:t>[25]</w:t>
      </w:r>
      <w:r w:rsidR="00E0746C" w:rsidRPr="00D22B50">
        <w:fldChar w:fldCharType="end"/>
      </w:r>
      <w:r w:rsidRPr="00D22B50">
        <w:t xml:space="preserve">. The core strategy </w:t>
      </w:r>
      <w:r w:rsidRPr="00D22B50">
        <w:lastRenderedPageBreak/>
        <w:t xml:space="preserve">involves </w:t>
      </w:r>
      <w:r w:rsidR="00BD7543">
        <w:t>“</w:t>
      </w:r>
      <w:r w:rsidRPr="00D22B50">
        <w:t>partial freezing,</w:t>
      </w:r>
      <w:r w:rsidR="00BD7543">
        <w:t>”</w:t>
      </w:r>
      <w:r w:rsidRPr="00D22B50">
        <w:t xml:space="preserve"> where the early layers of the LSTM (which capture general temporal features) are kept stationary, while the final dense layers (which capture user-specific behavioral nuances) are retrained using the limited target data. This hierarchical approach allows the model to retain universal knowledge while adapting its output logic to the specific </w:t>
      </w:r>
      <w:r w:rsidR="00BD7543">
        <w:t>“</w:t>
      </w:r>
      <w:r w:rsidRPr="00D22B50">
        <w:t>energy fingerprint</w:t>
      </w:r>
      <w:r w:rsidR="00BD7543">
        <w:t>”</w:t>
      </w:r>
      <w:r w:rsidRPr="00D22B50">
        <w:t xml:space="preserve"> of the new participant.</w:t>
      </w:r>
    </w:p>
    <w:p w14:paraId="7804BCD5" w14:textId="77777777" w:rsidR="005E508E" w:rsidRPr="00D22B50" w:rsidRDefault="005E508E" w:rsidP="00F61464">
      <w:pPr>
        <w:pStyle w:val="3"/>
        <w:rPr>
          <w:rFonts w:hint="eastAsia"/>
        </w:rPr>
      </w:pPr>
      <w:bookmarkStart w:id="33" w:name="_Toc228641282"/>
      <w:r w:rsidRPr="00D22B50">
        <w:t>3.4.4 Automated Optimization of Transferability</w:t>
      </w:r>
      <w:bookmarkEnd w:id="33"/>
    </w:p>
    <w:p w14:paraId="35843477" w14:textId="6EC6239D" w:rsidR="00AC7269" w:rsidRPr="00D22B50" w:rsidRDefault="005E508E" w:rsidP="00E0746C">
      <w:pPr>
        <w:pStyle w:val="af5"/>
        <w:spacing w:before="156" w:after="156"/>
        <w:rPr>
          <w:rFonts w:eastAsiaTheme="minorEastAsia"/>
        </w:rPr>
      </w:pPr>
      <w:r w:rsidRPr="00D22B50">
        <w:t xml:space="preserve">Furthermore, the robustness of the transfer process is highly dependent on the hyperparameter configuration of the source model. If the pre-trained model is too complex, it risks memorizing source-specific noise; if it is too simple, it fails to learn universal features. Systematic optimization frameworks like </w:t>
      </w:r>
      <w:proofErr w:type="spellStart"/>
      <w:r w:rsidRPr="00D22B50">
        <w:t>Optuna</w:t>
      </w:r>
      <w:proofErr w:type="spellEnd"/>
      <w:r w:rsidRPr="00D22B50">
        <w:t xml:space="preserve"> have been introduced to automate the search for optimal architectures, moving away from manual heuristics that often lead to sub-optimal transferability </w:t>
      </w:r>
      <w:r w:rsidR="00E0746C" w:rsidRPr="00D22B50">
        <w:fldChar w:fldCharType="begin"/>
      </w:r>
      <w:r w:rsidR="00E0746C" w:rsidRPr="00D22B50">
        <w:instrText xml:space="preserve"> ADDIN ZOTERO_ITEM CSL_CITATION {"citationID":"Uq9AllTO","properties":{"formattedCitation":"[16]","plainCitation":"[16]","noteIndex":0},"citationItems":[{"id":575,"uris":["http://zotero.org/users/local/p3tV44H5/items/KGFYWMJL"],"itemData":{"id":575,"type":"paper-conference","abstract":"The purpose of this study is to introduce new design-criteria for next-generation hyperparameter optimization software. The criteria we propose include (1) define-by-run API that allows users to construct the parameter search space dynamically, (2) efficient implementation of both searching and pruning strategies, and (3) easy-to-setup, versatile architecture that can be deployed for various purposes, ranging from scalable distributed computing to light-weight experiment conducted via interactive interface. In order to prove our point, we will introduce Optuna, an optimization software which is a culmination of our effort in the development of a next generation optimization software. As an optimization software designed with define-by-run principle, Optuna is particularly the first of its kind. We will present the design-techniques that became necessary in the development of the software that meets the above criteria, and demonstrate the power of our new design through experimental results and real world applications. Our software is available under the MIT license (https://github.com/pfnet/optuna/).","collection-title":"KDD '19","container-title":"Proceedings of the 25th ACM SIGKDD International Conference on Knowledge Discovery &amp; Data Mining","DOI":"10.1145/3292500.3330701","ISBN":"978-1-4503-6201-6","page":"2623–2631","publisher":"Association for Computing Machinery","publisher-place":"New York, NY, USA","source":"ACM Digital Library","title":"Optuna: A Next-generation Hyperparameter Optimization Framework","title-short":"Optuna","URL":"https://dl.acm.org/doi/10.1145/3292500.3330701","author":[{"family":"Akiba","given":"Takuya"},{"family":"Sano","given":"Shotaro"},{"family":"Yanase","given":"Toshihiko"},{"family":"Ohta","given":"Takeru"},{"family":"Koyama","given":"Masanori"}],"accessed":{"date-parts":[["2026",5,1]]},"issued":{"date-parts":[["2019",7,25]]}}}],"schema":"https://github.com/citation-style-language/schema/raw/master/csl-citation.json"} </w:instrText>
      </w:r>
      <w:r w:rsidR="00E0746C" w:rsidRPr="00D22B50">
        <w:fldChar w:fldCharType="separate"/>
      </w:r>
      <w:r w:rsidR="00E0746C" w:rsidRPr="00D22B50">
        <w:rPr>
          <w:rFonts w:cs="Times New Roman"/>
        </w:rPr>
        <w:t>[16]</w:t>
      </w:r>
      <w:r w:rsidR="00E0746C" w:rsidRPr="00D22B50">
        <w:fldChar w:fldCharType="end"/>
      </w:r>
      <w:r w:rsidRPr="00D22B50">
        <w:t xml:space="preserve">. </w:t>
      </w:r>
      <w:proofErr w:type="spellStart"/>
      <w:r w:rsidRPr="00D22B50">
        <w:t>Optuna</w:t>
      </w:r>
      <w:proofErr w:type="spellEnd"/>
      <w:r w:rsidRPr="00D22B50">
        <w:t xml:space="preserve"> utilizes Bayesian optimization algorithms to maximize a defined </w:t>
      </w:r>
      <w:r w:rsidR="00BD7543">
        <w:t>“</w:t>
      </w:r>
      <w:r w:rsidRPr="00D22B50">
        <w:t>transferability score,</w:t>
      </w:r>
      <w:r w:rsidR="00BD7543">
        <w:t>”</w:t>
      </w:r>
      <w:r w:rsidRPr="00D22B50">
        <w:t xml:space="preserve"> ensuring that the source model serves as a stable and informative prior for the target task. This automated alignment is critical for maintaining consistency in forecasting accuracy across a heterogeneous grid environment.</w:t>
      </w:r>
    </w:p>
    <w:p w14:paraId="4D40A622" w14:textId="77777777" w:rsidR="004C1E55" w:rsidRPr="00D22B50" w:rsidRDefault="004C1E55" w:rsidP="004C1E55">
      <w:pPr>
        <w:pStyle w:val="2"/>
        <w:rPr>
          <w:rFonts w:hint="eastAsia"/>
        </w:rPr>
      </w:pPr>
      <w:bookmarkStart w:id="34" w:name="_Toc228641283"/>
      <w:r w:rsidRPr="00D22B50">
        <w:t>3.5 Benchmarking against the London Smart Meter Dataset Studies</w:t>
      </w:r>
      <w:bookmarkEnd w:id="34"/>
    </w:p>
    <w:p w14:paraId="44324822" w14:textId="77777777" w:rsidR="004C1E55" w:rsidRPr="00D22B50" w:rsidRDefault="004C1E55" w:rsidP="00FA00E5">
      <w:pPr>
        <w:pStyle w:val="af5"/>
        <w:spacing w:before="156" w:after="156"/>
      </w:pPr>
      <w:r w:rsidRPr="00D22B50">
        <w:t>The London Smart Meter dataset (comprising over 5,500 households) has served as a foundational benchmark in modern STLF research due to its longitudinal depth and high-resolution half-hourly granularity. However, a critical review of existing literature utilizing this specific dataset reveals a persistent reliance on data-rich training regimes, highlighting a clear gap that this study aims to fill.</w:t>
      </w:r>
    </w:p>
    <w:p w14:paraId="46B3EE4F" w14:textId="77777777" w:rsidR="004C1E55" w:rsidRPr="00D22B50" w:rsidRDefault="004C1E55" w:rsidP="004C1E55">
      <w:pPr>
        <w:pStyle w:val="3"/>
        <w:rPr>
          <w:rFonts w:hint="eastAsia"/>
        </w:rPr>
      </w:pPr>
      <w:bookmarkStart w:id="35" w:name="_Toc228641284"/>
      <w:r w:rsidRPr="00D22B50">
        <w:t>3.5.1 The Baseline of Recurrent Architectures</w:t>
      </w:r>
      <w:bookmarkEnd w:id="35"/>
      <w:r w:rsidRPr="00D22B50">
        <w:t xml:space="preserve"> </w:t>
      </w:r>
    </w:p>
    <w:p w14:paraId="58061BC3" w14:textId="06A2AD42" w:rsidR="004C1E55" w:rsidRPr="00D22B50" w:rsidRDefault="004C1E55" w:rsidP="00FA00E5">
      <w:pPr>
        <w:pStyle w:val="af5"/>
        <w:spacing w:before="156" w:after="156"/>
      </w:pPr>
      <w:r w:rsidRPr="00D22B50">
        <w:t xml:space="preserve">Several foundational studies have successfully deployed standard RNNs and LSTMs on the London dataset. Previous research, such as the pioneering work by Kong et al., has demonstrated that LSTMs can achieve robust predictive capabilities when trained over several months of historical data </w:t>
      </w:r>
      <w:r w:rsidR="00E0746C" w:rsidRPr="00D22B50">
        <w:fldChar w:fldCharType="begin"/>
      </w:r>
      <w:r w:rsidR="00E0746C" w:rsidRPr="00D22B50">
        <w:instrText xml:space="preserve"> ADDIN ZOTERO_ITEM CSL_CITATION {"citationID":"lOUDbhfp","properties":{"formattedCitation":"[9]","plainCitation":"[9]","noteIndex":0},"citationItems":[{"id":557,"uris":["http://zotero.org/users/local/p3tV44H5/items/N4D6A4RG"],"itemData":{"id":557,"type":"article-journal","abstract":"As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E0746C" w:rsidRPr="00D22B50">
        <w:fldChar w:fldCharType="separate"/>
      </w:r>
      <w:r w:rsidR="00E0746C" w:rsidRPr="00D22B50">
        <w:rPr>
          <w:rFonts w:cs="Times New Roman"/>
        </w:rPr>
        <w:t>[9]</w:t>
      </w:r>
      <w:r w:rsidR="00E0746C" w:rsidRPr="00D22B50">
        <w:fldChar w:fldCharType="end"/>
      </w:r>
      <w:r w:rsidRPr="00D22B50">
        <w:t xml:space="preserve">. Similarly, pooling strategies have been employed to mitigate individual noise across multiple London households </w:t>
      </w:r>
      <w:r w:rsidR="00E0746C" w:rsidRPr="00D22B50">
        <w:fldChar w:fldCharType="begin"/>
      </w:r>
      <w:r w:rsidR="00E0746C" w:rsidRPr="00D22B50">
        <w:instrText xml:space="preserve"> ADDIN ZOTERO_ITEM CSL_CITATION {"citationID":"BQJX4p4n","properties":{"formattedCitation":"[22]","plainCitation":"[22]","noteIndex":0},"citationItems":[{"id":582,"uris":["http://zotero.org/users/local/p3tV44H5/items/ZEP5S279"],"itemData":{"id":582,"type":"article-journal","abstract":"The key challenge for household load forecasting lies in the high volatility and uncertainty of load profiles. Traditional methods tend to avoid such uncertainty by load aggregation (to offset uncertainties), customer classification (to cluster uncertainties) and spectral analysis (to filter out uncertainties). This paper, for the first time, aims to directly learn the uncertainty by applying a new breed of machine learning algorithms – deep learning.","container-title":"IEEE Transactions on Smart Grid","DOI":"10.1109/TSG.2017.2686012","ISSN":"1949-3053, 1949-3061","issue":"5","journalAbbreviation":"IEEE Trans. Smart Grid","language":"en","license":"https://ieeexplore.ieee.org/Xplorehelp/downloads/license-information/IEEE.html","page":"5271-5280","source":"DOI.org (Crossref)","title":"Deep Learning for Household Load Forecasting—A Novel Pooling Deep RNN","volume":"9","author":[{"family":"Shi","given":"Heng"},{"family":"Xu","given":"Minghao"},{"family":"Li","given":"Ran"}],"issued":{"date-parts":[["2018",9]]}}}],"schema":"https://github.com/citation-style-language/schema/raw/master/csl-citation.json"} </w:instrText>
      </w:r>
      <w:r w:rsidR="00E0746C" w:rsidRPr="00D22B50">
        <w:fldChar w:fldCharType="separate"/>
      </w:r>
      <w:r w:rsidR="00E0746C" w:rsidRPr="00D22B50">
        <w:rPr>
          <w:rFonts w:cs="Times New Roman"/>
        </w:rPr>
        <w:t>[22]</w:t>
      </w:r>
      <w:r w:rsidR="00E0746C" w:rsidRPr="00D22B50">
        <w:fldChar w:fldCharType="end"/>
      </w:r>
      <w:r w:rsidRPr="00D22B50">
        <w:t xml:space="preserve">. However, these traditional methodologies consistently bypass the operational reality of the </w:t>
      </w:r>
      <w:r w:rsidR="00BD7543">
        <w:t>“</w:t>
      </w:r>
      <w:r w:rsidRPr="00D22B50">
        <w:t>cold-start</w:t>
      </w:r>
      <w:r w:rsidR="00BD7543">
        <w:t>”</w:t>
      </w:r>
      <w:r w:rsidRPr="00D22B50">
        <w:t xml:space="preserve"> bottleneck </w:t>
      </w:r>
      <w:r w:rsidR="00E0746C" w:rsidRPr="00D22B50">
        <w:fldChar w:fldCharType="begin"/>
      </w:r>
      <w:r w:rsidR="00E0746C" w:rsidRPr="00D22B50">
        <w:instrText xml:space="preserve"> ADDIN ZOTERO_ITEM CSL_CITATION {"citationID":"fDG4xs8x","properties":{"formattedCitation":"[11]","plainCitation":"[11]","noteIndex":0},"citationItems":[{"id":595,"uris":["http://zotero.org/users/local/p3tV44H5/items/RYGGA6L8"],"itemData":{"id":595,"type":"article-journal","abstract":"While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E0746C" w:rsidRPr="00D22B50">
        <w:fldChar w:fldCharType="separate"/>
      </w:r>
      <w:r w:rsidR="00E0746C" w:rsidRPr="00D22B50">
        <w:rPr>
          <w:rFonts w:cs="Times New Roman"/>
        </w:rPr>
        <w:t>[11]</w:t>
      </w:r>
      <w:r w:rsidR="00E0746C" w:rsidRPr="00D22B50">
        <w:fldChar w:fldCharType="end"/>
      </w:r>
      <w:r w:rsidRPr="00D22B50">
        <w:t xml:space="preserve">. They implicitly assume a lengthy </w:t>
      </w:r>
      <w:r w:rsidR="00BD7543">
        <w:t>“</w:t>
      </w:r>
      <w:r w:rsidRPr="00D22B50">
        <w:t>burn-in</w:t>
      </w:r>
      <w:r w:rsidR="00BD7543">
        <w:t>”</w:t>
      </w:r>
      <w:r w:rsidRPr="00D22B50">
        <w:t xml:space="preserve"> period of data accumulation, which limits their immediate applicability for newly commissioned smart meters. </w:t>
      </w:r>
    </w:p>
    <w:p w14:paraId="0ABF1C17" w14:textId="77777777" w:rsidR="004C1E55" w:rsidRPr="00D22B50" w:rsidRDefault="004C1E55" w:rsidP="004C1E55">
      <w:pPr>
        <w:pStyle w:val="3"/>
        <w:rPr>
          <w:rFonts w:hint="eastAsia"/>
        </w:rPr>
      </w:pPr>
      <w:bookmarkStart w:id="36" w:name="_Toc228641285"/>
      <w:r w:rsidRPr="00D22B50">
        <w:t>3.5.2 The Application of Transformers in STLF</w:t>
      </w:r>
      <w:bookmarkEnd w:id="36"/>
      <w:r w:rsidRPr="00D22B50">
        <w:t xml:space="preserve"> </w:t>
      </w:r>
    </w:p>
    <w:p w14:paraId="7D63F8C1" w14:textId="2FB4BEAD" w:rsidR="004C1E55" w:rsidRPr="00D22B50" w:rsidRDefault="004C1E55" w:rsidP="00FA00E5">
      <w:pPr>
        <w:pStyle w:val="af5"/>
        <w:spacing w:before="156" w:after="156"/>
      </w:pPr>
      <w:r w:rsidRPr="00D22B50">
        <w:t xml:space="preserve">More recently, the shift towards Attention-based architectures has been reflected in </w:t>
      </w:r>
      <w:r w:rsidRPr="00D22B50">
        <w:lastRenderedPageBreak/>
        <w:t xml:space="preserve">state-of-the-art studies utilizing advanced deep learning for smart grids </w:t>
      </w:r>
      <w:r w:rsidR="00E0746C" w:rsidRPr="00D22B50">
        <w:fldChar w:fldCharType="begin"/>
      </w:r>
      <w:r w:rsidR="00E0746C" w:rsidRPr="00D22B50">
        <w:instrText xml:space="preserve"> ADDIN ZOTERO_ITEM CSL_CITATION {"citationID":"QCrU1tIw","properties":{"formattedCitation":"[4]","plainCitation":"[4]","noteIndex":0},"citationItems":[{"id":567,"uris":["http://zotero.org/users/local/p3tV44H5/items/J38MU6UU"],"itemData":{"id":567,"type":"article-journal","abstract":"The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E0746C" w:rsidRPr="00D22B50">
        <w:fldChar w:fldCharType="separate"/>
      </w:r>
      <w:r w:rsidR="00E0746C" w:rsidRPr="00D22B50">
        <w:rPr>
          <w:rFonts w:cs="Times New Roman"/>
        </w:rPr>
        <w:t>[4]</w:t>
      </w:r>
      <w:r w:rsidR="00E0746C" w:rsidRPr="00D22B50">
        <w:fldChar w:fldCharType="end"/>
      </w:r>
      <w:r w:rsidRPr="00D22B50">
        <w:t xml:space="preserve">. Recent literature indicates that high-capacity models can achieve superior accuracy and faster inference speeds compared to traditional recurrent networks when provided with sufficient historical sequences. Yet, the current literature predominantly evaluates these architectures in data-abundant environments. There remains a significant void in understanding how these high-capacity, Self-Attention mechanisms perform when data is forcibly restricted to an extreme small-sample regime. </w:t>
      </w:r>
    </w:p>
    <w:p w14:paraId="42D397F2" w14:textId="77777777" w:rsidR="004C1E55" w:rsidRPr="00D22B50" w:rsidRDefault="004C1E55" w:rsidP="004C1E55">
      <w:pPr>
        <w:pStyle w:val="3"/>
        <w:rPr>
          <w:rFonts w:hint="eastAsia"/>
        </w:rPr>
      </w:pPr>
      <w:bookmarkStart w:id="37" w:name="_Toc228641286"/>
      <w:r w:rsidRPr="00D22B50">
        <w:t>3.5.3 Knowledge Migration and Our Distinct Contribution</w:t>
      </w:r>
      <w:bookmarkEnd w:id="37"/>
      <w:r w:rsidRPr="00D22B50">
        <w:t xml:space="preserve"> </w:t>
      </w:r>
    </w:p>
    <w:p w14:paraId="7F4AFA0C" w14:textId="4B612CD2" w:rsidR="004C1E55" w:rsidRPr="00D22B50" w:rsidRDefault="004C1E55" w:rsidP="00FA00E5">
      <w:pPr>
        <w:pStyle w:val="af5"/>
        <w:spacing w:before="156" w:after="156"/>
      </w:pPr>
      <w:r w:rsidRPr="00D22B50">
        <w:t xml:space="preserve">While some studies have explored time-series clustering and alternative data-driven approaches to group households (like those in the London dataset) for demand response coordination </w:t>
      </w:r>
      <w:r w:rsidR="00E0746C" w:rsidRPr="00D22B50">
        <w:fldChar w:fldCharType="begin"/>
      </w:r>
      <w:r w:rsidR="00E0746C" w:rsidRPr="00D22B50">
        <w:instrText xml:space="preserve"> ADDIN ZOTERO_ITEM CSL_CITATION {"citationID":"lfCDeFxL","properties":{"formattedCitation":"[1]","plainCitation":"[1]","noteIndex":0},"citationItems":[{"id":539,"uris":["http://zotero.org/users/local/p3tV44H5/items/HWZLV4UQ"],"itemData":{"id":539,"type":"article-journal","abstract":"Accurate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schema":"https://github.com/citation-style-language/schema/raw/master/csl-citation.json"} </w:instrText>
      </w:r>
      <w:r w:rsidR="00E0746C" w:rsidRPr="00D22B50">
        <w:fldChar w:fldCharType="separate"/>
      </w:r>
      <w:r w:rsidR="00E0746C" w:rsidRPr="00D22B50">
        <w:rPr>
          <w:rFonts w:cs="Times New Roman"/>
        </w:rPr>
        <w:t>[1]</w:t>
      </w:r>
      <w:r w:rsidR="00E0746C" w:rsidRPr="00D22B50">
        <w:fldChar w:fldCharType="end"/>
      </w:r>
      <w:r w:rsidRPr="00D22B50">
        <w:t xml:space="preserve">, individual-level transfer learning for cold-start mitigation remains critically under-researched </w:t>
      </w:r>
      <w:r w:rsidR="00E0746C" w:rsidRPr="00D22B50">
        <w:fldChar w:fldCharType="begin"/>
      </w:r>
      <w:r w:rsidR="00E0746C" w:rsidRPr="00D22B50">
        <w:instrText xml:space="preserve"> ADDIN ZOTERO_ITEM CSL_CITATION {"citationID":"rOlvJWIn","properties":{"formattedCitation":"[11]","plainCitation":"[11]","noteIndex":0},"citationItems":[{"id":595,"uris":["http://zotero.org/users/local/p3tV44H5/items/RYGGA6L8"],"itemData":{"id":595,"type":"article-journal","abstract":"While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E0746C" w:rsidRPr="00D22B50">
        <w:fldChar w:fldCharType="separate"/>
      </w:r>
      <w:r w:rsidR="00E0746C" w:rsidRPr="00D22B50">
        <w:rPr>
          <w:rFonts w:cs="Times New Roman"/>
        </w:rPr>
        <w:t>[11]</w:t>
      </w:r>
      <w:r w:rsidR="00E0746C" w:rsidRPr="00D22B50">
        <w:fldChar w:fldCharType="end"/>
      </w:r>
      <w:r w:rsidRPr="00D22B50">
        <w:t xml:space="preserve">. </w:t>
      </w:r>
    </w:p>
    <w:p w14:paraId="7A679AF6" w14:textId="77777777" w:rsidR="004C1E55" w:rsidRPr="00D22B50" w:rsidRDefault="004C1E55" w:rsidP="00FA00E5">
      <w:pPr>
        <w:pStyle w:val="af5"/>
        <w:spacing w:before="156" w:after="156"/>
      </w:pPr>
      <w:r w:rsidRPr="00D22B50">
        <w:t>This study explicitly distinguishes itself from existing London Smart Meter benchmarks in three key ways:</w:t>
      </w:r>
    </w:p>
    <w:p w14:paraId="73B0D244" w14:textId="25D5EEE4" w:rsidR="004C1E55" w:rsidRPr="00D22B50" w:rsidRDefault="004C1E55" w:rsidP="00FA00E5">
      <w:pPr>
        <w:pStyle w:val="af5"/>
        <w:spacing w:before="156" w:after="156"/>
      </w:pPr>
      <w:r w:rsidRPr="00D22B50">
        <w:t>It shifts the focus from long-term data mining to the extreme small-sample regime (10-day cold start)</w:t>
      </w:r>
      <w:r w:rsidR="00E0746C" w:rsidRPr="00D22B50">
        <w:rPr>
          <w:rFonts w:eastAsiaTheme="minorEastAsia" w:hint="eastAsia"/>
        </w:rPr>
        <w:t xml:space="preserve"> </w:t>
      </w:r>
      <w:r w:rsidR="00E0746C" w:rsidRPr="00D22B50">
        <w:fldChar w:fldCharType="begin"/>
      </w:r>
      <w:r w:rsidR="00E0746C" w:rsidRPr="00D22B50">
        <w:instrText xml:space="preserve"> ADDIN ZOTERO_ITEM CSL_CITATION {"citationID":"Avbov04S","properties":{"formattedCitation":"[8], [9]","plainCitation":"[8], [9]","noteIndex":0},"citationItems":[{"id":512,"uris":["http://zotero.org/users/local/p3tV44H5/items/HCMHHT5F"],"itemData":{"id":512,"type":"article-journal","abstract":"Learning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E0746C" w:rsidRPr="00D22B50">
        <w:fldChar w:fldCharType="separate"/>
      </w:r>
      <w:r w:rsidR="00E0746C" w:rsidRPr="00D22B50">
        <w:rPr>
          <w:rFonts w:cs="Times New Roman"/>
        </w:rPr>
        <w:t>[8], [9]</w:t>
      </w:r>
      <w:r w:rsidR="00E0746C" w:rsidRPr="00D22B50">
        <w:fldChar w:fldCharType="end"/>
      </w:r>
      <w:r w:rsidRPr="00D22B50">
        <w:t xml:space="preserve">. </w:t>
      </w:r>
    </w:p>
    <w:p w14:paraId="617F6121" w14:textId="77777777" w:rsidR="004C1E55" w:rsidRPr="00D22B50" w:rsidRDefault="004C1E55" w:rsidP="00FA00E5">
      <w:pPr>
        <w:pStyle w:val="af5"/>
        <w:spacing w:before="156" w:after="156"/>
      </w:pPr>
      <w:r w:rsidRPr="00D22B50">
        <w:t>It executes a strict, head-to-head empirical comparison between LSTM and Transformer architectures under identical constraints, challenging the assumption that attention mechanisms are universally superior.</w:t>
      </w:r>
    </w:p>
    <w:p w14:paraId="6EBE1483" w14:textId="2A9DCD42" w:rsidR="004C1E55" w:rsidRPr="00D22B50" w:rsidRDefault="004C1E55" w:rsidP="00FA00E5">
      <w:pPr>
        <w:pStyle w:val="af5"/>
        <w:spacing w:before="156" w:after="156"/>
      </w:pPr>
      <w:r w:rsidRPr="00D22B50">
        <w:t xml:space="preserve">By leveraging Bayesian hyperparameter optimization via the </w:t>
      </w:r>
      <w:proofErr w:type="spellStart"/>
      <w:r w:rsidRPr="00D22B50">
        <w:t>Optuna</w:t>
      </w:r>
      <w:proofErr w:type="spellEnd"/>
      <w:r w:rsidRPr="00D22B50">
        <w:t xml:space="preserve"> framework </w:t>
      </w:r>
      <w:r w:rsidR="00E0746C" w:rsidRPr="00D22B50">
        <w:fldChar w:fldCharType="begin"/>
      </w:r>
      <w:r w:rsidR="00E0746C" w:rsidRPr="00D22B50">
        <w:instrText xml:space="preserve"> ADDIN ZOTERO_ITEM CSL_CITATION {"citationID":"5iyyiQpJ","properties":{"formattedCitation":"[16]","plainCitation":"[16]","noteIndex":0},"citationItems":[{"id":575,"uris":["http://zotero.org/users/local/p3tV44H5/items/KGFYWMJL"],"itemData":{"id":575,"type":"paper-conference","abstract":"The purpose of this study is to introduce new design-criteria for next-generation hyperparameter optimization software. The criteria we propose include (1) define-by-run API that allows users to construct the parameter search space dynamically, (2) efficient implementation of both searching and pruning strategies, and (3) easy-to-setup, versatile architecture that can be deployed for various purposes, ranging from scalable distributed computing to light-weight experiment conducted via interactive interface. In order to prove our point, we will introduce Optuna, an optimization software which is a culmination of our effort in the development of a next generation optimization software. As an optimization software designed with define-by-run principle, Optuna is particularly the first of its kind. We will present the design-techniques that became necessary in the development of the software that meets the above criteria, and demonstrate the power of our new design through experimental results and real world applications. Our software is available under the MIT license (https://github.com/pfnet/optuna/).","collection-title":"KDD '19","container-title":"Proceedings of the 25th ACM SIGKDD International Conference on Knowledge Discovery &amp; Data Mining","DOI":"10.1145/3292500.3330701","ISBN":"978-1-4503-6201-6","page":"2623–2631","publisher":"Association for Computing Machinery","publisher-place":"New York, NY, USA","source":"ACM Digital Library","title":"Optuna: A Next-generation Hyperparameter Optimization Framework","title-short":"Optuna","URL":"https://dl.acm.org/doi/10.1145/3292500.3330701","author":[{"family":"Akiba","given":"Takuya"},{"family":"Sano","given":"Shotaro"},{"family":"Yanase","given":"Toshihiko"},{"family":"Ohta","given":"Takeru"},{"family":"Koyama","given":"Masanori"}],"accessed":{"date-parts":[["2026",5,1]]},"issued":{"date-parts":[["2019",7,25]]}}}],"schema":"https://github.com/citation-style-language/schema/raw/master/csl-citation.json"} </w:instrText>
      </w:r>
      <w:r w:rsidR="00E0746C" w:rsidRPr="00D22B50">
        <w:fldChar w:fldCharType="separate"/>
      </w:r>
      <w:r w:rsidR="00E0746C" w:rsidRPr="00D22B50">
        <w:rPr>
          <w:rFonts w:cs="Times New Roman"/>
        </w:rPr>
        <w:t>[16]</w:t>
      </w:r>
      <w:r w:rsidR="00E0746C" w:rsidRPr="00D22B50">
        <w:fldChar w:fldCharType="end"/>
      </w:r>
      <w:r w:rsidRPr="00D22B50">
        <w:t xml:space="preserve"> prior to knowledge migration, this methodology proactively mitigates the negative transfer phenomenon </w:t>
      </w:r>
      <w:r w:rsidR="00E0746C" w:rsidRPr="00D22B50">
        <w:fldChar w:fldCharType="begin"/>
      </w:r>
      <w:r w:rsidR="00E0746C" w:rsidRPr="00D22B50">
        <w:instrText xml:space="preserve"> ADDIN ZOTERO_ITEM CSL_CITATION {"citationID":"jE9S8ee8","properties":{"formattedCitation":"[13]","plainCitation":"[13]","noteIndex":0},"citationItems":[{"id":585,"uris":["http://zotero.org/users/local/p3tV44H5/items/SRPRYVXS"],"itemData":{"id":585,"type":"article-journal","abstract":"A major assumption in many machine learning and data mining algorithms is that the training and future data must be in the same feature space and have the same distribution. However, in many real-world applications, this assumption may not hold. For example, we sometimes have a classification task in one domain of interest, but we only have sufficient training data in another domain of interest, where the latter data may be in a different feature space or follow a different data distribution. In such cases, knowledge transfer, if done successfully, would greatly improve the performance of learning by avoiding much expensive data-labeling efforts. In recent years, transfer learning has emerged as a new learning framework to address this problem. This survey focuses on categorizing and reviewing the current progress on transfer learning for classification, regression, and clustering problems. In this survey, we discuss the relationship between transfer learning and other related machine learning techniques such as domain adaptation, multitask learning and sample selection bias, as well as covariate shift. We also explore some potential future issues in transfer learning research.","container-title":"IEEE Transactions on Knowledge and Data Engineering","DOI":"10.1109/TKDE.2009.191","ISSN":"1558-2191","issue":"10","page":"1345-1359","source":"IEEE Xplore","title":"A Survey on Transfer Learning","volume":"22","author":[{"family":"Pan","given":"Sinno Jialin"},{"family":"Yang","given":"Qiang"}],"issued":{"date-parts":[["2010",10]]}}}],"schema":"https://github.com/citation-style-language/schema/raw/master/csl-citation.json"} </w:instrText>
      </w:r>
      <w:r w:rsidR="00E0746C" w:rsidRPr="00D22B50">
        <w:fldChar w:fldCharType="separate"/>
      </w:r>
      <w:r w:rsidR="00E0746C" w:rsidRPr="00D22B50">
        <w:rPr>
          <w:rFonts w:cs="Times New Roman"/>
        </w:rPr>
        <w:t>[13]</w:t>
      </w:r>
      <w:r w:rsidR="00E0746C" w:rsidRPr="00D22B50">
        <w:fldChar w:fldCharType="end"/>
      </w:r>
      <w:r w:rsidRPr="00D22B50">
        <w:t xml:space="preserve"> —an issue frequently ignored in existing transfer learning literature. This ensures the robustness of the transferred features </w:t>
      </w:r>
      <w:r w:rsidR="00E0746C" w:rsidRPr="00D22B50">
        <w:fldChar w:fldCharType="begin"/>
      </w:r>
      <w:r w:rsidR="00E0746C" w:rsidRPr="00D22B50">
        <w:instrText xml:space="preserve"> ADDIN ZOTERO_ITEM CSL_CITATION {"citationID":"xFEdTm3n","properties":{"formattedCitation":"[16]","plainCitation":"[16]","noteIndex":0},"citationItems":[{"id":575,"uris":["http://zotero.org/users/local/p3tV44H5/items/KGFYWMJL"],"itemData":{"id":575,"type":"paper-conference","abstract":"The purpose of this study is to introduce new design-criteria for next-generation hyperparameter optimization software. The criteria we propose include (1) define-by-run API that allows users to construct the parameter search space dynamically, (2) efficient implementation of both searching and pruning strategies, and (3) easy-to-setup, versatile architecture that can be deployed for various purposes, ranging from scalable distributed computing to light-weight experiment conducted via interactive interface. In order to prove our point, we will introduce Optuna, an optimization software which is a culmination of our effort in the development of a next generation optimization software. As an optimization software designed with define-by-run principle, Optuna is particularly the first of its kind. We will present the design-techniques that became necessary in the development of the software that meets the above criteria, and demonstrate the power of our new design through experimental results and real world applications. Our software is available under the MIT license (https://github.com/pfnet/optuna/).","collection-title":"KDD '19","container-title":"Proceedings of the 25th ACM SIGKDD International Conference on Knowledge Discovery &amp; Data Mining","DOI":"10.1145/3292500.3330701","ISBN":"978-1-4503-6201-6","page":"2623–2631","publisher":"Association for Computing Machinery","publisher-place":"New York, NY, USA","source":"ACM Digital Library","title":"Optuna: A Next-generation Hyperparameter Optimization Framework","title-short":"Optuna","URL":"https://dl.acm.org/doi/10.1145/3292500.3330701","author":[{"family":"Akiba","given":"Takuya"},{"family":"Sano","given":"Shotaro"},{"family":"Yanase","given":"Toshihiko"},{"family":"Ohta","given":"Takeru"},{"family":"Koyama","given":"Masanori"}],"accessed":{"date-parts":[["2026",5,1]]},"issued":{"date-parts":[["2019",7,25]]}}}],"schema":"https://github.com/citation-style-language/schema/raw/master/csl-citation.json"} </w:instrText>
      </w:r>
      <w:r w:rsidR="00E0746C" w:rsidRPr="00D22B50">
        <w:fldChar w:fldCharType="separate"/>
      </w:r>
      <w:r w:rsidR="00E0746C" w:rsidRPr="00D22B50">
        <w:rPr>
          <w:rFonts w:cs="Times New Roman"/>
        </w:rPr>
        <w:t>[16]</w:t>
      </w:r>
      <w:r w:rsidR="00E0746C" w:rsidRPr="00D22B50">
        <w:fldChar w:fldCharType="end"/>
      </w:r>
      <w:r w:rsidRPr="00D22B50">
        <w:t xml:space="preserve">. </w:t>
      </w:r>
    </w:p>
    <w:p w14:paraId="3152F79E" w14:textId="01427F9D" w:rsidR="002C44EF" w:rsidRDefault="004C1E55" w:rsidP="00FA00E5">
      <w:pPr>
        <w:pStyle w:val="af5"/>
        <w:spacing w:before="156" w:after="156"/>
        <w:rPr>
          <w:rFonts w:eastAsiaTheme="minorEastAsia"/>
        </w:rPr>
      </w:pPr>
      <w:r w:rsidRPr="00D22B50">
        <w:t>Ultimately, this comparative framework proves that the sequence-oriented inductive bias of LSTMs provides superior stability over Transformers in severely data-scarce environments.</w:t>
      </w:r>
    </w:p>
    <w:p w14:paraId="31B68D92" w14:textId="2D252C7F" w:rsidR="00A04735" w:rsidRPr="00A04735" w:rsidRDefault="00A04735" w:rsidP="00A04735">
      <w:pPr>
        <w:pStyle w:val="2"/>
        <w:rPr>
          <w:rFonts w:hint="eastAsia"/>
        </w:rPr>
      </w:pPr>
      <w:r w:rsidRPr="00A04735">
        <w:rPr>
          <w:rFonts w:hint="eastAsia"/>
        </w:rPr>
        <w:t xml:space="preserve">3.6 </w:t>
      </w:r>
      <w:r w:rsidRPr="00A04735">
        <w:t>Literature Comparison Matrix</w:t>
      </w:r>
    </w:p>
    <w:p w14:paraId="42BF4E68" w14:textId="2AB309DB" w:rsidR="00A04735" w:rsidRDefault="00A04735" w:rsidP="00A04735">
      <w:pPr>
        <w:pStyle w:val="af5"/>
        <w:spacing w:before="156" w:after="156"/>
      </w:pPr>
      <w:r w:rsidRPr="00A04735">
        <w:t xml:space="preserve">Based on the comprehensive review of existing methodologies, several critical gaps in the current STLF literature have been identified, particularly concerning the cold-start problem and small-sample learning. Table </w:t>
      </w:r>
      <w:r>
        <w:rPr>
          <w:rFonts w:eastAsiaTheme="minorEastAsia" w:hint="eastAsia"/>
        </w:rPr>
        <w:t>1</w:t>
      </w:r>
      <w:r w:rsidRPr="00A04735">
        <w:t xml:space="preserve"> summarizes these research gaps and outlines the distinct contributions of this study.</w:t>
      </w:r>
    </w:p>
    <w:p w14:paraId="318DEC6D" w14:textId="77777777" w:rsidR="00A04735" w:rsidRDefault="00A04735">
      <w:pPr>
        <w:widowControl/>
        <w:jc w:val="left"/>
        <w:rPr>
          <w:rFonts w:ascii="Times New Roman" w:eastAsia="Times New Roman" w:hAnsi="Times New Roman"/>
          <w:sz w:val="24"/>
        </w:rPr>
      </w:pPr>
      <w:r>
        <w:br w:type="page"/>
      </w:r>
    </w:p>
    <w:p w14:paraId="22301C1B" w14:textId="77777777" w:rsidR="00A04735" w:rsidRDefault="00A04735" w:rsidP="00A04735">
      <w:pPr>
        <w:pStyle w:val="af5"/>
        <w:spacing w:before="156" w:after="156"/>
        <w:rPr>
          <w:rFonts w:eastAsiaTheme="minorEastAsia"/>
        </w:rPr>
      </w:pPr>
    </w:p>
    <w:p w14:paraId="47D26A85" w14:textId="2FE09A29" w:rsidR="00A04735" w:rsidRDefault="00A04735" w:rsidP="00A04735">
      <w:pPr>
        <w:pStyle w:val="af5"/>
        <w:spacing w:before="156" w:after="156"/>
        <w:jc w:val="center"/>
        <w:rPr>
          <w:rFonts w:eastAsiaTheme="minorEastAsia"/>
          <w:sz w:val="21"/>
          <w:szCs w:val="20"/>
        </w:rPr>
      </w:pPr>
      <w:r w:rsidRPr="00A04735">
        <w:rPr>
          <w:rFonts w:eastAsiaTheme="minorEastAsia"/>
          <w:sz w:val="21"/>
          <w:szCs w:val="20"/>
        </w:rPr>
        <w:t>T</w:t>
      </w:r>
      <w:r w:rsidRPr="00A04735">
        <w:rPr>
          <w:rFonts w:eastAsiaTheme="minorEastAsia" w:hint="eastAsia"/>
          <w:sz w:val="21"/>
          <w:szCs w:val="20"/>
        </w:rPr>
        <w:t xml:space="preserve">able 1. </w:t>
      </w:r>
      <w:r w:rsidRPr="00A04735">
        <w:rPr>
          <w:rFonts w:eastAsiaTheme="minorEastAsia"/>
          <w:sz w:val="21"/>
          <w:szCs w:val="20"/>
        </w:rPr>
        <w:t>Literature Comparison Matrix</w:t>
      </w:r>
    </w:p>
    <w:tbl>
      <w:tblPr>
        <w:tblStyle w:val="af2"/>
        <w:tblW w:w="0" w:type="auto"/>
        <w:tblLook w:val="04A0" w:firstRow="1" w:lastRow="0" w:firstColumn="1" w:lastColumn="0" w:noHBand="0" w:noVBand="1"/>
      </w:tblPr>
      <w:tblGrid>
        <w:gridCol w:w="1501"/>
        <w:gridCol w:w="1256"/>
        <w:gridCol w:w="1230"/>
        <w:gridCol w:w="1269"/>
        <w:gridCol w:w="1283"/>
        <w:gridCol w:w="1323"/>
      </w:tblGrid>
      <w:tr w:rsidR="00A04735" w14:paraId="722A1FC9" w14:textId="77777777" w:rsidTr="00733588">
        <w:tc>
          <w:tcPr>
            <w:tcW w:w="1501" w:type="dxa"/>
            <w:vAlign w:val="center"/>
          </w:tcPr>
          <w:p w14:paraId="00D8AE99" w14:textId="3F70244B" w:rsidR="00A04735" w:rsidRPr="00A04735" w:rsidRDefault="00A04735" w:rsidP="00A04735">
            <w:pPr>
              <w:pStyle w:val="af5"/>
              <w:spacing w:before="156" w:after="156"/>
              <w:jc w:val="center"/>
              <w:rPr>
                <w:rFonts w:eastAsiaTheme="minorEastAsia" w:cs="Times New Roman"/>
                <w:b/>
                <w:bCs/>
                <w:sz w:val="21"/>
                <w:szCs w:val="20"/>
              </w:rPr>
            </w:pPr>
            <w:r w:rsidRPr="00A04735">
              <w:rPr>
                <w:rStyle w:val="af4"/>
                <w:rFonts w:eastAsiaTheme="majorEastAsia" w:cs="Times New Roman"/>
                <w:b w:val="0"/>
                <w:bCs w:val="0"/>
                <w:color w:val="1F1F1F"/>
                <w:bdr w:val="none" w:sz="0" w:space="0" w:color="auto" w:frame="1"/>
              </w:rPr>
              <w:t>Reference / Study</w:t>
            </w:r>
          </w:p>
        </w:tc>
        <w:tc>
          <w:tcPr>
            <w:tcW w:w="1256" w:type="dxa"/>
            <w:vAlign w:val="center"/>
          </w:tcPr>
          <w:p w14:paraId="13AEC6F4" w14:textId="4C2D1BB9" w:rsidR="00A04735" w:rsidRPr="00A04735" w:rsidRDefault="00A04735" w:rsidP="00A04735">
            <w:pPr>
              <w:pStyle w:val="af5"/>
              <w:spacing w:before="156" w:after="156"/>
              <w:jc w:val="center"/>
              <w:rPr>
                <w:rFonts w:eastAsiaTheme="minorEastAsia" w:cs="Times New Roman"/>
                <w:b/>
                <w:bCs/>
                <w:sz w:val="21"/>
                <w:szCs w:val="20"/>
              </w:rPr>
            </w:pPr>
            <w:r w:rsidRPr="00A04735">
              <w:rPr>
                <w:rStyle w:val="af4"/>
                <w:rFonts w:eastAsiaTheme="majorEastAsia" w:cs="Times New Roman"/>
                <w:b w:val="0"/>
                <w:bCs w:val="0"/>
                <w:color w:val="1F1F1F"/>
                <w:bdr w:val="none" w:sz="0" w:space="0" w:color="auto" w:frame="1"/>
              </w:rPr>
              <w:t>Individual Household Level</w:t>
            </w:r>
          </w:p>
        </w:tc>
        <w:tc>
          <w:tcPr>
            <w:tcW w:w="1230" w:type="dxa"/>
            <w:vAlign w:val="center"/>
          </w:tcPr>
          <w:p w14:paraId="331327EE" w14:textId="798D772C" w:rsidR="00A04735" w:rsidRPr="00A04735" w:rsidRDefault="00A04735" w:rsidP="00A04735">
            <w:pPr>
              <w:pStyle w:val="af5"/>
              <w:spacing w:before="156" w:after="156"/>
              <w:jc w:val="center"/>
              <w:rPr>
                <w:rFonts w:eastAsiaTheme="minorEastAsia" w:cs="Times New Roman"/>
                <w:b/>
                <w:bCs/>
                <w:sz w:val="21"/>
                <w:szCs w:val="20"/>
              </w:rPr>
            </w:pPr>
            <w:r w:rsidRPr="00A04735">
              <w:rPr>
                <w:rStyle w:val="af4"/>
                <w:rFonts w:eastAsiaTheme="majorEastAsia" w:cs="Times New Roman"/>
                <w:b w:val="0"/>
                <w:bCs w:val="0"/>
                <w:color w:val="1F1F1F"/>
                <w:bdr w:val="none" w:sz="0" w:space="0" w:color="auto" w:frame="1"/>
              </w:rPr>
              <w:t>Cold-Start Mitigation (&lt; 14 days)</w:t>
            </w:r>
          </w:p>
        </w:tc>
        <w:tc>
          <w:tcPr>
            <w:tcW w:w="1269" w:type="dxa"/>
            <w:vAlign w:val="center"/>
          </w:tcPr>
          <w:p w14:paraId="00EF97AA" w14:textId="4321D390" w:rsidR="00A04735" w:rsidRPr="00A04735" w:rsidRDefault="00A04735" w:rsidP="00A04735">
            <w:pPr>
              <w:pStyle w:val="af5"/>
              <w:spacing w:before="156" w:after="156"/>
              <w:jc w:val="center"/>
              <w:rPr>
                <w:rFonts w:eastAsiaTheme="minorEastAsia" w:cs="Times New Roman"/>
                <w:b/>
                <w:bCs/>
                <w:sz w:val="21"/>
                <w:szCs w:val="20"/>
              </w:rPr>
            </w:pPr>
            <w:r w:rsidRPr="00A04735">
              <w:rPr>
                <w:rStyle w:val="af4"/>
                <w:rFonts w:eastAsiaTheme="majorEastAsia" w:cs="Times New Roman"/>
                <w:b w:val="0"/>
                <w:bCs w:val="0"/>
                <w:color w:val="1F1F1F"/>
                <w:bdr w:val="none" w:sz="0" w:space="0" w:color="auto" w:frame="1"/>
              </w:rPr>
              <w:t>Transfer Learning Integration</w:t>
            </w:r>
          </w:p>
        </w:tc>
        <w:tc>
          <w:tcPr>
            <w:tcW w:w="1283" w:type="dxa"/>
            <w:vAlign w:val="center"/>
          </w:tcPr>
          <w:p w14:paraId="029A0773" w14:textId="03BE0977" w:rsidR="00A04735" w:rsidRPr="00A04735" w:rsidRDefault="00A04735" w:rsidP="00A04735">
            <w:pPr>
              <w:pStyle w:val="af5"/>
              <w:spacing w:before="156" w:after="156"/>
              <w:jc w:val="center"/>
              <w:rPr>
                <w:rFonts w:eastAsiaTheme="minorEastAsia" w:cs="Times New Roman"/>
                <w:b/>
                <w:bCs/>
                <w:sz w:val="21"/>
                <w:szCs w:val="20"/>
              </w:rPr>
            </w:pPr>
            <w:r w:rsidRPr="00A04735">
              <w:rPr>
                <w:rStyle w:val="af4"/>
                <w:rFonts w:eastAsiaTheme="majorEastAsia" w:cs="Times New Roman"/>
                <w:b w:val="0"/>
                <w:bCs w:val="0"/>
                <w:color w:val="1F1F1F"/>
                <w:bdr w:val="none" w:sz="0" w:space="0" w:color="auto" w:frame="1"/>
              </w:rPr>
              <w:t>Automated Negative Transfer Avoidance</w:t>
            </w:r>
          </w:p>
        </w:tc>
        <w:tc>
          <w:tcPr>
            <w:tcW w:w="1323" w:type="dxa"/>
            <w:vAlign w:val="center"/>
          </w:tcPr>
          <w:p w14:paraId="6A1C88D3" w14:textId="2C7DDF04" w:rsidR="00A04735" w:rsidRPr="00A04735" w:rsidRDefault="00A04735" w:rsidP="00A04735">
            <w:pPr>
              <w:pStyle w:val="af5"/>
              <w:spacing w:before="156" w:after="156"/>
              <w:jc w:val="center"/>
              <w:rPr>
                <w:rFonts w:eastAsiaTheme="minorEastAsia" w:cs="Times New Roman"/>
                <w:b/>
                <w:bCs/>
                <w:sz w:val="21"/>
                <w:szCs w:val="20"/>
              </w:rPr>
            </w:pPr>
            <w:r w:rsidRPr="00A04735">
              <w:rPr>
                <w:rStyle w:val="af4"/>
                <w:rFonts w:eastAsiaTheme="majorEastAsia" w:cs="Times New Roman"/>
                <w:b w:val="0"/>
                <w:bCs w:val="0"/>
                <w:color w:val="1F1F1F"/>
                <w:bdr w:val="none" w:sz="0" w:space="0" w:color="auto" w:frame="1"/>
              </w:rPr>
              <w:t>Attention vs. Recurrence Benchmark</w:t>
            </w:r>
          </w:p>
        </w:tc>
      </w:tr>
      <w:tr w:rsidR="00A04735" w14:paraId="44708963" w14:textId="77777777" w:rsidTr="00733588">
        <w:tc>
          <w:tcPr>
            <w:tcW w:w="1501" w:type="dxa"/>
            <w:vAlign w:val="center"/>
          </w:tcPr>
          <w:p w14:paraId="55125C3A" w14:textId="3DE228E0" w:rsidR="00A04735" w:rsidRPr="00733588" w:rsidRDefault="00A04735" w:rsidP="00A04735">
            <w:pPr>
              <w:pStyle w:val="af5"/>
              <w:spacing w:before="156" w:after="156"/>
              <w:jc w:val="center"/>
              <w:rPr>
                <w:rFonts w:eastAsiaTheme="minorEastAsia" w:cs="Times New Roman"/>
                <w:sz w:val="21"/>
                <w:szCs w:val="20"/>
              </w:rPr>
            </w:pPr>
            <w:r w:rsidRPr="00A04735">
              <w:rPr>
                <w:rFonts w:cs="Times New Roman"/>
                <w:color w:val="1F1F1F"/>
                <w:bdr w:val="none" w:sz="0" w:space="0" w:color="auto" w:frame="1"/>
              </w:rPr>
              <w:t xml:space="preserve">ARIMA &amp; Smoothing </w:t>
            </w:r>
            <w:r w:rsidR="00733588">
              <w:rPr>
                <w:rFonts w:cs="Times New Roman"/>
                <w:color w:val="1F1F1F"/>
                <w:bdr w:val="none" w:sz="0" w:space="0" w:color="auto" w:frame="1"/>
              </w:rPr>
              <w:fldChar w:fldCharType="begin"/>
            </w:r>
            <w:r w:rsidR="00733588">
              <w:rPr>
                <w:rFonts w:cs="Times New Roman"/>
                <w:color w:val="1F1F1F"/>
                <w:bdr w:val="none" w:sz="0" w:space="0" w:color="auto" w:frame="1"/>
              </w:rPr>
              <w:instrText xml:space="preserve"> ADDIN ZOTERO_ITEM CSL_CITATION {"citationID":"ARJtsevF","properties":{"formattedCitation":"[6], [7]","plainCitation":"[6], [7]","noteIndex":0},"citationItems":[{"id":651,"uris":["http://zotero.org/users/local/p3tV44H5/items/L57MP6R5"],"itemData":{"id":651,"type":"article-journal","abstract":"This paper considers univariate online electricity demand forecasting for lead times from a half-hour-ahead to a day-ahead. A time series of demand recorded at half-hourly intervals contains more than one seasonal pattern. A within-day seasonal cycle is apparent from the similarity of the demand profile from one day to the next, and a within-week seasonal cycle is evident when one compares the demand on the corresponding day of adjacent weeks. There is strong appeal in using a forecasting method that is able to capture both seasonalities. The multiplicative seasonal ARIMA model has been adapted for this purpose. In this paper, we adapt the Holt-Winters exponential smoothing formulation so that it can accommodate two seasonalities. We correct for residual autocorrelation using a simple autoregressive model. The forecasts produced by the new double seasonal Holt-Winters method outperform those from traditional Holt-Winters and from a well-specified multiplicative double seasonal ARIMA model.","container-title":"Journal of the Operational Research Society","DOI":"10.1057/palgrave.jors.2601589","ISSN":"0160-5682, 1476-9360","issue":"8","journalAbbreviation":"Journal of the Operational Research Society","language":"en","license":"http://www.springer.com/tdm","page":"799-805","source":"DOI.org (Crossref)","title":"Short-term electricity demand forecasting using double seasonal exponential smoothing","volume":"54","author":[{"family":"Taylor","given":"J W"}],"issued":{"date-parts":[["2003",8]]}}},{"id":638,"uris":["http://zotero.org/users/local/p3tV44H5/items/B2DIZMPA"],"itemData":{"id":638,"type":"book","abstract":"Introduction -- Basic descriptive techniques -- Some linear time series models -- Fitting time series models in the time domain -- Forecasting -- Stationary processes in the frequency domain -- Spectral analysis -- Bivariate processes -- Linear systems -- State-space models and the Kalman filter -- Non-linear models -- Volatility models -- Multivariate time series modelling -- Some more advanced topics -- Appendices","collection-title":"Chapman &amp; Hall/CRC texts in statistical science series","edition":"Seventh edition","ISBN":"978-1-4987-9563-0","language":"eng","number-of-pages":"1","publisher":"CRC Press","publisher-place":"Boca Raton, Florida","source":"K10plus ISBN","title":"The analysis of time series: an introduction","title-short":"The analysis of time series","author":[{"family":"Chatfield","given":"Christopher"},{"family":"Xing","given":"Haipeng"}],"issued":{"date-parts":[["2019"]]}}}],"schema":"https://github.com/citation-style-language/schema/raw/master/csl-citation.json"} </w:instrText>
            </w:r>
            <w:r w:rsidR="00733588">
              <w:rPr>
                <w:rFonts w:cs="Times New Roman"/>
                <w:color w:val="1F1F1F"/>
                <w:bdr w:val="none" w:sz="0" w:space="0" w:color="auto" w:frame="1"/>
              </w:rPr>
              <w:fldChar w:fldCharType="separate"/>
            </w:r>
            <w:r w:rsidR="00733588" w:rsidRPr="00733588">
              <w:rPr>
                <w:rFonts w:cs="Times New Roman"/>
              </w:rPr>
              <w:t>[6], [7]</w:t>
            </w:r>
            <w:r w:rsidR="00733588">
              <w:rPr>
                <w:rFonts w:cs="Times New Roman"/>
                <w:color w:val="1F1F1F"/>
                <w:bdr w:val="none" w:sz="0" w:space="0" w:color="auto" w:frame="1"/>
              </w:rPr>
              <w:fldChar w:fldCharType="end"/>
            </w:r>
          </w:p>
        </w:tc>
        <w:tc>
          <w:tcPr>
            <w:tcW w:w="1256" w:type="dxa"/>
            <w:vAlign w:val="center"/>
          </w:tcPr>
          <w:p w14:paraId="3C6900CD" w14:textId="2A0E3DBB"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30" w:type="dxa"/>
            <w:vAlign w:val="center"/>
          </w:tcPr>
          <w:p w14:paraId="2350893F" w14:textId="7F6306F9"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69" w:type="dxa"/>
            <w:vAlign w:val="center"/>
          </w:tcPr>
          <w:p w14:paraId="63AE0862" w14:textId="150F68B5"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83" w:type="dxa"/>
            <w:vAlign w:val="center"/>
          </w:tcPr>
          <w:p w14:paraId="268470EB" w14:textId="0B30B11D"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323" w:type="dxa"/>
            <w:vAlign w:val="center"/>
          </w:tcPr>
          <w:p w14:paraId="41ECAEA1" w14:textId="66075257"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r>
      <w:tr w:rsidR="00A04735" w14:paraId="7A769275" w14:textId="77777777" w:rsidTr="00733588">
        <w:tc>
          <w:tcPr>
            <w:tcW w:w="1501" w:type="dxa"/>
            <w:vAlign w:val="center"/>
          </w:tcPr>
          <w:p w14:paraId="2C537F5F" w14:textId="3F1B657F" w:rsidR="00A04735" w:rsidRPr="00733588" w:rsidRDefault="00A04735" w:rsidP="00A04735">
            <w:pPr>
              <w:pStyle w:val="af5"/>
              <w:spacing w:before="156" w:after="156"/>
              <w:jc w:val="center"/>
              <w:rPr>
                <w:rFonts w:eastAsiaTheme="minorEastAsia" w:cs="Times New Roman"/>
                <w:sz w:val="21"/>
                <w:szCs w:val="20"/>
              </w:rPr>
            </w:pPr>
            <w:r w:rsidRPr="00A04735">
              <w:rPr>
                <w:rFonts w:cs="Times New Roman"/>
                <w:color w:val="1F1F1F"/>
                <w:bdr w:val="none" w:sz="0" w:space="0" w:color="auto" w:frame="1"/>
              </w:rPr>
              <w:t xml:space="preserve">Standard LSTM (Kong et al.) </w:t>
            </w:r>
            <w:r w:rsidR="00733588">
              <w:rPr>
                <w:rFonts w:cs="Times New Roman"/>
                <w:color w:val="1F1F1F"/>
                <w:bdr w:val="none" w:sz="0" w:space="0" w:color="auto" w:frame="1"/>
              </w:rPr>
              <w:fldChar w:fldCharType="begin"/>
            </w:r>
            <w:r w:rsidR="00733588">
              <w:rPr>
                <w:rFonts w:cs="Times New Roman"/>
                <w:color w:val="1F1F1F"/>
                <w:bdr w:val="none" w:sz="0" w:space="0" w:color="auto" w:frame="1"/>
              </w:rPr>
              <w:instrText xml:space="preserve"> ADDIN ZOTERO_ITEM CSL_CITATION {"citationID":"BtkzOQrW","properties":{"formattedCitation":"[9]","plainCitation":"[9]","noteIndex":0},"citationItems":[{"id":557,"uris":["http://zotero.org/users/local/p3tV44H5/items/N4D6A4RG"],"itemData":{"id":557,"type":"article-journal","abstract":"As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733588">
              <w:rPr>
                <w:rFonts w:cs="Times New Roman"/>
                <w:color w:val="1F1F1F"/>
                <w:bdr w:val="none" w:sz="0" w:space="0" w:color="auto" w:frame="1"/>
              </w:rPr>
              <w:fldChar w:fldCharType="separate"/>
            </w:r>
            <w:r w:rsidR="00733588" w:rsidRPr="00733588">
              <w:rPr>
                <w:rFonts w:cs="Times New Roman"/>
              </w:rPr>
              <w:t>[9]</w:t>
            </w:r>
            <w:r w:rsidR="00733588">
              <w:rPr>
                <w:rFonts w:cs="Times New Roman"/>
                <w:color w:val="1F1F1F"/>
                <w:bdr w:val="none" w:sz="0" w:space="0" w:color="auto" w:frame="1"/>
              </w:rPr>
              <w:fldChar w:fldCharType="end"/>
            </w:r>
          </w:p>
        </w:tc>
        <w:tc>
          <w:tcPr>
            <w:tcW w:w="1256" w:type="dxa"/>
            <w:vAlign w:val="center"/>
          </w:tcPr>
          <w:p w14:paraId="1A4A2247" w14:textId="0012D6F7"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30" w:type="dxa"/>
            <w:vAlign w:val="center"/>
          </w:tcPr>
          <w:p w14:paraId="2911AB34" w14:textId="6DCD6E9C"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69" w:type="dxa"/>
            <w:vAlign w:val="center"/>
          </w:tcPr>
          <w:p w14:paraId="25E1A037" w14:textId="7D194F4E"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83" w:type="dxa"/>
            <w:vAlign w:val="center"/>
          </w:tcPr>
          <w:p w14:paraId="5BCC2BE8" w14:textId="4F045BE5"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323" w:type="dxa"/>
            <w:vAlign w:val="center"/>
          </w:tcPr>
          <w:p w14:paraId="42BD3986" w14:textId="75464411"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r>
      <w:tr w:rsidR="00A04735" w14:paraId="3D318656" w14:textId="77777777" w:rsidTr="00733588">
        <w:tc>
          <w:tcPr>
            <w:tcW w:w="1501" w:type="dxa"/>
            <w:vAlign w:val="center"/>
          </w:tcPr>
          <w:p w14:paraId="31DD9B8D" w14:textId="5F8EBC1A" w:rsidR="00A04735" w:rsidRPr="00733588" w:rsidRDefault="00A04735" w:rsidP="00A04735">
            <w:pPr>
              <w:pStyle w:val="af5"/>
              <w:spacing w:before="156" w:after="156"/>
              <w:jc w:val="center"/>
              <w:rPr>
                <w:rFonts w:eastAsiaTheme="minorEastAsia" w:cs="Times New Roman"/>
                <w:sz w:val="21"/>
                <w:szCs w:val="20"/>
              </w:rPr>
            </w:pPr>
            <w:r w:rsidRPr="00A04735">
              <w:rPr>
                <w:rFonts w:cs="Times New Roman"/>
                <w:color w:val="1F1F1F"/>
                <w:bdr w:val="none" w:sz="0" w:space="0" w:color="auto" w:frame="1"/>
              </w:rPr>
              <w:t xml:space="preserve">Pooling RNN (Shi et al.) </w:t>
            </w:r>
            <w:r w:rsidR="00733588">
              <w:rPr>
                <w:rFonts w:cs="Times New Roman"/>
                <w:color w:val="1F1F1F"/>
                <w:bdr w:val="none" w:sz="0" w:space="0" w:color="auto" w:frame="1"/>
              </w:rPr>
              <w:fldChar w:fldCharType="begin"/>
            </w:r>
            <w:r w:rsidR="00733588">
              <w:rPr>
                <w:rFonts w:cs="Times New Roman"/>
                <w:color w:val="1F1F1F"/>
                <w:bdr w:val="none" w:sz="0" w:space="0" w:color="auto" w:frame="1"/>
              </w:rPr>
              <w:instrText xml:space="preserve"> ADDIN ZOTERO_ITEM CSL_CITATION {"citationID":"uW0Oszxj","properties":{"formattedCitation":"[22]","plainCitation":"[22]","noteIndex":0},"citationItems":[{"id":582,"uris":["http://zotero.org/users/local/p3tV44H5/items/ZEP5S279"],"itemData":{"id":582,"type":"article-journal","abstract":"The key challenge for household load forecasting lies in the high volatility and uncertainty of load profiles. Traditional methods tend to avoid such uncertainty by load aggregation (to offset uncertainties), customer classification (to cluster uncertainties) and spectral analysis (to filter out uncertainties). This paper, for the first time, aims to directly learn the uncertainty by applying a new breed of machine learning algorithms – deep learning.","container-title":"IEEE Transactions on Smart Grid","DOI":"10.1109/TSG.2017.2686012","ISSN":"1949-3053, 1949-3061","issue":"5","journalAbbreviation":"IEEE Trans. Smart Grid","language":"en","license":"https://ieeexplore.ieee.org/Xplorehelp/downloads/license-information/IEEE.html","page":"5271-5280","source":"DOI.org (Crossref)","title":"Deep Learning for Household Load Forecasting—A Novel Pooling Deep RNN","volume":"9","author":[{"family":"Shi","given":"Heng"},{"family":"Xu","given":"Minghao"},{"family":"Li","given":"Ran"}],"issued":{"date-parts":[["2018",9]]}}}],"schema":"https://github.com/citation-style-language/schema/raw/master/csl-citation.json"} </w:instrText>
            </w:r>
            <w:r w:rsidR="00733588">
              <w:rPr>
                <w:rFonts w:cs="Times New Roman"/>
                <w:color w:val="1F1F1F"/>
                <w:bdr w:val="none" w:sz="0" w:space="0" w:color="auto" w:frame="1"/>
              </w:rPr>
              <w:fldChar w:fldCharType="separate"/>
            </w:r>
            <w:r w:rsidR="00733588" w:rsidRPr="00733588">
              <w:rPr>
                <w:rFonts w:cs="Times New Roman"/>
              </w:rPr>
              <w:t>[22]</w:t>
            </w:r>
            <w:r w:rsidR="00733588">
              <w:rPr>
                <w:rFonts w:cs="Times New Roman"/>
                <w:color w:val="1F1F1F"/>
                <w:bdr w:val="none" w:sz="0" w:space="0" w:color="auto" w:frame="1"/>
              </w:rPr>
              <w:fldChar w:fldCharType="end"/>
            </w:r>
          </w:p>
        </w:tc>
        <w:tc>
          <w:tcPr>
            <w:tcW w:w="1256" w:type="dxa"/>
            <w:vAlign w:val="center"/>
          </w:tcPr>
          <w:p w14:paraId="1DA52C3E" w14:textId="6FA37280"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30" w:type="dxa"/>
            <w:vAlign w:val="center"/>
          </w:tcPr>
          <w:p w14:paraId="649F0CF4" w14:textId="6C6C98ED"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69" w:type="dxa"/>
            <w:vAlign w:val="center"/>
          </w:tcPr>
          <w:p w14:paraId="44C0E2F4" w14:textId="1D33A2D4"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83" w:type="dxa"/>
            <w:vAlign w:val="center"/>
          </w:tcPr>
          <w:p w14:paraId="36CF7D36" w14:textId="60FA53B0"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323" w:type="dxa"/>
            <w:vAlign w:val="center"/>
          </w:tcPr>
          <w:p w14:paraId="510360E6" w14:textId="7E697B5F"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r>
      <w:tr w:rsidR="00A04735" w14:paraId="49985A5B" w14:textId="77777777" w:rsidTr="00733588">
        <w:tc>
          <w:tcPr>
            <w:tcW w:w="1501" w:type="dxa"/>
            <w:vAlign w:val="center"/>
          </w:tcPr>
          <w:p w14:paraId="2FFB5953" w14:textId="72C240D5" w:rsidR="00A04735" w:rsidRPr="00733588" w:rsidRDefault="00A04735" w:rsidP="00A04735">
            <w:pPr>
              <w:pStyle w:val="af5"/>
              <w:spacing w:before="156" w:after="156"/>
              <w:jc w:val="center"/>
              <w:rPr>
                <w:rFonts w:eastAsiaTheme="minorEastAsia" w:cs="Times New Roman"/>
                <w:sz w:val="21"/>
                <w:szCs w:val="20"/>
              </w:rPr>
            </w:pPr>
            <w:r w:rsidRPr="00A04735">
              <w:rPr>
                <w:rFonts w:cs="Times New Roman"/>
                <w:color w:val="1F1F1F"/>
                <w:bdr w:val="none" w:sz="0" w:space="0" w:color="auto" w:frame="1"/>
              </w:rPr>
              <w:t>Deep Learning &amp; Transformers (</w:t>
            </w:r>
            <w:proofErr w:type="spellStart"/>
            <w:r w:rsidRPr="00A04735">
              <w:rPr>
                <w:rFonts w:cs="Times New Roman"/>
                <w:color w:val="1F1F1F"/>
                <w:bdr w:val="none" w:sz="0" w:space="0" w:color="auto" w:frame="1"/>
              </w:rPr>
              <w:t>Massaoudi</w:t>
            </w:r>
            <w:proofErr w:type="spellEnd"/>
            <w:r w:rsidRPr="00A04735">
              <w:rPr>
                <w:rFonts w:cs="Times New Roman"/>
                <w:color w:val="1F1F1F"/>
                <w:bdr w:val="none" w:sz="0" w:space="0" w:color="auto" w:frame="1"/>
              </w:rPr>
              <w:t xml:space="preserve"> et al.) </w:t>
            </w:r>
            <w:r w:rsidR="00733588">
              <w:rPr>
                <w:rFonts w:cs="Times New Roman"/>
                <w:color w:val="1F1F1F"/>
                <w:bdr w:val="none" w:sz="0" w:space="0" w:color="auto" w:frame="1"/>
              </w:rPr>
              <w:fldChar w:fldCharType="begin"/>
            </w:r>
            <w:r w:rsidR="00733588">
              <w:rPr>
                <w:rFonts w:cs="Times New Roman"/>
                <w:color w:val="1F1F1F"/>
                <w:bdr w:val="none" w:sz="0" w:space="0" w:color="auto" w:frame="1"/>
              </w:rPr>
              <w:instrText xml:space="preserve"> ADDIN ZOTERO_ITEM CSL_CITATION {"citationID":"530ePJDx","properties":{"formattedCitation":"[4]","plainCitation":"[4]","noteIndex":0},"citationItems":[{"id":567,"uris":["http://zotero.org/users/local/p3tV44H5/items/J38MU6UU"],"itemData":{"id":567,"type":"article-journal","abstract":"The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733588">
              <w:rPr>
                <w:rFonts w:cs="Times New Roman"/>
                <w:color w:val="1F1F1F"/>
                <w:bdr w:val="none" w:sz="0" w:space="0" w:color="auto" w:frame="1"/>
              </w:rPr>
              <w:fldChar w:fldCharType="separate"/>
            </w:r>
            <w:r w:rsidR="00733588" w:rsidRPr="00733588">
              <w:rPr>
                <w:rFonts w:cs="Times New Roman"/>
              </w:rPr>
              <w:t>[4]</w:t>
            </w:r>
            <w:r w:rsidR="00733588">
              <w:rPr>
                <w:rFonts w:cs="Times New Roman"/>
                <w:color w:val="1F1F1F"/>
                <w:bdr w:val="none" w:sz="0" w:space="0" w:color="auto" w:frame="1"/>
              </w:rPr>
              <w:fldChar w:fldCharType="end"/>
            </w:r>
          </w:p>
        </w:tc>
        <w:tc>
          <w:tcPr>
            <w:tcW w:w="1256" w:type="dxa"/>
            <w:vAlign w:val="center"/>
          </w:tcPr>
          <w:p w14:paraId="589E94F3" w14:textId="66224B61"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30" w:type="dxa"/>
            <w:vAlign w:val="center"/>
          </w:tcPr>
          <w:p w14:paraId="56C51946" w14:textId="4CB2AF57"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69" w:type="dxa"/>
            <w:vAlign w:val="center"/>
          </w:tcPr>
          <w:p w14:paraId="62677AF4" w14:textId="7DFD740B"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83" w:type="dxa"/>
            <w:vAlign w:val="center"/>
          </w:tcPr>
          <w:p w14:paraId="36E4CB64" w14:textId="7F59C939"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323" w:type="dxa"/>
            <w:vAlign w:val="center"/>
          </w:tcPr>
          <w:p w14:paraId="025B92A0" w14:textId="32897A08"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r>
      <w:tr w:rsidR="00A04735" w14:paraId="604DD7A8" w14:textId="77777777" w:rsidTr="00733588">
        <w:tc>
          <w:tcPr>
            <w:tcW w:w="1501" w:type="dxa"/>
            <w:vAlign w:val="center"/>
          </w:tcPr>
          <w:p w14:paraId="74CF2D8C" w14:textId="7890EA3E" w:rsidR="00A04735" w:rsidRPr="00733588" w:rsidRDefault="00A04735" w:rsidP="00A04735">
            <w:pPr>
              <w:pStyle w:val="af5"/>
              <w:spacing w:before="156" w:after="156"/>
              <w:jc w:val="center"/>
              <w:rPr>
                <w:rFonts w:eastAsiaTheme="minorEastAsia" w:cs="Times New Roman"/>
                <w:sz w:val="21"/>
                <w:szCs w:val="20"/>
              </w:rPr>
            </w:pPr>
            <w:r w:rsidRPr="00A04735">
              <w:rPr>
                <w:rFonts w:cs="Times New Roman"/>
                <w:color w:val="1F1F1F"/>
                <w:bdr w:val="none" w:sz="0" w:space="0" w:color="auto" w:frame="1"/>
              </w:rPr>
              <w:t xml:space="preserve">DNN Transfer Learning (Lee &amp; Rhee) </w:t>
            </w:r>
            <w:r w:rsidR="00733588">
              <w:rPr>
                <w:rFonts w:cs="Times New Roman"/>
                <w:color w:val="1F1F1F"/>
                <w:bdr w:val="none" w:sz="0" w:space="0" w:color="auto" w:frame="1"/>
              </w:rPr>
              <w:fldChar w:fldCharType="begin"/>
            </w:r>
            <w:r w:rsidR="00733588">
              <w:rPr>
                <w:rFonts w:cs="Times New Roman"/>
                <w:color w:val="1F1F1F"/>
                <w:bdr w:val="none" w:sz="0" w:space="0" w:color="auto" w:frame="1"/>
              </w:rPr>
              <w:instrText xml:space="preserve"> ADDIN ZOTERO_ITEM CSL_CITATION {"citationID":"GW3JczBH","properties":{"formattedCitation":"[11]","plainCitation":"[11]","noteIndex":0},"citationItems":[{"id":595,"uris":["http://zotero.org/users/local/p3tV44H5/items/RYGGA6L8"],"itemData":{"id":595,"type":"article-journal","abstract":"While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733588">
              <w:rPr>
                <w:rFonts w:cs="Times New Roman"/>
                <w:color w:val="1F1F1F"/>
                <w:bdr w:val="none" w:sz="0" w:space="0" w:color="auto" w:frame="1"/>
              </w:rPr>
              <w:fldChar w:fldCharType="separate"/>
            </w:r>
            <w:r w:rsidR="00733588" w:rsidRPr="00733588">
              <w:rPr>
                <w:rFonts w:cs="Times New Roman"/>
              </w:rPr>
              <w:t>[11]</w:t>
            </w:r>
            <w:r w:rsidR="00733588">
              <w:rPr>
                <w:rFonts w:cs="Times New Roman"/>
                <w:color w:val="1F1F1F"/>
                <w:bdr w:val="none" w:sz="0" w:space="0" w:color="auto" w:frame="1"/>
              </w:rPr>
              <w:fldChar w:fldCharType="end"/>
            </w:r>
          </w:p>
        </w:tc>
        <w:tc>
          <w:tcPr>
            <w:tcW w:w="1256" w:type="dxa"/>
            <w:vAlign w:val="center"/>
          </w:tcPr>
          <w:p w14:paraId="4B13418E" w14:textId="369EA79D"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30" w:type="dxa"/>
            <w:vAlign w:val="center"/>
          </w:tcPr>
          <w:p w14:paraId="3CC6BB6E" w14:textId="7F9101D5"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69" w:type="dxa"/>
            <w:vAlign w:val="center"/>
          </w:tcPr>
          <w:p w14:paraId="2F113272" w14:textId="79003360"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283" w:type="dxa"/>
            <w:vAlign w:val="center"/>
          </w:tcPr>
          <w:p w14:paraId="41C8FDD4" w14:textId="17BFD267"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c>
          <w:tcPr>
            <w:tcW w:w="1323" w:type="dxa"/>
            <w:vAlign w:val="center"/>
          </w:tcPr>
          <w:p w14:paraId="56BE939E" w14:textId="34F77BE1" w:rsidR="00A04735" w:rsidRPr="00A04735" w:rsidRDefault="00A04735" w:rsidP="00A04735">
            <w:pPr>
              <w:pStyle w:val="af5"/>
              <w:spacing w:before="156" w:after="156"/>
              <w:jc w:val="center"/>
              <w:rPr>
                <w:rFonts w:eastAsiaTheme="minorEastAsia" w:cs="Times New Roman"/>
                <w:sz w:val="21"/>
                <w:szCs w:val="20"/>
              </w:rPr>
            </w:pPr>
            <w:r w:rsidRPr="00A04735">
              <w:rPr>
                <w:rFonts w:ascii="Segoe UI Symbol" w:hAnsi="Segoe UI Symbol" w:cs="Segoe UI Symbol"/>
                <w:color w:val="1F1F1F"/>
                <w:bdr w:val="none" w:sz="0" w:space="0" w:color="auto" w:frame="1"/>
              </w:rPr>
              <w:t>✘</w:t>
            </w:r>
          </w:p>
        </w:tc>
      </w:tr>
      <w:tr w:rsidR="00733588" w14:paraId="1E9776FE" w14:textId="77777777" w:rsidTr="00733588">
        <w:tc>
          <w:tcPr>
            <w:tcW w:w="1501" w:type="dxa"/>
            <w:vAlign w:val="center"/>
          </w:tcPr>
          <w:p w14:paraId="109C5609" w14:textId="68DED14E" w:rsidR="00733588" w:rsidRPr="00A04735" w:rsidRDefault="00733588" w:rsidP="00A04735">
            <w:pPr>
              <w:pStyle w:val="af5"/>
              <w:spacing w:before="156" w:after="156"/>
              <w:jc w:val="center"/>
              <w:rPr>
                <w:rFonts w:cs="Times New Roman"/>
                <w:color w:val="1F1F1F"/>
                <w:bdr w:val="none" w:sz="0" w:space="0" w:color="auto" w:frame="1"/>
              </w:rPr>
            </w:pPr>
            <w:r w:rsidRPr="00733588">
              <w:rPr>
                <w:rFonts w:cs="Times New Roman"/>
                <w:color w:val="1F1F1F"/>
                <w:bdr w:val="none" w:sz="0" w:space="0" w:color="auto" w:frame="1"/>
              </w:rPr>
              <w:t>Proposed Framework (This Study)</w:t>
            </w:r>
          </w:p>
        </w:tc>
        <w:tc>
          <w:tcPr>
            <w:tcW w:w="1256" w:type="dxa"/>
            <w:vAlign w:val="center"/>
          </w:tcPr>
          <w:p w14:paraId="589D583B" w14:textId="712BE799" w:rsidR="00733588" w:rsidRPr="00A04735" w:rsidRDefault="00733588" w:rsidP="00A04735">
            <w:pPr>
              <w:pStyle w:val="af5"/>
              <w:spacing w:before="156" w:after="156"/>
              <w:jc w:val="center"/>
              <w:rPr>
                <w:rFonts w:ascii="Segoe UI Symbol" w:hAnsi="Segoe UI Symbol" w:cs="Segoe UI Symbol"/>
                <w:color w:val="1F1F1F"/>
                <w:bdr w:val="none" w:sz="0" w:space="0" w:color="auto" w:frame="1"/>
              </w:rPr>
            </w:pPr>
            <w:r w:rsidRPr="00733588">
              <w:rPr>
                <w:rFonts w:ascii="Segoe UI Symbol" w:hAnsi="Segoe UI Symbol" w:cs="Segoe UI Symbol"/>
                <w:color w:val="1F1F1F"/>
                <w:bdr w:val="none" w:sz="0" w:space="0" w:color="auto" w:frame="1"/>
              </w:rPr>
              <w:t>✔</w:t>
            </w:r>
          </w:p>
        </w:tc>
        <w:tc>
          <w:tcPr>
            <w:tcW w:w="1230" w:type="dxa"/>
            <w:vAlign w:val="center"/>
          </w:tcPr>
          <w:p w14:paraId="274EBBC8" w14:textId="4929E4BB" w:rsidR="00733588" w:rsidRPr="00A04735" w:rsidRDefault="00733588" w:rsidP="00A04735">
            <w:pPr>
              <w:pStyle w:val="af5"/>
              <w:spacing w:before="156" w:after="156"/>
              <w:jc w:val="center"/>
              <w:rPr>
                <w:rFonts w:ascii="Segoe UI Symbol" w:hAnsi="Segoe UI Symbol" w:cs="Segoe UI Symbol"/>
                <w:color w:val="1F1F1F"/>
                <w:bdr w:val="none" w:sz="0" w:space="0" w:color="auto" w:frame="1"/>
              </w:rPr>
            </w:pPr>
            <w:r w:rsidRPr="00733588">
              <w:rPr>
                <w:rFonts w:ascii="Segoe UI Symbol" w:hAnsi="Segoe UI Symbol" w:cs="Segoe UI Symbol"/>
                <w:color w:val="1F1F1F"/>
                <w:bdr w:val="none" w:sz="0" w:space="0" w:color="auto" w:frame="1"/>
              </w:rPr>
              <w:t>✔</w:t>
            </w:r>
          </w:p>
        </w:tc>
        <w:tc>
          <w:tcPr>
            <w:tcW w:w="1269" w:type="dxa"/>
            <w:vAlign w:val="center"/>
          </w:tcPr>
          <w:p w14:paraId="1286B429" w14:textId="34E09CB3" w:rsidR="00733588" w:rsidRPr="00A04735" w:rsidRDefault="00733588" w:rsidP="00A04735">
            <w:pPr>
              <w:pStyle w:val="af5"/>
              <w:spacing w:before="156" w:after="156"/>
              <w:jc w:val="center"/>
              <w:rPr>
                <w:rFonts w:ascii="Segoe UI Symbol" w:hAnsi="Segoe UI Symbol" w:cs="Segoe UI Symbol"/>
                <w:color w:val="1F1F1F"/>
                <w:bdr w:val="none" w:sz="0" w:space="0" w:color="auto" w:frame="1"/>
              </w:rPr>
            </w:pPr>
            <w:r w:rsidRPr="00733588">
              <w:rPr>
                <w:rFonts w:ascii="Segoe UI Symbol" w:hAnsi="Segoe UI Symbol" w:cs="Segoe UI Symbol"/>
                <w:color w:val="1F1F1F"/>
                <w:bdr w:val="none" w:sz="0" w:space="0" w:color="auto" w:frame="1"/>
              </w:rPr>
              <w:t>✔</w:t>
            </w:r>
          </w:p>
        </w:tc>
        <w:tc>
          <w:tcPr>
            <w:tcW w:w="1283" w:type="dxa"/>
            <w:vAlign w:val="center"/>
          </w:tcPr>
          <w:p w14:paraId="54BA4DD4" w14:textId="30D00B42" w:rsidR="00733588" w:rsidRPr="00A04735" w:rsidRDefault="00733588" w:rsidP="00A04735">
            <w:pPr>
              <w:pStyle w:val="af5"/>
              <w:spacing w:before="156" w:after="156"/>
              <w:jc w:val="center"/>
              <w:rPr>
                <w:rFonts w:ascii="Segoe UI Symbol" w:hAnsi="Segoe UI Symbol" w:cs="Segoe UI Symbol"/>
                <w:color w:val="1F1F1F"/>
                <w:bdr w:val="none" w:sz="0" w:space="0" w:color="auto" w:frame="1"/>
              </w:rPr>
            </w:pPr>
            <w:r w:rsidRPr="00733588">
              <w:rPr>
                <w:rFonts w:ascii="Segoe UI Symbol" w:hAnsi="Segoe UI Symbol" w:cs="Segoe UI Symbol"/>
                <w:color w:val="1F1F1F"/>
                <w:bdr w:val="none" w:sz="0" w:space="0" w:color="auto" w:frame="1"/>
              </w:rPr>
              <w:t>✔</w:t>
            </w:r>
          </w:p>
        </w:tc>
        <w:tc>
          <w:tcPr>
            <w:tcW w:w="1323" w:type="dxa"/>
            <w:vAlign w:val="center"/>
          </w:tcPr>
          <w:p w14:paraId="0A489C0E" w14:textId="452794E6" w:rsidR="00733588" w:rsidRPr="00A04735" w:rsidRDefault="00733588" w:rsidP="00A04735">
            <w:pPr>
              <w:pStyle w:val="af5"/>
              <w:spacing w:before="156" w:after="156"/>
              <w:jc w:val="center"/>
              <w:rPr>
                <w:rFonts w:ascii="Segoe UI Symbol" w:hAnsi="Segoe UI Symbol" w:cs="Segoe UI Symbol"/>
                <w:color w:val="1F1F1F"/>
                <w:bdr w:val="none" w:sz="0" w:space="0" w:color="auto" w:frame="1"/>
              </w:rPr>
            </w:pPr>
            <w:r w:rsidRPr="00733588">
              <w:rPr>
                <w:rFonts w:ascii="Segoe UI Symbol" w:hAnsi="Segoe UI Symbol" w:cs="Segoe UI Symbol"/>
                <w:color w:val="1F1F1F"/>
                <w:bdr w:val="none" w:sz="0" w:space="0" w:color="auto" w:frame="1"/>
              </w:rPr>
              <w:t>✔</w:t>
            </w:r>
          </w:p>
        </w:tc>
      </w:tr>
    </w:tbl>
    <w:p w14:paraId="77BD0E36" w14:textId="77777777" w:rsidR="00A04735" w:rsidRPr="00A04735" w:rsidRDefault="00A04735" w:rsidP="00A04735">
      <w:pPr>
        <w:pStyle w:val="af5"/>
        <w:spacing w:before="156" w:after="156"/>
        <w:jc w:val="center"/>
        <w:rPr>
          <w:rFonts w:eastAsiaTheme="minorEastAsia"/>
          <w:sz w:val="21"/>
          <w:szCs w:val="20"/>
        </w:rPr>
      </w:pPr>
    </w:p>
    <w:p w14:paraId="455B21BA" w14:textId="084F03AA" w:rsidR="00AC7269" w:rsidRPr="00D22B50" w:rsidRDefault="00AC7269" w:rsidP="00F61464">
      <w:pPr>
        <w:pStyle w:val="1"/>
        <w:rPr>
          <w:rFonts w:hint="eastAsia"/>
        </w:rPr>
      </w:pPr>
      <w:bookmarkStart w:id="38" w:name="_Toc228641287"/>
      <w:bookmarkEnd w:id="13"/>
      <w:r w:rsidRPr="00D22B50">
        <w:lastRenderedPageBreak/>
        <w:t>4. Methodology</w:t>
      </w:r>
      <w:bookmarkEnd w:id="38"/>
    </w:p>
    <w:p w14:paraId="5429B0DD" w14:textId="77777777" w:rsidR="00AC7269" w:rsidRPr="00D22B50" w:rsidRDefault="00AC7269" w:rsidP="00F61464">
      <w:pPr>
        <w:pStyle w:val="2"/>
        <w:rPr>
          <w:rFonts w:hint="eastAsia"/>
        </w:rPr>
      </w:pPr>
      <w:bookmarkStart w:id="39" w:name="_Toc228641288"/>
      <w:r w:rsidRPr="00D22B50">
        <w:t>4.1 Data Engineering and Theoretical Preprocessing</w:t>
      </w:r>
      <w:bookmarkEnd w:id="39"/>
    </w:p>
    <w:p w14:paraId="1A45B7EB" w14:textId="2012EE30" w:rsidR="005E508E" w:rsidRPr="00D22B50" w:rsidRDefault="005E508E" w:rsidP="00FA00E5">
      <w:pPr>
        <w:pStyle w:val="af5"/>
        <w:spacing w:before="156" w:after="156"/>
      </w:pPr>
      <w:r w:rsidRPr="00D22B50">
        <w:t xml:space="preserve">The empirical foundation of this research is the London Smart Meter Dataset, which comprises high-resolution electricity consumption records collected from 2011 to 2014 </w:t>
      </w:r>
      <w:r w:rsidR="00112EEB" w:rsidRPr="00D22B50">
        <w:fldChar w:fldCharType="begin"/>
      </w:r>
      <w:r w:rsidR="00112EEB" w:rsidRPr="00D22B50">
        <w:instrText xml:space="preserve"> ADDIN ZOTERO_ITEM CSL_CITATION {"citationID":"avspZqDd","properties":{"formattedCitation":"[1]","plainCitation":"[1]","noteIndex":0},"citationItems":[{"id":539,"uris":["http://zotero.org/users/local/p3tV44H5/items/HWZLV4UQ"],"itemData":{"id":539,"type":"article-journal","abstract":"Accurate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schema":"https://github.com/citation-style-language/schema/raw/master/csl-citation.json"} </w:instrText>
      </w:r>
      <w:r w:rsidR="00112EEB" w:rsidRPr="00D22B50">
        <w:fldChar w:fldCharType="separate"/>
      </w:r>
      <w:r w:rsidR="00112EEB" w:rsidRPr="00D22B50">
        <w:rPr>
          <w:rFonts w:cs="Times New Roman"/>
        </w:rPr>
        <w:t>[1]</w:t>
      </w:r>
      <w:r w:rsidR="00112EEB" w:rsidRPr="00D22B50">
        <w:fldChar w:fldCharType="end"/>
      </w:r>
      <w:r w:rsidRPr="00D22B50">
        <w:t xml:space="preserve">. This dataset, managed by UK Power Networks, contains half-hourly energy consumption readings (kWh per half-hour) from a diverse sample of approximately 5,567 London households. To transform raw sensor data into a format suitable for deep learning, </w:t>
      </w:r>
      <w:r w:rsidR="002657F3">
        <w:t xml:space="preserve">I </w:t>
      </w:r>
      <w:r w:rsidRPr="00D22B50">
        <w:t>implement a multi-stage data engineering pipeline that addresses sensor noise, data gaps, and numerical instability.</w:t>
      </w:r>
    </w:p>
    <w:p w14:paraId="7FAD70A2" w14:textId="77777777" w:rsidR="005E508E" w:rsidRPr="00D22B50" w:rsidRDefault="005E508E" w:rsidP="00F61464">
      <w:pPr>
        <w:pStyle w:val="3"/>
        <w:rPr>
          <w:rFonts w:hint="eastAsia"/>
        </w:rPr>
      </w:pPr>
      <w:bookmarkStart w:id="40" w:name="_Toc228641289"/>
      <w:r w:rsidRPr="00D22B50">
        <w:t>4.1.1 Data Source and Granularity</w:t>
      </w:r>
      <w:bookmarkEnd w:id="40"/>
    </w:p>
    <w:p w14:paraId="3BC6F4E2" w14:textId="209DCBA1" w:rsidR="005E508E" w:rsidRPr="00D22B50" w:rsidRDefault="005E508E" w:rsidP="00FA00E5">
      <w:pPr>
        <w:pStyle w:val="af5"/>
        <w:spacing w:before="156" w:after="156"/>
      </w:pPr>
      <w:r w:rsidRPr="00D22B50">
        <w:t xml:space="preserve">The London Smart Meter Dataset is widely regarded as a benchmark in the energy research community due to its longitudinal depth and the diversity of its consumer profiles. Each record represents the average active power consumed over a 30-minute interval, providing 48 readings per day. For our specific research into the cold-start problem, </w:t>
      </w:r>
      <w:r w:rsidR="002657F3">
        <w:t xml:space="preserve">I </w:t>
      </w:r>
      <w:r w:rsidRPr="00D22B50">
        <w:t>selected households that exhibit varying degrees of consumption volatility. The raw data includes unique household identifiers, timestamps, and consumption values, which must be meticulously synchronized to ensure temporal consistency across the source and target domains.</w:t>
      </w:r>
    </w:p>
    <w:p w14:paraId="5AAD49A8" w14:textId="77777777" w:rsidR="005E508E" w:rsidRPr="00D22B50" w:rsidRDefault="005E508E" w:rsidP="00F61464">
      <w:pPr>
        <w:pStyle w:val="3"/>
        <w:rPr>
          <w:rFonts w:hint="eastAsia"/>
        </w:rPr>
      </w:pPr>
      <w:bookmarkStart w:id="41" w:name="_Toc228641290"/>
      <w:r w:rsidRPr="00D22B50">
        <w:t>4.1.2 Handling Missing Data and Linear Interpolation</w:t>
      </w:r>
      <w:bookmarkEnd w:id="41"/>
    </w:p>
    <w:p w14:paraId="44EF9DC7" w14:textId="0159C05E" w:rsidR="005E508E" w:rsidRPr="00D22B50" w:rsidRDefault="005E508E" w:rsidP="00FA00E5">
      <w:pPr>
        <w:pStyle w:val="af5"/>
        <w:spacing w:before="156" w:after="156"/>
      </w:pPr>
      <w:r w:rsidRPr="00D22B50">
        <w:t xml:space="preserve">Raw AMI data often suffers from </w:t>
      </w:r>
      <w:r w:rsidR="00BD7543">
        <w:t>“</w:t>
      </w:r>
      <w:r w:rsidRPr="00D22B50">
        <w:t>data holes</w:t>
      </w:r>
      <w:r w:rsidR="00BD7543">
        <w:t>”</w:t>
      </w:r>
      <w:r w:rsidRPr="00D22B50">
        <w:t xml:space="preserve"> caused by network latency, packet loss during transmission, or localized sensor malfunctions. In a time-series context, missing values can break the temporal continuity required by LSTM networks. </w:t>
      </w:r>
      <w:r w:rsidR="002657F3">
        <w:t xml:space="preserve">I </w:t>
      </w:r>
      <w:r w:rsidRPr="00D22B50">
        <w:t>employ linear interpolation to impute these gaps, a method that is computationally efficient and preserves the local linear trend of electricity usage.</w:t>
      </w:r>
    </w:p>
    <w:p w14:paraId="3784BCC7" w14:textId="446DE170" w:rsidR="005E508E" w:rsidRPr="00D22B50" w:rsidRDefault="005E508E" w:rsidP="00FA00E5">
      <w:pPr>
        <w:pStyle w:val="af5"/>
        <w:spacing w:before="156" w:after="156"/>
      </w:pPr>
      <w:r w:rsidRPr="00D22B50">
        <w:t xml:space="preserve">Given a sequence where the values at time a and b are known, but the value at time t (where a &lt; t &lt; b) is missing, the estimate </w:t>
      </w:r>
      <m:oMath>
        <m:sSub>
          <m:sSubPr>
            <m:ctrlPr>
              <w:rPr>
                <w:rFonts w:ascii="Cambria Math" w:hAnsi="Cambria Math"/>
                <w:i/>
              </w:rPr>
            </m:ctrlPr>
          </m:sSubPr>
          <m:e>
            <m:r>
              <w:rPr>
                <w:rFonts w:ascii="Cambria Math" w:hAnsi="Cambria Math"/>
              </w:rPr>
              <m:t>x</m:t>
            </m:r>
          </m:e>
          <m:sub>
            <m:r>
              <w:rPr>
                <w:rFonts w:ascii="Cambria Math" w:hAnsi="Cambria Math"/>
              </w:rPr>
              <m:t>t</m:t>
            </m:r>
          </m:sub>
        </m:sSub>
      </m:oMath>
      <w:r w:rsidRPr="00D22B50">
        <w:t xml:space="preserve"> is calculated as:</w:t>
      </w:r>
    </w:p>
    <w:p w14:paraId="02A9DE03" w14:textId="36A8274D" w:rsidR="005E508E" w:rsidRPr="00D22B50" w:rsidRDefault="005E508E" w:rsidP="005E508E">
      <w:pPr>
        <w:rPr>
          <w:rFonts w:hint="eastAsia"/>
        </w:rPr>
      </w:pPr>
      <w:r w:rsidRPr="00D22B50">
        <w:rPr>
          <w:noProof/>
        </w:rPr>
        <w:drawing>
          <wp:inline distT="0" distB="0" distL="0" distR="0" wp14:anchorId="6BF88990" wp14:editId="70C2A01D">
            <wp:extent cx="5274310" cy="1040130"/>
            <wp:effectExtent l="0" t="0" r="2540" b="7620"/>
            <wp:docPr id="7069593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959346" name=""/>
                    <pic:cNvPicPr/>
                  </pic:nvPicPr>
                  <pic:blipFill>
                    <a:blip r:embed="rId10"/>
                    <a:stretch>
                      <a:fillRect/>
                    </a:stretch>
                  </pic:blipFill>
                  <pic:spPr>
                    <a:xfrm>
                      <a:off x="0" y="0"/>
                      <a:ext cx="5274310" cy="1040130"/>
                    </a:xfrm>
                    <a:prstGeom prst="rect">
                      <a:avLst/>
                    </a:prstGeom>
                  </pic:spPr>
                </pic:pic>
              </a:graphicData>
            </a:graphic>
          </wp:inline>
        </w:drawing>
      </w:r>
    </w:p>
    <w:p w14:paraId="252D0F6B" w14:textId="337F5A0B" w:rsidR="005E508E" w:rsidRPr="00D22B50" w:rsidRDefault="005E508E" w:rsidP="00FA00E5">
      <w:pPr>
        <w:pStyle w:val="af5"/>
        <w:spacing w:before="156" w:after="156"/>
      </w:pPr>
      <w:r w:rsidRPr="00D22B50">
        <w:t xml:space="preserve">This approach is particularly suitable for short-duration gaps. For gaps exceeding four </w:t>
      </w:r>
      <w:r w:rsidRPr="00D22B50">
        <w:lastRenderedPageBreak/>
        <w:t>hours, the affected household is excluded from the study to prevent the introduction of artificial bias into the training process.</w:t>
      </w:r>
    </w:p>
    <w:p w14:paraId="4CB54A05" w14:textId="77777777" w:rsidR="005E508E" w:rsidRPr="00D22B50" w:rsidRDefault="005E508E" w:rsidP="00F61464">
      <w:pPr>
        <w:pStyle w:val="3"/>
        <w:rPr>
          <w:rFonts w:hint="eastAsia"/>
        </w:rPr>
      </w:pPr>
      <w:bookmarkStart w:id="42" w:name="_Toc228641291"/>
      <w:r w:rsidRPr="00D22B50">
        <w:t>4.1.3 Theoretical Impact of Z-score Normalization</w:t>
      </w:r>
      <w:bookmarkEnd w:id="42"/>
    </w:p>
    <w:p w14:paraId="61E58CF6" w14:textId="011E4318" w:rsidR="005E508E" w:rsidRPr="00D22B50" w:rsidRDefault="005E508E" w:rsidP="00FA00E5">
      <w:pPr>
        <w:pStyle w:val="af5"/>
        <w:spacing w:before="156" w:after="156"/>
      </w:pPr>
      <w:r w:rsidRPr="00D22B50">
        <w:t xml:space="preserve">Electricity consumption data typically exhibits a heavy-tailed distribution with significant outliers during peak usage periods. Feeding raw values directly into an LSTM network can lead to gradient explosion or saturation of the activation functions. To ensure numerical stability during the Backpropagation Through Time (BPTT) process, </w:t>
      </w:r>
      <w:r w:rsidR="002657F3">
        <w:t xml:space="preserve">I </w:t>
      </w:r>
      <w:r w:rsidRPr="00D22B50">
        <w:t xml:space="preserve">apply Z-score normalization. This transformation maps the consumption values </w:t>
      </w:r>
      <m:oMath>
        <m:r>
          <w:rPr>
            <w:rFonts w:ascii="Cambria Math" w:hAnsi="Cambria Math"/>
          </w:rPr>
          <m:t>x</m:t>
        </m:r>
      </m:oMath>
      <w:r w:rsidRPr="00D22B50">
        <w:t xml:space="preserve"> into a standardized space </w:t>
      </w:r>
      <m:oMath>
        <m:r>
          <w:rPr>
            <w:rFonts w:ascii="Cambria Math" w:hAnsi="Cambria Math"/>
          </w:rPr>
          <m:t>z</m:t>
        </m:r>
      </m:oMath>
      <w:r w:rsidRPr="00D22B50">
        <w:t xml:space="preserve"> with a mean of zero and a standard deviation of one:</w:t>
      </w:r>
    </w:p>
    <w:p w14:paraId="1B1CCBEE" w14:textId="373E3AA2" w:rsidR="005E508E" w:rsidRPr="00D22B50" w:rsidRDefault="005E508E" w:rsidP="005E508E">
      <w:pPr>
        <w:rPr>
          <w:rFonts w:hint="eastAsia"/>
        </w:rPr>
      </w:pPr>
      <w:r w:rsidRPr="00D22B50">
        <w:rPr>
          <w:noProof/>
        </w:rPr>
        <w:drawing>
          <wp:inline distT="0" distB="0" distL="0" distR="0" wp14:anchorId="695C30E4" wp14:editId="10CC8514">
            <wp:extent cx="3134162" cy="1105054"/>
            <wp:effectExtent l="0" t="0" r="9525" b="0"/>
            <wp:docPr id="7676321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632182" name=""/>
                    <pic:cNvPicPr/>
                  </pic:nvPicPr>
                  <pic:blipFill>
                    <a:blip r:embed="rId11"/>
                    <a:stretch>
                      <a:fillRect/>
                    </a:stretch>
                  </pic:blipFill>
                  <pic:spPr>
                    <a:xfrm>
                      <a:off x="0" y="0"/>
                      <a:ext cx="3134162" cy="1105054"/>
                    </a:xfrm>
                    <a:prstGeom prst="rect">
                      <a:avLst/>
                    </a:prstGeom>
                  </pic:spPr>
                </pic:pic>
              </a:graphicData>
            </a:graphic>
          </wp:inline>
        </w:drawing>
      </w:r>
    </w:p>
    <w:p w14:paraId="2B2F3886" w14:textId="0FF1CD4E" w:rsidR="005E508E" w:rsidRPr="00D22B50" w:rsidRDefault="005E508E" w:rsidP="00FA00E5">
      <w:pPr>
        <w:pStyle w:val="af5"/>
        <w:spacing w:before="156" w:after="156"/>
      </w:pPr>
      <w:r w:rsidRPr="00D22B50">
        <w:t xml:space="preserve">Mathematically, this normalization is critical because LSTM cells utilize the tanh and sigmoid functions. The derivatives of these functions are highest near zero; if input values are too large, the gradients move into the </w:t>
      </w:r>
      <w:r w:rsidR="00BD7543">
        <w:t>“</w:t>
      </w:r>
      <w:r w:rsidRPr="00D22B50">
        <w:t>saturation regions,</w:t>
      </w:r>
      <w:r w:rsidR="00BD7543">
        <w:t>”</w:t>
      </w:r>
      <w:r w:rsidRPr="00D22B50">
        <w:t xml:space="preserve"> where they become infinitesimally small, thereby triggering the vanishing gradient problem. By centering the data at zero, </w:t>
      </w:r>
      <w:r w:rsidR="002657F3">
        <w:t xml:space="preserve">I </w:t>
      </w:r>
      <w:r w:rsidRPr="00D22B50">
        <w:t>ensure that the network remains in the high-gradient region, facilitating faster convergence and more robust weight updates</w:t>
      </w:r>
      <w:r w:rsidR="000F2983" w:rsidRPr="00D22B50">
        <w:rPr>
          <w:rFonts w:eastAsiaTheme="minorEastAsia" w:hint="eastAsia"/>
        </w:rPr>
        <w:t xml:space="preserve"> </w:t>
      </w:r>
      <w:r w:rsidR="00112EEB" w:rsidRPr="00D22B50">
        <w:rPr>
          <w:rFonts w:eastAsiaTheme="minorEastAsia"/>
        </w:rPr>
        <w:fldChar w:fldCharType="begin"/>
      </w:r>
      <w:r w:rsidR="00112EEB" w:rsidRPr="00D22B50">
        <w:rPr>
          <w:rFonts w:eastAsiaTheme="minorEastAsia"/>
        </w:rPr>
        <w:instrText xml:space="preserve"> ADDIN ZOTERO_ITEM CSL_CITATION {"citationID":"PWkXIrqP","properties":{"formattedCitation":"[26], [27]","plainCitation":"[26], [27]","noteIndex":0},"citationItems":[{"id":642,"uris":["http://zotero.org/users/local/p3tV44H5/items/RXXLVP7Z"],"itemData":{"id":642,"type":"article-journal","abstract":"Recent advances in artificial intelligence have allowed the application of such technologies in real industrial problems. We have studied the application of backpropagation neural networks to several problems of estimation and identification in nuclear power plants. These problems often have been reported to be very time-consuming in the training phase. Among the different approaches suggested to ease the backpropagation training process, input data pretreatment has been pointed out, although no specific procedure has been proposed. We have found that input data normalization with certain criteria, prior to a training process, is crucial to obtain good results as well as to fasten significantly the calculations. This paper shows how data normalization affects the performance error of parameter estimators trained to predict the value of several variables of a PWR nuclear power plant. The criteria needed to accomplish such data normalization are also described.","container-title":"IEEE Transactions on Nuclear Science","DOI":"10.1109/23.589532","ISSN":"1558-1578","issue":"3","page":"1464-1468","source":"IEEE Xplore","title":"Importance of input data normalization for the application of neural networks to complex industrial problems","volume":"44","author":[{"family":"Sola","given":"J."},{"family":"Sevilla","given":"J."}],"issued":{"date-parts":[["1997",6]]}}},{"id":683,"uris":["http://zotero.org/users/local/p3tV44H5/items/MVYR4ENH"],"itemData":{"id":683,"type":"book","call-number":"006.31","collection-title":"Adaptive computation and machine learning","ISBN":"978-0-262-03561-3","language":"eng","publisher":"The MIT press","publisher-place":"Cambridge, Mass","source":"BnF ISBN","title":"Deep learning","author":[{"family":"Goodfellow","given":"Ian"},{"family":"Bengio","given":"Yoshua"},{"family":"Courville","given":"Aaron"}],"issued":{"date-parts":[["2016"]]}}}],"schema":"https://github.com/citation-style-language/schema/raw/master/csl-citation.json"} </w:instrText>
      </w:r>
      <w:r w:rsidR="00112EEB" w:rsidRPr="00D22B50">
        <w:rPr>
          <w:rFonts w:eastAsiaTheme="minorEastAsia"/>
        </w:rPr>
        <w:fldChar w:fldCharType="separate"/>
      </w:r>
      <w:r w:rsidR="00112EEB" w:rsidRPr="00D22B50">
        <w:rPr>
          <w:rFonts w:eastAsiaTheme="minorEastAsia" w:cs="Times New Roman"/>
        </w:rPr>
        <w:t>[26], [27]</w:t>
      </w:r>
      <w:r w:rsidR="00112EEB" w:rsidRPr="00D22B50">
        <w:rPr>
          <w:rFonts w:eastAsiaTheme="minorEastAsia"/>
        </w:rPr>
        <w:fldChar w:fldCharType="end"/>
      </w:r>
      <w:r w:rsidR="009B36BC" w:rsidRPr="00D22B50">
        <w:rPr>
          <w:rFonts w:eastAsiaTheme="minorEastAsia"/>
        </w:rPr>
        <w:t>.</w:t>
      </w:r>
    </w:p>
    <w:p w14:paraId="4D9844B8" w14:textId="77777777" w:rsidR="005E508E" w:rsidRPr="00D22B50" w:rsidRDefault="005E508E" w:rsidP="00F61464">
      <w:pPr>
        <w:pStyle w:val="3"/>
        <w:rPr>
          <w:rFonts w:hint="eastAsia"/>
        </w:rPr>
      </w:pPr>
      <w:bookmarkStart w:id="43" w:name="_Toc228641292"/>
      <w:r w:rsidRPr="00D22B50">
        <w:t>4.1.4 Temporal Framing via Sliding Window</w:t>
      </w:r>
      <w:bookmarkEnd w:id="43"/>
    </w:p>
    <w:p w14:paraId="65913117" w14:textId="04042426" w:rsidR="005E508E" w:rsidRPr="00D22B50" w:rsidRDefault="005E508E" w:rsidP="00FA00E5">
      <w:pPr>
        <w:pStyle w:val="af5"/>
        <w:spacing w:before="156" w:after="156"/>
      </w:pPr>
      <w:r w:rsidRPr="00D22B50">
        <w:t xml:space="preserve">To convert the continuous time series into a supervised learning problem, </w:t>
      </w:r>
      <w:r w:rsidR="002657F3">
        <w:t xml:space="preserve">I </w:t>
      </w:r>
      <w:r w:rsidRPr="00D22B50">
        <w:t>implement a sliding window reconstruction technique. For a target forecasting task, the model must learn to map a historical sequence (the feature set) to a future value (the label).</w:t>
      </w:r>
    </w:p>
    <w:p w14:paraId="314FFC31" w14:textId="3B0C0E30" w:rsidR="005E508E" w:rsidRPr="00D22B50" w:rsidRDefault="002657F3" w:rsidP="00FA00E5">
      <w:pPr>
        <w:pStyle w:val="af5"/>
        <w:spacing w:before="156" w:after="156"/>
      </w:pPr>
      <w:r>
        <w:t xml:space="preserve">I </w:t>
      </w:r>
      <w:r w:rsidR="005E508E" w:rsidRPr="00D22B50">
        <w:t>define a look-back window of L=</w:t>
      </w:r>
      <w:proofErr w:type="gramStart"/>
      <w:r w:rsidR="005E508E" w:rsidRPr="00D22B50">
        <w:t>96 time</w:t>
      </w:r>
      <w:proofErr w:type="gramEnd"/>
      <w:r w:rsidR="005E508E" w:rsidRPr="00D22B50">
        <w:t xml:space="preserve"> steps, which corresponds to exactly 48 hours of historical context. This window size is strategically chosen to provide the LSTM with two full daily cycles, enabling the forget and input gates to identify daily periodicity. The dataset is restructured into pairs o</w:t>
      </w:r>
      <w:r w:rsidR="00FA00E5" w:rsidRPr="00D22B50">
        <w:rPr>
          <w:rFonts w:eastAsiaTheme="minorEastAsia" w:hint="eastAsia"/>
        </w:rPr>
        <w:t xml:space="preserve">f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t</m:t>
            </m:r>
          </m:sub>
        </m:sSub>
      </m:oMath>
      <w:r w:rsidR="00FA00E5" w:rsidRPr="00D22B50">
        <w:rPr>
          <w:rFonts w:eastAsiaTheme="minorEastAsia" w:hint="eastAsia"/>
        </w:rPr>
        <w:t xml:space="preserve"> and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t</m:t>
            </m:r>
          </m:sub>
        </m:sSub>
      </m:oMath>
      <w:r w:rsidR="005E508E" w:rsidRPr="00D22B50">
        <w:t>, where:</w:t>
      </w:r>
    </w:p>
    <w:p w14:paraId="5EFC6987" w14:textId="1C33BBFB" w:rsidR="00CD2527" w:rsidRPr="00D22B50" w:rsidRDefault="005E508E" w:rsidP="005E508E">
      <w:pPr>
        <w:rPr>
          <w:rStyle w:val="af6"/>
          <w:rFonts w:eastAsiaTheme="minorEastAsia"/>
        </w:rPr>
      </w:pPr>
      <w:r w:rsidRPr="00D22B50">
        <w:rPr>
          <w:noProof/>
        </w:rPr>
        <w:drawing>
          <wp:inline distT="0" distB="0" distL="0" distR="0" wp14:anchorId="476335D2" wp14:editId="1552CB94">
            <wp:extent cx="5274310" cy="944880"/>
            <wp:effectExtent l="0" t="0" r="2540" b="7620"/>
            <wp:docPr id="17587684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768448" name=""/>
                    <pic:cNvPicPr/>
                  </pic:nvPicPr>
                  <pic:blipFill>
                    <a:blip r:embed="rId12"/>
                    <a:stretch>
                      <a:fillRect/>
                    </a:stretch>
                  </pic:blipFill>
                  <pic:spPr>
                    <a:xfrm>
                      <a:off x="0" y="0"/>
                      <a:ext cx="5274310" cy="944880"/>
                    </a:xfrm>
                    <a:prstGeom prst="rect">
                      <a:avLst/>
                    </a:prstGeom>
                  </pic:spPr>
                </pic:pic>
              </a:graphicData>
            </a:graphic>
          </wp:inline>
        </w:drawing>
      </w:r>
      <w:r w:rsidRPr="00D22B50">
        <w:rPr>
          <w:rStyle w:val="af6"/>
          <w:rFonts w:eastAsiaTheme="minorEastAsia"/>
        </w:rPr>
        <w:t xml:space="preserve">By sliding this window across the entire historical record, </w:t>
      </w:r>
      <w:r w:rsidR="002657F3">
        <w:rPr>
          <w:rStyle w:val="af6"/>
          <w:rFonts w:eastAsiaTheme="minorEastAsia"/>
        </w:rPr>
        <w:t xml:space="preserve">I </w:t>
      </w:r>
      <w:r w:rsidRPr="00D22B50">
        <w:rPr>
          <w:rStyle w:val="af6"/>
          <w:rFonts w:eastAsiaTheme="minorEastAsia"/>
        </w:rPr>
        <w:t>generate a training matrix that captures the sequential dependencies of the energy demand, providing the necessary input structure for the transfer learning framework.</w:t>
      </w:r>
    </w:p>
    <w:p w14:paraId="157E2D53" w14:textId="77777777" w:rsidR="00CD2527" w:rsidRPr="00D22B50" w:rsidRDefault="00CD2527" w:rsidP="00CD2527">
      <w:pPr>
        <w:pStyle w:val="3"/>
        <w:rPr>
          <w:rFonts w:hint="eastAsia"/>
        </w:rPr>
      </w:pPr>
      <w:bookmarkStart w:id="44" w:name="_Toc228641293"/>
      <w:r w:rsidRPr="00D22B50">
        <w:lastRenderedPageBreak/>
        <w:t>4.1.5 Multivariate Expansion: Integration of Temporal Covariates</w:t>
      </w:r>
      <w:bookmarkEnd w:id="44"/>
    </w:p>
    <w:p w14:paraId="249D80FA" w14:textId="367C9933" w:rsidR="00CD2527" w:rsidRPr="00D22B50" w:rsidRDefault="00CD2527" w:rsidP="00FA00E5">
      <w:pPr>
        <w:pStyle w:val="af5"/>
        <w:spacing w:before="156" w:after="156"/>
      </w:pPr>
      <w:r w:rsidRPr="00D22B50">
        <w:t xml:space="preserve">In the preliminary stages of this research, the forecasting models relied solely on univariate historical consumption data. However, residential energy demand is inherently driven by external temporal rhythms, such as circadian cycles, work schedules, and seasonal shifts. </w:t>
      </w:r>
      <w:r w:rsidR="00CE1344" w:rsidRPr="00D22B50">
        <w:t>To capture these deterministic behavioral drivers, the dataset was expanded into a non-linear multivariate feature space [36] by incorporating explicit temporal covariates such as Hour of the Day and Day of the Week.</w:t>
      </w:r>
    </w:p>
    <w:p w14:paraId="2C4B75A1" w14:textId="38BBE33C" w:rsidR="005E508E" w:rsidRPr="00D22B50" w:rsidRDefault="00CD2527" w:rsidP="00112EEB">
      <w:pPr>
        <w:pStyle w:val="af5"/>
        <w:spacing w:before="156" w:after="156"/>
        <w:rPr>
          <w:rFonts w:eastAsiaTheme="minorEastAsia"/>
        </w:rPr>
      </w:pPr>
      <w:r w:rsidRPr="00D22B50">
        <w:t>Specifically, two categorical time features were extracted from the timestamp of each reading: the Hour of the Day (</w:t>
      </w:r>
      <m:oMath>
        <m:r>
          <w:rPr>
            <w:rFonts w:ascii="Cambria Math" w:hAnsi="Cambria Math" w:cs="Cambria Math"/>
          </w:rPr>
          <m:t>h</m:t>
        </m:r>
        <m:r>
          <w:rPr>
            <w:rFonts w:ascii="Cambria Math" w:hAnsi="Cambria Math"/>
          </w:rPr>
          <m:t xml:space="preserve"> ∈[0,23]</m:t>
        </m:r>
      </m:oMath>
      <w:r w:rsidRPr="00D22B50">
        <w:t>) and the Day of the Week (</w:t>
      </w:r>
      <m:oMath>
        <m:r>
          <w:rPr>
            <w:rFonts w:ascii="Cambria Math" w:hAnsi="Cambria Math"/>
          </w:rPr>
          <m:t>d ∈[0,6]</m:t>
        </m:r>
      </m:oMath>
      <w:r w:rsidRPr="00D22B50">
        <w:t xml:space="preserve">). To prevent the neural network from misinterpreting these categorical indices as continuous numerical magnitudes (e.g., assuming Sunday is </w:t>
      </w:r>
      <w:r w:rsidR="00BD7543">
        <w:t>“</w:t>
      </w:r>
      <w:r w:rsidRPr="00D22B50">
        <w:t>greater</w:t>
      </w:r>
      <w:r w:rsidR="00BD7543">
        <w:t>”</w:t>
      </w:r>
      <w:r w:rsidRPr="00D22B50">
        <w:t xml:space="preserve"> than Monday), these features were encoded and concatenated with the normalized consumption values. This multivariate expansion ensures that the model matrices (both in the LSTM gates and Transformer attention heads) receive explicit contextual signals regarding when the consumption occurred, fundamentally elevating the predictive ceiling of the models during the transfer phase.</w:t>
      </w:r>
    </w:p>
    <w:p w14:paraId="0A2E943C" w14:textId="3D1A12AE" w:rsidR="00AC7269" w:rsidRPr="00D22B50" w:rsidRDefault="00AC7269" w:rsidP="00F61464">
      <w:pPr>
        <w:pStyle w:val="2"/>
        <w:rPr>
          <w:rFonts w:hint="eastAsia"/>
        </w:rPr>
      </w:pPr>
      <w:bookmarkStart w:id="45" w:name="_Toc228641294"/>
      <w:r w:rsidRPr="00D22B50">
        <w:t>4.2 The Mathematical Architecture of LSTM Networks</w:t>
      </w:r>
      <w:bookmarkEnd w:id="45"/>
    </w:p>
    <w:p w14:paraId="2D1D5651" w14:textId="1D47BDF2" w:rsidR="00926E42" w:rsidRPr="00D22B50" w:rsidRDefault="00926E42" w:rsidP="00FA00E5">
      <w:pPr>
        <w:pStyle w:val="af5"/>
        <w:spacing w:before="156" w:after="156"/>
      </w:pPr>
      <w:r w:rsidRPr="00D22B50">
        <w:t xml:space="preserve">The proposed framework utilizes Long Short-Term Memory (LSTM) networks due to their superior ability to mitigate the vanishing gradient problem in long sequences </w:t>
      </w:r>
      <w:r w:rsidR="00112EEB" w:rsidRPr="00D22B50">
        <w:fldChar w:fldCharType="begin"/>
      </w:r>
      <w:r w:rsidR="00112EEB" w:rsidRPr="00D22B50">
        <w:instrText xml:space="preserve"> ADDIN ZOTERO_ITEM CSL_CITATION {"citationID":"HnOxtWMF","properties":{"formattedCitation":"[8]","plainCitation":"[8]","noteIndex":0},"citationItems":[{"id":512,"uris":["http://zotero.org/users/local/p3tV44H5/items/HCMHHT5F"],"itemData":{"id":512,"type":"article-journal","abstract":"Learning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Memory","volume":"9","author":[{"family":"Hochreiter","given":"Sepp"},{"family":"Schmidhuber","given":"Jürgen"}],"issued":{"date-parts":[["1997",11]]}}}],"schema":"https://github.com/citation-style-language/schema/raw/master/csl-citation.json"} </w:instrText>
      </w:r>
      <w:r w:rsidR="00112EEB" w:rsidRPr="00D22B50">
        <w:fldChar w:fldCharType="separate"/>
      </w:r>
      <w:r w:rsidR="00112EEB" w:rsidRPr="00D22B50">
        <w:rPr>
          <w:rFonts w:cs="Times New Roman"/>
        </w:rPr>
        <w:t>[8]</w:t>
      </w:r>
      <w:r w:rsidR="00112EEB" w:rsidRPr="00D22B50">
        <w:fldChar w:fldCharType="end"/>
      </w:r>
      <w:r w:rsidRPr="00D22B50">
        <w:t xml:space="preserve">. In traditional Recurrent Neural Networks (RNNs), the backpropagation process involves a repeated multiplication of weight matrices, which often causes the gradient to decay exponentially as it moves toward the beginning of the sequence. This prevents the model from learning long-term dependencies, such as the relationship between electricity consumption today and the same hour a week ago. The LSTM architecture, originally introduced by Hochreiter and </w:t>
      </w:r>
      <w:proofErr w:type="spellStart"/>
      <w:r w:rsidRPr="00D22B50">
        <w:t>Schmidhuber</w:t>
      </w:r>
      <w:proofErr w:type="spellEnd"/>
      <w:r w:rsidRPr="00D22B50">
        <w:t xml:space="preserve">, overcomes this by introducing a </w:t>
      </w:r>
      <w:r w:rsidR="00BD7543">
        <w:t>“</w:t>
      </w:r>
      <w:r w:rsidRPr="00D22B50">
        <w:t>Constant Error Carousel</w:t>
      </w:r>
      <w:r w:rsidR="00BD7543">
        <w:t>”</w:t>
      </w:r>
      <w:r w:rsidRPr="00D22B50">
        <w:t xml:space="preserve"> (CEC) mechanism, which allows the gradient to flow through time without significant attenuation.</w:t>
      </w:r>
    </w:p>
    <w:p w14:paraId="5985344C" w14:textId="77777777" w:rsidR="00926E42" w:rsidRPr="00D22B50" w:rsidRDefault="00926E42" w:rsidP="00F61464">
      <w:pPr>
        <w:pStyle w:val="3"/>
        <w:rPr>
          <w:rFonts w:hint="eastAsia"/>
        </w:rPr>
      </w:pPr>
      <w:bookmarkStart w:id="46" w:name="_Toc228641295"/>
      <w:r w:rsidRPr="00D22B50">
        <w:t>4.2.1 The Core Mechanism: The Cell State</w:t>
      </w:r>
      <w:bookmarkEnd w:id="46"/>
    </w:p>
    <w:p w14:paraId="66341D66" w14:textId="2252E48B" w:rsidR="00926E42" w:rsidRPr="00D22B50" w:rsidRDefault="00926E42" w:rsidP="00FA00E5">
      <w:pPr>
        <w:pStyle w:val="af5"/>
        <w:spacing w:before="156" w:after="156"/>
      </w:pPr>
      <w:r w:rsidRPr="00D22B50">
        <w:t xml:space="preserve">The core of the LSTM is the cell state </w:t>
      </w:r>
      <m:oMath>
        <m:sSub>
          <m:sSubPr>
            <m:ctrlPr>
              <w:rPr>
                <w:rFonts w:ascii="Cambria Math" w:hAnsi="Cambria Math"/>
                <w:i/>
              </w:rPr>
            </m:ctrlPr>
          </m:sSubPr>
          <m:e>
            <m:r>
              <w:rPr>
                <w:rFonts w:ascii="Cambria Math" w:hAnsi="Cambria Math"/>
              </w:rPr>
              <m:t>C</m:t>
            </m:r>
          </m:e>
          <m:sub>
            <m:r>
              <w:rPr>
                <w:rFonts w:ascii="Cambria Math" w:hAnsi="Cambria Math"/>
              </w:rPr>
              <m:t>t</m:t>
            </m:r>
          </m:sub>
        </m:sSub>
      </m:oMath>
      <w:r w:rsidRPr="00D22B50">
        <w:t xml:space="preserve">, which acts as a </w:t>
      </w:r>
      <w:r w:rsidR="00BD7543">
        <w:t>“</w:t>
      </w:r>
      <w:r w:rsidRPr="00D22B50">
        <w:t>conveyor belt</w:t>
      </w:r>
      <w:r w:rsidR="00BD7543">
        <w:t>”</w:t>
      </w:r>
      <w:r w:rsidRPr="00D22B50">
        <w:t xml:space="preserve"> for information. It runs through the entire chain of sequences with only minor linear interactions, ensuring that information can be preserved over many time steps. The flow of information is regulated by three distinct gating mechanisms, </w:t>
      </w:r>
      <w:r w:rsidR="00CE1344" w:rsidRPr="00D22B50">
        <w:t xml:space="preserve">each composed of a sigmoid neural network layer and a pointwise multiplication operation </w:t>
      </w:r>
      <w:r w:rsidR="00112EEB" w:rsidRPr="00D22B50">
        <w:fldChar w:fldCharType="begin"/>
      </w:r>
      <w:r w:rsidR="00112EEB" w:rsidRPr="00D22B50">
        <w:instrText xml:space="preserve"> ADDIN ZOTERO_ITEM CSL_CITATION {"citationID":"ygYFdybZ","properties":{"formattedCitation":"[8], [28]","plainCitation":"[8], [28]","noteIndex":0},"citationItems":[{"id":512,"uris":["http://zotero.org/users/local/p3tV44H5/items/HCMHHT5F"],"itemData":{"id":512,"type":"article-journal","abstract":"Learning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id":662,"uris":["http://zotero.org/users/local/p3tV44H5/items/D25IRZHS"],"itemData":{"id":662,"type":"article-journal","abstract":"Because of their effectiveness in broad practical applications, LSTM networks have received a wealth of coverage in scientific journals, technical blogs, and implementation guides. However, in most articles, the inference formulas for the LSTM network and its parent, RNN, are stated axiomatically, while the training formulas are omitted altogether. In addition, the technique of “unrolling” an RNN is routinely presented without justification throughout the literature. The goal of this tutorial is to explain the essential RNN and LSTM fundamentals in a single document. Drawing from concepts in Signal Processing, we formally derive the canonical RNN formulation from differential equations. We then propose and prove a precise statement, which yields the RNN unrolling technique. We also review the difficulties with training the standard RNN and address them by transforming the RNN into the “Vanilla LSTM”1 1The nickname “Vanilla LSTM” symbolizes this model’s flexibility and generality (Greff et al., 2015). network through a series of logical arguments. We provide all equations pertaining to the LSTM system together with detailed descriptions of its constituent entities. Albeit unconventional, our choice of notation and the method for presenting the LSTM system emphasizes ease of understanding. As part of the analysis, we identify new opportunities to enrich the LSTM system and incorporate these extensions into the Vanilla LSTM network, producing the most general LSTM variant to date. The target reader has already been exposed to RNNs and LSTM networks through numerous available resources and is open to an alternative pedagogical approach. A Machine Learning practitioner seeking guidance for implementing our new augmented LSTM model in software for experimentation and research will find the insights and derivations in this treatise valuable as well.","container-title":"Physica D: Nonlinear Phenomena","DOI":"10.1016/j.physd.2019.132306","ISSN":"0167-2789","journalAbbreviation":"Physica D: Nonlinear Phenomena","page":"132306","source":"ScienceDirect","title":"Fundamentals of Recurrent Neural Network (RNN) and Long Short-Term Memory (LSTM) network","volume":"404","author":[{"family":"Sherstinsky","given":"Alex"}],"issued":{"date-parts":[["2020",3,1]]}}}],"schema":"https://github.com/citation-style-language/schema/raw/master/csl-citation.json"} </w:instrText>
      </w:r>
      <w:r w:rsidR="00112EEB" w:rsidRPr="00D22B50">
        <w:fldChar w:fldCharType="separate"/>
      </w:r>
      <w:r w:rsidR="00112EEB" w:rsidRPr="00D22B50">
        <w:rPr>
          <w:rFonts w:cs="Times New Roman"/>
        </w:rPr>
        <w:t>[8], [28]</w:t>
      </w:r>
      <w:r w:rsidR="00112EEB" w:rsidRPr="00D22B50">
        <w:fldChar w:fldCharType="end"/>
      </w:r>
      <w:r w:rsidRPr="00D22B50">
        <w:t>.</w:t>
      </w:r>
    </w:p>
    <w:p w14:paraId="7858D16E" w14:textId="77777777" w:rsidR="00926E42" w:rsidRPr="00D22B50" w:rsidRDefault="00926E42" w:rsidP="00F61464">
      <w:pPr>
        <w:pStyle w:val="3"/>
        <w:rPr>
          <w:rFonts w:hint="eastAsia"/>
        </w:rPr>
      </w:pPr>
      <w:bookmarkStart w:id="47" w:name="_Toc228641296"/>
      <w:r w:rsidRPr="00D22B50">
        <w:lastRenderedPageBreak/>
        <w:t>4.2.2 The Forget Gate: Deciding What to Discard</w:t>
      </w:r>
      <w:bookmarkEnd w:id="47"/>
    </w:p>
    <w:p w14:paraId="02676113" w14:textId="678DB2E9" w:rsidR="00926E42" w:rsidRPr="00D22B50" w:rsidRDefault="00926E42" w:rsidP="00FA00E5">
      <w:pPr>
        <w:pStyle w:val="af5"/>
        <w:spacing w:before="156" w:after="156"/>
      </w:pPr>
      <w:r w:rsidRPr="00D22B50">
        <w:t>The first step in an LSTM cell is to decide which information from the previous state should be removed from the cell state. This decision is made by the forget gat</w:t>
      </w:r>
      <w:r w:rsidR="00FA00E5" w:rsidRPr="00D22B50">
        <w:rPr>
          <w:rFonts w:hint="eastAsia"/>
        </w:rPr>
        <w:t>e</w:t>
      </w:r>
      <m:oMath>
        <m:sSub>
          <m:sSubPr>
            <m:ctrlPr>
              <w:rPr>
                <w:rFonts w:ascii="Cambria Math" w:hAnsi="Cambria Math"/>
              </w:rPr>
            </m:ctrlPr>
          </m:sSubPr>
          <m:e>
            <m:r>
              <w:rPr>
                <w:rFonts w:ascii="Cambria Math" w:hAnsi="Cambria Math"/>
              </w:rPr>
              <m:t>f</m:t>
            </m:r>
          </m:e>
          <m:sub>
            <m:r>
              <w:rPr>
                <w:rFonts w:ascii="Cambria Math" w:hAnsi="Cambria Math"/>
              </w:rPr>
              <m:t>t</m:t>
            </m:r>
          </m:sub>
        </m:sSub>
      </m:oMath>
      <w:r w:rsidRPr="00D22B50">
        <w:t xml:space="preserve">. It looks at the previous hidden state </w:t>
      </w:r>
      <m:oMath>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hAnsi="Cambria Math"/>
              </w:rPr>
              <m:t>-1</m:t>
            </m:r>
          </m:sub>
        </m:sSub>
      </m:oMath>
      <w:r w:rsidRPr="00D22B50">
        <w:t xml:space="preserve"> and the current input </w:t>
      </w:r>
      <m:oMath>
        <m:sSub>
          <m:sSubPr>
            <m:ctrlPr>
              <w:rPr>
                <w:rFonts w:ascii="Cambria Math" w:hAnsi="Cambria Math"/>
              </w:rPr>
            </m:ctrlPr>
          </m:sSubPr>
          <m:e>
            <m:r>
              <w:rPr>
                <w:rFonts w:ascii="Cambria Math" w:hAnsi="Cambria Math"/>
              </w:rPr>
              <m:t>x</m:t>
            </m:r>
          </m:e>
          <m:sub>
            <m:r>
              <w:rPr>
                <w:rFonts w:ascii="Cambria Math" w:hAnsi="Cambria Math"/>
              </w:rPr>
              <m:t>t</m:t>
            </m:r>
          </m:sub>
        </m:sSub>
      </m:oMath>
      <w:r w:rsidRPr="00D22B50">
        <w:t xml:space="preserve">, and outputs a number between 0 and 1 for each number in the cell state </w:t>
      </w:r>
      <m:oMath>
        <m:sSub>
          <m:sSubPr>
            <m:ctrlPr>
              <w:rPr>
                <w:rFonts w:ascii="Cambria Math" w:hAnsi="Cambria Math"/>
              </w:rPr>
            </m:ctrlPr>
          </m:sSubPr>
          <m:e>
            <m:r>
              <w:rPr>
                <w:rFonts w:ascii="Cambria Math" w:hAnsi="Cambria Math"/>
              </w:rPr>
              <m:t>C</m:t>
            </m:r>
          </m:e>
          <m:sub>
            <m:r>
              <w:rPr>
                <w:rFonts w:ascii="Cambria Math" w:hAnsi="Cambria Math"/>
              </w:rPr>
              <m:t>t</m:t>
            </m:r>
            <m:r>
              <m:rPr>
                <m:sty m:val="p"/>
              </m:rPr>
              <w:rPr>
                <w:rFonts w:ascii="Cambria Math" w:hAnsi="Cambria Math"/>
              </w:rPr>
              <m:t>-1</m:t>
            </m:r>
          </m:sub>
        </m:sSub>
      </m:oMath>
      <w:r w:rsidRPr="00D22B50">
        <w:t xml:space="preserve">. A value of 1 represents </w:t>
      </w:r>
      <w:r w:rsidR="00BD7543">
        <w:t>“</w:t>
      </w:r>
      <w:r w:rsidRPr="00D22B50">
        <w:t>completely keep,</w:t>
      </w:r>
      <w:r w:rsidR="00BD7543">
        <w:t>”</w:t>
      </w:r>
      <w:r w:rsidRPr="00D22B50">
        <w:t xml:space="preserve"> while 0 represents </w:t>
      </w:r>
      <w:r w:rsidR="00BD7543">
        <w:t>“</w:t>
      </w:r>
      <w:r w:rsidRPr="00D22B50">
        <w:t>completely discard.</w:t>
      </w:r>
      <w:r w:rsidR="00BD7543">
        <w:t>”</w:t>
      </w:r>
      <w:r w:rsidRPr="00D22B50">
        <w:t xml:space="preserve"> Mathematically, it is defined as:</w:t>
      </w:r>
    </w:p>
    <w:p w14:paraId="4A96CDFB" w14:textId="6CC9A540" w:rsidR="00926E42" w:rsidRPr="00D22B50" w:rsidRDefault="00926E42" w:rsidP="00926E42">
      <w:pPr>
        <w:rPr>
          <w:rFonts w:hint="eastAsia"/>
        </w:rPr>
      </w:pPr>
      <w:r w:rsidRPr="00D22B50">
        <w:rPr>
          <w:noProof/>
        </w:rPr>
        <w:drawing>
          <wp:inline distT="0" distB="0" distL="0" distR="0" wp14:anchorId="0ED568C3" wp14:editId="2C20B285">
            <wp:extent cx="5039428" cy="924054"/>
            <wp:effectExtent l="0" t="0" r="0" b="9525"/>
            <wp:docPr id="12917078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07844" name=""/>
                    <pic:cNvPicPr/>
                  </pic:nvPicPr>
                  <pic:blipFill>
                    <a:blip r:embed="rId13"/>
                    <a:stretch>
                      <a:fillRect/>
                    </a:stretch>
                  </pic:blipFill>
                  <pic:spPr>
                    <a:xfrm>
                      <a:off x="0" y="0"/>
                      <a:ext cx="5039428" cy="924054"/>
                    </a:xfrm>
                    <a:prstGeom prst="rect">
                      <a:avLst/>
                    </a:prstGeom>
                  </pic:spPr>
                </pic:pic>
              </a:graphicData>
            </a:graphic>
          </wp:inline>
        </w:drawing>
      </w:r>
    </w:p>
    <w:p w14:paraId="544E5488" w14:textId="3F924344" w:rsidR="00926E42" w:rsidRPr="00D22B50" w:rsidRDefault="00926E42" w:rsidP="00FA00E5">
      <w:pPr>
        <w:pStyle w:val="af5"/>
        <w:spacing w:before="156" w:after="156"/>
      </w:pPr>
      <w:r w:rsidRPr="00D22B50">
        <w:t xml:space="preserve">where </w:t>
      </w:r>
      <m:oMath>
        <m:sSub>
          <m:sSubPr>
            <m:ctrlPr>
              <w:rPr>
                <w:rFonts w:ascii="Cambria Math" w:hAnsi="Cambria Math"/>
                <w:i/>
              </w:rPr>
            </m:ctrlPr>
          </m:sSubPr>
          <m:e>
            <m:r>
              <w:rPr>
                <w:rFonts w:ascii="Cambria Math" w:hAnsi="Cambria Math"/>
              </w:rPr>
              <m:t>W</m:t>
            </m:r>
          </m:e>
          <m:sub>
            <m:r>
              <w:rPr>
                <w:rFonts w:ascii="Cambria Math" w:hAnsi="Cambria Math"/>
              </w:rPr>
              <m:t>f</m:t>
            </m:r>
          </m:sub>
        </m:sSub>
      </m:oMath>
      <w:r w:rsidRPr="00D22B50">
        <w:t xml:space="preserve"> and </w:t>
      </w:r>
      <m:oMath>
        <m:sSub>
          <m:sSubPr>
            <m:ctrlPr>
              <w:rPr>
                <w:rFonts w:ascii="Cambria Math" w:hAnsi="Cambria Math"/>
                <w:i/>
              </w:rPr>
            </m:ctrlPr>
          </m:sSubPr>
          <m:e>
            <m:r>
              <w:rPr>
                <w:rFonts w:ascii="Cambria Math" w:hAnsi="Cambria Math"/>
              </w:rPr>
              <m:t>b</m:t>
            </m:r>
          </m:e>
          <m:sub>
            <m:r>
              <w:rPr>
                <w:rFonts w:ascii="Cambria Math" w:hAnsi="Cambria Math"/>
              </w:rPr>
              <m:t>f</m:t>
            </m:r>
          </m:sub>
        </m:sSub>
      </m:oMath>
      <w:r w:rsidRPr="00D22B50">
        <w:t xml:space="preserve"> are the weight matrix and bias vector of the forget gate, respectively, and </w:t>
      </w:r>
      <m:oMath>
        <m:r>
          <w:rPr>
            <w:rFonts w:ascii="Cambria Math" w:hAnsi="Cambria Math"/>
          </w:rPr>
          <m:t>σ</m:t>
        </m:r>
      </m:oMath>
      <w:r w:rsidRPr="00D22B50">
        <w:t xml:space="preserve"> is the sigmoid activation function. In the context of STLF, this gate might learn to </w:t>
      </w:r>
      <w:r w:rsidR="00BD7543">
        <w:t>“</w:t>
      </w:r>
      <w:r w:rsidRPr="00D22B50">
        <w:t>forget</w:t>
      </w:r>
      <w:r w:rsidR="00BD7543">
        <w:t>”</w:t>
      </w:r>
      <w:r w:rsidRPr="00D22B50">
        <w:t xml:space="preserve"> a non-routine consumption spike from the previous day while retaining the baseline trend.</w:t>
      </w:r>
    </w:p>
    <w:p w14:paraId="5C0DC46A" w14:textId="77777777" w:rsidR="00926E42" w:rsidRPr="00D22B50" w:rsidRDefault="00926E42" w:rsidP="00F61464">
      <w:pPr>
        <w:pStyle w:val="3"/>
        <w:rPr>
          <w:rFonts w:hint="eastAsia"/>
        </w:rPr>
      </w:pPr>
      <w:bookmarkStart w:id="48" w:name="_Toc228641297"/>
      <w:r w:rsidRPr="00D22B50">
        <w:t>4.2.3 The Input Gate: Knowledge Synthesis</w:t>
      </w:r>
      <w:bookmarkEnd w:id="48"/>
    </w:p>
    <w:p w14:paraId="1734FCA3" w14:textId="04B706AC" w:rsidR="00926E42" w:rsidRPr="00D22B50" w:rsidRDefault="00926E42" w:rsidP="00FA00E5">
      <w:pPr>
        <w:pStyle w:val="af5"/>
        <w:spacing w:before="156" w:after="156"/>
      </w:pPr>
      <w:r w:rsidRPr="00D22B50">
        <w:t xml:space="preserve">The next step is to decide what new information will be stored in the cell state. This involves two parts. First, the input gate </w:t>
      </w:r>
      <m:oMath>
        <m:sSub>
          <m:sSubPr>
            <m:ctrlPr>
              <w:rPr>
                <w:rFonts w:ascii="Cambria Math" w:hAnsi="Cambria Math"/>
                <w:i/>
              </w:rPr>
            </m:ctrlPr>
          </m:sSubPr>
          <m:e>
            <m:r>
              <w:rPr>
                <w:rFonts w:ascii="Cambria Math" w:hAnsi="Cambria Math"/>
              </w:rPr>
              <m:t>i</m:t>
            </m:r>
          </m:e>
          <m:sub>
            <m:r>
              <w:rPr>
                <w:rFonts w:ascii="Cambria Math" w:hAnsi="Cambria Math"/>
              </w:rPr>
              <m:t>t</m:t>
            </m:r>
          </m:sub>
        </m:sSub>
      </m:oMath>
      <w:r w:rsidRPr="00D22B50">
        <w:t xml:space="preserve"> decides which values will be updated. Second, a </w:t>
      </w:r>
      <m:oMath>
        <m:r>
          <w:rPr>
            <w:rFonts w:ascii="Cambria Math" w:hAnsi="Cambria Math"/>
          </w:rPr>
          <m:t>t</m:t>
        </m:r>
        <m:r>
          <w:rPr>
            <w:rFonts w:ascii="Cambria Math" w:eastAsiaTheme="minorEastAsia" w:hAnsi="Cambria Math"/>
          </w:rPr>
          <m:t>anh</m:t>
        </m:r>
      </m:oMath>
      <w:r w:rsidRPr="00D22B50">
        <w:t xml:space="preserve"> layer creates a vector of new candidate values,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C</m:t>
                </m:r>
              </m:e>
            </m:acc>
          </m:e>
          <m:sub>
            <m:r>
              <w:rPr>
                <w:rFonts w:ascii="Cambria Math" w:hAnsi="Cambria Math"/>
              </w:rPr>
              <m:t>t</m:t>
            </m:r>
          </m:sub>
        </m:sSub>
      </m:oMath>
      <w:r w:rsidRPr="00D22B50">
        <w:t>, that could be added to the state.</w:t>
      </w:r>
    </w:p>
    <w:p w14:paraId="67770018" w14:textId="0D3D4E2D" w:rsidR="00926E42" w:rsidRPr="00D22B50" w:rsidRDefault="00926E42" w:rsidP="00926E42">
      <w:pPr>
        <w:rPr>
          <w:rFonts w:hint="eastAsia"/>
        </w:rPr>
      </w:pPr>
      <w:r w:rsidRPr="00D22B50">
        <w:rPr>
          <w:noProof/>
        </w:rPr>
        <w:drawing>
          <wp:inline distT="0" distB="0" distL="0" distR="0" wp14:anchorId="03ECBD43" wp14:editId="66670D89">
            <wp:extent cx="5274310" cy="1711960"/>
            <wp:effectExtent l="0" t="0" r="2540" b="2540"/>
            <wp:docPr id="19875646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564647" name=""/>
                    <pic:cNvPicPr/>
                  </pic:nvPicPr>
                  <pic:blipFill>
                    <a:blip r:embed="rId14"/>
                    <a:stretch>
                      <a:fillRect/>
                    </a:stretch>
                  </pic:blipFill>
                  <pic:spPr>
                    <a:xfrm>
                      <a:off x="0" y="0"/>
                      <a:ext cx="5274310" cy="1711960"/>
                    </a:xfrm>
                    <a:prstGeom prst="rect">
                      <a:avLst/>
                    </a:prstGeom>
                  </pic:spPr>
                </pic:pic>
              </a:graphicData>
            </a:graphic>
          </wp:inline>
        </w:drawing>
      </w:r>
    </w:p>
    <w:p w14:paraId="0839D699" w14:textId="7D6D5C33" w:rsidR="00926E42" w:rsidRPr="00D22B50" w:rsidRDefault="00926E42" w:rsidP="00FA00E5">
      <w:pPr>
        <w:pStyle w:val="af5"/>
        <w:spacing w:before="156" w:after="156"/>
      </w:pPr>
      <w:r w:rsidRPr="00D22B50">
        <w:t>The cell state is then updated by combining the results of the forget gate and the input gate:</w:t>
      </w:r>
    </w:p>
    <w:p w14:paraId="1AE4708F" w14:textId="5A0C2796" w:rsidR="00926E42" w:rsidRPr="00D22B50" w:rsidRDefault="00926E42" w:rsidP="00926E42">
      <w:pPr>
        <w:rPr>
          <w:rFonts w:hint="eastAsia"/>
        </w:rPr>
      </w:pPr>
      <w:r w:rsidRPr="00D22B50">
        <w:rPr>
          <w:noProof/>
        </w:rPr>
        <w:drawing>
          <wp:inline distT="0" distB="0" distL="0" distR="0" wp14:anchorId="1F577AC3" wp14:editId="7A0D5970">
            <wp:extent cx="4258269" cy="647790"/>
            <wp:effectExtent l="0" t="0" r="9525" b="0"/>
            <wp:docPr id="18750950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95072" name=""/>
                    <pic:cNvPicPr/>
                  </pic:nvPicPr>
                  <pic:blipFill>
                    <a:blip r:embed="rId15"/>
                    <a:stretch>
                      <a:fillRect/>
                    </a:stretch>
                  </pic:blipFill>
                  <pic:spPr>
                    <a:xfrm>
                      <a:off x="0" y="0"/>
                      <a:ext cx="4258269" cy="647790"/>
                    </a:xfrm>
                    <a:prstGeom prst="rect">
                      <a:avLst/>
                    </a:prstGeom>
                  </pic:spPr>
                </pic:pic>
              </a:graphicData>
            </a:graphic>
          </wp:inline>
        </w:drawing>
      </w:r>
    </w:p>
    <w:p w14:paraId="10E0B00F" w14:textId="60A1E5BA" w:rsidR="00926E42" w:rsidRPr="00D22B50" w:rsidRDefault="00926E42" w:rsidP="00FA00E5">
      <w:pPr>
        <w:pStyle w:val="af5"/>
        <w:spacing w:before="156" w:after="156"/>
      </w:pPr>
      <w:r w:rsidRPr="00D22B50">
        <w:t xml:space="preserve">where </w:t>
      </w:r>
      <m:oMath>
        <m:r>
          <w:rPr>
            <w:rFonts w:ascii="Cambria Math" w:hAnsi="Cambria Math"/>
          </w:rPr>
          <m:t>a</m:t>
        </m:r>
        <m:r>
          <w:rPr>
            <w:rFonts w:ascii="Cambria Math" w:eastAsiaTheme="minorEastAsia" w:hAnsi="Cambria Math"/>
          </w:rPr>
          <m:t>st</m:t>
        </m:r>
      </m:oMath>
      <w:r w:rsidRPr="00D22B50">
        <w:t xml:space="preserve"> denotes element-wise multiplication. This operation allows the model to blend historical context with fresh observations, which is critical for adapting to the </w:t>
      </w:r>
      <w:r w:rsidRPr="00D22B50">
        <w:lastRenderedPageBreak/>
        <w:t>volatility of residential energy data.</w:t>
      </w:r>
    </w:p>
    <w:p w14:paraId="16CEEA45" w14:textId="77777777" w:rsidR="00926E42" w:rsidRPr="00D22B50" w:rsidRDefault="00926E42" w:rsidP="00CD2527">
      <w:pPr>
        <w:pStyle w:val="3"/>
        <w:rPr>
          <w:rFonts w:hint="eastAsia"/>
        </w:rPr>
      </w:pPr>
      <w:bookmarkStart w:id="49" w:name="_Toc228641298"/>
      <w:r w:rsidRPr="00D22B50">
        <w:t>4.2.4 The Output Gate: Hidden State Generation</w:t>
      </w:r>
      <w:bookmarkEnd w:id="49"/>
    </w:p>
    <w:p w14:paraId="1AFE2319" w14:textId="1D57BED1" w:rsidR="00926E42" w:rsidRPr="00D22B50" w:rsidRDefault="00926E42" w:rsidP="00FD5995">
      <w:pPr>
        <w:pStyle w:val="af5"/>
        <w:spacing w:before="156" w:after="156"/>
      </w:pPr>
      <w:r w:rsidRPr="00D22B50">
        <w:t xml:space="preserve">Finally, the model must decide what the output (hidden state) will be. The output gate </w:t>
      </w:r>
      <m:oMath>
        <m:sSub>
          <m:sSubPr>
            <m:ctrlPr>
              <w:rPr>
                <w:rFonts w:ascii="Cambria Math" w:hAnsi="Cambria Math"/>
              </w:rPr>
            </m:ctrlPr>
          </m:sSubPr>
          <m:e>
            <m:r>
              <w:rPr>
                <w:rFonts w:ascii="Cambria Math" w:hAnsi="Cambria Math"/>
              </w:rPr>
              <m:t>o</m:t>
            </m:r>
          </m:e>
          <m:sub>
            <m:r>
              <w:rPr>
                <w:rFonts w:ascii="Cambria Math" w:hAnsi="Cambria Math"/>
              </w:rPr>
              <m:t>t</m:t>
            </m:r>
          </m:sub>
        </m:sSub>
      </m:oMath>
      <w:r w:rsidRPr="00D22B50">
        <w:t xml:space="preserve"> filters the updated cell state to produce the hidden state </w:t>
      </w:r>
      <m:oMath>
        <m:sSub>
          <m:sSubPr>
            <m:ctrlPr>
              <w:rPr>
                <w:rFonts w:ascii="Cambria Math" w:hAnsi="Cambria Math"/>
              </w:rPr>
            </m:ctrlPr>
          </m:sSubPr>
          <m:e>
            <m:r>
              <w:rPr>
                <w:rFonts w:ascii="Cambria Math" w:hAnsi="Cambria Math"/>
              </w:rPr>
              <m:t>h</m:t>
            </m:r>
          </m:e>
          <m:sub>
            <m:r>
              <w:rPr>
                <w:rFonts w:ascii="Cambria Math" w:hAnsi="Cambria Math"/>
              </w:rPr>
              <m:t>t</m:t>
            </m:r>
          </m:sub>
        </m:sSub>
      </m:oMath>
      <w:r w:rsidRPr="00D22B50">
        <w:t>, which serves as the model</w:t>
      </w:r>
      <w:r w:rsidR="00BD7543">
        <w:t>’</w:t>
      </w:r>
      <w:r w:rsidRPr="00D22B50">
        <w:t>s prediction for the current step and the input for the next step.</w:t>
      </w:r>
    </w:p>
    <w:p w14:paraId="63CB24A8" w14:textId="3E585A4C" w:rsidR="00926E42" w:rsidRPr="00D22B50" w:rsidRDefault="00926E42" w:rsidP="00926E42">
      <w:pPr>
        <w:rPr>
          <w:rFonts w:hint="eastAsia"/>
        </w:rPr>
      </w:pPr>
      <w:r w:rsidRPr="00D22B50">
        <w:rPr>
          <w:noProof/>
        </w:rPr>
        <w:drawing>
          <wp:inline distT="0" distB="0" distL="0" distR="0" wp14:anchorId="5E8CE99A" wp14:editId="49B57382">
            <wp:extent cx="5274310" cy="2247900"/>
            <wp:effectExtent l="0" t="0" r="2540" b="0"/>
            <wp:docPr id="579097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9746" name=""/>
                    <pic:cNvPicPr/>
                  </pic:nvPicPr>
                  <pic:blipFill>
                    <a:blip r:embed="rId16"/>
                    <a:stretch>
                      <a:fillRect/>
                    </a:stretch>
                  </pic:blipFill>
                  <pic:spPr>
                    <a:xfrm>
                      <a:off x="0" y="0"/>
                      <a:ext cx="5274310" cy="2247900"/>
                    </a:xfrm>
                    <a:prstGeom prst="rect">
                      <a:avLst/>
                    </a:prstGeom>
                  </pic:spPr>
                </pic:pic>
              </a:graphicData>
            </a:graphic>
          </wp:inline>
        </w:drawing>
      </w:r>
    </w:p>
    <w:p w14:paraId="2787C876" w14:textId="51AEC8E6" w:rsidR="002C44EF" w:rsidRPr="00BD23C6" w:rsidRDefault="00926E42" w:rsidP="00BD23C6">
      <w:pPr>
        <w:pStyle w:val="af5"/>
        <w:spacing w:before="156" w:after="156"/>
        <w:rPr>
          <w:rFonts w:eastAsiaTheme="minorEastAsia"/>
        </w:rPr>
      </w:pPr>
      <w:r w:rsidRPr="00D22B50">
        <w:t xml:space="preserve">Through this complex interplay of gates, the LSTM can maintain a sophisticated representation of energy demand. By normalizing inputs as discussed in Section 4.1, </w:t>
      </w:r>
      <w:r w:rsidR="002657F3">
        <w:t xml:space="preserve">I </w:t>
      </w:r>
      <w:r w:rsidRPr="00D22B50">
        <w:t xml:space="preserve">ensure that the inputs to these sigmoid and </w:t>
      </w:r>
      <w:r w:rsidR="00112EEB" w:rsidRPr="00D22B50">
        <w:rPr>
          <w:rFonts w:eastAsiaTheme="minorEastAsia" w:hint="eastAsia"/>
        </w:rPr>
        <w:t>tanh</w:t>
      </w:r>
      <w:r w:rsidRPr="00D22B50">
        <w:t xml:space="preserve"> layers stay within the non-saturated regions, preventing the gradients from vanishing and enabling the robust training required for transfer learning.</w:t>
      </w:r>
    </w:p>
    <w:p w14:paraId="262F9D01" w14:textId="77777777" w:rsidR="00CD2527" w:rsidRPr="00D22B50" w:rsidRDefault="00CD2527" w:rsidP="00CD2527">
      <w:pPr>
        <w:pStyle w:val="2"/>
        <w:rPr>
          <w:rFonts w:hint="eastAsia"/>
        </w:rPr>
      </w:pPr>
      <w:bookmarkStart w:id="50" w:name="_Toc228641299"/>
      <w:r w:rsidRPr="00D22B50">
        <w:t>4.3 The Transformer Architecture for Sequence Modeling</w:t>
      </w:r>
      <w:bookmarkEnd w:id="50"/>
      <w:r w:rsidRPr="00D22B50">
        <w:t xml:space="preserve"> </w:t>
      </w:r>
    </w:p>
    <w:p w14:paraId="49494943" w14:textId="78B8E863" w:rsidR="00CD2527" w:rsidRPr="00D22B50" w:rsidRDefault="00236858" w:rsidP="00FD5995">
      <w:pPr>
        <w:pStyle w:val="af5"/>
        <w:spacing w:before="156" w:after="156"/>
      </w:pPr>
      <w:r w:rsidRPr="00D22B50">
        <w:t xml:space="preserve">To provide a benchmark against widely-used gradient boosting frameworks </w:t>
      </w:r>
      <w:r w:rsidR="00112EEB" w:rsidRPr="00D22B50">
        <w:fldChar w:fldCharType="begin"/>
      </w:r>
      <w:r w:rsidR="00112EEB" w:rsidRPr="00D22B50">
        <w:instrText xml:space="preserve"> ADDIN ZOTERO_ITEM CSL_CITATION {"citationID":"LNra5796","properties":{"formattedCitation":"[29]","plainCitation":"[29]","noteIndex":0},"citationItems":[{"id":609,"uris":["http://zotero.org/users/local/p3tV44H5/items/ELEMIBKD"],"itemData":{"id":609,"type":"paper-conference","container-title":"Advances in Neural Information Processing Systems","publisher":"Curran Associates, Inc.","source":"Neural Information Processing Systems","title":"LightGBM: A Highly Efficient Gradient Boosting Decision Tree","title-short":"LightGBM","URL":"https://proceedings.neurips.cc/paper/2017/hash/6449f44a102fde848669bdd9eb6b76fa-Abstract.html","volume":"30","author":[{"family":"Ke","given":"Guolin"},{"family":"Meng","given":"Qi"},{"family":"Finley","given":"Thomas"},{"family":"Wang","given":"Taifeng"},{"family":"Chen","given":"Wei"},{"family":"Ma","given":"Weidong"},{"family":"Ye","given":"Qiwei"},{"family":"Liu","given":"Tie-Yan"}],"accessed":{"date-parts":[["2026",5,1]]},"issued":{"date-parts":[["2017"]]}}}],"schema":"https://github.com/citation-style-language/schema/raw/master/csl-citation.json"} </w:instrText>
      </w:r>
      <w:r w:rsidR="00112EEB" w:rsidRPr="00D22B50">
        <w:fldChar w:fldCharType="separate"/>
      </w:r>
      <w:r w:rsidR="00112EEB" w:rsidRPr="00D22B50">
        <w:rPr>
          <w:rFonts w:cs="Times New Roman"/>
        </w:rPr>
        <w:t>[29]</w:t>
      </w:r>
      <w:r w:rsidR="00112EEB" w:rsidRPr="00D22B50">
        <w:fldChar w:fldCharType="end"/>
      </w:r>
      <w:r w:rsidRPr="00D22B50">
        <w:t xml:space="preserve"> and the recurrent mechanisms of LSTM, this study incorporates a Transformer-based forecasting framework built upon the self-attention mechanism </w:t>
      </w:r>
      <w:r w:rsidR="00112EEB" w:rsidRPr="00D22B50">
        <w:fldChar w:fldCharType="begin"/>
      </w:r>
      <w:r w:rsidR="00112EEB" w:rsidRPr="00D22B50">
        <w:instrText xml:space="preserve"> ADDIN ZOTERO_ITEM CSL_CITATION {"citationID":"4k882Yho","properties":{"formattedCitation":"[30]","plainCitation":"[30]","noteIndex":0},"citationItems":[{"id":607,"uris":["http://zotero.org/users/local/p3tV44H5/items/INQ4M3TB"],"itemData":{"id":607,"type":"paper-conference","container-title":"Advances in Neural Information Processing Systems","publisher":"Curran Associates, Inc.","source":"Neural Information Processing Systems","title":"Attention is All you Need","URL":"https://proceedings.neurips.cc/paper/2017/hash/3f5ee243547dee91fbd053c1c4a845aa-Abstract.html","volume":"30","author":[{"family":"Vaswani","given":"Ashish"},{"family":"Shazeer","given":"Noam"},{"family":"Parmar","given":"Niki"},{"family":"Uszkoreit","given":"Jakob"},{"family":"Jones","given":"Llion"},{"family":"Gomez","given":"Aidan N"},{"family":"Kaiser","given":"Ł","dropping-particle":"ukasz"},{"family":"Polosukhin","given":"Illia"}],"accessed":{"date-parts":[["2026",5,1]]},"issued":{"date-parts":[["2017"]]}}}],"schema":"https://github.com/citation-style-language/schema/raw/master/csl-citation.json"} </w:instrText>
      </w:r>
      <w:r w:rsidR="00112EEB" w:rsidRPr="00D22B50">
        <w:fldChar w:fldCharType="separate"/>
      </w:r>
      <w:r w:rsidR="00112EEB" w:rsidRPr="00D22B50">
        <w:rPr>
          <w:rFonts w:cs="Times New Roman"/>
        </w:rPr>
        <w:t>[30]</w:t>
      </w:r>
      <w:r w:rsidR="00112EEB" w:rsidRPr="00D22B50">
        <w:fldChar w:fldCharType="end"/>
      </w:r>
      <w:r w:rsidRPr="00D22B50">
        <w:t>.</w:t>
      </w:r>
    </w:p>
    <w:p w14:paraId="1B8C60A4" w14:textId="33CF7354" w:rsidR="00CD2527" w:rsidRPr="00D22B50" w:rsidRDefault="00CD2527" w:rsidP="00FD5995">
      <w:pPr>
        <w:pStyle w:val="af5"/>
        <w:spacing w:before="156" w:after="156"/>
      </w:pPr>
      <w:r w:rsidRPr="00D22B50">
        <w:t xml:space="preserve">The </w:t>
      </w:r>
      <w:r w:rsidR="00CE1344" w:rsidRPr="00D22B50">
        <w:t xml:space="preserve">core of the attention mechanism is the Scaled Dot-Product Attention </w:t>
      </w:r>
      <w:r w:rsidR="00112EEB" w:rsidRPr="00D22B50">
        <w:fldChar w:fldCharType="begin"/>
      </w:r>
      <w:r w:rsidR="00112EEB" w:rsidRPr="00D22B50">
        <w:instrText xml:space="preserve"> ADDIN ZOTERO_ITEM CSL_CITATION {"citationID":"qgi1Lr4w","properties":{"formattedCitation":"[30], [31]","plainCitation":"[30], [31]","noteIndex":0},"citationItems":[{"id":607,"uris":["http://zotero.org/users/local/p3tV44H5/items/INQ4M3TB"],"itemData":{"id":607,"type":"paper-conference","container-title":"Advances in Neural Information Processing Systems","publisher":"Curran Associates, Inc.","source":"Neural Information Processing Systems","title":"Attention is All you Need","URL":"https://proceedings.neurips.cc/paper/2017/hash/3f5ee243547dee91fbd053c1c4a845aa-Abstract.html","volume":"30","author":[{"family":"Vaswani","given":"Ashish"},{"family":"Shazeer","given":"Noam"},{"family":"Parmar","given":"Niki"},{"family":"Uszkoreit","given":"Jakob"},{"family":"Jones","given":"Llion"},{"family":"Gomez","given":"Aidan N"},{"family":"Kaiser","given":"Ł","dropping-particle":"ukasz"},{"family":"Polosukhin","given":"Illia"}],"accessed":{"date-parts":[["2026",5,1]]},"issued":{"date-parts":[["2017"]]}}},{"id":655,"uris":["http://zotero.org/users/local/p3tV44H5/items/GFY7XDE7"],"itemData":{"id":655,"type":"article-journal","abstract":"Attention has arguably become one of the most important concepts in the deep learning ﬁeld. It is inspired by the biological systems of humans that tend to focus on the distinctive parts when processing large amounts of information. With the development of deep neural networks, attention mechanism has been widely used in diverse application domains. This paper aims to give an overview of the state-of-theart attention models proposed in recent years. Toward a better general understanding of attention mechanisms, we deﬁne a uniﬁed model that is suitable for most attention structures. Each step of the attention mechanism implemented in the model is described in detail. Furthermore, we classify existing attention models according to four criteria: the softness of attention, forms of input feature, input representation, and output representation. Besides, we summarize network architectures used in conjunction with the attention mechanism and describe some typical applications of attention mechanism. Finally, we discuss the interpretability that attention brings to deep learning and present its potential future trends.","container-title":"Neurocomputing","DOI":"10.1016/j.neucom.2021.03.091","ISSN":"09252312","journalAbbreviation":"Neurocomputing","language":"en","page":"48-62","source":"DOI.org (Crossref)","title":"A review on the attention mechanism of deep learning","volume":"452","author":[{"family":"Niu","given":"Zhaoyang"},{"family":"Zhong","given":"Guoqiang"},{"family":"Yu","given":"Hui"}],"issued":{"date-parts":[["2021",9]]}}}],"schema":"https://github.com/citation-style-language/schema/raw/master/csl-citation.json"} </w:instrText>
      </w:r>
      <w:r w:rsidR="00112EEB" w:rsidRPr="00D22B50">
        <w:fldChar w:fldCharType="separate"/>
      </w:r>
      <w:r w:rsidR="00112EEB" w:rsidRPr="00D22B50">
        <w:rPr>
          <w:rFonts w:cs="Times New Roman"/>
        </w:rPr>
        <w:t>[30], [31]</w:t>
      </w:r>
      <w:r w:rsidR="00112EEB" w:rsidRPr="00D22B50">
        <w:fldChar w:fldCharType="end"/>
      </w:r>
      <w:r w:rsidRPr="00D22B50">
        <w:t>, defined as:</w:t>
      </w:r>
    </w:p>
    <w:p w14:paraId="3E1AE488" w14:textId="77C39B5A" w:rsidR="00167F1E" w:rsidRPr="00D22B50" w:rsidRDefault="00CD2527" w:rsidP="002C44EF">
      <w:pPr>
        <w:rPr>
          <w:rFonts w:hint="eastAsia"/>
        </w:rPr>
      </w:pPr>
      <w:r w:rsidRPr="00D22B50">
        <w:rPr>
          <w:noProof/>
        </w:rPr>
        <w:drawing>
          <wp:inline distT="0" distB="0" distL="0" distR="0" wp14:anchorId="262BBCFD" wp14:editId="6F077255">
            <wp:extent cx="5274310" cy="965835"/>
            <wp:effectExtent l="0" t="0" r="2540" b="5715"/>
            <wp:docPr id="17450493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49368" name=""/>
                    <pic:cNvPicPr/>
                  </pic:nvPicPr>
                  <pic:blipFill>
                    <a:blip r:embed="rId17"/>
                    <a:stretch>
                      <a:fillRect/>
                    </a:stretch>
                  </pic:blipFill>
                  <pic:spPr>
                    <a:xfrm>
                      <a:off x="0" y="0"/>
                      <a:ext cx="5274310" cy="965835"/>
                    </a:xfrm>
                    <a:prstGeom prst="rect">
                      <a:avLst/>
                    </a:prstGeom>
                  </pic:spPr>
                </pic:pic>
              </a:graphicData>
            </a:graphic>
          </wp:inline>
        </w:drawing>
      </w:r>
    </w:p>
    <w:p w14:paraId="7C86244F" w14:textId="17D9AAE2" w:rsidR="00CD2527" w:rsidRPr="00D22B50" w:rsidRDefault="00CD2527" w:rsidP="00FD5995">
      <w:pPr>
        <w:pStyle w:val="af5"/>
        <w:spacing w:before="156" w:after="156"/>
      </w:pPr>
      <w:r w:rsidRPr="00D22B50">
        <w:t>To preserve temporal order, a sinusoidal Positional Encoding layer is applied to the input embeddings. This architecture allows the model to prioritize specific historical peaks (e.g., the previous day</w:t>
      </w:r>
      <w:r w:rsidR="00BD7543">
        <w:t>’</w:t>
      </w:r>
      <w:r w:rsidRPr="00D22B50">
        <w:t xml:space="preserve">s evening surge) without the information bottleneck </w:t>
      </w:r>
      <w:r w:rsidRPr="00D22B50">
        <w:lastRenderedPageBreak/>
        <w:t>typical of long-range recurrent connections.</w:t>
      </w:r>
    </w:p>
    <w:p w14:paraId="3624F31D" w14:textId="77777777" w:rsidR="00CD2527" w:rsidRPr="00D22B50" w:rsidRDefault="00CD2527" w:rsidP="00CD2527">
      <w:pPr>
        <w:pStyle w:val="2"/>
        <w:rPr>
          <w:rFonts w:hint="eastAsia"/>
        </w:rPr>
      </w:pPr>
      <w:bookmarkStart w:id="51" w:name="_Toc228641300"/>
      <w:r w:rsidRPr="00D22B50">
        <w:t>4.4 Experimental Framework and Comparative Logic</w:t>
      </w:r>
      <w:bookmarkEnd w:id="51"/>
      <w:r w:rsidRPr="00D22B50">
        <w:t xml:space="preserve"> </w:t>
      </w:r>
    </w:p>
    <w:p w14:paraId="6C594D1E" w14:textId="081C0628" w:rsidR="00CD2527" w:rsidRPr="00D22B50" w:rsidRDefault="00CD2527" w:rsidP="00FD5995">
      <w:pPr>
        <w:pStyle w:val="af5"/>
        <w:spacing w:before="156" w:after="156"/>
      </w:pPr>
      <w:r w:rsidRPr="00D22B50">
        <w:t>To rigorously evaluate the efficacy of the proposed system, the methodology implements a two-dimensional comparison protocol:</w:t>
      </w:r>
    </w:p>
    <w:p w14:paraId="22A72025" w14:textId="4E0EE4A9" w:rsidR="00FD5995" w:rsidRPr="00D22B50" w:rsidRDefault="00CD2527" w:rsidP="00FD5995">
      <w:pPr>
        <w:pStyle w:val="af5"/>
        <w:numPr>
          <w:ilvl w:val="0"/>
          <w:numId w:val="16"/>
        </w:numPr>
        <w:spacing w:before="156" w:after="156"/>
      </w:pPr>
      <w:r w:rsidRPr="00D22B50">
        <w:t xml:space="preserve">Transfer Strategy Comparison: For the target users, three strategies are evaluated—Training from Scratch, Direct Transfer (Zero-shot), and Adaptive Fine-tuning. This dimension aims to prove that the </w:t>
      </w:r>
      <w:r w:rsidR="00BD7543">
        <w:t>“</w:t>
      </w:r>
      <w:r w:rsidRPr="00D22B50">
        <w:t>Pre-train + Fine-tune</w:t>
      </w:r>
      <w:r w:rsidR="00BD7543">
        <w:t>”</w:t>
      </w:r>
      <w:r w:rsidRPr="00D22B50">
        <w:t xml:space="preserve"> paradigm is the optimal path for mitigating the cold-start problem.</w:t>
      </w:r>
    </w:p>
    <w:p w14:paraId="77E9A10E" w14:textId="16D2738A" w:rsidR="00CD2527" w:rsidRPr="00D22B50" w:rsidRDefault="00CD2527" w:rsidP="00FD5995">
      <w:pPr>
        <w:pStyle w:val="af5"/>
        <w:numPr>
          <w:ilvl w:val="0"/>
          <w:numId w:val="16"/>
        </w:numPr>
        <w:spacing w:before="156" w:after="156"/>
      </w:pPr>
      <w:r w:rsidRPr="00D22B50">
        <w:t xml:space="preserve">Architectural Comparison (LSTM vs. Transformer): Both models, enhanced with time features and optimized via </w:t>
      </w:r>
      <w:proofErr w:type="spellStart"/>
      <w:r w:rsidRPr="00D22B50">
        <w:t>Optuna</w:t>
      </w:r>
      <w:proofErr w:type="spellEnd"/>
      <w:r w:rsidRPr="00D22B50">
        <w:t>, are subjected to identical cold-start tests.</w:t>
      </w:r>
    </w:p>
    <w:p w14:paraId="24745545" w14:textId="795CE6AF" w:rsidR="00CD2527" w:rsidRPr="00D22B50" w:rsidRDefault="00CD2527" w:rsidP="00FD5995">
      <w:pPr>
        <w:pStyle w:val="af5"/>
        <w:spacing w:before="156" w:after="156"/>
        <w:rPr>
          <w:rFonts w:eastAsiaTheme="minorEastAsia"/>
        </w:rPr>
      </w:pPr>
      <w:r w:rsidRPr="00D22B50">
        <w:t>This dual-track evaluation ensures that the experimental results in Chapter 6 not only validate the migration of knowledge but also identify which mathematical architecture is more robust when faced with the extreme data scarcity (10-day window) of new smart meter installations.</w:t>
      </w:r>
    </w:p>
    <w:p w14:paraId="40C78F9C" w14:textId="4E8603FE" w:rsidR="00167F1E" w:rsidRPr="00D22B50" w:rsidRDefault="00167F1E" w:rsidP="00F61464">
      <w:pPr>
        <w:pStyle w:val="1"/>
        <w:rPr>
          <w:rFonts w:hint="eastAsia"/>
        </w:rPr>
      </w:pPr>
      <w:bookmarkStart w:id="52" w:name="_Toc228641301"/>
      <w:r w:rsidRPr="00D22B50">
        <w:t xml:space="preserve">5: </w:t>
      </w:r>
      <w:bookmarkStart w:id="53" w:name="OLE_LINK1"/>
      <w:r w:rsidRPr="00D22B50">
        <w:t>System Implementation and Computational Framework</w:t>
      </w:r>
      <w:bookmarkEnd w:id="52"/>
    </w:p>
    <w:bookmarkEnd w:id="53"/>
    <w:p w14:paraId="42DD1A8E" w14:textId="77777777" w:rsidR="00167F1E" w:rsidRPr="00D22B50" w:rsidRDefault="00167F1E" w:rsidP="00FD5995">
      <w:pPr>
        <w:pStyle w:val="af5"/>
        <w:spacing w:before="156" w:after="156"/>
      </w:pPr>
      <w:r w:rsidRPr="00D22B50">
        <w:t>The transition from theoretical forecasting paradigms to a functional smart grid intelligence system requires a robust and scalable software architecture. This chapter provides a comprehensive documentation of the Python-based implementation, detailing the modular design of the data pipeline, the neural network construction, and the automated optimization engine.</w:t>
      </w:r>
    </w:p>
    <w:p w14:paraId="37508CFB" w14:textId="77777777" w:rsidR="00167F1E" w:rsidRPr="00D22B50" w:rsidRDefault="00167F1E" w:rsidP="00F61464">
      <w:pPr>
        <w:pStyle w:val="2"/>
        <w:rPr>
          <w:rFonts w:hint="eastAsia"/>
        </w:rPr>
      </w:pPr>
      <w:bookmarkStart w:id="54" w:name="_Toc228641302"/>
      <w:r w:rsidRPr="00D22B50">
        <w:t>5.1 Engineering Philosophy and Modular Architecture</w:t>
      </w:r>
      <w:bookmarkEnd w:id="54"/>
    </w:p>
    <w:p w14:paraId="283D5965" w14:textId="77777777" w:rsidR="00167F1E" w:rsidRPr="00D22B50" w:rsidRDefault="00167F1E" w:rsidP="00FD5995">
      <w:pPr>
        <w:pStyle w:val="af5"/>
        <w:spacing w:before="156" w:after="156"/>
      </w:pPr>
      <w:r w:rsidRPr="00D22B50">
        <w:t xml:space="preserve">The implementation follows a Decoupled Architecture designed for high-performance time-series analytics. By separating the core logic into a dedicated </w:t>
      </w:r>
      <w:proofErr w:type="spellStart"/>
      <w:r w:rsidRPr="00D22B50">
        <w:t>src</w:t>
      </w:r>
      <w:proofErr w:type="spellEnd"/>
      <w:r w:rsidRPr="00D22B50">
        <w:t>/ directory while maintaining executable scripts in the root, the system ensures that the model definitions (model.py) and data encapsulation methods (dataset.py) remain consistent across pre-training, tuning, and evaluation phases. This modularity is essential for academic reproducibility and industrial scalability.</w:t>
      </w:r>
    </w:p>
    <w:p w14:paraId="549B33DC" w14:textId="77777777" w:rsidR="00167F1E" w:rsidRPr="00D22B50" w:rsidRDefault="00167F1E" w:rsidP="00F61464">
      <w:pPr>
        <w:pStyle w:val="3"/>
        <w:rPr>
          <w:rFonts w:hint="eastAsia"/>
        </w:rPr>
      </w:pPr>
      <w:bookmarkStart w:id="55" w:name="_Toc228641303"/>
      <w:r w:rsidRPr="00D22B50">
        <w:lastRenderedPageBreak/>
        <w:t>5.1.1 Technological Stack and Rationale</w:t>
      </w:r>
      <w:bookmarkEnd w:id="55"/>
    </w:p>
    <w:p w14:paraId="56852BF4" w14:textId="19D43064" w:rsidR="00167F1E" w:rsidRPr="00D22B50" w:rsidRDefault="00167F1E" w:rsidP="00FD5995">
      <w:pPr>
        <w:pStyle w:val="af5"/>
        <w:spacing w:before="156" w:after="156"/>
        <w:rPr>
          <w:rFonts w:eastAsiaTheme="minorEastAsia"/>
        </w:rPr>
      </w:pPr>
      <w:r w:rsidRPr="00D22B50">
        <w:t xml:space="preserve">The framework is built using Python 3.10 and </w:t>
      </w:r>
      <w:proofErr w:type="spellStart"/>
      <w:r w:rsidRPr="00D22B50">
        <w:t>PyTorch</w:t>
      </w:r>
      <w:proofErr w:type="spellEnd"/>
      <w:r w:rsidRPr="00D22B50">
        <w:t xml:space="preserve"> 2.x. </w:t>
      </w:r>
      <w:proofErr w:type="spellStart"/>
      <w:r w:rsidRPr="00D22B50">
        <w:t>PyTorch</w:t>
      </w:r>
      <w:proofErr w:type="spellEnd"/>
      <w:r w:rsidRPr="00D22B50">
        <w:t xml:space="preserve"> was selected as the deep learning engine primarily for its support of dynamic computational graphs, which facilitated the precise manipulation of individual layer gradients during the transfer learning phase. For data management, Pandas and NumPy were utilized to perform high-speed vectorized operations on the London Smart Meter dataset. </w:t>
      </w:r>
      <w:proofErr w:type="spellStart"/>
      <w:r w:rsidRPr="00D22B50">
        <w:t>Optuna</w:t>
      </w:r>
      <w:proofErr w:type="spellEnd"/>
      <w:r w:rsidRPr="00D22B50">
        <w:t xml:space="preserve"> was integrated as the primary optimization suite, leveraging its SQLite-backed storage to ensure that extensive hyperparameter searches could be paused, resumed, and audited.</w:t>
      </w:r>
    </w:p>
    <w:p w14:paraId="4DF402F6" w14:textId="77777777" w:rsidR="00167F1E" w:rsidRPr="00D22B50" w:rsidRDefault="00167F1E" w:rsidP="00F61464">
      <w:pPr>
        <w:pStyle w:val="2"/>
        <w:rPr>
          <w:rFonts w:hint="eastAsia"/>
        </w:rPr>
      </w:pPr>
      <w:bookmarkStart w:id="56" w:name="_Toc228641304"/>
      <w:r w:rsidRPr="00D22B50">
        <w:t>5.2 Implementation of the Data Engineering Pipeline</w:t>
      </w:r>
      <w:bookmarkEnd w:id="56"/>
    </w:p>
    <w:p w14:paraId="2522709C" w14:textId="291E4DDE" w:rsidR="00167F1E" w:rsidRPr="00D22B50" w:rsidRDefault="00167F1E" w:rsidP="00FD5995">
      <w:pPr>
        <w:pStyle w:val="af5"/>
        <w:spacing w:before="156" w:after="156"/>
      </w:pPr>
      <w:r w:rsidRPr="00D22B50">
        <w:t xml:space="preserve">The data pipeline, primarily residing in preprocessing.py and </w:t>
      </w:r>
      <w:proofErr w:type="spellStart"/>
      <w:r w:rsidRPr="00D22B50">
        <w:t>src</w:t>
      </w:r>
      <w:proofErr w:type="spellEnd"/>
      <w:r w:rsidRPr="00D22B50">
        <w:t>/dataset.py, is the foundation of the system</w:t>
      </w:r>
      <w:r w:rsidR="00BD7543">
        <w:t>’</w:t>
      </w:r>
      <w:r w:rsidRPr="00D22B50">
        <w:t>s predictive accuracy.</w:t>
      </w:r>
    </w:p>
    <w:p w14:paraId="3546D0F6" w14:textId="77777777" w:rsidR="00167F1E" w:rsidRPr="00D22B50" w:rsidRDefault="00167F1E" w:rsidP="00F61464">
      <w:pPr>
        <w:pStyle w:val="3"/>
        <w:rPr>
          <w:rFonts w:hint="eastAsia"/>
        </w:rPr>
      </w:pPr>
      <w:bookmarkStart w:id="57" w:name="_Toc228641305"/>
      <w:r w:rsidRPr="00D22B50">
        <w:t>5.2.1 Instance Normalization and Preprocessing Logic</w:t>
      </w:r>
      <w:bookmarkEnd w:id="57"/>
    </w:p>
    <w:p w14:paraId="78CB415C" w14:textId="03C11474" w:rsidR="00167F1E" w:rsidRPr="0068507F" w:rsidRDefault="00167F1E" w:rsidP="0068507F">
      <w:pPr>
        <w:pStyle w:val="af5"/>
        <w:spacing w:before="156" w:after="156"/>
      </w:pPr>
      <w:r w:rsidRPr="0068507F">
        <w:t xml:space="preserve">As implemented in preprocessing.py, </w:t>
      </w:r>
      <w:r w:rsidR="0068507F" w:rsidRPr="0068507F">
        <w:t xml:space="preserve">the system performs individual Z-score normalization (Standardization) using the </w:t>
      </w:r>
      <w:proofErr w:type="spellStart"/>
      <w:r w:rsidR="0068507F" w:rsidRPr="0068507F">
        <w:rPr>
          <w:rFonts w:eastAsiaTheme="majorEastAsia"/>
        </w:rPr>
        <w:t>StandardScaler</w:t>
      </w:r>
      <w:proofErr w:type="spellEnd"/>
      <w:r w:rsidR="0068507F" w:rsidRPr="0068507F">
        <w:t xml:space="preserve"> from the Scikit-Learn library. Unlike global scaling methods, each household’s energy series is independently transformed to a zero-mean and unit-variance state.</w:t>
      </w:r>
      <w:r w:rsidRPr="0068507F">
        <w:t xml:space="preserve"> This programmatic choice is critical for residential STLF, as it removes the magnitude bias caused by different household sizes (e.g., apartments vs. large detached homes), allowing the LSTM to focus exclusively on temporal periodicity.</w:t>
      </w:r>
    </w:p>
    <w:p w14:paraId="28975804" w14:textId="77777777" w:rsidR="00167F1E" w:rsidRPr="00D22B50" w:rsidRDefault="00167F1E" w:rsidP="00FD5995">
      <w:pPr>
        <w:pStyle w:val="af5"/>
        <w:spacing w:before="156" w:after="156"/>
      </w:pPr>
      <w:r w:rsidRPr="00D22B50">
        <w:t>The script implements a rigorous cleaning protocol:</w:t>
      </w:r>
    </w:p>
    <w:p w14:paraId="70FC59FF" w14:textId="56EB75D3" w:rsidR="00FD5995" w:rsidRPr="00D22B50" w:rsidRDefault="00167F1E" w:rsidP="00FD5995">
      <w:pPr>
        <w:pStyle w:val="af5"/>
        <w:numPr>
          <w:ilvl w:val="0"/>
          <w:numId w:val="17"/>
        </w:numPr>
        <w:spacing w:before="156" w:after="156"/>
      </w:pPr>
      <w:r w:rsidRPr="00D22B50">
        <w:t xml:space="preserve">Type Conversion: Converting timestamps to </w:t>
      </w:r>
      <w:proofErr w:type="spellStart"/>
      <w:r w:rsidRPr="00D22B50">
        <w:t>pd.to_datetime</w:t>
      </w:r>
      <w:proofErr w:type="spellEnd"/>
      <w:r w:rsidRPr="00D22B50">
        <w:t xml:space="preserve"> and energy readings to numeric formats, with errors</w:t>
      </w:r>
      <w:proofErr w:type="gramStart"/>
      <w:r w:rsidRPr="00D22B50">
        <w:t>=</w:t>
      </w:r>
      <w:r w:rsidR="00BD7543">
        <w:t>‘</w:t>
      </w:r>
      <w:proofErr w:type="gramEnd"/>
      <w:r w:rsidRPr="00D22B50">
        <w:t>coerce</w:t>
      </w:r>
      <w:r w:rsidR="00BD7543">
        <w:t>’</w:t>
      </w:r>
      <w:r w:rsidRPr="00D22B50">
        <w:t xml:space="preserve"> to handle sensor corruption.</w:t>
      </w:r>
    </w:p>
    <w:p w14:paraId="1228181D" w14:textId="77777777" w:rsidR="00FD5995" w:rsidRPr="00D22B50" w:rsidRDefault="00167F1E" w:rsidP="00FD5995">
      <w:pPr>
        <w:pStyle w:val="af5"/>
        <w:numPr>
          <w:ilvl w:val="0"/>
          <w:numId w:val="17"/>
        </w:numPr>
        <w:spacing w:before="156" w:after="156"/>
      </w:pPr>
      <w:r w:rsidRPr="00D22B50">
        <w:t xml:space="preserve">Redundancy Removal: Using </w:t>
      </w:r>
      <w:proofErr w:type="spellStart"/>
      <w:r w:rsidRPr="00D22B50">
        <w:t>drop_duplicates</w:t>
      </w:r>
      <w:proofErr w:type="spellEnd"/>
      <w:r w:rsidRPr="00D22B50">
        <w:t xml:space="preserve"> to ensure that no single time step is over-represented, which would otherwise introduce artificial bias into the sequence learning process.</w:t>
      </w:r>
    </w:p>
    <w:p w14:paraId="7C0E252F" w14:textId="76DCDD70" w:rsidR="00167F1E" w:rsidRPr="00D22B50" w:rsidRDefault="00167F1E" w:rsidP="00FD5995">
      <w:pPr>
        <w:pStyle w:val="af5"/>
        <w:numPr>
          <w:ilvl w:val="0"/>
          <w:numId w:val="17"/>
        </w:numPr>
        <w:spacing w:before="156" w:after="156"/>
      </w:pPr>
      <w:r w:rsidRPr="00D22B50">
        <w:t>Scalability: By processing data in blocks (block_0.csv to block_2.csv), the script maintains a manageable memory footprint during the concatenation phase.</w:t>
      </w:r>
    </w:p>
    <w:p w14:paraId="45B56A5E" w14:textId="77777777" w:rsidR="00167F1E" w:rsidRPr="00D22B50" w:rsidRDefault="00167F1E" w:rsidP="00F61464">
      <w:pPr>
        <w:pStyle w:val="3"/>
        <w:rPr>
          <w:rFonts w:hint="eastAsia"/>
        </w:rPr>
      </w:pPr>
      <w:bookmarkStart w:id="58" w:name="_Toc228641306"/>
      <w:r w:rsidRPr="00D22B50">
        <w:t xml:space="preserve">5.2.2 The </w:t>
      </w:r>
      <w:proofErr w:type="spellStart"/>
      <w:r w:rsidRPr="00D22B50">
        <w:t>SmartMeterDataset</w:t>
      </w:r>
      <w:proofErr w:type="spellEnd"/>
      <w:r w:rsidRPr="00D22B50">
        <w:t xml:space="preserve"> Class and Sliding Window Mechanism</w:t>
      </w:r>
      <w:bookmarkEnd w:id="58"/>
    </w:p>
    <w:p w14:paraId="5BBE805F" w14:textId="07FC35B6" w:rsidR="00167F1E" w:rsidRPr="00D22B50" w:rsidRDefault="00167F1E" w:rsidP="00FD5995">
      <w:pPr>
        <w:pStyle w:val="af5"/>
        <w:spacing w:before="156" w:after="156"/>
      </w:pPr>
      <w:r w:rsidRPr="00D22B50">
        <w:t xml:space="preserve">The class </w:t>
      </w:r>
      <w:proofErr w:type="spellStart"/>
      <w:r w:rsidRPr="00D22B50">
        <w:t>SmartMeterDataset</w:t>
      </w:r>
      <w:proofErr w:type="spellEnd"/>
      <w:r w:rsidRPr="00D22B50">
        <w:t xml:space="preserve"> in src/dataset.py serves as the bridge between raw arrays and </w:t>
      </w:r>
      <w:proofErr w:type="spellStart"/>
      <w:r w:rsidRPr="00D22B50">
        <w:t>PyTorch</w:t>
      </w:r>
      <w:proofErr w:type="spellEnd"/>
      <w:r w:rsidRPr="00D22B50">
        <w:t xml:space="preserve"> tensors. The implementation utilizes a Flattened Indexing Strategy to handle multiple households within a single dataset object. By calculating </w:t>
      </w:r>
      <w:proofErr w:type="spellStart"/>
      <w:r w:rsidRPr="00D22B50">
        <w:t>num_samples</w:t>
      </w:r>
      <w:proofErr w:type="spellEnd"/>
      <w:r w:rsidRPr="00D22B50">
        <w:t xml:space="preserve"> </w:t>
      </w:r>
      <w:r w:rsidRPr="00D22B50">
        <w:lastRenderedPageBreak/>
        <w:t xml:space="preserve">= </w:t>
      </w:r>
      <w:proofErr w:type="spellStart"/>
      <w:r w:rsidRPr="00D22B50">
        <w:t>len</w:t>
      </w:r>
      <w:proofErr w:type="spellEnd"/>
      <w:r w:rsidRPr="00D22B50">
        <w:t xml:space="preserve">(series) - </w:t>
      </w:r>
      <w:proofErr w:type="spellStart"/>
      <w:r w:rsidRPr="00D22B50">
        <w:t>seq_len</w:t>
      </w:r>
      <w:proofErr w:type="spellEnd"/>
      <w:r w:rsidRPr="00D22B50">
        <w:t xml:space="preserve"> - </w:t>
      </w:r>
      <w:proofErr w:type="spellStart"/>
      <w:r w:rsidRPr="00D22B50">
        <w:t>pred_len</w:t>
      </w:r>
      <w:proofErr w:type="spellEnd"/>
      <w:r w:rsidRPr="00D22B50">
        <w:t xml:space="preserve"> + 1, the constructor pre-builds a sample map. This allows for </w:t>
      </w:r>
      <m:oMath>
        <m:r>
          <w:rPr>
            <w:rFonts w:ascii="Cambria Math" w:hAnsi="Cambria Math"/>
          </w:rPr>
          <m:t>O</m:t>
        </m:r>
        <m:r>
          <w:rPr>
            <w:rFonts w:ascii="Cambria Math" w:eastAsiaTheme="minorEastAsia" w:hAnsi="Cambria Math"/>
          </w:rPr>
          <m:t>(1)</m:t>
        </m:r>
      </m:oMath>
      <w:r w:rsidRPr="00D22B50">
        <w:t xml:space="preserve"> access time during the training loop, significantly accelerating the pre-training phase on the 100-user source domain.</w:t>
      </w:r>
    </w:p>
    <w:p w14:paraId="364FAFC1" w14:textId="29D91D40" w:rsidR="00167F1E" w:rsidRPr="00D22B50" w:rsidRDefault="00167F1E" w:rsidP="00FD5995">
      <w:pPr>
        <w:pStyle w:val="af5"/>
        <w:spacing w:before="156" w:after="156"/>
      </w:pPr>
      <w:r w:rsidRPr="00D22B50">
        <w:t>The __</w:t>
      </w:r>
      <w:proofErr w:type="spellStart"/>
      <w:r w:rsidRPr="00D22B50">
        <w:t>getitem</w:t>
      </w:r>
      <w:proofErr w:type="spellEnd"/>
      <w:r w:rsidRPr="00D22B50">
        <w:t xml:space="preserve">__ method ensures that each window is </w:t>
      </w:r>
      <w:proofErr w:type="spellStart"/>
      <w:r w:rsidRPr="00D22B50">
        <w:t>unsqueezed</w:t>
      </w:r>
      <w:proofErr w:type="spellEnd"/>
      <w:r w:rsidRPr="00D22B50">
        <w:t xml:space="preserve"> to fit the</w:t>
      </w:r>
      <w:r w:rsidR="00FD5995" w:rsidRPr="00D22B50">
        <w:rPr>
          <w:rFonts w:eastAsiaTheme="minorEastAsia" w:hint="eastAsia"/>
        </w:rPr>
        <w:t xml:space="preserve"> </w:t>
      </w:r>
      <m:oMath>
        <m:r>
          <w:rPr>
            <w:rFonts w:ascii="Cambria Math" w:eastAsiaTheme="minorEastAsia" w:hAnsi="Cambria Math"/>
          </w:rPr>
          <m:t>(Batch, Se</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len</m:t>
            </m:r>
          </m:sub>
        </m:sSub>
        <m:r>
          <w:rPr>
            <w:rFonts w:ascii="Cambria Math" w:eastAsiaTheme="minorEastAsia" w:hAnsi="Cambria Math"/>
          </w:rPr>
          <m:t>,1)</m:t>
        </m:r>
      </m:oMath>
      <w:r w:rsidRPr="00D22B50">
        <w:t xml:space="preserve"> shape required by the LSTM layers, effectively preparing the feature space for the gating mechanisms discussed in Chapter 4.</w:t>
      </w:r>
    </w:p>
    <w:p w14:paraId="4B3E4ED5" w14:textId="77777777" w:rsidR="00CD2527" w:rsidRPr="00D22B50" w:rsidRDefault="00CD2527" w:rsidP="00CD2527">
      <w:pPr>
        <w:pStyle w:val="3"/>
        <w:rPr>
          <w:rFonts w:hint="eastAsia"/>
        </w:rPr>
      </w:pPr>
      <w:bookmarkStart w:id="59" w:name="_Toc228641307"/>
      <w:r w:rsidRPr="00D22B50">
        <w:t>5.2.3 Implementation of Temporal Feature Fusion</w:t>
      </w:r>
      <w:bookmarkEnd w:id="59"/>
    </w:p>
    <w:p w14:paraId="2A164087" w14:textId="38881A95" w:rsidR="00167F1E" w:rsidRPr="00D22B50" w:rsidRDefault="00CD2527" w:rsidP="00112EEB">
      <w:pPr>
        <w:pStyle w:val="af5"/>
        <w:spacing w:before="156" w:after="156"/>
        <w:rPr>
          <w:rFonts w:eastAsiaTheme="minorEastAsia"/>
        </w:rPr>
      </w:pPr>
      <w:r w:rsidRPr="00D22B50">
        <w:t>As implemented in preprocessing.py and the Smart</w:t>
      </w:r>
      <w:r w:rsidRPr="00D22B50">
        <w:rPr>
          <w:rFonts w:hint="eastAsia"/>
        </w:rPr>
        <w:t xml:space="preserve"> </w:t>
      </w:r>
      <w:r w:rsidRPr="00D22B50">
        <w:t>Meter</w:t>
      </w:r>
      <w:r w:rsidRPr="00D22B50">
        <w:rPr>
          <w:rFonts w:hint="eastAsia"/>
        </w:rPr>
        <w:t xml:space="preserve"> </w:t>
      </w:r>
      <w:r w:rsidRPr="00D22B50">
        <w:t xml:space="preserve">Dataset class within </w:t>
      </w:r>
      <w:proofErr w:type="spellStart"/>
      <w:r w:rsidRPr="00D22B50">
        <w:t>src</w:t>
      </w:r>
      <w:proofErr w:type="spellEnd"/>
      <w:r w:rsidRPr="00D22B50">
        <w:t xml:space="preserve">/dataset.py, the system extends the raw univariate energy series into a multivariate input space. The timestamp index is decomposed into Hour of Day (0-23) and Day of Week (0-6). These temporal covariates are normalized and concatenated with the standardized power consumption data. Programmatically, this transforms the input tensor shape from (Batch, Seq, 1) to (Batch, Seq, 3), ensuring that the model gates and attention heads receive explicit signals regarding the cyclic nature of residential behavior. </w:t>
      </w:r>
    </w:p>
    <w:p w14:paraId="32B64479" w14:textId="77777777" w:rsidR="00167F1E" w:rsidRPr="00D22B50" w:rsidRDefault="00167F1E" w:rsidP="00F61464">
      <w:pPr>
        <w:pStyle w:val="2"/>
        <w:rPr>
          <w:rFonts w:hint="eastAsia"/>
        </w:rPr>
      </w:pPr>
      <w:bookmarkStart w:id="60" w:name="_Toc228641308"/>
      <w:r w:rsidRPr="00D22B50">
        <w:t>5.3 Automated Optimization and Search Space Design</w:t>
      </w:r>
      <w:bookmarkEnd w:id="60"/>
    </w:p>
    <w:p w14:paraId="156DB019" w14:textId="77777777" w:rsidR="00167F1E" w:rsidRPr="00D22B50" w:rsidRDefault="00167F1E" w:rsidP="00FD5995">
      <w:pPr>
        <w:pStyle w:val="af5"/>
        <w:spacing w:before="156" w:after="156"/>
      </w:pPr>
      <w:r w:rsidRPr="00D22B50">
        <w:t>A significant technical contribution of this work is the implementation of a two-stage Bayesian optimization workflow using the tune_pretrain_v2.py script.</w:t>
      </w:r>
    </w:p>
    <w:p w14:paraId="2C097644" w14:textId="77777777" w:rsidR="00167F1E" w:rsidRPr="00D22B50" w:rsidRDefault="00167F1E" w:rsidP="00F61464">
      <w:pPr>
        <w:pStyle w:val="3"/>
        <w:rPr>
          <w:rFonts w:hint="eastAsia"/>
        </w:rPr>
      </w:pPr>
      <w:bookmarkStart w:id="61" w:name="_Toc228641309"/>
      <w:r w:rsidRPr="00D22B50">
        <w:t xml:space="preserve">5.3.1 </w:t>
      </w:r>
      <w:proofErr w:type="spellStart"/>
      <w:r w:rsidRPr="00D22B50">
        <w:t>Optuna</w:t>
      </w:r>
      <w:proofErr w:type="spellEnd"/>
      <w:r w:rsidRPr="00D22B50">
        <w:t xml:space="preserve"> TPE and SQLite Integration</w:t>
      </w:r>
      <w:bookmarkEnd w:id="61"/>
    </w:p>
    <w:p w14:paraId="020AD79D" w14:textId="17F03760" w:rsidR="00167F1E" w:rsidRPr="00D22B50" w:rsidRDefault="00167F1E" w:rsidP="00FD5995">
      <w:pPr>
        <w:pStyle w:val="af5"/>
        <w:spacing w:before="156" w:after="156"/>
      </w:pPr>
      <w:r w:rsidRPr="00D22B50">
        <w:t xml:space="preserve">The system uses the Tree-structured </w:t>
      </w:r>
      <w:proofErr w:type="spellStart"/>
      <w:r w:rsidRPr="00D22B50">
        <w:t>Parzen</w:t>
      </w:r>
      <w:proofErr w:type="spellEnd"/>
      <w:r w:rsidRPr="00D22B50">
        <w:t xml:space="preserve"> Estimator (TPE) algorithm to explore the hyperparameter space. A distinct engineering feature is the use of an SQLite-backed study (</w:t>
      </w:r>
      <w:proofErr w:type="spellStart"/>
      <w:r w:rsidRPr="00D22B50">
        <w:t>pretrain_study.db</w:t>
      </w:r>
      <w:proofErr w:type="spellEnd"/>
      <w:r w:rsidRPr="00D22B50">
        <w:t xml:space="preserve">). This programmatic choice allows the optimization process to be persistent and distributed. </w:t>
      </w:r>
      <w:r w:rsidR="000F2983" w:rsidRPr="00D22B50">
        <w:t xml:space="preserve">In our implementation, the objective(trial) function maps configurations—including stochastic gradient parameters </w:t>
      </w:r>
      <w:r w:rsidR="00112EEB" w:rsidRPr="00D22B50">
        <w:fldChar w:fldCharType="begin"/>
      </w:r>
      <w:r w:rsidR="00112EEB" w:rsidRPr="00D22B50">
        <w:instrText xml:space="preserve"> ADDIN ZOTERO_ITEM CSL_CITATION {"citationID":"KvtYr4ca","properties":{"formattedCitation":"[32]","plainCitation":"[32]","noteIndex":0},"citationItems":[{"id":630,"uris":["http://zotero.org/users/local/p3tV44H5/items/79B9KBFD"],"itemData":{"id":630,"type":"article","abstract":"We introduce Adam, an algorithm for first-order gradient-based optimization of stochastic objective functions, based on adaptive estimates of lower-order moments. The method is straightforward to implement, is computationally efficient, has little memory requirements, is invariant to diagonal rescaling of the gradients, and is well suited for problems that are large in terms of data and/or parameters. The method is also appropriate for non-stationary objectives and problems with very noisy and/or sparse gradients. The hyper-parameters have intuitive interpretations and typically require little tuning. Some connections to related algorithms, on which Adam was inspired, are discussed. We also analyze the theoretical convergence properties of the algorithm and provide a regret bound on the convergence rate that is comparable to the best known results under the online convex optimization framework. Empirical results demonstrate that Adam works well in practice and compares favorably to other stochastic optimization methods. Finally, we discuss AdaMax, a variant of Adam based on the infinity norm.","DOI":"10.48550/arXiv.1412.6980","note":"arXiv:1412.6980 [cs]","number":"arXiv:1412.6980","publisher":"arXiv","source":"arXiv.org","title":"Adam: A Method for Stochastic Optimization","title-short":"Adam","URL":"http://arxiv.org/abs/1412.6980","author":[{"family":"Kingma","given":"Diederik P."},{"family":"Ba","given":"Jimmy"}],"accessed":{"date-parts":[["2026",5,1]]},"issued":{"date-parts":[["2017",1,30]]}}}],"schema":"https://github.com/citation-style-language/schema/raw/master/csl-citation.json"} </w:instrText>
      </w:r>
      <w:r w:rsidR="00112EEB" w:rsidRPr="00D22B50">
        <w:fldChar w:fldCharType="separate"/>
      </w:r>
      <w:r w:rsidR="00112EEB" w:rsidRPr="00D22B50">
        <w:rPr>
          <w:rFonts w:cs="Times New Roman"/>
        </w:rPr>
        <w:t>[32]</w:t>
      </w:r>
      <w:r w:rsidR="00112EEB" w:rsidRPr="00D22B50">
        <w:fldChar w:fldCharType="end"/>
      </w:r>
      <w:r w:rsidR="009B36BC" w:rsidRPr="00D22B50">
        <w:rPr>
          <w:rFonts w:eastAsiaTheme="minorEastAsia" w:hint="eastAsia"/>
        </w:rPr>
        <w:t xml:space="preserve">, </w:t>
      </w:r>
      <w:r w:rsidR="009B36BC" w:rsidRPr="00D22B50">
        <w:rPr>
          <w:rFonts w:eastAsiaTheme="minorEastAsia"/>
        </w:rPr>
        <w:t>decoupled weight decay coefficients</w:t>
      </w:r>
      <w:r w:rsidR="009B36BC" w:rsidRPr="00D22B50">
        <w:rPr>
          <w:rFonts w:eastAsiaTheme="minorEastAsia" w:cs="Times New Roman"/>
          <w:sz w:val="21"/>
        </w:rPr>
        <w:t xml:space="preserve"> </w:t>
      </w:r>
      <w:r w:rsidR="00112EEB" w:rsidRPr="00D22B50">
        <w:rPr>
          <w:rFonts w:eastAsiaTheme="minorEastAsia" w:cs="Times New Roman"/>
          <w:sz w:val="21"/>
        </w:rPr>
        <w:fldChar w:fldCharType="begin"/>
      </w:r>
      <w:r w:rsidR="00112EEB" w:rsidRPr="00D22B50">
        <w:rPr>
          <w:rFonts w:eastAsiaTheme="minorEastAsia" w:cs="Times New Roman"/>
          <w:sz w:val="21"/>
        </w:rPr>
        <w:instrText xml:space="preserve"> ADDIN ZOTERO_ITEM CSL_CITATION {"citationID":"Ri4C6GdF","properties":{"formattedCitation":"[33]","plainCitation":"[33]","noteIndex":0},"citationItems":[{"id":689,"uris":["http://zotero.org/users/local/p3tV44H5/items/U8YNJRZR"],"itemData":{"id":689,"type":"article","abstract":"L$_2$ regularization and weight decay regularization are equivalent for standard stochastic gradient descent (when rescaled by the learning rate), but as we demonstrate this is \\emph{not} the case for adaptive gradient algorithms, such as Adam. While common implementations of these algorithms employ L$_2$ regularization (often calling it \"weight decay\" in what may be misleading due to the inequivalence we expose), we propose a simple modification to recover the original formulation of weight decay regularization by \\emph{decoupling} the weight decay from the optimization steps taken w.r.t. the loss function. We provide empirical evidence that our proposed modification (i) decouples the optimal choice of weight decay factor from the setting of the learning rate for both standard SGD and Adam and (ii) substantially improves Adam's generalization performance, allowing it to compete with SGD with momentum on image classification datasets (on which it was previously typically outperformed by the latter). Our proposed decoupled weight decay has already been adopted by many researchers, and the community has implemented it in TensorFlow and PyTorch; the complete source code for our experiments is available at https://github.com/loshchil/AdamW-and-SGDW","DOI":"10.48550/arXiv.1711.05101","note":"arXiv:1711.05101 [cs]","number":"arXiv:1711.05101","publisher":"arXiv","source":"arXiv.org","title":"Decoupled Weight Decay Regularization","URL":"http://arxiv.org/abs/1711.05101","author":[{"family":"Loshchilov","given":"Ilya"},{"family":"Hutter","given":"Frank"}],"accessed":{"date-parts":[["2026",5,1]]},"issued":{"date-parts":[["2019",1,4]]}}}],"schema":"https://github.com/citation-style-language/schema/raw/master/csl-citation.json"} </w:instrText>
      </w:r>
      <w:r w:rsidR="00112EEB" w:rsidRPr="00D22B50">
        <w:rPr>
          <w:rFonts w:eastAsiaTheme="minorEastAsia" w:cs="Times New Roman"/>
          <w:sz w:val="21"/>
        </w:rPr>
        <w:fldChar w:fldCharType="separate"/>
      </w:r>
      <w:r w:rsidR="00112EEB" w:rsidRPr="00D22B50">
        <w:rPr>
          <w:rFonts w:eastAsia="等线" w:cs="Times New Roman"/>
          <w:sz w:val="21"/>
        </w:rPr>
        <w:t>[33]</w:t>
      </w:r>
      <w:r w:rsidR="00112EEB" w:rsidRPr="00D22B50">
        <w:rPr>
          <w:rFonts w:eastAsiaTheme="minorEastAsia" w:cs="Times New Roman"/>
          <w:sz w:val="21"/>
        </w:rPr>
        <w:fldChar w:fldCharType="end"/>
      </w:r>
      <w:r w:rsidR="000F2983" w:rsidRPr="00D22B50">
        <w:rPr>
          <w:rFonts w:cs="Times New Roman"/>
        </w:rPr>
        <w:t xml:space="preserve"> </w:t>
      </w:r>
      <w:r w:rsidR="000F2983" w:rsidRPr="00D22B50">
        <w:t>and structural hyperparameters</w:t>
      </w:r>
      <w:r w:rsidR="00112EEB" w:rsidRPr="00D22B50">
        <w:fldChar w:fldCharType="begin"/>
      </w:r>
      <w:r w:rsidR="00112EEB" w:rsidRPr="00D22B50">
        <w:instrText xml:space="preserve"> ADDIN ZOTERO_ITEM CSL_CITATION {"citationID":"xTgTREog","properties":{"formattedCitation":"[34], [35]","plainCitation":"[34], [35]","noteIndex":0},"citationItems":[{"id":618,"uris":["http://zotero.org/users/local/p3tV44H5/items/3LRLPFH5"],"itemData":{"id":618,"type":"article-journal","abstract":"Grid search and manual search are the most widely used strategies for hyper-parameter optimization. This paper shows empirically and theoretically that randomly chosen trials are more efﬁcient for hyper-parameter optimization than trials on a grid. Empirical evidence comes from a comparison with a large previous study that used grid search and manual search to conﬁgure neural networks and deep belief networks. Compared with neural networks conﬁgured by a pure grid search, we ﬁnd that random search over the same domain is able to ﬁnd models that are as good or better within a small fraction of the computation time. Granting random search the same computational budget, random search ﬁnds better models by effectively searching a larger, less promising conﬁguration space. Compared with deep belief networks conﬁgured by a thoughtful combination of manual search and grid search, purely random search over the same 32-dimensional conﬁguration space found statistically equal performance on four of seven data sets, and superior performance on one of seven. A Gaussian process analysis of the function from hyper-parameters to validation set performance reveals that for most data sets only a few of the hyper-parameters really matter, but that different hyper-parameters are important on different data sets. This phenomenon makes grid search a poor choice for conﬁguring algorithms for new data sets. Our analysis casts some light on why recent “High Throughput” methods achieve surprising success—they appear to search through a large number of hyper-parameters because most hyper-parameters do not matter much. We anticipate that growing interest in large hierarchical models will place an increasing burden on techniques for hyper-parameter optimization; this work shows that random search is a natural baseline against which to judge progress in the development of adaptive (sequential) hyper-parameter optimization algorithms.","language":"en","source":"Zotero","title":"Random Search for Hyper-Parameter Optimization","author":[{"family":"Bergstra","given":"James"},{"family":"Bergstra","given":"James"},{"family":"Bengio","given":"Yoshua"},{"family":"Bengio","given":"Yoshua"}]}},{"id":621,"uris":["http://zotero.org/users/local/p3tV44H5/items/TWIT6HEK"],"itemData":{"id":621,"type":"chapter","abstract":"Recent interest in complex and computationally expensive machine learning models with many hyperparameters, such as automated machine learning (AutoML) frameworks and deep neural networks, has resulted in a resurgence of research on hyperparameter optimization (HPO). In this chapter, we give an overview of the most prominent approaches for HPO. We first discuss blackbox function optimization methods based on model-free methods and Bayesian optimization. Since the high computational demand of many modern machine learning applications renders pure blackbox optimization extremely costly, we next focus on modern multi-fidelity methods that use (much) cheaper variants of the blackbox function to approximately assess the quality of hyperparameter settings. Lastly, we point to open problems and future research directions.","container-title":"Automated Machine Learning: Methods, Systems, Challenges","DOI":"10.1007/978-3-030-05318-5_1","ISBN":"978-3-030-05318-5","language":"en","page":"3-33","publisher":"Springer International Publishing","publisher-place":"Cham","source":"Springer Link","title":"Hyperparameter Optimization","URL":"https://doi.org/10.1007/978-3-030-05318-5_1","author":[{"family":"Feurer","given":"Matthias"},{"family":"Hutter","given":"Frank"}],"editor":[{"family":"Hutter","given":"Frank"},{"family":"Kotthoff","given":"Lars"},{"family":"Vanschoren","given":"Joaquin"}],"accessed":{"date-parts":[["2026",5,1]]},"issued":{"date-parts":[["2019"]]}}}],"schema":"https://github.com/citation-style-language/schema/raw/master/csl-citation.json"} </w:instrText>
      </w:r>
      <w:r w:rsidR="00112EEB" w:rsidRPr="00D22B50">
        <w:fldChar w:fldCharType="separate"/>
      </w:r>
      <w:r w:rsidR="00112EEB" w:rsidRPr="00D22B50">
        <w:rPr>
          <w:rFonts w:cs="Times New Roman"/>
        </w:rPr>
        <w:t>[34], [35]</w:t>
      </w:r>
      <w:r w:rsidR="00112EEB" w:rsidRPr="00D22B50">
        <w:fldChar w:fldCharType="end"/>
      </w:r>
      <w:r w:rsidR="000F2983" w:rsidRPr="00D22B50">
        <w:t xml:space="preserve">—to the validation MSE of the source domain using principles from sequential computer experiments </w:t>
      </w:r>
      <w:r w:rsidR="00D12D22" w:rsidRPr="00D22B50">
        <w:fldChar w:fldCharType="begin"/>
      </w:r>
      <w:r w:rsidR="00D12D22" w:rsidRPr="00D22B50">
        <w:instrText xml:space="preserve"> ADDIN ZOTERO_ITEM CSL_CITATION {"citationID":"vjVyKVTZ","properties":{"formattedCitation":"[36]","plainCitation":"[36]","noteIndex":0},"citationItems":[{"id":626,"uris":["http://zotero.org/users/local/p3tV44H5/items/8H7FIPC2"],"itemData":{"id":626,"type":"article-journal","language":"en","source":"Zotero","title":"The Design and Analysis of Computer Experiments","author":[{"family":"Santner","given":"Thomas J"},{"family":"Williams","given":"Brian J"},{"family":"Notz","given":"William I"}]}}],"schema":"https://github.com/citation-style-language/schema/raw/master/csl-citation.json"} </w:instrText>
      </w:r>
      <w:r w:rsidR="00D12D22" w:rsidRPr="00D22B50">
        <w:fldChar w:fldCharType="separate"/>
      </w:r>
      <w:r w:rsidR="00D12D22" w:rsidRPr="00D22B50">
        <w:rPr>
          <w:rFonts w:cs="Times New Roman"/>
        </w:rPr>
        <w:t>[36]</w:t>
      </w:r>
      <w:r w:rsidR="00D12D22" w:rsidRPr="00D22B50">
        <w:fldChar w:fldCharType="end"/>
      </w:r>
      <w:r w:rsidR="000F2983" w:rsidRPr="00D22B50">
        <w:t>.</w:t>
      </w:r>
    </w:p>
    <w:p w14:paraId="74FE4B65" w14:textId="77777777" w:rsidR="00167F1E" w:rsidRPr="00D22B50" w:rsidRDefault="00167F1E" w:rsidP="00F61464">
      <w:pPr>
        <w:pStyle w:val="3"/>
        <w:rPr>
          <w:rFonts w:hint="eastAsia"/>
        </w:rPr>
      </w:pPr>
      <w:bookmarkStart w:id="62" w:name="_Toc228641310"/>
      <w:r w:rsidRPr="00D22B50">
        <w:t>5.3.2 Search Space and Convergence Strategy</w:t>
      </w:r>
      <w:bookmarkEnd w:id="62"/>
    </w:p>
    <w:p w14:paraId="6668A6E6" w14:textId="77777777" w:rsidR="00FD5995" w:rsidRPr="00D22B50" w:rsidRDefault="00167F1E" w:rsidP="00FD5995">
      <w:pPr>
        <w:pStyle w:val="af5"/>
        <w:spacing w:before="156" w:after="156"/>
        <w:rPr>
          <w:rFonts w:eastAsiaTheme="minorEastAsia"/>
        </w:rPr>
      </w:pPr>
      <w:r w:rsidRPr="00D22B50">
        <w:t>The search space was programmatically defined to prevent model saturation:</w:t>
      </w:r>
    </w:p>
    <w:p w14:paraId="2A7C9CD8" w14:textId="77777777" w:rsidR="00FD5995" w:rsidRPr="00D22B50" w:rsidRDefault="00167F1E" w:rsidP="00FD5995">
      <w:pPr>
        <w:pStyle w:val="af5"/>
        <w:numPr>
          <w:ilvl w:val="0"/>
          <w:numId w:val="18"/>
        </w:numPr>
        <w:spacing w:before="156" w:after="156"/>
      </w:pPr>
      <w:r w:rsidRPr="00D22B50">
        <w:t>Learning Rate: Explored on a log-scale from 1e^-5 to 1e^-2.</w:t>
      </w:r>
    </w:p>
    <w:p w14:paraId="4D6F99F2" w14:textId="77777777" w:rsidR="00FD5995" w:rsidRPr="00D22B50" w:rsidRDefault="00167F1E" w:rsidP="00FD5995">
      <w:pPr>
        <w:pStyle w:val="af5"/>
        <w:numPr>
          <w:ilvl w:val="0"/>
          <w:numId w:val="18"/>
        </w:numPr>
        <w:spacing w:before="156" w:after="156"/>
      </w:pPr>
      <w:r w:rsidRPr="00D22B50">
        <w:t>Hidden Size: Categorically tested at [64, 128, 256].</w:t>
      </w:r>
    </w:p>
    <w:p w14:paraId="71DF3D43" w14:textId="0CC08233" w:rsidR="00167F1E" w:rsidRPr="00D22B50" w:rsidRDefault="00167F1E" w:rsidP="00FD5995">
      <w:pPr>
        <w:pStyle w:val="af5"/>
        <w:numPr>
          <w:ilvl w:val="0"/>
          <w:numId w:val="18"/>
        </w:numPr>
        <w:spacing w:before="156" w:after="156"/>
      </w:pPr>
      <w:r w:rsidRPr="00D22B50">
        <w:t xml:space="preserve">Weight Decay: Integrated to prevent the pre-trained weights from becoming too </w:t>
      </w:r>
      <w:r w:rsidR="00BD7543">
        <w:t>“</w:t>
      </w:r>
      <w:r w:rsidRPr="00D22B50">
        <w:t>brittle,</w:t>
      </w:r>
      <w:r w:rsidR="00BD7543">
        <w:t>”</w:t>
      </w:r>
      <w:r w:rsidRPr="00D22B50">
        <w:t xml:space="preserve"> ensuring they retain the generality needed for future transfer tasks </w:t>
      </w:r>
      <w:r w:rsidR="00D12D22" w:rsidRPr="00D22B50">
        <w:fldChar w:fldCharType="begin"/>
      </w:r>
      <w:r w:rsidR="00D12D22" w:rsidRPr="00D22B50">
        <w:instrText xml:space="preserve"> ADDIN ZOTERO_ITEM CSL_CITATION {"citationID":"pOeivxJJ","properties":{"formattedCitation":"[16]","plainCitation":"[16]","noteIndex":0},"citationItems":[{"id":575,"uris":["http://zotero.org/users/local/p3tV44H5/items/KGFYWMJL"],"itemData":{"id":575,"type":"paper-conference","abstract":"The purpose of this study is to introduce new design-criteria for next-generation hyperparameter optimization software. The criteria we propose include (1) define-by-run API that allows users to construct the parameter search space dynamically, (2) efficient implementation of both searching and pruning strategies, and (3) easy-to-setup, versatile architecture that can be deployed for various purposes, ranging from scalable distributed computing to light-weight experiment conducted via interactive interface. In order to prove our point, we will introduce Optuna, an optimization software which is a culmination of our effort in the development of a next generation optimization software. As an optimization software designed with define-by-run principle, Optuna is particularly the first of its kind. We will present the design-techniques that became necessary in the development of the software that meets the above criteria, and demonstrate the power of our new design through experimental results and real world applications. Our software is available under the MIT license (https://github.com/pfnet/optuna/).","collection-title":"KDD '19","container-title":"Proceedings of the 25th ACM SIGKDD International Conference on Knowledge Discovery &amp; Data Mining","DOI":"10.1145/3292500.3330701","ISBN":"978-1-4503-6201-6","page":"2623–2631","publisher":"Association for Computing Machinery","publisher-place":"New York, NY, USA","source":"ACM Digital Library","title":"Optuna: A Next-generation Hyperparameter Optimization Framework","title-short":"Optuna","URL":"https://dl.acm.org/doi/10.1145/3292500.3330701","author":[{"family":"Akiba","given":"Takuya"},{"family":"Sano","given":"Shotaro"},{"family":"Yanase","given":"Toshihiko"},{"family":"Ohta","given":"Takeru"},{"family":"Koyama","given":"Masanori"}],"accessed":{"date-parts":[["2026",5,1]]},"issued":{"date-parts":[["2019",7,25]]}}}],"schema":"https://github.com/citation-style-language/schema/raw/master/csl-citation.json"} </w:instrText>
      </w:r>
      <w:r w:rsidR="00D12D22" w:rsidRPr="00D22B50">
        <w:fldChar w:fldCharType="separate"/>
      </w:r>
      <w:r w:rsidR="00D12D22" w:rsidRPr="00D22B50">
        <w:rPr>
          <w:rFonts w:cs="Times New Roman"/>
        </w:rPr>
        <w:t>[16]</w:t>
      </w:r>
      <w:r w:rsidR="00D12D22" w:rsidRPr="00D22B50">
        <w:fldChar w:fldCharType="end"/>
      </w:r>
      <w:r w:rsidRPr="00D22B50">
        <w:t>.</w:t>
      </w:r>
    </w:p>
    <w:p w14:paraId="1C3E392A" w14:textId="4D71C1AA" w:rsidR="00167F1E" w:rsidRPr="00D22B50" w:rsidRDefault="00167F1E" w:rsidP="00FD5995">
      <w:pPr>
        <w:pStyle w:val="af5"/>
        <w:spacing w:before="156" w:after="156"/>
      </w:pPr>
      <w:r w:rsidRPr="00D22B50">
        <w:lastRenderedPageBreak/>
        <w:t>By executing study.</w:t>
      </w:r>
      <w:r w:rsidR="00FD5995" w:rsidRPr="00D22B50">
        <w:rPr>
          <w:rFonts w:eastAsiaTheme="minorEastAsia" w:hint="eastAsia"/>
        </w:rPr>
        <w:t xml:space="preserve"> </w:t>
      </w:r>
      <w:r w:rsidRPr="00D22B50">
        <w:t>optimize(</w:t>
      </w:r>
      <w:proofErr w:type="spellStart"/>
      <w:r w:rsidRPr="00D22B50">
        <w:t>n_trials</w:t>
      </w:r>
      <w:proofErr w:type="spellEnd"/>
      <w:r w:rsidRPr="00D22B50">
        <w:t xml:space="preserve">=20), the system identifies a global optimum that minimizes the source-domain MSE, which is then serialized into </w:t>
      </w:r>
      <w:proofErr w:type="spellStart"/>
      <w:r w:rsidRPr="00D22B50">
        <w:t>best_base_model.pth</w:t>
      </w:r>
      <w:proofErr w:type="spellEnd"/>
      <w:r w:rsidRPr="00D22B50">
        <w:t xml:space="preserve"> for the transfer phase.</w:t>
      </w:r>
    </w:p>
    <w:p w14:paraId="72B7F228" w14:textId="77777777" w:rsidR="00CD2527" w:rsidRPr="00D22B50" w:rsidRDefault="00CD2527" w:rsidP="00CD2527">
      <w:pPr>
        <w:pStyle w:val="3"/>
        <w:rPr>
          <w:rFonts w:hint="eastAsia"/>
        </w:rPr>
      </w:pPr>
      <w:bookmarkStart w:id="63" w:name="_Toc228641311"/>
      <w:r w:rsidRPr="00D22B50">
        <w:t>5.3.3 Multi-Architecture Search Space Design</w:t>
      </w:r>
      <w:bookmarkEnd w:id="63"/>
    </w:p>
    <w:p w14:paraId="15D1E345" w14:textId="77777777" w:rsidR="00CD2527" w:rsidRPr="00D22B50" w:rsidRDefault="00CD2527" w:rsidP="00FD5995">
      <w:pPr>
        <w:pStyle w:val="af5"/>
        <w:spacing w:before="156" w:after="156"/>
      </w:pPr>
      <w:r w:rsidRPr="00D22B50">
        <w:t>To ensure a fair comparison, the optimization engine was expanded via tune_pretrain_Transformer_v2.py. For the Transformer architecture, the search space included architectural-specific parameters:</w:t>
      </w:r>
    </w:p>
    <w:p w14:paraId="6F37DD69" w14:textId="7BCBA092" w:rsidR="00FD5995" w:rsidRPr="00D22B50" w:rsidRDefault="00CD2527" w:rsidP="00FD5995">
      <w:pPr>
        <w:pStyle w:val="af5"/>
        <w:numPr>
          <w:ilvl w:val="0"/>
          <w:numId w:val="19"/>
        </w:numPr>
        <w:spacing w:before="156" w:after="156"/>
      </w:pPr>
      <w:r w:rsidRPr="00D22B50">
        <w:t>Attention Heads (</w:t>
      </w:r>
      <m:oMath>
        <m:sSub>
          <m:sSubPr>
            <m:ctrlPr>
              <w:rPr>
                <w:rFonts w:ascii="Cambria Math" w:hAnsi="Cambria Math"/>
                <w:i/>
              </w:rPr>
            </m:ctrlPr>
          </m:sSubPr>
          <m:e>
            <m:r>
              <w:rPr>
                <w:rFonts w:ascii="Cambria Math" w:hAnsi="Cambria Math"/>
              </w:rPr>
              <m:t>n</m:t>
            </m:r>
          </m:e>
          <m:sub>
            <m:r>
              <w:rPr>
                <w:rFonts w:ascii="Cambria Math" w:hAnsi="Cambria Math"/>
              </w:rPr>
              <m:t>head</m:t>
            </m:r>
          </m:sub>
        </m:sSub>
      </m:oMath>
      <w:r w:rsidRPr="00D22B50">
        <w:t>): Explored in [2, 4, 8]</w:t>
      </w:r>
      <w:r w:rsidRPr="00D22B50">
        <w:rPr>
          <w:rFonts w:hint="eastAsia"/>
        </w:rPr>
        <w:t xml:space="preserve"> </w:t>
      </w:r>
      <w:r w:rsidRPr="00D22B50">
        <w:t>to balance global context capturing with computational overhead.</w:t>
      </w:r>
    </w:p>
    <w:p w14:paraId="514E01C8" w14:textId="0CCC51D4" w:rsidR="00FD5995" w:rsidRPr="00D22B50" w:rsidRDefault="00CD2527" w:rsidP="00FD5995">
      <w:pPr>
        <w:pStyle w:val="af5"/>
        <w:numPr>
          <w:ilvl w:val="0"/>
          <w:numId w:val="19"/>
        </w:numPr>
        <w:spacing w:before="156" w:after="156"/>
      </w:pPr>
      <w:r w:rsidRPr="00D22B50">
        <w:t>Encoder Layers (</w:t>
      </w:r>
      <m:oMath>
        <m:r>
          <w:rPr>
            <w:rFonts w:ascii="Cambria Math" w:hAnsi="Cambria Math"/>
          </w:rPr>
          <m:t>N</m:t>
        </m:r>
      </m:oMath>
      <w:r w:rsidRPr="00D22B50">
        <w:t xml:space="preserve">): Tested between 1 and 3 layers to prevent over-parameterization in small-sample regimes. </w:t>
      </w:r>
    </w:p>
    <w:p w14:paraId="1A23C39F" w14:textId="5CB522FE" w:rsidR="00167F1E" w:rsidRPr="00D22B50" w:rsidRDefault="00CD2527" w:rsidP="00167F1E">
      <w:pPr>
        <w:pStyle w:val="af5"/>
        <w:numPr>
          <w:ilvl w:val="0"/>
          <w:numId w:val="19"/>
        </w:numPr>
        <w:spacing w:before="156" w:after="156"/>
      </w:pPr>
      <w:r w:rsidRPr="00D22B50">
        <w:t>Embedding Dimension (</w:t>
      </w:r>
      <m:oMath>
        <m:sSub>
          <m:sSubPr>
            <m:ctrlPr>
              <w:rPr>
                <w:rFonts w:ascii="Cambria Math" w:hAnsi="Cambria Math"/>
                <w:i/>
              </w:rPr>
            </m:ctrlPr>
          </m:sSubPr>
          <m:e>
            <m:r>
              <w:rPr>
                <w:rFonts w:ascii="Cambria Math" w:hAnsi="Cambria Math"/>
              </w:rPr>
              <m:t>d</m:t>
            </m:r>
          </m:e>
          <m:sub>
            <m:r>
              <w:rPr>
                <w:rFonts w:ascii="Cambria Math" w:hAnsi="Cambria Math"/>
              </w:rPr>
              <m:t>model</m:t>
            </m:r>
          </m:sub>
        </m:sSub>
      </m:oMath>
      <w:r w:rsidRPr="00D22B50">
        <w:t xml:space="preserve">): Fixed at 64 or 128 to maintain consistency with the LSTM hidden sizes. </w:t>
      </w:r>
    </w:p>
    <w:p w14:paraId="6914698D" w14:textId="77777777" w:rsidR="00167F1E" w:rsidRPr="00D22B50" w:rsidRDefault="00167F1E" w:rsidP="00F61464">
      <w:pPr>
        <w:pStyle w:val="2"/>
        <w:rPr>
          <w:rFonts w:hint="eastAsia"/>
        </w:rPr>
      </w:pPr>
      <w:bookmarkStart w:id="64" w:name="_Toc228641312"/>
      <w:r w:rsidRPr="00D22B50">
        <w:t>5.4 Implementation of the Transfer Learning Framework</w:t>
      </w:r>
      <w:bookmarkEnd w:id="64"/>
    </w:p>
    <w:p w14:paraId="4F22284E" w14:textId="77777777" w:rsidR="00167F1E" w:rsidRPr="00D22B50" w:rsidRDefault="00167F1E" w:rsidP="00FD5995">
      <w:pPr>
        <w:pStyle w:val="af5"/>
        <w:spacing w:before="156" w:after="156"/>
      </w:pPr>
      <w:r w:rsidRPr="00D22B50">
        <w:t>The logic for knowledge migration is encapsulated in finetune.py and validated at scale in batch_test.py.</w:t>
      </w:r>
    </w:p>
    <w:p w14:paraId="6C710942" w14:textId="77777777" w:rsidR="00167F1E" w:rsidRPr="00D22B50" w:rsidRDefault="00167F1E" w:rsidP="00F61464">
      <w:pPr>
        <w:pStyle w:val="3"/>
        <w:rPr>
          <w:rFonts w:hint="eastAsia"/>
        </w:rPr>
      </w:pPr>
      <w:bookmarkStart w:id="65" w:name="_Toc228641313"/>
      <w:r w:rsidRPr="00D22B50">
        <w:t>5.4.1 Programmatic Gradient Masking</w:t>
      </w:r>
      <w:bookmarkEnd w:id="65"/>
    </w:p>
    <w:p w14:paraId="1DC04BD6" w14:textId="77777777" w:rsidR="00330796" w:rsidRPr="00D22B50" w:rsidRDefault="00330796" w:rsidP="00FD5995">
      <w:pPr>
        <w:pStyle w:val="af5"/>
        <w:spacing w:before="156" w:after="156"/>
      </w:pPr>
      <w:r w:rsidRPr="00D22B50">
        <w:t>A core feature of the transfer learning framework is its ability to perform Selective Gradient Masking across different backbones.</w:t>
      </w:r>
    </w:p>
    <w:p w14:paraId="3C67763A" w14:textId="77777777" w:rsidR="00FD5995" w:rsidRPr="00D22B50" w:rsidRDefault="00330796" w:rsidP="00FD5995">
      <w:pPr>
        <w:pStyle w:val="af5"/>
        <w:numPr>
          <w:ilvl w:val="0"/>
          <w:numId w:val="20"/>
        </w:numPr>
        <w:spacing w:before="156" w:after="156"/>
      </w:pPr>
      <w:r w:rsidRPr="00D22B50">
        <w:t xml:space="preserve">LSTM Path: The recurrent weights are locked using </w:t>
      </w:r>
      <w:proofErr w:type="spellStart"/>
      <w:proofErr w:type="gramStart"/>
      <w:r w:rsidRPr="00D22B50">
        <w:t>param.requires</w:t>
      </w:r>
      <w:proofErr w:type="gramEnd"/>
      <w:r w:rsidRPr="00D22B50">
        <w:t>_grad</w:t>
      </w:r>
      <w:proofErr w:type="spellEnd"/>
      <w:r w:rsidRPr="00D22B50">
        <w:t xml:space="preserve"> = False, preserving the long-term temporal dependencies learned from the 100-user source domain.</w:t>
      </w:r>
    </w:p>
    <w:p w14:paraId="257A5735" w14:textId="7E05B7C2" w:rsidR="0012673C" w:rsidRPr="00D22B50" w:rsidRDefault="00330796" w:rsidP="00FD5995">
      <w:pPr>
        <w:pStyle w:val="af5"/>
        <w:numPr>
          <w:ilvl w:val="0"/>
          <w:numId w:val="20"/>
        </w:numPr>
        <w:spacing w:before="156" w:after="156"/>
      </w:pPr>
      <w:r w:rsidRPr="00D22B50">
        <w:t xml:space="preserve">Transformer Path: The </w:t>
      </w:r>
      <w:proofErr w:type="spellStart"/>
      <w:r w:rsidRPr="00D22B50">
        <w:t>transformer_encoder</w:t>
      </w:r>
      <w:proofErr w:type="spellEnd"/>
      <w:r w:rsidRPr="00D22B50">
        <w:t xml:space="preserve"> modules are similarly frozen. This forces the optimization process to occur exclusively in the final linear projection layers, effectively repurposing the pre-trained self-attention representations for the specific energy fingerprint of the new target user</w:t>
      </w:r>
      <w:r w:rsidR="0012673C" w:rsidRPr="00D22B50">
        <w:t>.</w:t>
      </w:r>
    </w:p>
    <w:p w14:paraId="617064D1" w14:textId="77777777" w:rsidR="0012673C" w:rsidRPr="00D22B50" w:rsidRDefault="0012673C" w:rsidP="00F61464">
      <w:pPr>
        <w:pStyle w:val="3"/>
        <w:rPr>
          <w:rFonts w:hint="eastAsia"/>
        </w:rPr>
      </w:pPr>
      <w:bookmarkStart w:id="66" w:name="_Toc228641314"/>
      <w:r w:rsidRPr="00D22B50">
        <w:t>5.4.2 Comparative Evaluation and Multi-Strategy Testing</w:t>
      </w:r>
      <w:bookmarkEnd w:id="66"/>
    </w:p>
    <w:p w14:paraId="2FD89A97" w14:textId="65DAF322" w:rsidR="0012673C" w:rsidRPr="00D22B50" w:rsidRDefault="0012673C" w:rsidP="00FD5995">
      <w:pPr>
        <w:pStyle w:val="af5"/>
        <w:spacing w:before="156" w:after="156"/>
      </w:pPr>
      <w:r w:rsidRPr="00D22B50">
        <w:t xml:space="preserve">To ensure scientific </w:t>
      </w:r>
      <w:proofErr w:type="spellStart"/>
      <w:r w:rsidRPr="00D22B50">
        <w:t>rigour</w:t>
      </w:r>
      <w:proofErr w:type="spellEnd"/>
      <w:r w:rsidRPr="00D22B50">
        <w:t xml:space="preserve">, batch_test.py implements a Parallel Triple-Strategy Evaluation. For each of the </w:t>
      </w:r>
      <w:r w:rsidR="00723FDC" w:rsidRPr="00D22B50">
        <w:t>30</w:t>
      </w:r>
      <w:r w:rsidRPr="00D22B50">
        <w:t xml:space="preserve"> test households, the system simultaneously executes:</w:t>
      </w:r>
    </w:p>
    <w:p w14:paraId="493AA06C" w14:textId="77777777" w:rsidR="00FD5995" w:rsidRPr="00D22B50" w:rsidRDefault="0012673C" w:rsidP="00FD5995">
      <w:pPr>
        <w:pStyle w:val="af5"/>
        <w:numPr>
          <w:ilvl w:val="0"/>
          <w:numId w:val="21"/>
        </w:numPr>
        <w:spacing w:before="156" w:after="156"/>
      </w:pPr>
      <w:r w:rsidRPr="00D22B50">
        <w:t>Direct Transfer: Loading weights and predicting immediately (Zero-shot).</w:t>
      </w:r>
    </w:p>
    <w:p w14:paraId="7B970493" w14:textId="77777777" w:rsidR="00FD5995" w:rsidRPr="00D22B50" w:rsidRDefault="0012673C" w:rsidP="00FD5995">
      <w:pPr>
        <w:pStyle w:val="af5"/>
        <w:numPr>
          <w:ilvl w:val="0"/>
          <w:numId w:val="21"/>
        </w:numPr>
        <w:spacing w:before="156" w:after="156"/>
      </w:pPr>
      <w:r w:rsidRPr="00D22B50">
        <w:t xml:space="preserve">Adaptive Fine-tuning: Loading weights, freezing LSTM layers, and training for 15 </w:t>
      </w:r>
      <w:r w:rsidRPr="00D22B50">
        <w:lastRenderedPageBreak/>
        <w:t>epochs.</w:t>
      </w:r>
    </w:p>
    <w:p w14:paraId="047D0306" w14:textId="0978D52E" w:rsidR="0012673C" w:rsidRPr="00D22B50" w:rsidRDefault="0012673C" w:rsidP="00FD5995">
      <w:pPr>
        <w:pStyle w:val="af5"/>
        <w:numPr>
          <w:ilvl w:val="0"/>
          <w:numId w:val="21"/>
        </w:numPr>
        <w:spacing w:before="156" w:after="156"/>
      </w:pPr>
      <w:r w:rsidRPr="00D22B50">
        <w:t>Scratch Training: Initializing a new model and training for 30 epochs without any prior knowledge.</w:t>
      </w:r>
    </w:p>
    <w:p w14:paraId="00D7BDF8" w14:textId="41BA8219" w:rsidR="0012673C" w:rsidRPr="00D22B50" w:rsidRDefault="0012673C" w:rsidP="00FD5995">
      <w:pPr>
        <w:pStyle w:val="af5"/>
        <w:spacing w:before="156" w:after="156"/>
        <w:rPr>
          <w:rFonts w:eastAsiaTheme="minorEastAsia"/>
        </w:rPr>
      </w:pPr>
      <w:r w:rsidRPr="00D22B50">
        <w:t xml:space="preserve">This implementation allows for the direct calculation of the Transfer Gain, providing the empirical data for the </w:t>
      </w:r>
      <w:r w:rsidR="00BD7543">
        <w:t>“</w:t>
      </w:r>
      <w:r w:rsidRPr="00D22B50">
        <w:t>Performance Ladder</w:t>
      </w:r>
      <w:r w:rsidR="00BD7543">
        <w:t>”</w:t>
      </w:r>
      <w:r w:rsidRPr="00D22B50">
        <w:t xml:space="preserve"> discussed in Chapter 6.</w:t>
      </w:r>
    </w:p>
    <w:p w14:paraId="6F9F79AE" w14:textId="77777777" w:rsidR="0012673C" w:rsidRPr="00D22B50" w:rsidRDefault="0012673C" w:rsidP="00F61464">
      <w:pPr>
        <w:pStyle w:val="2"/>
        <w:rPr>
          <w:rFonts w:hint="eastAsia"/>
        </w:rPr>
      </w:pPr>
      <w:bookmarkStart w:id="67" w:name="_Toc228641315"/>
      <w:r w:rsidRPr="00D22B50">
        <w:t>5.5 Computational Performance and Metrics Implementation</w:t>
      </w:r>
      <w:bookmarkEnd w:id="67"/>
    </w:p>
    <w:p w14:paraId="540BF6F5" w14:textId="77777777" w:rsidR="0012673C" w:rsidRPr="00D22B50" w:rsidRDefault="0012673C" w:rsidP="00FD5995">
      <w:pPr>
        <w:pStyle w:val="af5"/>
        <w:spacing w:before="156" w:after="156"/>
      </w:pPr>
      <w:r w:rsidRPr="00D22B50">
        <w:t>The final component of the engineering framework is the automated metrics engine.</w:t>
      </w:r>
    </w:p>
    <w:p w14:paraId="6A0DE5D9" w14:textId="77777777" w:rsidR="0012673C" w:rsidRPr="00D22B50" w:rsidRDefault="0012673C" w:rsidP="00F61464">
      <w:pPr>
        <w:pStyle w:val="3"/>
        <w:rPr>
          <w:rFonts w:hint="eastAsia"/>
        </w:rPr>
      </w:pPr>
      <w:bookmarkStart w:id="68" w:name="_Toc228641316"/>
      <w:r w:rsidRPr="00D22B50">
        <w:t>5.5.1 Robust Metric Calculation</w:t>
      </w:r>
      <w:bookmarkEnd w:id="68"/>
    </w:p>
    <w:p w14:paraId="3237B5A9" w14:textId="77777777" w:rsidR="0012673C" w:rsidRPr="00D22B50" w:rsidRDefault="0012673C" w:rsidP="00FD5995">
      <w:pPr>
        <w:pStyle w:val="af5"/>
        <w:spacing w:before="156" w:after="156"/>
      </w:pPr>
      <w:r w:rsidRPr="00D22B50">
        <w:t xml:space="preserve">The </w:t>
      </w:r>
      <w:proofErr w:type="spellStart"/>
      <w:r w:rsidRPr="00D22B50">
        <w:t>get_metrics</w:t>
      </w:r>
      <w:proofErr w:type="spellEnd"/>
      <w:r w:rsidRPr="00D22B50">
        <w:t xml:space="preserve"> function in batch_test.py provides a standardized implementation of MSE, RMSE, and MAPE. A key engineering detail is the inclusion of epsilon = 1e-5 in the MAPE calculation:</w:t>
      </w:r>
    </w:p>
    <w:p w14:paraId="3642337A" w14:textId="77777777" w:rsidR="0012673C" w:rsidRPr="00D22B50" w:rsidRDefault="0012673C" w:rsidP="0012673C">
      <w:pPr>
        <w:rPr>
          <w:rFonts w:ascii="Consolas" w:hAnsi="Consolas"/>
        </w:rPr>
      </w:pPr>
      <w:proofErr w:type="spellStart"/>
      <w:r w:rsidRPr="00D22B50">
        <w:rPr>
          <w:rFonts w:ascii="Consolas" w:hAnsi="Consolas"/>
        </w:rPr>
        <w:t>mape</w:t>
      </w:r>
      <w:proofErr w:type="spellEnd"/>
      <w:r w:rsidRPr="00D22B50">
        <w:rPr>
          <w:rFonts w:ascii="Consolas" w:hAnsi="Consolas"/>
        </w:rPr>
        <w:t xml:space="preserve"> = </w:t>
      </w:r>
      <w:proofErr w:type="spellStart"/>
      <w:proofErr w:type="gramStart"/>
      <w:r w:rsidRPr="00D22B50">
        <w:rPr>
          <w:rFonts w:ascii="Consolas" w:hAnsi="Consolas"/>
        </w:rPr>
        <w:t>np.mean</w:t>
      </w:r>
      <w:proofErr w:type="spellEnd"/>
      <w:proofErr w:type="gramEnd"/>
      <w:r w:rsidRPr="00D22B50">
        <w:rPr>
          <w:rFonts w:ascii="Consolas" w:hAnsi="Consolas"/>
        </w:rPr>
        <w:t>(</w:t>
      </w:r>
      <w:proofErr w:type="spellStart"/>
      <w:proofErr w:type="gramStart"/>
      <w:r w:rsidRPr="00D22B50">
        <w:rPr>
          <w:rFonts w:ascii="Consolas" w:hAnsi="Consolas"/>
        </w:rPr>
        <w:t>np.abs</w:t>
      </w:r>
      <w:proofErr w:type="spellEnd"/>
      <w:r w:rsidRPr="00D22B50">
        <w:rPr>
          <w:rFonts w:ascii="Consolas" w:hAnsi="Consolas"/>
        </w:rPr>
        <w:t>(</w:t>
      </w:r>
      <w:proofErr w:type="gramEnd"/>
      <w:r w:rsidRPr="00D22B50">
        <w:rPr>
          <w:rFonts w:ascii="Consolas" w:hAnsi="Consolas"/>
        </w:rPr>
        <w:t>(actuals - preds) / (</w:t>
      </w:r>
      <w:proofErr w:type="spellStart"/>
      <w:r w:rsidRPr="00D22B50">
        <w:rPr>
          <w:rFonts w:ascii="Consolas" w:hAnsi="Consolas"/>
        </w:rPr>
        <w:t>np.abs</w:t>
      </w:r>
      <w:proofErr w:type="spellEnd"/>
      <w:r w:rsidRPr="00D22B50">
        <w:rPr>
          <w:rFonts w:ascii="Consolas" w:hAnsi="Consolas"/>
        </w:rPr>
        <w:t>(actuals) + epsilon))) * 100</w:t>
      </w:r>
    </w:p>
    <w:p w14:paraId="29F485D5" w14:textId="4534AFB9" w:rsidR="0012673C" w:rsidRPr="00D22B50" w:rsidRDefault="0012673C" w:rsidP="00FD5995">
      <w:pPr>
        <w:pStyle w:val="af5"/>
        <w:spacing w:before="156" w:after="156"/>
      </w:pPr>
      <w:r w:rsidRPr="00D22B50">
        <w:t xml:space="preserve">This addition prevents the script from crashing due to Zero-Division Errors, which are common in Z-score normalized datasets where the energy reading often nears the population mean. This implementation detail directly supports the theoretical discussion on the </w:t>
      </w:r>
      <w:r w:rsidR="00BD7543">
        <w:t>“</w:t>
      </w:r>
      <w:r w:rsidRPr="00D22B50">
        <w:t>MAPE Anomaly</w:t>
      </w:r>
      <w:r w:rsidR="00BD7543">
        <w:t>”</w:t>
      </w:r>
      <w:r w:rsidRPr="00D22B50">
        <w:t xml:space="preserve"> in Chapter 6.4 </w:t>
      </w:r>
      <w:r w:rsidR="00D12D22" w:rsidRPr="00D22B50">
        <w:fldChar w:fldCharType="begin"/>
      </w:r>
      <w:r w:rsidR="00D12D22" w:rsidRPr="00D22B50">
        <w:instrText xml:space="preserve"> ADDIN ZOTERO_ITEM CSL_CITATION {"citationID":"nmX02yHu","properties":{"formattedCitation":"[37]","plainCitation":"[37]","noteIndex":0},"citationItems":[{"id":570,"uris":["http://zotero.org/users/local/p3tV44H5/items/2VCBRUTA"],"itemData":{"id":570,"type":"article-journal","abstract":"Load forecasting has been a fundamental business problem since the inception of the electric power industry. Over the past 100 plus years, both research efforts and industry practices in this area have focused primarily on point load forecasting. In the most recent decade, though, the increased market competition, aging infrastructure and renewable integration requirements mean that probabilistic load forecasting has become more and more important to energy systems planning and operations. This paper offers a tutorial review of probabilistic electric load forecasting, including notable techniques, methodologies and evaluation methods, and common misunderstandings. We also underline the need to invest in additional research, such as reproducible case studies, probabilistic load forecast evaluation and valuation, and a consideration of emerging technologies and energy policies in the probabilistic load forecasting process.","container-title":"International Journal of Forecasting","DOI":"10.1016/j.ijforecast.2015.11.011","ISSN":"01692070","issue":"3","journalAbbreviation":"International Journal of Forecasting","language":"en","page":"914-938","source":"DOI.org (Crossref)","title":"Probabilistic electric load forecasting: A tutorial review","title-short":"Probabilistic electric load forecasting","volume":"32","author":[{"family":"Hong","given":"Tao"},{"family":"Fan","given":"Shu"}],"issued":{"date-parts":[["2016",7]]}}}],"schema":"https://github.com/citation-style-language/schema/raw/master/csl-citation.json"} </w:instrText>
      </w:r>
      <w:r w:rsidR="00D12D22" w:rsidRPr="00D22B50">
        <w:fldChar w:fldCharType="separate"/>
      </w:r>
      <w:r w:rsidR="00D12D22" w:rsidRPr="00D22B50">
        <w:rPr>
          <w:rFonts w:cs="Times New Roman"/>
        </w:rPr>
        <w:t>[37]</w:t>
      </w:r>
      <w:r w:rsidR="00D12D22" w:rsidRPr="00D22B50">
        <w:fldChar w:fldCharType="end"/>
      </w:r>
      <w:r w:rsidRPr="00D22B50">
        <w:t>.</w:t>
      </w:r>
    </w:p>
    <w:p w14:paraId="24BF0BBB" w14:textId="77777777" w:rsidR="0012673C" w:rsidRPr="00D22B50" w:rsidRDefault="0012673C" w:rsidP="00F61464">
      <w:pPr>
        <w:pStyle w:val="3"/>
        <w:rPr>
          <w:rFonts w:hint="eastAsia"/>
        </w:rPr>
      </w:pPr>
      <w:bookmarkStart w:id="69" w:name="_Toc228641317"/>
      <w:r w:rsidRPr="00D22B50">
        <w:t xml:space="preserve">5.5.2 Visualization and Result </w:t>
      </w:r>
      <w:proofErr w:type="spellStart"/>
      <w:r w:rsidRPr="00D22B50">
        <w:t>Persistance</w:t>
      </w:r>
      <w:bookmarkEnd w:id="69"/>
      <w:proofErr w:type="spellEnd"/>
    </w:p>
    <w:p w14:paraId="5031C61F" w14:textId="77777777" w:rsidR="0012673C" w:rsidRPr="00D22B50" w:rsidRDefault="0012673C" w:rsidP="00FD5995">
      <w:pPr>
        <w:rPr>
          <w:rFonts w:hint="eastAsia"/>
        </w:rPr>
      </w:pPr>
      <w:r w:rsidRPr="00D22B50">
        <w:t>The system is programmed to automatically generate visual diagnostics. Upon completion of a batch test, the script produces:</w:t>
      </w:r>
    </w:p>
    <w:p w14:paraId="06364DF8" w14:textId="770E9DA3" w:rsidR="00FD5995" w:rsidRPr="00D22B50" w:rsidRDefault="0012673C" w:rsidP="00FD5995">
      <w:pPr>
        <w:pStyle w:val="a9"/>
        <w:numPr>
          <w:ilvl w:val="0"/>
          <w:numId w:val="22"/>
        </w:numPr>
        <w:rPr>
          <w:rFonts w:hint="eastAsia"/>
        </w:rPr>
      </w:pPr>
      <w:r w:rsidRPr="00D22B50">
        <w:t>batch_evaluation_full_metrics.csv: A row-by-row breakdown of every household</w:t>
      </w:r>
      <w:r w:rsidR="00BD7543">
        <w:t>’</w:t>
      </w:r>
      <w:r w:rsidRPr="00D22B50">
        <w:t>s performance across all three strategies.</w:t>
      </w:r>
    </w:p>
    <w:p w14:paraId="79B08E4E" w14:textId="55C874D1" w:rsidR="0012673C" w:rsidRPr="00D22B50" w:rsidRDefault="0012673C" w:rsidP="00FD5995">
      <w:pPr>
        <w:pStyle w:val="a9"/>
        <w:numPr>
          <w:ilvl w:val="0"/>
          <w:numId w:val="22"/>
        </w:numPr>
        <w:rPr>
          <w:rFonts w:hint="eastAsia"/>
        </w:rPr>
      </w:pPr>
      <w:r w:rsidRPr="00D22B50">
        <w:t>batch_mse_comparison.png: A box-and-whisker plot that visualizes the error distribution and confirms the variance reduction provided by the transfer learning framework.</w:t>
      </w:r>
    </w:p>
    <w:p w14:paraId="07CE067A" w14:textId="77777777" w:rsidR="00330796" w:rsidRPr="00D22B50" w:rsidRDefault="00330796" w:rsidP="00330796">
      <w:pPr>
        <w:pStyle w:val="3"/>
        <w:rPr>
          <w:rFonts w:hint="eastAsia"/>
        </w:rPr>
      </w:pPr>
      <w:bookmarkStart w:id="70" w:name="_Toc228641318"/>
      <w:r w:rsidRPr="00D22B50">
        <w:rPr>
          <w:rFonts w:hint="eastAsia"/>
        </w:rPr>
        <w:t>5.5.3 Automated Comparative Reporting</w:t>
      </w:r>
      <w:bookmarkEnd w:id="70"/>
    </w:p>
    <w:p w14:paraId="2C546ACA" w14:textId="52645BF7" w:rsidR="002C44EF" w:rsidRPr="00D22B50" w:rsidRDefault="00330796" w:rsidP="00FD5995">
      <w:pPr>
        <w:pStyle w:val="af5"/>
        <w:spacing w:before="156" w:after="156"/>
      </w:pPr>
      <w:r w:rsidRPr="00D22B50">
        <w:rPr>
          <w:rFonts w:hint="eastAsia"/>
        </w:rPr>
        <w:t xml:space="preserve">The final implementation utilizes batch_test_lstm_vs_transformer.py to automate the benchmarking process. For each of the 30 target households, the script executes six concurrent experimental threads (3*strategies * 2*architectures). The system persists the fine-grained metrics into batch_evaluation_full_metrics.csv and final_comparison_results.csv, enabling the generation of the </w:t>
      </w:r>
      <w:r w:rsidR="00BD7543">
        <w:t>“</w:t>
      </w:r>
      <w:r w:rsidRPr="00D22B50">
        <w:rPr>
          <w:rFonts w:hint="eastAsia"/>
        </w:rPr>
        <w:t>Performance Ladder</w:t>
      </w:r>
      <w:r w:rsidR="00BD7543">
        <w:t>”</w:t>
      </w:r>
      <w:r w:rsidRPr="00D22B50">
        <w:rPr>
          <w:rFonts w:hint="eastAsia"/>
        </w:rPr>
        <w:t xml:space="preserve"> visualizations used for empirical validation in</w:t>
      </w:r>
      <w:r w:rsidRPr="00D22B50">
        <w:rPr>
          <w:rFonts w:hint="eastAsia"/>
          <w:color w:val="EE0000"/>
        </w:rPr>
        <w:t xml:space="preserve"> </w:t>
      </w:r>
      <w:r w:rsidRPr="00BD7543">
        <w:rPr>
          <w:rFonts w:hint="eastAsia"/>
          <w:color w:val="000000" w:themeColor="text1"/>
        </w:rPr>
        <w:t>Chapter 6.</w:t>
      </w:r>
    </w:p>
    <w:p w14:paraId="61376638" w14:textId="2B9404F4" w:rsidR="00CE06BF" w:rsidRPr="00D22B50" w:rsidRDefault="00CE06BF" w:rsidP="00CE06BF">
      <w:pPr>
        <w:pStyle w:val="1"/>
        <w:rPr>
          <w:rFonts w:hint="eastAsia"/>
        </w:rPr>
      </w:pPr>
      <w:bookmarkStart w:id="71" w:name="_Toc228641319"/>
      <w:r w:rsidRPr="00D22B50">
        <w:lastRenderedPageBreak/>
        <w:t>6. Results</w:t>
      </w:r>
      <w:bookmarkEnd w:id="71"/>
    </w:p>
    <w:p w14:paraId="2559643D" w14:textId="77777777" w:rsidR="00CE06BF" w:rsidRPr="00D22B50" w:rsidRDefault="00CE06BF" w:rsidP="00CE06BF">
      <w:pPr>
        <w:pStyle w:val="2"/>
        <w:rPr>
          <w:rFonts w:hint="eastAsia"/>
        </w:rPr>
      </w:pPr>
      <w:bookmarkStart w:id="72" w:name="_Toc228641320"/>
      <w:r w:rsidRPr="00D22B50">
        <w:t>6.1 Comprehensive Quantitative Analysis</w:t>
      </w:r>
      <w:bookmarkEnd w:id="72"/>
      <w:r w:rsidRPr="00D22B50">
        <w:t xml:space="preserve"> </w:t>
      </w:r>
    </w:p>
    <w:p w14:paraId="71672F3B" w14:textId="4E5610B2" w:rsidR="00CE06BF" w:rsidRPr="00D22B50" w:rsidRDefault="00CE06BF" w:rsidP="00FD5995">
      <w:pPr>
        <w:pStyle w:val="af5"/>
        <w:spacing w:before="156" w:after="156"/>
      </w:pPr>
      <w:r w:rsidRPr="00D22B50">
        <w:t xml:space="preserve">The experimental phase of this research involved a rigorous comparative evaluation of the proposed transfer learning framework across 30 distinct residential households from the London Smart Meter dataset. The primary objective was to measure the effectiveness of knowledge migration in mitigating performance degradation during the </w:t>
      </w:r>
      <w:r w:rsidR="00BD7543">
        <w:t>“</w:t>
      </w:r>
      <w:r w:rsidRPr="00D22B50">
        <w:t>cold start</w:t>
      </w:r>
      <w:r w:rsidR="00BD7543">
        <w:t>”</w:t>
      </w:r>
      <w:r w:rsidRPr="00D22B50">
        <w:t xml:space="preserve"> period. Unlike previous studies that often focus on a single architecture, this assessment executes a </w:t>
      </w:r>
      <w:r w:rsidR="00BD7543">
        <w:t>“</w:t>
      </w:r>
      <w:r w:rsidRPr="00D22B50">
        <w:t>head-to-head</w:t>
      </w:r>
      <w:r w:rsidR="00BD7543">
        <w:t>”</w:t>
      </w:r>
      <w:r w:rsidRPr="00D22B50">
        <w:t xml:space="preserve"> benchmark between two foundational deep learning backbones: the</w:t>
      </w:r>
      <w:r w:rsidR="00BD07A4">
        <w:rPr>
          <w:rFonts w:eastAsiaTheme="minorEastAsia" w:hint="eastAsia"/>
        </w:rPr>
        <w:t xml:space="preserve"> </w:t>
      </w:r>
      <w:r w:rsidRPr="00D22B50">
        <w:t xml:space="preserve">LSTM network and the Transformer architecture. To ensure scientific validity, these 30 households were selected to represent a diverse spectrum of consumption behaviors, ranging from stable base-load patterns to highly erratic, non-periodic usage. </w:t>
      </w:r>
    </w:p>
    <w:p w14:paraId="1E8BD7AE" w14:textId="77777777" w:rsidR="00CE06BF" w:rsidRPr="00D22B50" w:rsidRDefault="00CE06BF" w:rsidP="00CE06BF">
      <w:pPr>
        <w:pStyle w:val="3"/>
        <w:rPr>
          <w:rFonts w:hint="eastAsia"/>
        </w:rPr>
      </w:pPr>
      <w:bookmarkStart w:id="73" w:name="_Toc228641321"/>
      <w:r w:rsidRPr="00D22B50">
        <w:t>6.1.1 Experimental Configuration and the 10-Day Window</w:t>
      </w:r>
      <w:bookmarkEnd w:id="73"/>
      <w:r w:rsidRPr="00D22B50">
        <w:t xml:space="preserve"> </w:t>
      </w:r>
    </w:p>
    <w:p w14:paraId="75DE01C1" w14:textId="643C9D88" w:rsidR="00CE06BF" w:rsidRDefault="00CE06BF" w:rsidP="00FD5995">
      <w:pPr>
        <w:pStyle w:val="af5"/>
        <w:spacing w:before="156" w:after="156"/>
        <w:rPr>
          <w:rFonts w:eastAsiaTheme="minorEastAsia"/>
        </w:rPr>
      </w:pPr>
      <w:r w:rsidRPr="00D22B50">
        <w:t xml:space="preserve">To establish a robust baseline for the cold-start problem, each experimental trial was conducted under a strictly constrained 10-day historical window (N=480 observations). In the field of residential energy analytics, this window represents the </w:t>
      </w:r>
      <w:r w:rsidR="00BD7543">
        <w:t>“</w:t>
      </w:r>
      <w:r w:rsidRPr="00D22B50">
        <w:t>critical zone</w:t>
      </w:r>
      <w:r w:rsidR="00BD7543">
        <w:t>”</w:t>
      </w:r>
      <w:r w:rsidRPr="00D22B50">
        <w:t xml:space="preserve"> where parameter-heavy models typically fail to converge. With only 480 discrete data points, the high-dimensional weight matrices of both LSTM and Transformer architectures are prone to severe over-parameterization and catastrophic overfitting. By isolating this specific window, the experiment directly evaluates the capacity of the transfer learning framework to substitute missing local history with generalized temporal priors extracted from the source domain. </w:t>
      </w:r>
    </w:p>
    <w:p w14:paraId="18A25203" w14:textId="3451B2BE" w:rsidR="004A210D" w:rsidRPr="004A210D" w:rsidRDefault="004A210D" w:rsidP="00FD5995">
      <w:pPr>
        <w:pStyle w:val="af5"/>
        <w:spacing w:before="156" w:after="156"/>
        <w:rPr>
          <w:rFonts w:eastAsiaTheme="minorEastAsia" w:hint="eastAsia"/>
        </w:rPr>
      </w:pPr>
      <w:r w:rsidRPr="004A210D">
        <w:rPr>
          <w:rFonts w:eastAsiaTheme="minorEastAsia"/>
        </w:rPr>
        <w:t xml:space="preserve">In this study, the forecasting horizon is set to a single time step ahead (i.e., 30 minutes). Specifically, the models utilize a historical look-back window of </w:t>
      </w:r>
      <w:proofErr w:type="gramStart"/>
      <w:r w:rsidRPr="004A210D">
        <w:rPr>
          <w:rFonts w:eastAsiaTheme="minorEastAsia"/>
        </w:rPr>
        <w:t>96 time</w:t>
      </w:r>
      <w:proofErr w:type="gramEnd"/>
      <w:r w:rsidRPr="004A210D">
        <w:rPr>
          <w:rFonts w:eastAsiaTheme="minorEastAsia"/>
        </w:rPr>
        <w:t xml:space="preserve"> steps (48 hours) to predict the electrical load of the immediately following half-hour interval. This single-step setup is highly relevant for real-time grid balancing and ultra-short-term demand-side management.</w:t>
      </w:r>
    </w:p>
    <w:p w14:paraId="60F63742" w14:textId="77777777" w:rsidR="00CE06BF" w:rsidRPr="00D22B50" w:rsidRDefault="00CE06BF" w:rsidP="00CE06BF">
      <w:pPr>
        <w:pStyle w:val="3"/>
        <w:rPr>
          <w:rFonts w:hint="eastAsia"/>
        </w:rPr>
      </w:pPr>
      <w:bookmarkStart w:id="74" w:name="_Toc228641322"/>
      <w:r w:rsidRPr="00D22B50">
        <w:t>6.1.2 Definition of Forecasting Strategies and Architectures</w:t>
      </w:r>
      <w:bookmarkEnd w:id="74"/>
      <w:r w:rsidRPr="00D22B50">
        <w:t xml:space="preserve"> </w:t>
      </w:r>
    </w:p>
    <w:p w14:paraId="60B2B96A" w14:textId="592F324B" w:rsidR="00CE06BF" w:rsidRPr="00D22B50" w:rsidRDefault="00CE06BF" w:rsidP="00FD5995">
      <w:pPr>
        <w:pStyle w:val="af5"/>
        <w:spacing w:before="156" w:after="156"/>
      </w:pPr>
      <w:r w:rsidRPr="00D22B50">
        <w:t xml:space="preserve">This study evaluates three primary forecasting strategies across two distinct neural architectures to provide a multi-dimensional performance ladder: </w:t>
      </w:r>
    </w:p>
    <w:p w14:paraId="10587990" w14:textId="37768792" w:rsidR="00FD5995" w:rsidRPr="00D22B50" w:rsidRDefault="00CE06BF" w:rsidP="00FD5995">
      <w:pPr>
        <w:pStyle w:val="af5"/>
        <w:numPr>
          <w:ilvl w:val="0"/>
          <w:numId w:val="23"/>
        </w:numPr>
        <w:spacing w:before="156" w:after="156"/>
      </w:pPr>
      <w:r w:rsidRPr="00D22B50">
        <w:t xml:space="preserve">Training from Scratch: </w:t>
      </w:r>
      <w:r w:rsidR="000F2983" w:rsidRPr="00D22B50">
        <w:t>The model is initialized with a randomized Xavier distribution to ensure stable gradient variance in the initial epochs [34],</w:t>
      </w:r>
      <w:r w:rsidRPr="00D22B50">
        <w:t xml:space="preserve"> and trained exclusively on the 10-day target data, serving as the </w:t>
      </w:r>
      <w:r w:rsidR="00BD7543">
        <w:t>“</w:t>
      </w:r>
      <w:r w:rsidRPr="00D22B50">
        <w:t>naive</w:t>
      </w:r>
      <w:r w:rsidR="00BD7543">
        <w:t>”</w:t>
      </w:r>
      <w:r w:rsidRPr="00D22B50">
        <w:t xml:space="preserve"> baseline. </w:t>
      </w:r>
    </w:p>
    <w:p w14:paraId="15CF343C" w14:textId="4B5E6833" w:rsidR="00FD5995" w:rsidRPr="00D22B50" w:rsidRDefault="00CE06BF" w:rsidP="00FD5995">
      <w:pPr>
        <w:pStyle w:val="af5"/>
        <w:numPr>
          <w:ilvl w:val="0"/>
          <w:numId w:val="23"/>
        </w:numPr>
        <w:spacing w:before="156" w:after="156"/>
      </w:pPr>
      <w:r w:rsidRPr="00D22B50">
        <w:t xml:space="preserve">Zero-shot Direct Transfer: The pre-trained source model is applied directly to the target household without any local weight updates, measuring the </w:t>
      </w:r>
      <w:r w:rsidR="00BD7543">
        <w:t>“</w:t>
      </w:r>
      <w:r w:rsidRPr="00D22B50">
        <w:t xml:space="preserve">Temporal </w:t>
      </w:r>
      <w:r w:rsidRPr="00D22B50">
        <w:lastRenderedPageBreak/>
        <w:t>Universality</w:t>
      </w:r>
      <w:r w:rsidR="00BD7543">
        <w:t>”</w:t>
      </w:r>
      <w:r w:rsidRPr="00D22B50">
        <w:t xml:space="preserve"> of the learned features. </w:t>
      </w:r>
    </w:p>
    <w:p w14:paraId="14B3A14F" w14:textId="38747F37" w:rsidR="00CE06BF" w:rsidRPr="00D22B50" w:rsidRDefault="00CE06BF" w:rsidP="00FD5995">
      <w:pPr>
        <w:pStyle w:val="af5"/>
        <w:numPr>
          <w:ilvl w:val="0"/>
          <w:numId w:val="23"/>
        </w:numPr>
        <w:spacing w:before="156" w:after="156"/>
      </w:pPr>
      <w:r w:rsidRPr="00D22B50">
        <w:t xml:space="preserve">Adaptive Fine-tuning: The methodology utilizes pre-trained weights as an informed starting point, followed by the selective retraining of final layers using the 10-day local history to achieve </w:t>
      </w:r>
      <w:r w:rsidR="00BD7543">
        <w:t>“</w:t>
      </w:r>
      <w:r w:rsidRPr="00D22B50">
        <w:t>knowledge localization</w:t>
      </w:r>
      <w:r w:rsidR="00BD7543">
        <w:t>”</w:t>
      </w:r>
      <w:r w:rsidRPr="00D22B50">
        <w:t xml:space="preserve">. </w:t>
      </w:r>
    </w:p>
    <w:p w14:paraId="4A400347" w14:textId="77777777" w:rsidR="00CE06BF" w:rsidRPr="00D22B50" w:rsidRDefault="00CE06BF" w:rsidP="00FD5995">
      <w:pPr>
        <w:pStyle w:val="af5"/>
        <w:spacing w:before="156" w:after="156"/>
      </w:pPr>
      <w:r w:rsidRPr="00D22B50">
        <w:t xml:space="preserve">Both the LSTM (representing recurrence-based modeling) and the Transformer (representing attention-based modeling) underwent identical Bayesian hyperparameter optimization via the </w:t>
      </w:r>
      <w:proofErr w:type="spellStart"/>
      <w:r w:rsidRPr="00D22B50">
        <w:t>Optuna</w:t>
      </w:r>
      <w:proofErr w:type="spellEnd"/>
      <w:r w:rsidRPr="00D22B50">
        <w:t xml:space="preserve"> framework before being subjected to these three strategies. </w:t>
      </w:r>
    </w:p>
    <w:p w14:paraId="14CAA1BF" w14:textId="77777777" w:rsidR="00CE06BF" w:rsidRPr="00D22B50" w:rsidRDefault="00CE06BF" w:rsidP="00CE06BF">
      <w:pPr>
        <w:pStyle w:val="3"/>
        <w:rPr>
          <w:rFonts w:hint="eastAsia"/>
        </w:rPr>
      </w:pPr>
      <w:bookmarkStart w:id="75" w:name="_Toc228641323"/>
      <w:r w:rsidRPr="00D22B50">
        <w:t>6.1.3 Evaluation Protocol and Metrics</w:t>
      </w:r>
      <w:bookmarkEnd w:id="75"/>
      <w:r w:rsidRPr="00D22B50">
        <w:t xml:space="preserve"> </w:t>
      </w:r>
    </w:p>
    <w:p w14:paraId="3CABE5E4" w14:textId="492BE32E" w:rsidR="00CE06BF" w:rsidRPr="00D22B50" w:rsidRDefault="00CE06BF" w:rsidP="00FD5995">
      <w:pPr>
        <w:pStyle w:val="af5"/>
        <w:spacing w:before="156" w:after="156"/>
      </w:pPr>
      <w:r w:rsidRPr="00D22B50">
        <w:t xml:space="preserve">To ensure a comprehensive assessment of predictive accuracy and robustness, performance was quantified using Mean Squared Error (MSE), Root Mean Square Error (RMSE), and Mean Absolute Percentage Error (MAPE). All experiments were implemented using the </w:t>
      </w:r>
      <w:proofErr w:type="spellStart"/>
      <w:r w:rsidRPr="00D22B50">
        <w:t>PyTorch</w:t>
      </w:r>
      <w:proofErr w:type="spellEnd"/>
      <w:r w:rsidRPr="00D22B50">
        <w:t xml:space="preserve"> framework. Given the zero-centered nature of the standardized dataset, relative improvements in these metrics are prioritized over absolute values to determine the framework</w:t>
      </w:r>
      <w:r w:rsidR="00BD7543">
        <w:t>’</w:t>
      </w:r>
      <w:r w:rsidRPr="00D22B50">
        <w:t xml:space="preserve">s </w:t>
      </w:r>
      <w:r w:rsidR="00BD7543">
        <w:t>“</w:t>
      </w:r>
      <w:r w:rsidRPr="00D22B50">
        <w:t>Day 1</w:t>
      </w:r>
      <w:r w:rsidR="00BD7543">
        <w:t>”</w:t>
      </w:r>
      <w:r w:rsidRPr="00D22B50">
        <w:t xml:space="preserve"> utility for smart grid operators. </w:t>
      </w:r>
    </w:p>
    <w:p w14:paraId="299F3CF0" w14:textId="77777777" w:rsidR="00CE06BF" w:rsidRPr="00D22B50" w:rsidRDefault="00CE06BF" w:rsidP="00CE06BF">
      <w:pPr>
        <w:rPr>
          <w:rFonts w:hint="eastAsia"/>
        </w:rPr>
      </w:pPr>
    </w:p>
    <w:p w14:paraId="5CF1863F" w14:textId="70D6BE85" w:rsidR="00CE06BF" w:rsidRPr="00D22B50" w:rsidRDefault="00CE06BF" w:rsidP="00CE06BF">
      <w:pPr>
        <w:pStyle w:val="2"/>
        <w:rPr>
          <w:rFonts w:hint="eastAsia"/>
        </w:rPr>
      </w:pPr>
      <w:bookmarkStart w:id="76" w:name="_Toc228641324"/>
      <w:r w:rsidRPr="00D22B50">
        <w:t xml:space="preserve">6.2 The Mechanism of the </w:t>
      </w:r>
      <w:r w:rsidR="00BD7543">
        <w:t>“</w:t>
      </w:r>
      <w:r w:rsidRPr="00D22B50">
        <w:t>Performance Ladder</w:t>
      </w:r>
      <w:r w:rsidR="00BD7543">
        <w:t>”</w:t>
      </w:r>
      <w:bookmarkEnd w:id="76"/>
      <w:r w:rsidRPr="00D22B50">
        <w:t xml:space="preserve"> </w:t>
      </w:r>
    </w:p>
    <w:p w14:paraId="38B80E88" w14:textId="65C802C4" w:rsidR="00CE06BF" w:rsidRDefault="00CE06BF" w:rsidP="00FD5995">
      <w:pPr>
        <w:pStyle w:val="af5"/>
        <w:spacing w:before="156" w:after="156"/>
        <w:rPr>
          <w:rFonts w:eastAsiaTheme="minorEastAsia"/>
        </w:rPr>
      </w:pPr>
      <w:r w:rsidRPr="00D22B50">
        <w:t xml:space="preserve">A detailed investigation into the individual results of the 30 test households reveals what </w:t>
      </w:r>
      <w:r w:rsidR="002657F3">
        <w:t xml:space="preserve">I </w:t>
      </w:r>
      <w:r w:rsidRPr="00D22B50">
        <w:t xml:space="preserve">define as the </w:t>
      </w:r>
      <w:r w:rsidR="00BD7543">
        <w:t>“</w:t>
      </w:r>
      <w:r w:rsidRPr="00D22B50">
        <w:t>performance ladder.</w:t>
      </w:r>
      <w:r w:rsidR="00BD7543">
        <w:t>”</w:t>
      </w:r>
      <w:r w:rsidRPr="00D22B50">
        <w:t xml:space="preserve"> This hierarchical progression demonstrates that the proposed framework consistently elevates forecasting accuracy as it transitions from isolated learning to integrated knowledge migration. In the majority of cases, the Fine-tuning model significantly outperformed the Scratch-training model, validating the stability of the transfer process.</w:t>
      </w:r>
      <w:r w:rsidR="00B37033">
        <w:rPr>
          <w:rFonts w:eastAsiaTheme="minorEastAsia" w:hint="eastAsia"/>
        </w:rPr>
        <w:t xml:space="preserve"> The results as Fig 1:</w:t>
      </w:r>
      <w:r w:rsidR="00B37033">
        <w:rPr>
          <w:rFonts w:eastAsiaTheme="minorEastAsia"/>
        </w:rPr>
        <w:br/>
      </w:r>
      <w:r w:rsidR="00B37033">
        <w:rPr>
          <w:noProof/>
        </w:rPr>
        <w:drawing>
          <wp:inline distT="0" distB="0" distL="0" distR="0" wp14:anchorId="3969656C" wp14:editId="3CF53327">
            <wp:extent cx="5274310" cy="2807652"/>
            <wp:effectExtent l="0" t="0" r="2540" b="0"/>
            <wp:docPr id="18181640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t="11286"/>
                    <a:stretch>
                      <a:fillRect/>
                    </a:stretch>
                  </pic:blipFill>
                  <pic:spPr bwMode="auto">
                    <a:xfrm>
                      <a:off x="0" y="0"/>
                      <a:ext cx="5274310" cy="2807652"/>
                    </a:xfrm>
                    <a:prstGeom prst="rect">
                      <a:avLst/>
                    </a:prstGeom>
                    <a:noFill/>
                    <a:ln>
                      <a:noFill/>
                    </a:ln>
                    <a:extLst>
                      <a:ext uri="{53640926-AAD7-44D8-BBD7-CCE9431645EC}">
                        <a14:shadowObscured xmlns:a14="http://schemas.microsoft.com/office/drawing/2010/main"/>
                      </a:ext>
                    </a:extLst>
                  </pic:spPr>
                </pic:pic>
              </a:graphicData>
            </a:graphic>
          </wp:inline>
        </w:drawing>
      </w:r>
    </w:p>
    <w:p w14:paraId="533E8A59" w14:textId="709977C3" w:rsidR="00B37033" w:rsidRPr="00B37033" w:rsidRDefault="00B37033" w:rsidP="00B37033">
      <w:pPr>
        <w:pStyle w:val="af5"/>
        <w:spacing w:before="156" w:after="156"/>
        <w:jc w:val="center"/>
        <w:rPr>
          <w:rFonts w:eastAsiaTheme="minorEastAsia"/>
          <w:sz w:val="21"/>
          <w:szCs w:val="20"/>
        </w:rPr>
      </w:pPr>
      <w:r w:rsidRPr="00B37033">
        <w:rPr>
          <w:rFonts w:eastAsiaTheme="minorEastAsia" w:hint="eastAsia"/>
          <w:sz w:val="21"/>
          <w:szCs w:val="20"/>
        </w:rPr>
        <w:t xml:space="preserve">Fig 1. Prediction Error </w:t>
      </w:r>
      <w:r w:rsidRPr="00B37033">
        <w:rPr>
          <w:rFonts w:eastAsiaTheme="minorEastAsia"/>
          <w:sz w:val="21"/>
          <w:szCs w:val="20"/>
        </w:rPr>
        <w:t>Comparison</w:t>
      </w:r>
      <w:r w:rsidRPr="00B37033">
        <w:rPr>
          <w:rFonts w:eastAsiaTheme="minorEastAsia" w:hint="eastAsia"/>
          <w:sz w:val="21"/>
          <w:szCs w:val="20"/>
        </w:rPr>
        <w:t xml:space="preserve"> (MSE)</w:t>
      </w:r>
    </w:p>
    <w:p w14:paraId="0812439D" w14:textId="77777777" w:rsidR="00CE06BF" w:rsidRPr="00D22B50" w:rsidRDefault="00CE06BF" w:rsidP="00CE06BF">
      <w:pPr>
        <w:pStyle w:val="3"/>
        <w:rPr>
          <w:rFonts w:hint="eastAsia"/>
        </w:rPr>
      </w:pPr>
      <w:bookmarkStart w:id="77" w:name="_Toc228641325"/>
      <w:r w:rsidRPr="00D22B50">
        <w:lastRenderedPageBreak/>
        <w:t>6.2.1 Overcoming the Overfitting Threshold</w:t>
      </w:r>
      <w:bookmarkEnd w:id="77"/>
      <w:r w:rsidRPr="00D22B50">
        <w:t xml:space="preserve"> </w:t>
      </w:r>
    </w:p>
    <w:p w14:paraId="3FB88719" w14:textId="47535C93" w:rsidR="00CE06BF" w:rsidRPr="00D22B50" w:rsidRDefault="00CE06BF" w:rsidP="00FD5995">
      <w:pPr>
        <w:pStyle w:val="af5"/>
        <w:spacing w:before="156" w:after="156"/>
      </w:pPr>
      <w:r w:rsidRPr="00D22B50">
        <w:t xml:space="preserve">In cold-start scenarios where the model is constrained by only 10 days of historical data, the </w:t>
      </w:r>
      <w:r w:rsidR="00BD7543">
        <w:t>“</w:t>
      </w:r>
      <w:r w:rsidRPr="00D22B50">
        <w:t>Train from Scratch</w:t>
      </w:r>
      <w:r w:rsidR="00BD7543">
        <w:t>”</w:t>
      </w:r>
      <w:r w:rsidRPr="00D22B50">
        <w:t xml:space="preserve"> approach quickly suffers from catastrophic overfitting. As observed in the training logs, within the initial epochs, a distinct divergence occurs: the training loss drops toward zero while the validation error remains high or fluctuates erratically. This is a classic manifestation of high-variance learning in small-sample environments, where the number of trainable parameters in the neural architecture far exceeds the 480 available observations </w:t>
      </w:r>
      <w:r w:rsidR="001D18D6" w:rsidRPr="00D22B50">
        <w:fldChar w:fldCharType="begin"/>
      </w:r>
      <w:r w:rsidR="001D18D6" w:rsidRPr="00D22B50">
        <w:instrText xml:space="preserve"> ADDIN ZOTERO_ITEM CSL_CITATION {"citationID":"wtVjPM9n","properties":{"formattedCitation":"[8], [9]","plainCitation":"[8], [9]","noteIndex":0},"citationItems":[{"id":512,"uris":["http://zotero.org/users/local/p3tV44H5/items/HCMHHT5F"],"itemData":{"id":512,"type":"article-journal","abstract":"Learning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1D18D6" w:rsidRPr="00D22B50">
        <w:fldChar w:fldCharType="separate"/>
      </w:r>
      <w:r w:rsidR="001D18D6" w:rsidRPr="00D22B50">
        <w:rPr>
          <w:rFonts w:cs="Times New Roman"/>
        </w:rPr>
        <w:t>[8], [9]</w:t>
      </w:r>
      <w:r w:rsidR="001D18D6" w:rsidRPr="00D22B50">
        <w:fldChar w:fldCharType="end"/>
      </w:r>
      <w:r w:rsidRPr="00D22B50">
        <w:t>.</w:t>
      </w:r>
    </w:p>
    <w:p w14:paraId="2523923D" w14:textId="2BB0D977" w:rsidR="00CE06BF" w:rsidRPr="00D22B50" w:rsidRDefault="00CE06BF" w:rsidP="00FD5995">
      <w:pPr>
        <w:pStyle w:val="af5"/>
        <w:spacing w:before="156" w:after="156"/>
      </w:pPr>
      <w:r w:rsidRPr="00D22B50">
        <w:t xml:space="preserve">Under these conditions, the network effectively </w:t>
      </w:r>
      <w:r w:rsidR="00BD7543">
        <w:t>“</w:t>
      </w:r>
      <w:r w:rsidRPr="00D22B50">
        <w:t>memorizes</w:t>
      </w:r>
      <w:r w:rsidR="00BD7543">
        <w:t>”</w:t>
      </w:r>
      <w:r w:rsidRPr="00D22B50">
        <w:t xml:space="preserve"> specific stochastic noise and temporal anomalies</w:t>
      </w:r>
      <w:r w:rsidR="00B37033">
        <w:rPr>
          <w:rFonts w:eastAsiaTheme="minorEastAsia" w:hint="eastAsia"/>
        </w:rPr>
        <w:t xml:space="preserve">, </w:t>
      </w:r>
      <w:r w:rsidRPr="00D22B50">
        <w:t>such as an unusual late-night appliance activation</w:t>
      </w:r>
      <w:r w:rsidR="00B37033">
        <w:rPr>
          <w:rFonts w:eastAsiaTheme="minorEastAsia" w:hint="eastAsia"/>
        </w:rPr>
        <w:t xml:space="preserve">, </w:t>
      </w:r>
      <w:r w:rsidRPr="00D22B50">
        <w:t xml:space="preserve">rather than identifying the true underlying consumption distribution. In contrast, the Transfer Learning models (both Direct and Fine-tuned) begin with a much lower error floor. By utilizing pre-trained weights, the model is anchored by generalized temporal representations learned from the 100-household source domain. In this capacity, the pre-trained layers act as a powerful structural </w:t>
      </w:r>
      <w:proofErr w:type="spellStart"/>
      <w:r w:rsidRPr="00D22B50">
        <w:t>regularizer</w:t>
      </w:r>
      <w:proofErr w:type="spellEnd"/>
      <w:r w:rsidRPr="00D22B50">
        <w:t xml:space="preserve">, preventing the network from collapsing into the noise of the sparse local dataset </w:t>
      </w:r>
      <w:r w:rsidR="001D18D6" w:rsidRPr="00D22B50">
        <w:fldChar w:fldCharType="begin"/>
      </w:r>
      <w:r w:rsidR="001D18D6" w:rsidRPr="00D22B50">
        <w:instrText xml:space="preserve"> ADDIN ZOTERO_ITEM CSL_CITATION {"citationID":"hVbXwmSj","properties":{"formattedCitation":"[11]","plainCitation":"[11]","noteIndex":0},"citationItems":[{"id":595,"uris":["http://zotero.org/users/local/p3tV44H5/items/RYGGA6L8"],"itemData":{"id":595,"type":"article-journal","abstract":"While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1D18D6" w:rsidRPr="00D22B50">
        <w:fldChar w:fldCharType="separate"/>
      </w:r>
      <w:r w:rsidR="001D18D6" w:rsidRPr="00D22B50">
        <w:rPr>
          <w:rFonts w:cs="Times New Roman"/>
        </w:rPr>
        <w:t>[11]</w:t>
      </w:r>
      <w:r w:rsidR="001D18D6" w:rsidRPr="00D22B50">
        <w:fldChar w:fldCharType="end"/>
      </w:r>
      <w:r w:rsidRPr="00D22B50">
        <w:t xml:space="preserve">. The resulting reduction in MSE from 0.7080 (Scratch) to the transfer-based levels proves that these </w:t>
      </w:r>
      <w:r w:rsidR="00BD7543">
        <w:t>“</w:t>
      </w:r>
      <w:r w:rsidRPr="00D22B50">
        <w:t>temporal anchors</w:t>
      </w:r>
      <w:r w:rsidR="00BD7543">
        <w:t>”</w:t>
      </w:r>
      <w:r w:rsidRPr="00D22B50">
        <w:t xml:space="preserve"> are essential for maintaining predictive grounding when local history is insufficient.</w:t>
      </w:r>
    </w:p>
    <w:p w14:paraId="60AE04ED" w14:textId="77777777" w:rsidR="00CE06BF" w:rsidRPr="00D22B50" w:rsidRDefault="00CE06BF" w:rsidP="00CE06BF">
      <w:pPr>
        <w:pStyle w:val="3"/>
        <w:rPr>
          <w:rFonts w:hint="eastAsia"/>
        </w:rPr>
      </w:pPr>
      <w:bookmarkStart w:id="78" w:name="_Toc228641326"/>
      <w:r w:rsidRPr="00D22B50">
        <w:t>6.2.2 The Efficacy of Localized Adaptation</w:t>
      </w:r>
      <w:bookmarkEnd w:id="78"/>
      <w:r w:rsidRPr="00D22B50">
        <w:t xml:space="preserve"> </w:t>
      </w:r>
    </w:p>
    <w:p w14:paraId="0EFFDEFA" w14:textId="2EBA7F1A" w:rsidR="00CE06BF" w:rsidRPr="00D22B50" w:rsidRDefault="00CE06BF" w:rsidP="00FD5995">
      <w:pPr>
        <w:pStyle w:val="af5"/>
        <w:spacing w:before="156" w:after="156"/>
      </w:pPr>
      <w:r w:rsidRPr="00D22B50">
        <w:t xml:space="preserve">The transition from Zero-shot Direct Transfer to Adaptive Fine-tuning represents the critical process of </w:t>
      </w:r>
      <w:r w:rsidR="00BD7543">
        <w:t>“</w:t>
      </w:r>
      <w:r w:rsidRPr="00D22B50">
        <w:t>knowledge localization.</w:t>
      </w:r>
      <w:r w:rsidR="00BD7543">
        <w:t>”</w:t>
      </w:r>
      <w:r w:rsidRPr="00D22B50">
        <w:t xml:space="preserve"> While the source model provides a robust </w:t>
      </w:r>
      <w:r w:rsidR="00BD7543">
        <w:t>“</w:t>
      </w:r>
      <w:r w:rsidRPr="00D22B50">
        <w:t>universal</w:t>
      </w:r>
      <w:r w:rsidR="00BD7543">
        <w:t>”</w:t>
      </w:r>
      <w:r w:rsidRPr="00D22B50">
        <w:t xml:space="preserve"> foundation, every household possesses a unique </w:t>
      </w:r>
      <w:r w:rsidR="00BD7543">
        <w:t>“</w:t>
      </w:r>
      <w:r w:rsidRPr="00D22B50">
        <w:t>behavioral fingerprint</w:t>
      </w:r>
      <w:r w:rsidR="00BD7543">
        <w:t>”</w:t>
      </w:r>
      <w:r w:rsidRPr="00D22B50">
        <w:t xml:space="preserve">—such as specific thermal inertia preferences or distinct circadian shifts in energy usage </w:t>
      </w:r>
      <w:r w:rsidR="001D18D6" w:rsidRPr="00D22B50">
        <w:fldChar w:fldCharType="begin"/>
      </w:r>
      <w:r w:rsidR="001D18D6" w:rsidRPr="00D22B50">
        <w:instrText xml:space="preserve"> ADDIN ZOTERO_ITEM CSL_CITATION {"citationID":"S5eFwxct","properties":{"formattedCitation":"[25]","plainCitation":"[25]","noteIndex":0},"citationItems":[{"id":592,"uris":["http://zotero.org/users/local/p3tV44H5/items/T8SI9SBW"],"itemData":{"id":592,"type":"article-journal","abstract":"Load forecasting problems have traditionally been addressed using various statistical methods, among which autoregressive integrated moving average with exogenous inputs (ARIMAX) has gained the most attention as a classical time-series modeling method. Recently, the booming development of deep learning techniques make them promising alternatives to conventional data-driven approaches. While deep learning offers exceptional capability in handling complex non-linear relationships, model complexity and computation efficiency are of concern. A few papers have explored the possibility of applying deep neural networks to forecast time-series load data but only limited to system-level or single-step building-level forecasting. This study, however, aims at filling in the knowledge gap of deep learning-based techniques for day-ahead multi-step load forecasting in commercial buildings. Two classical deep neural network models, namely recurrent neural network (RNN) and convolutional neural network (CNN), have been proposed and formulated under both recursive and direct multi-step manners. Their performances are compared with the Seasonal ARIMAX model with regard to accuracy, computational efficiency, generalizability and robustness. Among all of the investigated deep learning techniques, the gated 24-h CNN model, performed in a direct multi-step manner, proves itself to have the best performance, improving the forecasting accuracy by 22.6% compared to that of the seasonal ARIMAX.","container-title":"Applied Energy","DOI":"10.1016/j.apenergy.2018.12.042","ISSN":"0306-2619","journalAbbreviation":"Applied Energy","page":"1078-1088","source":"ScienceDirect","title":"Day-ahead building-level load forecasts using deep learning vs. traditional time-series techniques","volume":"236","author":[{"family":"Cai","given":"Mengmeng"},{"family":"Pipattanasomporn","given":"Manisa"},{"family":"Rahman","given":"Saifur"}],"issued":{"date-parts":[["2019",2,15]]}}}],"schema":"https://github.com/citation-style-language/schema/raw/master/csl-citation.json"} </w:instrText>
      </w:r>
      <w:r w:rsidR="001D18D6" w:rsidRPr="00D22B50">
        <w:fldChar w:fldCharType="separate"/>
      </w:r>
      <w:r w:rsidR="001D18D6" w:rsidRPr="00D22B50">
        <w:rPr>
          <w:rFonts w:cs="Times New Roman"/>
        </w:rPr>
        <w:t>[25]</w:t>
      </w:r>
      <w:r w:rsidR="001D18D6" w:rsidRPr="00D22B50">
        <w:fldChar w:fldCharType="end"/>
      </w:r>
      <w:r w:rsidRPr="00D22B50">
        <w:t>.</w:t>
      </w:r>
    </w:p>
    <w:p w14:paraId="409A8B49" w14:textId="2C0C54D3" w:rsidR="00CE06BF" w:rsidRDefault="00CE06BF" w:rsidP="00BD23C6">
      <w:pPr>
        <w:pStyle w:val="af5"/>
        <w:spacing w:before="156" w:after="156"/>
        <w:rPr>
          <w:rFonts w:eastAsiaTheme="minorEastAsia"/>
        </w:rPr>
      </w:pPr>
      <w:r w:rsidRPr="00D22B50">
        <w:t xml:space="preserve">In the Direct Transfer strategy, the model assumes the target household perfectly aligns with the source domain average. However, the Adaptive Fine-tuning strategy allows for a localized transformation of the features extracted by the backbone. By selectively retraining only the final linear projection layer (the </w:t>
      </w:r>
      <w:r w:rsidR="00BD7543">
        <w:t>“</w:t>
      </w:r>
      <w:r w:rsidRPr="00D22B50">
        <w:t>regression head</w:t>
      </w:r>
      <w:r w:rsidR="00BD7543">
        <w:t>”</w:t>
      </w:r>
      <w:r w:rsidRPr="00D22B50">
        <w:t xml:space="preserve">), the model adjusts its sensitivity to match the specific nuances of the new participant. This localized calibration effectively bridges the gap between universal energy physics and individual household stochasticity, resulting in a more stabilized error distribution across the diverse 30-household cohort </w:t>
      </w:r>
      <w:r w:rsidR="001D18D6" w:rsidRPr="00D22B50">
        <w:fldChar w:fldCharType="begin"/>
      </w:r>
      <w:r w:rsidR="001D18D6" w:rsidRPr="00D22B50">
        <w:instrText xml:space="preserve"> ADDIN ZOTERO_ITEM CSL_CITATION {"citationID":"9Tgbt826","properties":{"formattedCitation":"[25]","plainCitation":"[25]","noteIndex":0},"citationItems":[{"id":592,"uris":["http://zotero.org/users/local/p3tV44H5/items/T8SI9SBW"],"itemData":{"id":592,"type":"article-journal","abstract":"Load forecasting problems have traditionally been addressed using various statistical methods, among which autoregressive integrated moving average with exogenous inputs (ARIMAX) has gained the most attention as a classical time-series modeling method. Recently, the booming development of deep learning techniques make them promising alternatives to conventional data-driven approaches. While deep learning offers exceptional capability in handling complex non-linear relationships, model complexity and computation efficiency are of concern. A few papers have explored the possibility of applying deep neural networks to forecast time-series load data but only limited to system-level or single-step building-level forecasting. This study, however, aims at filling in the knowledge gap of deep learning-based techniques for day-ahead multi-step load forecasting in commercial buildings. Two classical deep neural network models, namely recurrent neural network (RNN) and convolutional neural network (CNN), have been proposed and formulated under both recursive and direct multi-step manners. Their performances are compared with the Seasonal ARIMAX model with regard to accuracy, computational efficiency, generalizability and robustness. Among all of the investigated deep learning techniques, the gated 24-h CNN model, performed in a direct multi-step manner, proves itself to have the best performance, improving the forecasting accuracy by 22.6% compared to that of the seasonal ARIMAX.","container-title":"Applied Energy","DOI":"10.1016/j.apenergy.2018.12.042","ISSN":"0306-2619","journalAbbreviation":"Applied Energy","page":"1078-1088","source":"ScienceDirect","title":"Day-ahead building-level load forecasts using deep learning vs. traditional time-series techniques","volume":"236","author":[{"family":"Cai","given":"Mengmeng"},{"family":"Pipattanasomporn","given":"Manisa"},{"family":"Rahman","given":"Saifur"}],"issued":{"date-parts":[["2019",2,15]]}}}],"schema":"https://github.com/citation-style-language/schema/raw/master/csl-citation.json"} </w:instrText>
      </w:r>
      <w:r w:rsidR="001D18D6" w:rsidRPr="00D22B50">
        <w:fldChar w:fldCharType="separate"/>
      </w:r>
      <w:r w:rsidR="001D18D6" w:rsidRPr="00D22B50">
        <w:rPr>
          <w:rFonts w:cs="Times New Roman"/>
        </w:rPr>
        <w:t>[25]</w:t>
      </w:r>
      <w:r w:rsidR="001D18D6" w:rsidRPr="00D22B50">
        <w:fldChar w:fldCharType="end"/>
      </w:r>
      <w:r w:rsidRPr="00D22B50">
        <w:t>. For grid operators, this ensures that the forecasting system is not only accurate on average but also resilient to the idiosyncratic deviations of specific residential nodes.</w:t>
      </w:r>
    </w:p>
    <w:p w14:paraId="56FFAB04" w14:textId="6F34ED30" w:rsidR="00675009" w:rsidRDefault="00675009" w:rsidP="00BD23C6">
      <w:pPr>
        <w:pStyle w:val="af5"/>
        <w:spacing w:before="156" w:after="156"/>
        <w:rPr>
          <w:rFonts w:eastAsiaTheme="minorEastAsia"/>
        </w:rPr>
      </w:pPr>
      <w:r w:rsidRPr="00675009">
        <w:rPr>
          <w:rFonts w:eastAsiaTheme="minorEastAsia" w:hint="eastAsia"/>
        </w:rPr>
        <w:t xml:space="preserve">The experimental results of </w:t>
      </w:r>
      <w:r w:rsidRPr="00D22B50">
        <w:t>Zero-shot</w:t>
      </w:r>
      <w:r w:rsidRPr="00675009">
        <w:rPr>
          <w:rFonts w:eastAsiaTheme="minorEastAsia" w:hint="eastAsia"/>
        </w:rPr>
        <w:t xml:space="preserve"> are shown in Figure 2</w:t>
      </w:r>
      <w:r>
        <w:rPr>
          <w:rFonts w:eastAsiaTheme="minorEastAsia" w:hint="eastAsia"/>
        </w:rPr>
        <w:t>:</w:t>
      </w:r>
    </w:p>
    <w:p w14:paraId="25E3D75D" w14:textId="70B46A2F" w:rsidR="00675009" w:rsidRDefault="00675009" w:rsidP="00BD23C6">
      <w:pPr>
        <w:pStyle w:val="af5"/>
        <w:spacing w:before="156" w:after="156"/>
        <w:rPr>
          <w:rFonts w:eastAsiaTheme="minorEastAsia"/>
        </w:rPr>
      </w:pPr>
      <w:r>
        <w:rPr>
          <w:noProof/>
        </w:rPr>
        <w:lastRenderedPageBreak/>
        <w:drawing>
          <wp:inline distT="0" distB="0" distL="0" distR="0" wp14:anchorId="17CDEDCE" wp14:editId="57D21F07">
            <wp:extent cx="5274310" cy="2637155"/>
            <wp:effectExtent l="0" t="0" r="2540" b="0"/>
            <wp:docPr id="27035408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p>
    <w:p w14:paraId="1F8EA571" w14:textId="5304533B" w:rsidR="00675009" w:rsidRPr="00675009" w:rsidRDefault="00675009" w:rsidP="00675009">
      <w:pPr>
        <w:pStyle w:val="af5"/>
        <w:spacing w:before="156" w:after="156"/>
        <w:jc w:val="center"/>
        <w:rPr>
          <w:rFonts w:eastAsiaTheme="minorEastAsia"/>
          <w:sz w:val="21"/>
          <w:szCs w:val="20"/>
        </w:rPr>
      </w:pPr>
      <w:r w:rsidRPr="00675009">
        <w:rPr>
          <w:rFonts w:eastAsiaTheme="minorEastAsia" w:hint="eastAsia"/>
          <w:sz w:val="21"/>
          <w:szCs w:val="20"/>
        </w:rPr>
        <w:t xml:space="preserve">Fig 2: General knowledge, no </w:t>
      </w:r>
      <w:r w:rsidRPr="00675009">
        <w:rPr>
          <w:rFonts w:eastAsiaTheme="minorEastAsia"/>
          <w:sz w:val="21"/>
          <w:szCs w:val="20"/>
        </w:rPr>
        <w:t>adaptation</w:t>
      </w:r>
    </w:p>
    <w:p w14:paraId="77D67C7E" w14:textId="3022EE94" w:rsidR="00675009" w:rsidRDefault="00675009" w:rsidP="00675009">
      <w:pPr>
        <w:pStyle w:val="af5"/>
        <w:spacing w:before="156" w:after="156"/>
        <w:jc w:val="left"/>
        <w:rPr>
          <w:rFonts w:eastAsiaTheme="minorEastAsia"/>
        </w:rPr>
      </w:pPr>
      <w:r w:rsidRPr="00675009">
        <w:rPr>
          <w:rFonts w:eastAsiaTheme="minorEastAsia" w:hint="eastAsia"/>
        </w:rPr>
        <w:t xml:space="preserve">The experimental results of </w:t>
      </w:r>
      <w:r>
        <w:rPr>
          <w:rFonts w:eastAsiaTheme="minorEastAsia" w:hint="eastAsia"/>
        </w:rPr>
        <w:t>Fine-Tuning</w:t>
      </w:r>
      <w:r w:rsidRPr="00675009">
        <w:rPr>
          <w:rFonts w:eastAsiaTheme="minorEastAsia" w:hint="eastAsia"/>
        </w:rPr>
        <w:t xml:space="preserve"> are shown in Figure </w:t>
      </w:r>
      <w:r>
        <w:rPr>
          <w:rFonts w:eastAsiaTheme="minorEastAsia" w:hint="eastAsia"/>
        </w:rPr>
        <w:t>3:</w:t>
      </w:r>
    </w:p>
    <w:p w14:paraId="512CF36E" w14:textId="18AC9F54" w:rsidR="00675009" w:rsidRDefault="00675009" w:rsidP="00675009">
      <w:pPr>
        <w:pStyle w:val="af5"/>
        <w:spacing w:before="156" w:after="156"/>
        <w:jc w:val="left"/>
        <w:rPr>
          <w:rFonts w:eastAsiaTheme="minorEastAsia"/>
        </w:rPr>
      </w:pPr>
      <w:r>
        <w:rPr>
          <w:noProof/>
        </w:rPr>
        <w:drawing>
          <wp:inline distT="0" distB="0" distL="0" distR="0" wp14:anchorId="5C4E3460" wp14:editId="32EB9849">
            <wp:extent cx="5274310" cy="2637155"/>
            <wp:effectExtent l="0" t="0" r="2540" b="0"/>
            <wp:docPr id="1260362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p>
    <w:p w14:paraId="4BD96182" w14:textId="08608073" w:rsidR="00675009" w:rsidRPr="00675009" w:rsidRDefault="00675009" w:rsidP="00675009">
      <w:pPr>
        <w:pStyle w:val="af5"/>
        <w:spacing w:before="156" w:after="156"/>
        <w:jc w:val="center"/>
        <w:rPr>
          <w:rFonts w:eastAsiaTheme="minorEastAsia"/>
          <w:sz w:val="21"/>
          <w:szCs w:val="20"/>
        </w:rPr>
      </w:pPr>
      <w:r w:rsidRPr="00675009">
        <w:rPr>
          <w:rFonts w:eastAsiaTheme="minorEastAsia" w:hint="eastAsia"/>
          <w:sz w:val="21"/>
          <w:szCs w:val="20"/>
        </w:rPr>
        <w:t>Fig 3. After Fine-Tuning</w:t>
      </w:r>
    </w:p>
    <w:p w14:paraId="03DE5893" w14:textId="77777777" w:rsidR="00CE06BF" w:rsidRPr="00D22B50" w:rsidRDefault="00CE06BF" w:rsidP="00CE06BF">
      <w:pPr>
        <w:pStyle w:val="2"/>
        <w:rPr>
          <w:rFonts w:hint="eastAsia"/>
        </w:rPr>
      </w:pPr>
      <w:bookmarkStart w:id="79" w:name="_Toc228641327"/>
      <w:r w:rsidRPr="00D22B50">
        <w:t>6.3 Empirical Evidence of Negative Transfer</w:t>
      </w:r>
      <w:bookmarkEnd w:id="79"/>
      <w:r w:rsidRPr="00D22B50">
        <w:t xml:space="preserve"> </w:t>
      </w:r>
    </w:p>
    <w:p w14:paraId="03F8A5D8" w14:textId="524CFCEA" w:rsidR="00CE06BF" w:rsidRPr="00D22B50" w:rsidRDefault="00CE06BF" w:rsidP="00FD5995">
      <w:pPr>
        <w:pStyle w:val="af5"/>
        <w:spacing w:before="156" w:after="156"/>
      </w:pPr>
      <w:r w:rsidRPr="00D22B50">
        <w:t xml:space="preserve">One of the most critical findings of this research pertains to the inherent risks associated with improper source domain initialization and the subsequent phenomenon of negative transfer. While the fundamental promise of transfer learning lies in the migration of helpful knowledge, the empirical reality reveals that the quality of the pre-trained weights is the primary determinant of success. </w:t>
      </w:r>
      <w:r w:rsidR="000F2983" w:rsidRPr="00D22B50">
        <w:rPr>
          <w:rFonts w:hint="eastAsia"/>
        </w:rPr>
        <w:t>As highlighted in recent transferability studies, negative transfer often occurs when the task-specific features of the source domain distort the target</w:t>
      </w:r>
      <w:r w:rsidR="00BD7543">
        <w:t>’</w:t>
      </w:r>
      <w:r w:rsidR="000F2983" w:rsidRPr="00D22B50">
        <w:rPr>
          <w:rFonts w:hint="eastAsia"/>
        </w:rPr>
        <w:t xml:space="preserve">s latent representation </w:t>
      </w:r>
      <w:r w:rsidR="001D18D6" w:rsidRPr="00D22B50">
        <w:fldChar w:fldCharType="begin"/>
      </w:r>
      <w:r w:rsidR="001D18D6" w:rsidRPr="00D22B50">
        <w:instrText xml:space="preserve"> ADDIN ZOTERO_ITEM CSL_CITATION {"citationID":"oHQzZhuE","properties":{"formattedCitation":"[38]","plainCitation":"[38]","noteIndex":0},"citationItems":[{"id":653,"uris":["http://zotero.org/users/local/p3tV44H5/items/3Z5DW5VX"],"itemData":{"id":653,"type":"article-journal","abstract":"Domain adversarial learning aligns the feature distributions across the source and target domains in a two-player minimax game. Existing domain adversarial networks generally assume identical label space across diﬀerent domains. In the presence of big data, there is strong motivation of transferring deep models from existing big domains to unknown small domains. This paper introduces partial domain adaptation as a new domain adaptation scenario, which relaxes the fully shared label space assumption to that the source label space subsumes the target label space. Previous methods typically match the whole source domain to the target domain, which are vulnerable to negative transfer for the partial domain adaptation problem due to the large mismatch between label spaces. We present Partial Adversarial Domain Adaptation (PADA), which simultaneously alleviates negative transfer by down-weighing the data of outlier source classes for training both source classiﬁer and domain adversary, and promotes positive transfer by matching the feature distributions in the shared label space. Experiments show that PADA exceeds state-ofthe-art results for partial domain adaptation tasks on several datasets.","language":"en","source":"Zotero","title":"Partial Adversarial Domain Adaptation","author":[{"family":"Cao","given":"Zhangjie"},{"family":"Ma","given":"Lijia"},{"family":"Long","given":"Mingsheng"},{"family":"Wang","given":"Jianmin"}]}}],"schema":"https://github.com/citation-style-language/schema/raw/master/csl-citation.json"} </w:instrText>
      </w:r>
      <w:r w:rsidR="001D18D6" w:rsidRPr="00D22B50">
        <w:fldChar w:fldCharType="separate"/>
      </w:r>
      <w:r w:rsidR="001D18D6" w:rsidRPr="00D22B50">
        <w:rPr>
          <w:rFonts w:cs="Times New Roman"/>
        </w:rPr>
        <w:t>[38]</w:t>
      </w:r>
      <w:r w:rsidR="001D18D6" w:rsidRPr="00D22B50">
        <w:fldChar w:fldCharType="end"/>
      </w:r>
      <w:r w:rsidR="000F2983" w:rsidRPr="00D22B50">
        <w:rPr>
          <w:rFonts w:hint="eastAsia"/>
        </w:rPr>
        <w:t>.</w:t>
      </w:r>
      <w:r w:rsidR="000F2983" w:rsidRPr="00D22B50">
        <w:rPr>
          <w:rFonts w:eastAsiaTheme="minorEastAsia" w:hint="eastAsia"/>
        </w:rPr>
        <w:t xml:space="preserve"> </w:t>
      </w:r>
      <w:r w:rsidRPr="00D22B50">
        <w:t xml:space="preserve">In the preliminary stages of this experiment, </w:t>
      </w:r>
      <w:r w:rsidR="002657F3">
        <w:t xml:space="preserve">I </w:t>
      </w:r>
      <w:r w:rsidRPr="00D22B50">
        <w:t xml:space="preserve">developed an initial model, designated as Model 1, using traditional </w:t>
      </w:r>
      <w:r w:rsidRPr="00D22B50">
        <w:lastRenderedPageBreak/>
        <w:t>manual hyperparameter heuristics commonly found in existing literature.</w:t>
      </w:r>
    </w:p>
    <w:p w14:paraId="74FF09E9" w14:textId="77777777" w:rsidR="00CE06BF" w:rsidRPr="00D22B50" w:rsidRDefault="00CE06BF" w:rsidP="00CE06BF">
      <w:pPr>
        <w:pStyle w:val="3"/>
        <w:rPr>
          <w:rFonts w:hint="eastAsia"/>
        </w:rPr>
      </w:pPr>
      <w:bookmarkStart w:id="80" w:name="_Toc228641328"/>
      <w:r w:rsidRPr="00D22B50">
        <w:t>6.3.1 The Failure of Model 1 and Informative Bias</w:t>
      </w:r>
      <w:bookmarkEnd w:id="80"/>
      <w:r w:rsidRPr="00D22B50">
        <w:t xml:space="preserve"> </w:t>
      </w:r>
    </w:p>
    <w:p w14:paraId="772C238E" w14:textId="27E535DD" w:rsidR="00CE06BF" w:rsidRPr="00D22B50" w:rsidRDefault="00CE06BF" w:rsidP="00FD5995">
      <w:pPr>
        <w:pStyle w:val="af5"/>
        <w:spacing w:before="156" w:after="156"/>
      </w:pPr>
      <w:r w:rsidRPr="00D22B50">
        <w:t>Contrary to initial expectations, Model 1 exhibited severe and measurable negative transfer across the 30 target households. In a transfer learning context, negative transfer occurs when source domain knowledge acts as a distractor rather than a facilitator for the target task. When the weights of Model 1 were migrated, the average MSE reached approximately 0.81, which was significantly worse than the 0.7080 MSE achieved by the scratch-training strategy. This represented a substantial performance penalty, indicating that the unoptimized pre-trained weights hindered the model</w:t>
      </w:r>
      <w:r w:rsidR="00BD7543">
        <w:t>’</w:t>
      </w:r>
      <w:r w:rsidRPr="00D22B50">
        <w:t>s ability to adapt to new users.</w:t>
      </w:r>
    </w:p>
    <w:p w14:paraId="735CFEC9" w14:textId="60791727" w:rsidR="00CE06BF" w:rsidRDefault="00CE06BF" w:rsidP="00FD5995">
      <w:pPr>
        <w:pStyle w:val="af5"/>
        <w:spacing w:before="156" w:after="156"/>
        <w:rPr>
          <w:rFonts w:eastAsiaTheme="minorEastAsia"/>
        </w:rPr>
      </w:pPr>
      <w:r w:rsidRPr="00D22B50">
        <w:t xml:space="preserve">A post-hoc analysis suggests that Model 1 suffered from </w:t>
      </w:r>
      <w:r w:rsidR="00BD7543">
        <w:t>“</w:t>
      </w:r>
      <w:r w:rsidRPr="00D22B50">
        <w:t>informative bias.</w:t>
      </w:r>
      <w:r w:rsidR="00BD7543">
        <w:t>”</w:t>
      </w:r>
      <w:r w:rsidRPr="00D22B50">
        <w:t xml:space="preserve"> Because the manual heuristics used to tune Model 1 were focused solely on minimizing source domain training loss, the network</w:t>
      </w:r>
      <w:r w:rsidR="00BD7543">
        <w:t>’</w:t>
      </w:r>
      <w:r w:rsidRPr="00D22B50">
        <w:t>s internal weights became over-specialized to the idiosyncratic noise of the 100 source households. Instead of learning universal temporal invariants, Model 1 memorized specific behavioral anomalies. When these biased weights were transferred to a new target household, they imposed an incorrect representational structure that the sparse 10-day local data could not overcome. This underscores a vital insight: without proper architectural alignment, knowledge migration can actively degrade forecasting reliability.</w:t>
      </w:r>
    </w:p>
    <w:p w14:paraId="373F3319" w14:textId="05B4BB6A" w:rsidR="00675009" w:rsidRDefault="00675009" w:rsidP="00FD5995">
      <w:pPr>
        <w:pStyle w:val="af5"/>
        <w:spacing w:before="156" w:after="156"/>
        <w:rPr>
          <w:rFonts w:eastAsiaTheme="minorEastAsia"/>
        </w:rPr>
      </w:pPr>
      <w:r w:rsidRPr="00675009">
        <w:rPr>
          <w:rFonts w:eastAsiaTheme="minorEastAsia" w:hint="eastAsia"/>
        </w:rPr>
        <w:t>The prediction curve of Model 1 is shown in Figure 4</w:t>
      </w:r>
      <w:r>
        <w:rPr>
          <w:rFonts w:eastAsiaTheme="minorEastAsia" w:hint="eastAsia"/>
        </w:rPr>
        <w:t>:</w:t>
      </w:r>
    </w:p>
    <w:p w14:paraId="1F1BDB11" w14:textId="092B4BC0" w:rsidR="00675009" w:rsidRDefault="00675009" w:rsidP="00FD5995">
      <w:pPr>
        <w:pStyle w:val="af5"/>
        <w:spacing w:before="156" w:after="156"/>
        <w:rPr>
          <w:rFonts w:eastAsiaTheme="minorEastAsia"/>
        </w:rPr>
      </w:pPr>
      <w:r>
        <w:rPr>
          <w:noProof/>
        </w:rPr>
        <w:drawing>
          <wp:inline distT="0" distB="0" distL="0" distR="0" wp14:anchorId="07EE8F6F" wp14:editId="1AAD0AE8">
            <wp:extent cx="5274310" cy="2637155"/>
            <wp:effectExtent l="0" t="0" r="2540" b="0"/>
            <wp:docPr id="20163185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p>
    <w:p w14:paraId="5530FEB4" w14:textId="53A816FB" w:rsidR="00675009" w:rsidRDefault="00675009" w:rsidP="00675009">
      <w:pPr>
        <w:pStyle w:val="af5"/>
        <w:spacing w:before="156" w:after="156"/>
        <w:jc w:val="center"/>
        <w:rPr>
          <w:rFonts w:eastAsiaTheme="minorEastAsia"/>
          <w:sz w:val="21"/>
          <w:szCs w:val="20"/>
        </w:rPr>
      </w:pPr>
      <w:r w:rsidRPr="00675009">
        <w:rPr>
          <w:rFonts w:eastAsiaTheme="minorEastAsia" w:hint="eastAsia"/>
          <w:sz w:val="21"/>
          <w:szCs w:val="20"/>
        </w:rPr>
        <w:t>Fig 4. Model 1 before Optimization</w:t>
      </w:r>
    </w:p>
    <w:p w14:paraId="2D35827B" w14:textId="2BCCE333" w:rsidR="00675009" w:rsidRDefault="00675009" w:rsidP="00675009">
      <w:pPr>
        <w:pStyle w:val="af5"/>
        <w:spacing w:before="156" w:after="156"/>
        <w:jc w:val="left"/>
        <w:rPr>
          <w:rFonts w:eastAsiaTheme="minorEastAsia"/>
        </w:rPr>
      </w:pPr>
      <w:r w:rsidRPr="00675009">
        <w:rPr>
          <w:rFonts w:eastAsiaTheme="minorEastAsia" w:hint="eastAsia"/>
        </w:rPr>
        <w:t>The prediction curve of</w:t>
      </w:r>
      <w:r>
        <w:rPr>
          <w:rFonts w:eastAsiaTheme="minorEastAsia" w:hint="eastAsia"/>
        </w:rPr>
        <w:t xml:space="preserve"> </w:t>
      </w:r>
      <w:r w:rsidRPr="00675009">
        <w:rPr>
          <w:rFonts w:eastAsiaTheme="minorEastAsia" w:hint="eastAsia"/>
        </w:rPr>
        <w:t>Direct training</w:t>
      </w:r>
      <w:r>
        <w:rPr>
          <w:rFonts w:eastAsiaTheme="minorEastAsia" w:hint="eastAsia"/>
        </w:rPr>
        <w:t xml:space="preserve"> </w:t>
      </w:r>
      <w:r w:rsidRPr="00675009">
        <w:rPr>
          <w:rFonts w:eastAsiaTheme="minorEastAsia" w:hint="eastAsia"/>
        </w:rPr>
        <w:t xml:space="preserve">is shown in Figure </w:t>
      </w:r>
      <w:r>
        <w:rPr>
          <w:rFonts w:eastAsiaTheme="minorEastAsia" w:hint="eastAsia"/>
        </w:rPr>
        <w:t>5:</w:t>
      </w:r>
    </w:p>
    <w:p w14:paraId="7E9F40DF" w14:textId="6C3BF3F1" w:rsidR="00675009" w:rsidRDefault="00675009" w:rsidP="00675009">
      <w:pPr>
        <w:pStyle w:val="af5"/>
        <w:spacing w:before="156" w:after="156"/>
        <w:jc w:val="left"/>
        <w:rPr>
          <w:rFonts w:eastAsiaTheme="minorEastAsia"/>
          <w:sz w:val="28"/>
          <w:szCs w:val="28"/>
        </w:rPr>
      </w:pPr>
      <w:r>
        <w:rPr>
          <w:noProof/>
        </w:rPr>
        <w:lastRenderedPageBreak/>
        <w:drawing>
          <wp:inline distT="0" distB="0" distL="0" distR="0" wp14:anchorId="4071F252" wp14:editId="2812B946">
            <wp:extent cx="5274310" cy="2637155"/>
            <wp:effectExtent l="0" t="0" r="2540" b="0"/>
            <wp:docPr id="192642644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p>
    <w:p w14:paraId="35D31222" w14:textId="330BC6E4" w:rsidR="00675009" w:rsidRPr="00675009" w:rsidRDefault="00675009" w:rsidP="00675009">
      <w:pPr>
        <w:pStyle w:val="af5"/>
        <w:spacing w:before="156" w:after="156"/>
        <w:jc w:val="center"/>
        <w:rPr>
          <w:rFonts w:eastAsiaTheme="minorEastAsia"/>
          <w:sz w:val="21"/>
          <w:szCs w:val="21"/>
        </w:rPr>
      </w:pPr>
      <w:r w:rsidRPr="00675009">
        <w:rPr>
          <w:rFonts w:eastAsiaTheme="minorEastAsia" w:hint="eastAsia"/>
          <w:sz w:val="21"/>
          <w:szCs w:val="21"/>
        </w:rPr>
        <w:t>Fig 5: Direct training result</w:t>
      </w:r>
    </w:p>
    <w:p w14:paraId="51A75D21" w14:textId="77777777" w:rsidR="00CE06BF" w:rsidRPr="00D22B50" w:rsidRDefault="00CE06BF" w:rsidP="00CE06BF">
      <w:pPr>
        <w:pStyle w:val="3"/>
        <w:rPr>
          <w:rFonts w:hint="eastAsia"/>
        </w:rPr>
      </w:pPr>
      <w:bookmarkStart w:id="81" w:name="_Toc228641329"/>
      <w:r w:rsidRPr="00D22B50">
        <w:t xml:space="preserve">6.3.2 Systematic Optimization via </w:t>
      </w:r>
      <w:proofErr w:type="spellStart"/>
      <w:r w:rsidRPr="00D22B50">
        <w:t>Optuna</w:t>
      </w:r>
      <w:proofErr w:type="spellEnd"/>
      <w:r w:rsidRPr="00D22B50">
        <w:t xml:space="preserve"> (v1 and v2)</w:t>
      </w:r>
      <w:bookmarkEnd w:id="81"/>
      <w:r w:rsidRPr="00D22B50">
        <w:t xml:space="preserve"> </w:t>
      </w:r>
    </w:p>
    <w:p w14:paraId="1CAC9B6C" w14:textId="108757BE" w:rsidR="00CE06BF" w:rsidRPr="00D22B50" w:rsidRDefault="00CE06BF" w:rsidP="00FD5995">
      <w:pPr>
        <w:pStyle w:val="af5"/>
        <w:spacing w:before="156" w:after="156"/>
      </w:pPr>
      <w:r w:rsidRPr="00D22B50">
        <w:t xml:space="preserve">To mitigate these risks and ensure the stability of the migration process, </w:t>
      </w:r>
      <w:r w:rsidR="002657F3">
        <w:t xml:space="preserve">I </w:t>
      </w:r>
      <w:r w:rsidRPr="00D22B50">
        <w:t xml:space="preserve">utilized the </w:t>
      </w:r>
      <w:proofErr w:type="spellStart"/>
      <w:r w:rsidRPr="00D22B50">
        <w:t>Optuna</w:t>
      </w:r>
      <w:proofErr w:type="spellEnd"/>
      <w:r w:rsidRPr="00D22B50">
        <w:t xml:space="preserve"> framework for a systematic two-stage Bayesian optimization. Unlike grid or random search, </w:t>
      </w:r>
      <w:proofErr w:type="spellStart"/>
      <w:r w:rsidRPr="00D22B50">
        <w:t>Optuna</w:t>
      </w:r>
      <w:proofErr w:type="spellEnd"/>
      <w:r w:rsidRPr="00D22B50">
        <w:t xml:space="preserve"> utilizes the Tree-structured </w:t>
      </w:r>
      <w:proofErr w:type="spellStart"/>
      <w:r w:rsidRPr="00D22B50">
        <w:t>Parzen</w:t>
      </w:r>
      <w:proofErr w:type="spellEnd"/>
      <w:r w:rsidRPr="00D22B50">
        <w:t xml:space="preserve"> Estimator (TPE) algorithm to model the probability of hyperparameter performance, allowing for an efficient exploration of the high-dimensional search space.</w:t>
      </w:r>
    </w:p>
    <w:p w14:paraId="39CCCFFB" w14:textId="623E20A3" w:rsidR="00457400" w:rsidRDefault="00CE06BF" w:rsidP="001D18D6">
      <w:pPr>
        <w:pStyle w:val="af5"/>
        <w:spacing w:before="156" w:after="156"/>
        <w:rPr>
          <w:rFonts w:eastAsiaTheme="minorEastAsia"/>
        </w:rPr>
      </w:pPr>
      <w:r w:rsidRPr="00D22B50">
        <w:t xml:space="preserve">The optimization history across two versions (v1 and v2) revealed that the optimal learning rate for a source model intended for transfer was significantly lower than initially estimated. A lower learning rate allows the LSTM gates to converge more broadly, preventing the </w:t>
      </w:r>
      <w:r w:rsidR="00BD7543">
        <w:t>“</w:t>
      </w:r>
      <w:r w:rsidRPr="00D22B50">
        <w:t>over-specialization</w:t>
      </w:r>
      <w:r w:rsidR="00BD7543">
        <w:t>”</w:t>
      </w:r>
      <w:r w:rsidRPr="00D22B50">
        <w:t xml:space="preserve"> seen in Model 1. By identifying the global optimum in the hyperparameter space (including hidden units, dropout rates, and batch sizes), </w:t>
      </w:r>
      <w:r w:rsidR="002657F3">
        <w:t xml:space="preserve">I </w:t>
      </w:r>
      <w:r w:rsidRPr="00D22B50">
        <w:t>developed Model 2. This optimized model successfully eliminated the negative transfer phenomenon, transforming the previous performance penalty into a significant forecasting gain. This dramatic swing proves that systematic hyperparameter optimization is not merely a refinement step but a fundamental prerequisite for robust knowledge migration in complex energy systems.</w:t>
      </w:r>
    </w:p>
    <w:p w14:paraId="6E6ABAC5" w14:textId="65C73348" w:rsidR="00457400" w:rsidRDefault="00457400" w:rsidP="001D18D6">
      <w:pPr>
        <w:pStyle w:val="af5"/>
        <w:spacing w:before="156" w:after="156"/>
        <w:rPr>
          <w:rFonts w:eastAsiaTheme="minorEastAsia"/>
        </w:rPr>
      </w:pPr>
      <w:r w:rsidRPr="00457400">
        <w:rPr>
          <w:rFonts w:eastAsiaTheme="minorEastAsia" w:hint="eastAsia"/>
        </w:rPr>
        <w:t xml:space="preserve">The quantitative results are summarized in Table </w:t>
      </w:r>
      <w:r w:rsidR="00AC5B88">
        <w:rPr>
          <w:rFonts w:eastAsiaTheme="minorEastAsia" w:hint="eastAsia"/>
        </w:rPr>
        <w:t>2</w:t>
      </w:r>
      <w:r w:rsidRPr="00457400">
        <w:rPr>
          <w:rFonts w:eastAsiaTheme="minorEastAsia" w:hint="eastAsia"/>
        </w:rPr>
        <w:t>, where the forecasting strategies are categorized into Direct Prediction (Dir), Fine-Tuning (FT), and Scratch Training (</w:t>
      </w:r>
      <w:proofErr w:type="spellStart"/>
      <w:r w:rsidRPr="00457400">
        <w:rPr>
          <w:rFonts w:eastAsiaTheme="minorEastAsia" w:hint="eastAsia"/>
        </w:rPr>
        <w:t>Scr</w:t>
      </w:r>
      <w:proofErr w:type="spellEnd"/>
      <w:r w:rsidRPr="00457400">
        <w:rPr>
          <w:rFonts w:eastAsiaTheme="minorEastAsia" w:hint="eastAsia"/>
        </w:rPr>
        <w:t>). The performance is evaluated using Mean Squared Error (MSE) and Root Mean Squared Error (RMSE)</w:t>
      </w:r>
      <w:r>
        <w:rPr>
          <w:rFonts w:eastAsiaTheme="minorEastAsia" w:hint="eastAsia"/>
        </w:rPr>
        <w:t>:</w:t>
      </w:r>
    </w:p>
    <w:p w14:paraId="74F27BE8" w14:textId="7F7EA279" w:rsidR="00457400" w:rsidRDefault="00457400" w:rsidP="00457400">
      <w:pPr>
        <w:pStyle w:val="af5"/>
        <w:spacing w:before="156" w:after="156"/>
        <w:jc w:val="center"/>
        <w:rPr>
          <w:rFonts w:eastAsiaTheme="minorEastAsia"/>
          <w:sz w:val="21"/>
          <w:szCs w:val="20"/>
        </w:rPr>
      </w:pPr>
      <w:r w:rsidRPr="00457400">
        <w:rPr>
          <w:rFonts w:eastAsiaTheme="minorEastAsia" w:hint="eastAsia"/>
          <w:sz w:val="21"/>
          <w:szCs w:val="20"/>
        </w:rPr>
        <w:t xml:space="preserve">Table </w:t>
      </w:r>
      <w:r w:rsidR="00AC5B88">
        <w:rPr>
          <w:rFonts w:eastAsiaTheme="minorEastAsia" w:hint="eastAsia"/>
          <w:sz w:val="21"/>
          <w:szCs w:val="20"/>
        </w:rPr>
        <w:t>2</w:t>
      </w:r>
      <w:r w:rsidRPr="00457400">
        <w:rPr>
          <w:rFonts w:eastAsiaTheme="minorEastAsia" w:hint="eastAsia"/>
          <w:sz w:val="21"/>
          <w:szCs w:val="20"/>
        </w:rPr>
        <w:t>. The partial experimental evaluation values</w:t>
      </w:r>
    </w:p>
    <w:tbl>
      <w:tblPr>
        <w:tblStyle w:val="21"/>
        <w:tblW w:w="8143" w:type="dxa"/>
        <w:tblLook w:val="04A0" w:firstRow="1" w:lastRow="0" w:firstColumn="1" w:lastColumn="0" w:noHBand="0" w:noVBand="1"/>
      </w:tblPr>
      <w:tblGrid>
        <w:gridCol w:w="1437"/>
        <w:gridCol w:w="1076"/>
        <w:gridCol w:w="1178"/>
        <w:gridCol w:w="1076"/>
        <w:gridCol w:w="1114"/>
        <w:gridCol w:w="1076"/>
        <w:gridCol w:w="1186"/>
      </w:tblGrid>
      <w:tr w:rsidR="00457400" w:rsidRPr="00457400" w14:paraId="09983FB2" w14:textId="77777777" w:rsidTr="00457400">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437" w:type="dxa"/>
            <w:noWrap/>
            <w:hideMark/>
          </w:tcPr>
          <w:p w14:paraId="7934AA70" w14:textId="77777777" w:rsidR="00457400" w:rsidRPr="00457400" w:rsidRDefault="00457400" w:rsidP="00457400">
            <w:pPr>
              <w:widowControl/>
              <w:jc w:val="left"/>
              <w:rPr>
                <w:rFonts w:ascii="等线" w:eastAsia="等线" w:hAnsi="等线" w:cs="宋体" w:hint="eastAsia"/>
                <w:color w:val="000000"/>
                <w:kern w:val="0"/>
                <w:sz w:val="22"/>
              </w:rPr>
            </w:pPr>
            <w:proofErr w:type="spellStart"/>
            <w:r w:rsidRPr="00457400">
              <w:rPr>
                <w:rFonts w:ascii="等线" w:eastAsia="等线" w:hAnsi="等线" w:cs="宋体" w:hint="eastAsia"/>
                <w:color w:val="000000"/>
                <w:kern w:val="0"/>
                <w:sz w:val="22"/>
              </w:rPr>
              <w:t>HouseID</w:t>
            </w:r>
            <w:proofErr w:type="spellEnd"/>
          </w:p>
        </w:tc>
        <w:tc>
          <w:tcPr>
            <w:tcW w:w="1076" w:type="dxa"/>
            <w:noWrap/>
            <w:hideMark/>
          </w:tcPr>
          <w:p w14:paraId="747B78D4" w14:textId="77777777" w:rsidR="00457400" w:rsidRPr="00457400" w:rsidRDefault="00457400" w:rsidP="00457400">
            <w:pPr>
              <w:widowControl/>
              <w:jc w:val="left"/>
              <w:cnfStyle w:val="100000000000" w:firstRow="1"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proofErr w:type="spellStart"/>
            <w:r w:rsidRPr="00457400">
              <w:rPr>
                <w:rFonts w:ascii="等线" w:eastAsia="等线" w:hAnsi="等线" w:cs="宋体" w:hint="eastAsia"/>
                <w:color w:val="000000"/>
                <w:kern w:val="0"/>
                <w:sz w:val="22"/>
              </w:rPr>
              <w:t>Dir_MSE</w:t>
            </w:r>
            <w:proofErr w:type="spellEnd"/>
          </w:p>
        </w:tc>
        <w:tc>
          <w:tcPr>
            <w:tcW w:w="1178" w:type="dxa"/>
            <w:noWrap/>
            <w:hideMark/>
          </w:tcPr>
          <w:p w14:paraId="3FD75DD1" w14:textId="77777777" w:rsidR="00457400" w:rsidRPr="00457400" w:rsidRDefault="00457400" w:rsidP="00457400">
            <w:pPr>
              <w:widowControl/>
              <w:jc w:val="left"/>
              <w:cnfStyle w:val="100000000000" w:firstRow="1"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proofErr w:type="spellStart"/>
            <w:r w:rsidRPr="00457400">
              <w:rPr>
                <w:rFonts w:ascii="等线" w:eastAsia="等线" w:hAnsi="等线" w:cs="宋体" w:hint="eastAsia"/>
                <w:color w:val="000000"/>
                <w:kern w:val="0"/>
                <w:sz w:val="22"/>
              </w:rPr>
              <w:t>Dir_RMSE</w:t>
            </w:r>
            <w:proofErr w:type="spellEnd"/>
          </w:p>
        </w:tc>
        <w:tc>
          <w:tcPr>
            <w:tcW w:w="1076" w:type="dxa"/>
            <w:noWrap/>
            <w:hideMark/>
          </w:tcPr>
          <w:p w14:paraId="0CBD44D8" w14:textId="77777777" w:rsidR="00457400" w:rsidRPr="00457400" w:rsidRDefault="00457400" w:rsidP="00457400">
            <w:pPr>
              <w:widowControl/>
              <w:jc w:val="left"/>
              <w:cnfStyle w:val="100000000000" w:firstRow="1"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FT_MSE</w:t>
            </w:r>
          </w:p>
        </w:tc>
        <w:tc>
          <w:tcPr>
            <w:tcW w:w="1114" w:type="dxa"/>
            <w:noWrap/>
            <w:hideMark/>
          </w:tcPr>
          <w:p w14:paraId="5406B935" w14:textId="77777777" w:rsidR="00457400" w:rsidRPr="00457400" w:rsidRDefault="00457400" w:rsidP="00457400">
            <w:pPr>
              <w:widowControl/>
              <w:jc w:val="left"/>
              <w:cnfStyle w:val="100000000000" w:firstRow="1"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FT_RMSE</w:t>
            </w:r>
          </w:p>
        </w:tc>
        <w:tc>
          <w:tcPr>
            <w:tcW w:w="1076" w:type="dxa"/>
            <w:noWrap/>
            <w:hideMark/>
          </w:tcPr>
          <w:p w14:paraId="7E155077" w14:textId="77777777" w:rsidR="00457400" w:rsidRPr="00457400" w:rsidRDefault="00457400" w:rsidP="00457400">
            <w:pPr>
              <w:widowControl/>
              <w:jc w:val="left"/>
              <w:cnfStyle w:val="100000000000" w:firstRow="1"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proofErr w:type="spellStart"/>
            <w:r w:rsidRPr="00457400">
              <w:rPr>
                <w:rFonts w:ascii="等线" w:eastAsia="等线" w:hAnsi="等线" w:cs="宋体" w:hint="eastAsia"/>
                <w:color w:val="000000"/>
                <w:kern w:val="0"/>
                <w:sz w:val="22"/>
              </w:rPr>
              <w:t>Scr_MSE</w:t>
            </w:r>
            <w:proofErr w:type="spellEnd"/>
          </w:p>
        </w:tc>
        <w:tc>
          <w:tcPr>
            <w:tcW w:w="1186" w:type="dxa"/>
            <w:noWrap/>
            <w:hideMark/>
          </w:tcPr>
          <w:p w14:paraId="12BCE6DC" w14:textId="77777777" w:rsidR="00457400" w:rsidRPr="00457400" w:rsidRDefault="00457400" w:rsidP="00457400">
            <w:pPr>
              <w:widowControl/>
              <w:jc w:val="left"/>
              <w:cnfStyle w:val="100000000000" w:firstRow="1"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proofErr w:type="spellStart"/>
            <w:r w:rsidRPr="00457400">
              <w:rPr>
                <w:rFonts w:ascii="等线" w:eastAsia="等线" w:hAnsi="等线" w:cs="宋体" w:hint="eastAsia"/>
                <w:color w:val="000000"/>
                <w:kern w:val="0"/>
                <w:sz w:val="22"/>
              </w:rPr>
              <w:t>Scr_RMSE</w:t>
            </w:r>
            <w:proofErr w:type="spellEnd"/>
          </w:p>
        </w:tc>
      </w:tr>
      <w:tr w:rsidR="00457400" w:rsidRPr="00457400" w14:paraId="71779791" w14:textId="77777777" w:rsidTr="00457400">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437" w:type="dxa"/>
            <w:noWrap/>
            <w:hideMark/>
          </w:tcPr>
          <w:p w14:paraId="30D0368E" w14:textId="77777777" w:rsidR="00457400" w:rsidRPr="00457400" w:rsidRDefault="00457400" w:rsidP="00457400">
            <w:pPr>
              <w:widowControl/>
              <w:jc w:val="left"/>
              <w:rPr>
                <w:rFonts w:ascii="等线" w:eastAsia="等线" w:hAnsi="等线" w:cs="宋体" w:hint="eastAsia"/>
                <w:color w:val="000000"/>
                <w:kern w:val="0"/>
                <w:sz w:val="22"/>
              </w:rPr>
            </w:pPr>
            <w:r w:rsidRPr="00457400">
              <w:rPr>
                <w:rFonts w:ascii="等线" w:eastAsia="等线" w:hAnsi="等线" w:cs="宋体" w:hint="eastAsia"/>
                <w:color w:val="000000"/>
                <w:kern w:val="0"/>
                <w:sz w:val="22"/>
              </w:rPr>
              <w:t>MAC000103</w:t>
            </w:r>
          </w:p>
        </w:tc>
        <w:tc>
          <w:tcPr>
            <w:tcW w:w="1076" w:type="dxa"/>
            <w:noWrap/>
            <w:hideMark/>
          </w:tcPr>
          <w:p w14:paraId="3EC9A37A"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0.408688</w:t>
            </w:r>
          </w:p>
        </w:tc>
        <w:tc>
          <w:tcPr>
            <w:tcW w:w="1178" w:type="dxa"/>
            <w:noWrap/>
            <w:hideMark/>
          </w:tcPr>
          <w:p w14:paraId="58915A82"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0.639287</w:t>
            </w:r>
          </w:p>
        </w:tc>
        <w:tc>
          <w:tcPr>
            <w:tcW w:w="1076" w:type="dxa"/>
            <w:noWrap/>
            <w:hideMark/>
          </w:tcPr>
          <w:p w14:paraId="42514519"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0.410122</w:t>
            </w:r>
          </w:p>
        </w:tc>
        <w:tc>
          <w:tcPr>
            <w:tcW w:w="1114" w:type="dxa"/>
            <w:noWrap/>
            <w:hideMark/>
          </w:tcPr>
          <w:p w14:paraId="42D4A50D"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0.640408</w:t>
            </w:r>
          </w:p>
        </w:tc>
        <w:tc>
          <w:tcPr>
            <w:tcW w:w="1076" w:type="dxa"/>
            <w:noWrap/>
            <w:hideMark/>
          </w:tcPr>
          <w:p w14:paraId="33745047"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0.569812</w:t>
            </w:r>
          </w:p>
        </w:tc>
        <w:tc>
          <w:tcPr>
            <w:tcW w:w="1186" w:type="dxa"/>
            <w:noWrap/>
            <w:hideMark/>
          </w:tcPr>
          <w:p w14:paraId="10389008"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0.754859</w:t>
            </w:r>
          </w:p>
        </w:tc>
      </w:tr>
      <w:tr w:rsidR="00457400" w:rsidRPr="00457400" w14:paraId="50EC1427" w14:textId="77777777" w:rsidTr="00457400">
        <w:trPr>
          <w:trHeight w:val="278"/>
        </w:trPr>
        <w:tc>
          <w:tcPr>
            <w:cnfStyle w:val="001000000000" w:firstRow="0" w:lastRow="0" w:firstColumn="1" w:lastColumn="0" w:oddVBand="0" w:evenVBand="0" w:oddHBand="0" w:evenHBand="0" w:firstRowFirstColumn="0" w:firstRowLastColumn="0" w:lastRowFirstColumn="0" w:lastRowLastColumn="0"/>
            <w:tcW w:w="1437" w:type="dxa"/>
            <w:noWrap/>
            <w:hideMark/>
          </w:tcPr>
          <w:p w14:paraId="13FE9641" w14:textId="77777777" w:rsidR="00457400" w:rsidRPr="00457400" w:rsidRDefault="00457400" w:rsidP="00457400">
            <w:pPr>
              <w:widowControl/>
              <w:jc w:val="left"/>
              <w:rPr>
                <w:rFonts w:ascii="等线" w:eastAsia="等线" w:hAnsi="等线" w:cs="宋体" w:hint="eastAsia"/>
                <w:color w:val="000000"/>
                <w:kern w:val="0"/>
                <w:sz w:val="22"/>
              </w:rPr>
            </w:pPr>
            <w:r w:rsidRPr="00457400">
              <w:rPr>
                <w:rFonts w:ascii="等线" w:eastAsia="等线" w:hAnsi="等线" w:cs="宋体" w:hint="eastAsia"/>
                <w:color w:val="000000"/>
                <w:kern w:val="0"/>
                <w:sz w:val="22"/>
              </w:rPr>
              <w:t>MAC003718</w:t>
            </w:r>
          </w:p>
        </w:tc>
        <w:tc>
          <w:tcPr>
            <w:tcW w:w="1076" w:type="dxa"/>
            <w:noWrap/>
            <w:hideMark/>
          </w:tcPr>
          <w:p w14:paraId="28D709C4"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0.68503</w:t>
            </w:r>
          </w:p>
        </w:tc>
        <w:tc>
          <w:tcPr>
            <w:tcW w:w="1178" w:type="dxa"/>
            <w:noWrap/>
            <w:hideMark/>
          </w:tcPr>
          <w:p w14:paraId="5C9E68FC"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0.827665</w:t>
            </w:r>
          </w:p>
        </w:tc>
        <w:tc>
          <w:tcPr>
            <w:tcW w:w="1076" w:type="dxa"/>
            <w:noWrap/>
            <w:hideMark/>
          </w:tcPr>
          <w:p w14:paraId="473E673C"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0.677742</w:t>
            </w:r>
          </w:p>
        </w:tc>
        <w:tc>
          <w:tcPr>
            <w:tcW w:w="1114" w:type="dxa"/>
            <w:noWrap/>
            <w:hideMark/>
          </w:tcPr>
          <w:p w14:paraId="400B40D7"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0.823251</w:t>
            </w:r>
          </w:p>
        </w:tc>
        <w:tc>
          <w:tcPr>
            <w:tcW w:w="1076" w:type="dxa"/>
            <w:noWrap/>
            <w:hideMark/>
          </w:tcPr>
          <w:p w14:paraId="7EE1487A"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0.886002</w:t>
            </w:r>
          </w:p>
        </w:tc>
        <w:tc>
          <w:tcPr>
            <w:tcW w:w="1186" w:type="dxa"/>
            <w:noWrap/>
            <w:hideMark/>
          </w:tcPr>
          <w:p w14:paraId="23A65BEB"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0.941277</w:t>
            </w:r>
          </w:p>
        </w:tc>
      </w:tr>
      <w:tr w:rsidR="00457400" w:rsidRPr="00457400" w14:paraId="585E2461" w14:textId="77777777" w:rsidTr="00457400">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437" w:type="dxa"/>
            <w:noWrap/>
            <w:hideMark/>
          </w:tcPr>
          <w:p w14:paraId="0BCDF676" w14:textId="77777777" w:rsidR="00457400" w:rsidRPr="00457400" w:rsidRDefault="00457400" w:rsidP="00457400">
            <w:pPr>
              <w:widowControl/>
              <w:jc w:val="left"/>
              <w:rPr>
                <w:rFonts w:ascii="等线" w:eastAsia="等线" w:hAnsi="等线" w:cs="宋体" w:hint="eastAsia"/>
                <w:color w:val="000000"/>
                <w:kern w:val="0"/>
                <w:sz w:val="22"/>
              </w:rPr>
            </w:pPr>
            <w:r w:rsidRPr="00457400">
              <w:rPr>
                <w:rFonts w:ascii="等线" w:eastAsia="等线" w:hAnsi="等线" w:cs="宋体" w:hint="eastAsia"/>
                <w:color w:val="000000"/>
                <w:kern w:val="0"/>
                <w:sz w:val="22"/>
              </w:rPr>
              <w:lastRenderedPageBreak/>
              <w:t>MAC001776</w:t>
            </w:r>
          </w:p>
        </w:tc>
        <w:tc>
          <w:tcPr>
            <w:tcW w:w="1076" w:type="dxa"/>
            <w:noWrap/>
            <w:hideMark/>
          </w:tcPr>
          <w:p w14:paraId="7774BB9F"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0.447359</w:t>
            </w:r>
          </w:p>
        </w:tc>
        <w:tc>
          <w:tcPr>
            <w:tcW w:w="1178" w:type="dxa"/>
            <w:noWrap/>
            <w:hideMark/>
          </w:tcPr>
          <w:p w14:paraId="544EA9CA"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0.668849</w:t>
            </w:r>
          </w:p>
        </w:tc>
        <w:tc>
          <w:tcPr>
            <w:tcW w:w="1076" w:type="dxa"/>
            <w:noWrap/>
            <w:hideMark/>
          </w:tcPr>
          <w:p w14:paraId="3A7CE06A"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0.447828</w:t>
            </w:r>
          </w:p>
        </w:tc>
        <w:tc>
          <w:tcPr>
            <w:tcW w:w="1114" w:type="dxa"/>
            <w:noWrap/>
            <w:hideMark/>
          </w:tcPr>
          <w:p w14:paraId="63BA282F"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0.669199</w:t>
            </w:r>
          </w:p>
        </w:tc>
        <w:tc>
          <w:tcPr>
            <w:tcW w:w="1076" w:type="dxa"/>
            <w:noWrap/>
            <w:hideMark/>
          </w:tcPr>
          <w:p w14:paraId="7CBEDE79"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0.664076</w:t>
            </w:r>
          </w:p>
        </w:tc>
        <w:tc>
          <w:tcPr>
            <w:tcW w:w="1186" w:type="dxa"/>
            <w:noWrap/>
            <w:hideMark/>
          </w:tcPr>
          <w:p w14:paraId="4169D173"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0.814909</w:t>
            </w:r>
          </w:p>
        </w:tc>
      </w:tr>
      <w:tr w:rsidR="00457400" w:rsidRPr="00457400" w14:paraId="66A8F79D" w14:textId="77777777" w:rsidTr="00457400">
        <w:trPr>
          <w:trHeight w:val="278"/>
        </w:trPr>
        <w:tc>
          <w:tcPr>
            <w:cnfStyle w:val="001000000000" w:firstRow="0" w:lastRow="0" w:firstColumn="1" w:lastColumn="0" w:oddVBand="0" w:evenVBand="0" w:oddHBand="0" w:evenHBand="0" w:firstRowFirstColumn="0" w:firstRowLastColumn="0" w:lastRowFirstColumn="0" w:lastRowLastColumn="0"/>
            <w:tcW w:w="1437" w:type="dxa"/>
            <w:noWrap/>
            <w:hideMark/>
          </w:tcPr>
          <w:p w14:paraId="2EA66F70" w14:textId="77777777" w:rsidR="00457400" w:rsidRPr="00457400" w:rsidRDefault="00457400" w:rsidP="00457400">
            <w:pPr>
              <w:widowControl/>
              <w:jc w:val="left"/>
              <w:rPr>
                <w:rFonts w:ascii="等线" w:eastAsia="等线" w:hAnsi="等线" w:cs="宋体" w:hint="eastAsia"/>
                <w:color w:val="000000"/>
                <w:kern w:val="0"/>
                <w:sz w:val="22"/>
              </w:rPr>
            </w:pPr>
            <w:r w:rsidRPr="00457400">
              <w:rPr>
                <w:rFonts w:ascii="等线" w:eastAsia="等线" w:hAnsi="等线" w:cs="宋体" w:hint="eastAsia"/>
                <w:color w:val="000000"/>
                <w:kern w:val="0"/>
                <w:sz w:val="22"/>
              </w:rPr>
              <w:t>MAC005468</w:t>
            </w:r>
          </w:p>
        </w:tc>
        <w:tc>
          <w:tcPr>
            <w:tcW w:w="1076" w:type="dxa"/>
            <w:noWrap/>
            <w:hideMark/>
          </w:tcPr>
          <w:p w14:paraId="420DD921"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0.57201</w:t>
            </w:r>
          </w:p>
        </w:tc>
        <w:tc>
          <w:tcPr>
            <w:tcW w:w="1178" w:type="dxa"/>
            <w:noWrap/>
            <w:hideMark/>
          </w:tcPr>
          <w:p w14:paraId="284F9EBB"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0.756313</w:t>
            </w:r>
          </w:p>
        </w:tc>
        <w:tc>
          <w:tcPr>
            <w:tcW w:w="1076" w:type="dxa"/>
            <w:noWrap/>
            <w:hideMark/>
          </w:tcPr>
          <w:p w14:paraId="588EC263"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0.568648</w:t>
            </w:r>
          </w:p>
        </w:tc>
        <w:tc>
          <w:tcPr>
            <w:tcW w:w="1114" w:type="dxa"/>
            <w:noWrap/>
            <w:hideMark/>
          </w:tcPr>
          <w:p w14:paraId="77C43A0F"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0.754087</w:t>
            </w:r>
          </w:p>
        </w:tc>
        <w:tc>
          <w:tcPr>
            <w:tcW w:w="1076" w:type="dxa"/>
            <w:noWrap/>
            <w:hideMark/>
          </w:tcPr>
          <w:p w14:paraId="621837F7"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0.711529</w:t>
            </w:r>
          </w:p>
        </w:tc>
        <w:tc>
          <w:tcPr>
            <w:tcW w:w="1186" w:type="dxa"/>
            <w:noWrap/>
            <w:hideMark/>
          </w:tcPr>
          <w:p w14:paraId="5627D87E"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0.843522</w:t>
            </w:r>
          </w:p>
        </w:tc>
      </w:tr>
      <w:tr w:rsidR="00457400" w:rsidRPr="00457400" w14:paraId="52288778" w14:textId="77777777" w:rsidTr="00457400">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437" w:type="dxa"/>
            <w:noWrap/>
            <w:hideMark/>
          </w:tcPr>
          <w:p w14:paraId="7B30363F" w14:textId="77777777" w:rsidR="00457400" w:rsidRPr="00457400" w:rsidRDefault="00457400" w:rsidP="00457400">
            <w:pPr>
              <w:widowControl/>
              <w:jc w:val="left"/>
              <w:rPr>
                <w:rFonts w:ascii="等线" w:eastAsia="等线" w:hAnsi="等线" w:cs="宋体" w:hint="eastAsia"/>
                <w:color w:val="000000"/>
                <w:kern w:val="0"/>
                <w:sz w:val="22"/>
              </w:rPr>
            </w:pPr>
            <w:r w:rsidRPr="00457400">
              <w:rPr>
                <w:rFonts w:ascii="等线" w:eastAsia="等线" w:hAnsi="等线" w:cs="宋体" w:hint="eastAsia"/>
                <w:color w:val="000000"/>
                <w:kern w:val="0"/>
                <w:sz w:val="22"/>
              </w:rPr>
              <w:t>MAC004529</w:t>
            </w:r>
          </w:p>
        </w:tc>
        <w:tc>
          <w:tcPr>
            <w:tcW w:w="1076" w:type="dxa"/>
            <w:noWrap/>
            <w:hideMark/>
          </w:tcPr>
          <w:p w14:paraId="039E0487"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0.539262</w:t>
            </w:r>
          </w:p>
        </w:tc>
        <w:tc>
          <w:tcPr>
            <w:tcW w:w="1178" w:type="dxa"/>
            <w:noWrap/>
            <w:hideMark/>
          </w:tcPr>
          <w:p w14:paraId="60206969"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0.734345</w:t>
            </w:r>
          </w:p>
        </w:tc>
        <w:tc>
          <w:tcPr>
            <w:tcW w:w="1076" w:type="dxa"/>
            <w:noWrap/>
            <w:hideMark/>
          </w:tcPr>
          <w:p w14:paraId="7387263D"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0.535501</w:t>
            </w:r>
          </w:p>
        </w:tc>
        <w:tc>
          <w:tcPr>
            <w:tcW w:w="1114" w:type="dxa"/>
            <w:noWrap/>
            <w:hideMark/>
          </w:tcPr>
          <w:p w14:paraId="22D2E2DB"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0.73178</w:t>
            </w:r>
          </w:p>
        </w:tc>
        <w:tc>
          <w:tcPr>
            <w:tcW w:w="1076" w:type="dxa"/>
            <w:noWrap/>
            <w:hideMark/>
          </w:tcPr>
          <w:p w14:paraId="63D6E186"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0.728103</w:t>
            </w:r>
          </w:p>
        </w:tc>
        <w:tc>
          <w:tcPr>
            <w:tcW w:w="1186" w:type="dxa"/>
            <w:noWrap/>
            <w:hideMark/>
          </w:tcPr>
          <w:p w14:paraId="4596C572"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0.85329</w:t>
            </w:r>
          </w:p>
        </w:tc>
      </w:tr>
      <w:tr w:rsidR="00457400" w:rsidRPr="00457400" w14:paraId="2CF7296B" w14:textId="77777777" w:rsidTr="00457400">
        <w:trPr>
          <w:trHeight w:val="278"/>
        </w:trPr>
        <w:tc>
          <w:tcPr>
            <w:cnfStyle w:val="001000000000" w:firstRow="0" w:lastRow="0" w:firstColumn="1" w:lastColumn="0" w:oddVBand="0" w:evenVBand="0" w:oddHBand="0" w:evenHBand="0" w:firstRowFirstColumn="0" w:firstRowLastColumn="0" w:lastRowFirstColumn="0" w:lastRowLastColumn="0"/>
            <w:tcW w:w="1437" w:type="dxa"/>
            <w:noWrap/>
            <w:hideMark/>
          </w:tcPr>
          <w:p w14:paraId="77E1E35A" w14:textId="77777777" w:rsidR="00457400" w:rsidRPr="00457400" w:rsidRDefault="00457400" w:rsidP="00457400">
            <w:pPr>
              <w:widowControl/>
              <w:jc w:val="left"/>
              <w:rPr>
                <w:rFonts w:ascii="等线" w:eastAsia="等线" w:hAnsi="等线" w:cs="宋体" w:hint="eastAsia"/>
                <w:color w:val="000000"/>
                <w:kern w:val="0"/>
                <w:sz w:val="22"/>
              </w:rPr>
            </w:pPr>
            <w:r w:rsidRPr="00457400">
              <w:rPr>
                <w:rFonts w:ascii="等线" w:eastAsia="等线" w:hAnsi="等线" w:cs="宋体" w:hint="eastAsia"/>
                <w:color w:val="000000"/>
                <w:kern w:val="0"/>
                <w:sz w:val="22"/>
              </w:rPr>
              <w:t>MAC000768</w:t>
            </w:r>
          </w:p>
        </w:tc>
        <w:tc>
          <w:tcPr>
            <w:tcW w:w="1076" w:type="dxa"/>
            <w:noWrap/>
            <w:hideMark/>
          </w:tcPr>
          <w:p w14:paraId="2FDBEEF4"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0.513274</w:t>
            </w:r>
          </w:p>
        </w:tc>
        <w:tc>
          <w:tcPr>
            <w:tcW w:w="1178" w:type="dxa"/>
            <w:noWrap/>
            <w:hideMark/>
          </w:tcPr>
          <w:p w14:paraId="236AD8D7"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0.716431</w:t>
            </w:r>
          </w:p>
        </w:tc>
        <w:tc>
          <w:tcPr>
            <w:tcW w:w="1076" w:type="dxa"/>
            <w:noWrap/>
            <w:hideMark/>
          </w:tcPr>
          <w:p w14:paraId="7F306B99"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0.510199</w:t>
            </w:r>
          </w:p>
        </w:tc>
        <w:tc>
          <w:tcPr>
            <w:tcW w:w="1114" w:type="dxa"/>
            <w:noWrap/>
            <w:hideMark/>
          </w:tcPr>
          <w:p w14:paraId="7F9CC151"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0.714282</w:t>
            </w:r>
          </w:p>
        </w:tc>
        <w:tc>
          <w:tcPr>
            <w:tcW w:w="1076" w:type="dxa"/>
            <w:noWrap/>
            <w:hideMark/>
          </w:tcPr>
          <w:p w14:paraId="1A09323D"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0.647864</w:t>
            </w:r>
          </w:p>
        </w:tc>
        <w:tc>
          <w:tcPr>
            <w:tcW w:w="1186" w:type="dxa"/>
            <w:noWrap/>
            <w:hideMark/>
          </w:tcPr>
          <w:p w14:paraId="6DD90827" w14:textId="77777777" w:rsidR="00457400" w:rsidRPr="00457400" w:rsidRDefault="00457400" w:rsidP="00457400">
            <w:pPr>
              <w:widowControl/>
              <w:jc w:val="right"/>
              <w:cnfStyle w:val="000000000000" w:firstRow="0" w:lastRow="0" w:firstColumn="0" w:lastColumn="0" w:oddVBand="0" w:evenVBand="0" w:oddHBand="0"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0.8049</w:t>
            </w:r>
          </w:p>
        </w:tc>
      </w:tr>
      <w:tr w:rsidR="00457400" w:rsidRPr="00457400" w14:paraId="3B11A2A2" w14:textId="77777777" w:rsidTr="00457400">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437" w:type="dxa"/>
            <w:noWrap/>
            <w:hideMark/>
          </w:tcPr>
          <w:p w14:paraId="20FCBD4C" w14:textId="77777777" w:rsidR="00457400" w:rsidRPr="00457400" w:rsidRDefault="00457400" w:rsidP="00457400">
            <w:pPr>
              <w:widowControl/>
              <w:jc w:val="left"/>
              <w:rPr>
                <w:rFonts w:ascii="等线" w:eastAsia="等线" w:hAnsi="等线" w:cs="宋体" w:hint="eastAsia"/>
                <w:color w:val="000000"/>
                <w:kern w:val="0"/>
                <w:sz w:val="22"/>
              </w:rPr>
            </w:pPr>
            <w:r w:rsidRPr="00457400">
              <w:rPr>
                <w:rFonts w:ascii="等线" w:eastAsia="等线" w:hAnsi="等线" w:cs="宋体" w:hint="eastAsia"/>
                <w:color w:val="000000"/>
                <w:kern w:val="0"/>
                <w:sz w:val="22"/>
              </w:rPr>
              <w:t>MAC000487</w:t>
            </w:r>
          </w:p>
        </w:tc>
        <w:tc>
          <w:tcPr>
            <w:tcW w:w="1076" w:type="dxa"/>
            <w:noWrap/>
            <w:hideMark/>
          </w:tcPr>
          <w:p w14:paraId="1AF6D4C5"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0.549336</w:t>
            </w:r>
          </w:p>
        </w:tc>
        <w:tc>
          <w:tcPr>
            <w:tcW w:w="1178" w:type="dxa"/>
            <w:noWrap/>
            <w:hideMark/>
          </w:tcPr>
          <w:p w14:paraId="0A4D39F9"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0.741172</w:t>
            </w:r>
          </w:p>
        </w:tc>
        <w:tc>
          <w:tcPr>
            <w:tcW w:w="1076" w:type="dxa"/>
            <w:noWrap/>
            <w:hideMark/>
          </w:tcPr>
          <w:p w14:paraId="0B78A3FF"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0.548613</w:t>
            </w:r>
          </w:p>
        </w:tc>
        <w:tc>
          <w:tcPr>
            <w:tcW w:w="1114" w:type="dxa"/>
            <w:noWrap/>
            <w:hideMark/>
          </w:tcPr>
          <w:p w14:paraId="2E382C81"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0.740684</w:t>
            </w:r>
          </w:p>
        </w:tc>
        <w:tc>
          <w:tcPr>
            <w:tcW w:w="1076" w:type="dxa"/>
            <w:noWrap/>
            <w:hideMark/>
          </w:tcPr>
          <w:p w14:paraId="4FCAD506"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0.638064</w:t>
            </w:r>
          </w:p>
        </w:tc>
        <w:tc>
          <w:tcPr>
            <w:tcW w:w="1186" w:type="dxa"/>
            <w:noWrap/>
            <w:hideMark/>
          </w:tcPr>
          <w:p w14:paraId="335B27FD" w14:textId="77777777" w:rsidR="00457400" w:rsidRPr="00457400" w:rsidRDefault="00457400" w:rsidP="00457400">
            <w:pPr>
              <w:widowControl/>
              <w:jc w:val="right"/>
              <w:cnfStyle w:val="000000100000" w:firstRow="0" w:lastRow="0" w:firstColumn="0" w:lastColumn="0" w:oddVBand="0" w:evenVBand="0" w:oddHBand="1" w:evenHBand="0" w:firstRowFirstColumn="0" w:firstRowLastColumn="0" w:lastRowFirstColumn="0" w:lastRowLastColumn="0"/>
              <w:rPr>
                <w:rFonts w:ascii="等线" w:eastAsia="等线" w:hAnsi="等线" w:cs="宋体" w:hint="eastAsia"/>
                <w:color w:val="000000"/>
                <w:kern w:val="0"/>
                <w:sz w:val="22"/>
              </w:rPr>
            </w:pPr>
            <w:r w:rsidRPr="00457400">
              <w:rPr>
                <w:rFonts w:ascii="等线" w:eastAsia="等线" w:hAnsi="等线" w:cs="宋体" w:hint="eastAsia"/>
                <w:color w:val="000000"/>
                <w:kern w:val="0"/>
                <w:sz w:val="22"/>
              </w:rPr>
              <w:t>0.798789</w:t>
            </w:r>
          </w:p>
        </w:tc>
      </w:tr>
    </w:tbl>
    <w:p w14:paraId="74CB7F83" w14:textId="77777777" w:rsidR="00457400" w:rsidRPr="00457400" w:rsidRDefault="00457400" w:rsidP="00457400">
      <w:pPr>
        <w:pStyle w:val="af5"/>
        <w:spacing w:before="156" w:after="156"/>
        <w:jc w:val="left"/>
        <w:rPr>
          <w:rFonts w:eastAsiaTheme="minorEastAsia"/>
          <w:sz w:val="21"/>
          <w:szCs w:val="20"/>
        </w:rPr>
      </w:pPr>
    </w:p>
    <w:p w14:paraId="76C95595" w14:textId="77777777" w:rsidR="00CE06BF" w:rsidRPr="00D22B50" w:rsidRDefault="00CE06BF" w:rsidP="00CE06BF">
      <w:pPr>
        <w:pStyle w:val="2"/>
        <w:rPr>
          <w:rFonts w:hint="eastAsia"/>
        </w:rPr>
      </w:pPr>
      <w:bookmarkStart w:id="82" w:name="_Toc228641330"/>
      <w:r w:rsidRPr="00D22B50">
        <w:t>6.4 Architectural Duel: LSTM vs. Transformer in Cold-Start</w:t>
      </w:r>
      <w:bookmarkEnd w:id="82"/>
    </w:p>
    <w:p w14:paraId="24E52440" w14:textId="658E58FD" w:rsidR="00CE06BF" w:rsidRPr="00D22B50" w:rsidRDefault="00CE06BF" w:rsidP="00FD5995">
      <w:pPr>
        <w:pStyle w:val="af5"/>
        <w:spacing w:before="156" w:after="156"/>
      </w:pPr>
      <w:r w:rsidRPr="00D22B50">
        <w:t xml:space="preserve">Having established the absolute necessity of the </w:t>
      </w:r>
      <w:r w:rsidR="00BD7543">
        <w:t>“</w:t>
      </w:r>
      <w:r w:rsidRPr="00D22B50">
        <w:t>Pre-training and Fine-tuning</w:t>
      </w:r>
      <w:r w:rsidR="00BD7543">
        <w:t>”</w:t>
      </w:r>
      <w:r w:rsidRPr="00D22B50">
        <w:t xml:space="preserve"> paradigm and successfully mitigated the negative transfer phenomenon, the final experimental phase evaluated the intrinsic robustness of different neural architectures under extreme data scarcity. In this head-to-head benchmark, both the LSTM and the newly introduced Transformer models—enhanced with temporal covariates (Hour, </w:t>
      </w:r>
      <w:proofErr w:type="spellStart"/>
      <w:r w:rsidRPr="00D22B50">
        <w:t>DayOfWeek</w:t>
      </w:r>
      <w:proofErr w:type="spellEnd"/>
      <w:r w:rsidRPr="00D22B50">
        <w:t xml:space="preserve">) and individually optimized via </w:t>
      </w:r>
      <w:proofErr w:type="spellStart"/>
      <w:r w:rsidRPr="00D22B50">
        <w:t>Optuna</w:t>
      </w:r>
      <w:proofErr w:type="spellEnd"/>
      <w:r w:rsidRPr="00D22B50">
        <w:t>—were subjected to the identical 10-day adaptive fine-tuning strategy.</w:t>
      </w:r>
    </w:p>
    <w:p w14:paraId="05AC6D1E" w14:textId="77777777" w:rsidR="00CE06BF" w:rsidRPr="00D22B50" w:rsidRDefault="00CE06BF" w:rsidP="001D631B">
      <w:pPr>
        <w:pStyle w:val="3"/>
        <w:rPr>
          <w:rFonts w:hint="eastAsia"/>
        </w:rPr>
      </w:pPr>
      <w:bookmarkStart w:id="83" w:name="_Toc228641331"/>
      <w:r w:rsidRPr="00D22B50">
        <w:t>6.4.1 Quantitative Comparison of Mean Performance</w:t>
      </w:r>
      <w:bookmarkEnd w:id="83"/>
      <w:r w:rsidRPr="00D22B50">
        <w:t xml:space="preserve"> </w:t>
      </w:r>
    </w:p>
    <w:p w14:paraId="42E2BE69" w14:textId="09E5C91C" w:rsidR="00CE06BF" w:rsidRPr="00457400" w:rsidRDefault="00CE06BF" w:rsidP="00457400">
      <w:pPr>
        <w:pStyle w:val="af5"/>
        <w:spacing w:before="156" w:after="156"/>
      </w:pPr>
      <w:r w:rsidRPr="00457400">
        <w:t xml:space="preserve">Table </w:t>
      </w:r>
      <w:r w:rsidR="00AC5B88">
        <w:rPr>
          <w:rFonts w:eastAsiaTheme="minorEastAsia" w:hint="eastAsia"/>
        </w:rPr>
        <w:t>3</w:t>
      </w:r>
      <w:r w:rsidR="00457400" w:rsidRPr="00457400">
        <w:rPr>
          <w:rFonts w:eastAsiaTheme="minorEastAsia" w:hint="eastAsia"/>
        </w:rPr>
        <w:t>.</w:t>
      </w:r>
      <w:r w:rsidRPr="00457400">
        <w:t xml:space="preserve"> summarizes the aggregated performance metrics across the 30 target households during the cold-start window.</w:t>
      </w:r>
    </w:p>
    <w:p w14:paraId="0FAFA9EC" w14:textId="5732F027" w:rsidR="00CE06BF" w:rsidRPr="00D22B50" w:rsidRDefault="00CE06BF" w:rsidP="00FD5995">
      <w:pPr>
        <w:jc w:val="center"/>
        <w:rPr>
          <w:rFonts w:ascii="Times New Roman" w:hAnsi="Times New Roman" w:cs="Times New Roman"/>
        </w:rPr>
      </w:pPr>
      <w:r w:rsidRPr="00D22B50">
        <w:rPr>
          <w:rFonts w:ascii="Times New Roman" w:hAnsi="Times New Roman" w:cs="Times New Roman"/>
        </w:rPr>
        <w:t xml:space="preserve">Table </w:t>
      </w:r>
      <w:r w:rsidR="00AC5B88">
        <w:rPr>
          <w:rFonts w:ascii="Times New Roman" w:hAnsi="Times New Roman" w:cs="Times New Roman" w:hint="eastAsia"/>
        </w:rPr>
        <w:t>3</w:t>
      </w:r>
      <w:r w:rsidRPr="00D22B50">
        <w:rPr>
          <w:rFonts w:ascii="Times New Roman" w:hAnsi="Times New Roman" w:cs="Times New Roman"/>
        </w:rPr>
        <w:t>: Mean Performance Comparison (30 Households)</w:t>
      </w:r>
    </w:p>
    <w:tbl>
      <w:tblPr>
        <w:tblStyle w:val="21"/>
        <w:tblW w:w="0" w:type="auto"/>
        <w:tblLook w:val="04A0" w:firstRow="1" w:lastRow="0" w:firstColumn="1" w:lastColumn="0" w:noHBand="0" w:noVBand="1"/>
      </w:tblPr>
      <w:tblGrid>
        <w:gridCol w:w="2074"/>
        <w:gridCol w:w="2074"/>
        <w:gridCol w:w="2074"/>
        <w:gridCol w:w="2074"/>
      </w:tblGrid>
      <w:tr w:rsidR="00CE06BF" w:rsidRPr="00D22B50" w14:paraId="751109E6" w14:textId="77777777" w:rsidTr="00FD59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61168C2A" w14:textId="77777777" w:rsidR="00CE06BF" w:rsidRPr="00D22B50" w:rsidRDefault="00CE06BF" w:rsidP="001D048B">
            <w:pPr>
              <w:rPr>
                <w:rFonts w:hint="eastAsia"/>
                <w:b w:val="0"/>
                <w:bCs w:val="0"/>
              </w:rPr>
            </w:pPr>
            <w:r w:rsidRPr="00D22B50">
              <w:rPr>
                <w:rStyle w:val="af4"/>
                <w:rFonts w:ascii="Arial" w:hAnsi="Arial" w:cs="Arial"/>
                <w:color w:val="1F1F1F"/>
                <w:bdr w:val="none" w:sz="0" w:space="0" w:color="auto" w:frame="1"/>
              </w:rPr>
              <w:t>Architecture</w:t>
            </w:r>
          </w:p>
        </w:tc>
        <w:tc>
          <w:tcPr>
            <w:tcW w:w="2074" w:type="dxa"/>
          </w:tcPr>
          <w:p w14:paraId="390C0166" w14:textId="77777777" w:rsidR="00CE06BF" w:rsidRPr="00D22B50" w:rsidRDefault="00CE06BF" w:rsidP="001D048B">
            <w:pPr>
              <w:cnfStyle w:val="100000000000" w:firstRow="1" w:lastRow="0" w:firstColumn="0" w:lastColumn="0" w:oddVBand="0" w:evenVBand="0" w:oddHBand="0" w:evenHBand="0" w:firstRowFirstColumn="0" w:firstRowLastColumn="0" w:lastRowFirstColumn="0" w:lastRowLastColumn="0"/>
              <w:rPr>
                <w:rFonts w:hint="eastAsia"/>
                <w:b w:val="0"/>
                <w:bCs w:val="0"/>
              </w:rPr>
            </w:pPr>
            <w:r w:rsidRPr="00D22B50">
              <w:rPr>
                <w:rStyle w:val="af4"/>
                <w:rFonts w:ascii="Arial" w:hAnsi="Arial" w:cs="Arial"/>
                <w:color w:val="1F1F1F"/>
                <w:bdr w:val="none" w:sz="0" w:space="0" w:color="auto" w:frame="1"/>
              </w:rPr>
              <w:t>Strategy</w:t>
            </w:r>
          </w:p>
        </w:tc>
        <w:tc>
          <w:tcPr>
            <w:tcW w:w="2074" w:type="dxa"/>
          </w:tcPr>
          <w:p w14:paraId="1C9E6D3D" w14:textId="77777777" w:rsidR="00CE06BF" w:rsidRPr="00D22B50" w:rsidRDefault="00CE06BF" w:rsidP="001D048B">
            <w:pPr>
              <w:cnfStyle w:val="100000000000" w:firstRow="1" w:lastRow="0" w:firstColumn="0" w:lastColumn="0" w:oddVBand="0" w:evenVBand="0" w:oddHBand="0" w:evenHBand="0" w:firstRowFirstColumn="0" w:firstRowLastColumn="0" w:lastRowFirstColumn="0" w:lastRowLastColumn="0"/>
              <w:rPr>
                <w:rFonts w:hint="eastAsia"/>
                <w:b w:val="0"/>
                <w:bCs w:val="0"/>
              </w:rPr>
            </w:pPr>
            <w:r w:rsidRPr="00D22B50">
              <w:rPr>
                <w:rStyle w:val="af4"/>
                <w:rFonts w:ascii="Arial" w:hAnsi="Arial" w:cs="Arial"/>
                <w:color w:val="1F1F1F"/>
                <w:bdr w:val="none" w:sz="0" w:space="0" w:color="auto" w:frame="1"/>
              </w:rPr>
              <w:t>MSE (Mean)</w:t>
            </w:r>
          </w:p>
        </w:tc>
        <w:tc>
          <w:tcPr>
            <w:tcW w:w="2074" w:type="dxa"/>
          </w:tcPr>
          <w:p w14:paraId="04D18612" w14:textId="77777777" w:rsidR="00CE06BF" w:rsidRPr="00D22B50" w:rsidRDefault="00CE06BF" w:rsidP="001D048B">
            <w:pPr>
              <w:cnfStyle w:val="100000000000" w:firstRow="1" w:lastRow="0" w:firstColumn="0" w:lastColumn="0" w:oddVBand="0" w:evenVBand="0" w:oddHBand="0" w:evenHBand="0" w:firstRowFirstColumn="0" w:firstRowLastColumn="0" w:lastRowFirstColumn="0" w:lastRowLastColumn="0"/>
              <w:rPr>
                <w:rFonts w:hint="eastAsia"/>
                <w:b w:val="0"/>
                <w:bCs w:val="0"/>
              </w:rPr>
            </w:pPr>
            <w:r w:rsidRPr="00D22B50">
              <w:rPr>
                <w:rStyle w:val="af4"/>
                <w:rFonts w:ascii="Arial" w:hAnsi="Arial" w:cs="Arial"/>
                <w:color w:val="1F1F1F"/>
                <w:bdr w:val="none" w:sz="0" w:space="0" w:color="auto" w:frame="1"/>
              </w:rPr>
              <w:t>MAPE (Mean)</w:t>
            </w:r>
          </w:p>
        </w:tc>
      </w:tr>
      <w:tr w:rsidR="00CE06BF" w:rsidRPr="00D22B50" w14:paraId="3CF5748B" w14:textId="77777777" w:rsidTr="00FD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29B5A096" w14:textId="77777777" w:rsidR="00CE06BF" w:rsidRPr="00D22B50" w:rsidRDefault="00CE06BF" w:rsidP="001D048B">
            <w:pPr>
              <w:rPr>
                <w:rFonts w:hint="eastAsia"/>
                <w:b w:val="0"/>
                <w:bCs w:val="0"/>
              </w:rPr>
            </w:pPr>
            <w:r w:rsidRPr="00D22B50">
              <w:rPr>
                <w:rFonts w:ascii="Arial" w:hAnsi="Arial" w:cs="Arial"/>
                <w:b w:val="0"/>
                <w:bCs w:val="0"/>
                <w:color w:val="1F1F1F"/>
                <w:bdr w:val="none" w:sz="0" w:space="0" w:color="auto" w:frame="1"/>
              </w:rPr>
              <w:t>LSTM</w:t>
            </w:r>
          </w:p>
        </w:tc>
        <w:tc>
          <w:tcPr>
            <w:tcW w:w="2074" w:type="dxa"/>
          </w:tcPr>
          <w:p w14:paraId="37DE60DA" w14:textId="77777777" w:rsidR="00CE06BF" w:rsidRPr="00D22B50" w:rsidRDefault="00CE06BF" w:rsidP="001D048B">
            <w:pPr>
              <w:cnfStyle w:val="000000100000" w:firstRow="0" w:lastRow="0" w:firstColumn="0" w:lastColumn="0" w:oddVBand="0" w:evenVBand="0" w:oddHBand="1" w:evenHBand="0" w:firstRowFirstColumn="0" w:firstRowLastColumn="0" w:lastRowFirstColumn="0" w:lastRowLastColumn="0"/>
              <w:rPr>
                <w:rFonts w:hint="eastAsia"/>
              </w:rPr>
            </w:pPr>
            <w:r w:rsidRPr="00D22B50">
              <w:rPr>
                <w:rFonts w:ascii="Arial" w:hAnsi="Arial" w:cs="Arial"/>
                <w:color w:val="1F1F1F"/>
                <w:bdr w:val="none" w:sz="0" w:space="0" w:color="auto" w:frame="1"/>
              </w:rPr>
              <w:t>Adaptive Fine-tuning</w:t>
            </w:r>
          </w:p>
        </w:tc>
        <w:tc>
          <w:tcPr>
            <w:tcW w:w="2074" w:type="dxa"/>
          </w:tcPr>
          <w:p w14:paraId="6936542C" w14:textId="77777777" w:rsidR="00CE06BF" w:rsidRPr="00D22B50" w:rsidRDefault="00CE06BF" w:rsidP="001D048B">
            <w:pPr>
              <w:cnfStyle w:val="000000100000" w:firstRow="0" w:lastRow="0" w:firstColumn="0" w:lastColumn="0" w:oddVBand="0" w:evenVBand="0" w:oddHBand="1" w:evenHBand="0" w:firstRowFirstColumn="0" w:firstRowLastColumn="0" w:lastRowFirstColumn="0" w:lastRowLastColumn="0"/>
              <w:rPr>
                <w:rFonts w:hint="eastAsia"/>
              </w:rPr>
            </w:pPr>
            <w:r w:rsidRPr="00D22B50">
              <w:rPr>
                <w:rFonts w:ascii="Arial" w:hAnsi="Arial" w:cs="Arial"/>
                <w:color w:val="1F1F1F"/>
                <w:bdr w:val="none" w:sz="0" w:space="0" w:color="auto" w:frame="1"/>
              </w:rPr>
              <w:t>0.4849</w:t>
            </w:r>
          </w:p>
        </w:tc>
        <w:tc>
          <w:tcPr>
            <w:tcW w:w="2074" w:type="dxa"/>
          </w:tcPr>
          <w:p w14:paraId="6448190A" w14:textId="77777777" w:rsidR="00CE06BF" w:rsidRPr="00D22B50" w:rsidRDefault="00CE06BF" w:rsidP="001D048B">
            <w:pPr>
              <w:cnfStyle w:val="000000100000" w:firstRow="0" w:lastRow="0" w:firstColumn="0" w:lastColumn="0" w:oddVBand="0" w:evenVBand="0" w:oddHBand="1" w:evenHBand="0" w:firstRowFirstColumn="0" w:firstRowLastColumn="0" w:lastRowFirstColumn="0" w:lastRowLastColumn="0"/>
              <w:rPr>
                <w:rFonts w:hint="eastAsia"/>
              </w:rPr>
            </w:pPr>
            <w:r w:rsidRPr="00D22B50">
              <w:rPr>
                <w:rFonts w:ascii="Arial" w:hAnsi="Arial" w:cs="Arial"/>
                <w:color w:val="1F1F1F"/>
                <w:bdr w:val="none" w:sz="0" w:space="0" w:color="auto" w:frame="1"/>
              </w:rPr>
              <w:t>285.80%</w:t>
            </w:r>
          </w:p>
        </w:tc>
      </w:tr>
      <w:tr w:rsidR="00CE06BF" w:rsidRPr="00D22B50" w14:paraId="414D4272" w14:textId="77777777" w:rsidTr="00FD5995">
        <w:tc>
          <w:tcPr>
            <w:cnfStyle w:val="001000000000" w:firstRow="0" w:lastRow="0" w:firstColumn="1" w:lastColumn="0" w:oddVBand="0" w:evenVBand="0" w:oddHBand="0" w:evenHBand="0" w:firstRowFirstColumn="0" w:firstRowLastColumn="0" w:lastRowFirstColumn="0" w:lastRowLastColumn="0"/>
            <w:tcW w:w="2074" w:type="dxa"/>
          </w:tcPr>
          <w:p w14:paraId="2F84BF28" w14:textId="77777777" w:rsidR="00CE06BF" w:rsidRPr="00D22B50" w:rsidRDefault="00CE06BF" w:rsidP="001D048B">
            <w:pPr>
              <w:rPr>
                <w:rFonts w:hint="eastAsia"/>
                <w:b w:val="0"/>
                <w:bCs w:val="0"/>
              </w:rPr>
            </w:pPr>
            <w:r w:rsidRPr="00D22B50">
              <w:rPr>
                <w:rFonts w:ascii="Arial" w:hAnsi="Arial" w:cs="Arial"/>
                <w:b w:val="0"/>
                <w:bCs w:val="0"/>
                <w:color w:val="1F1F1F"/>
                <w:bdr w:val="none" w:sz="0" w:space="0" w:color="auto" w:frame="1"/>
              </w:rPr>
              <w:t>Transformer</w:t>
            </w:r>
          </w:p>
        </w:tc>
        <w:tc>
          <w:tcPr>
            <w:tcW w:w="2074" w:type="dxa"/>
          </w:tcPr>
          <w:p w14:paraId="12A62006" w14:textId="77777777" w:rsidR="00CE06BF" w:rsidRPr="00D22B50" w:rsidRDefault="00CE06BF" w:rsidP="001D048B">
            <w:pPr>
              <w:cnfStyle w:val="000000000000" w:firstRow="0" w:lastRow="0" w:firstColumn="0" w:lastColumn="0" w:oddVBand="0" w:evenVBand="0" w:oddHBand="0" w:evenHBand="0" w:firstRowFirstColumn="0" w:firstRowLastColumn="0" w:lastRowFirstColumn="0" w:lastRowLastColumn="0"/>
              <w:rPr>
                <w:rFonts w:hint="eastAsia"/>
              </w:rPr>
            </w:pPr>
            <w:r w:rsidRPr="00D22B50">
              <w:rPr>
                <w:rFonts w:ascii="Arial" w:hAnsi="Arial" w:cs="Arial"/>
                <w:color w:val="1F1F1F"/>
                <w:bdr w:val="none" w:sz="0" w:space="0" w:color="auto" w:frame="1"/>
              </w:rPr>
              <w:t>Adaptive Fine-tuning</w:t>
            </w:r>
          </w:p>
        </w:tc>
        <w:tc>
          <w:tcPr>
            <w:tcW w:w="2074" w:type="dxa"/>
          </w:tcPr>
          <w:p w14:paraId="0A274C64" w14:textId="77777777" w:rsidR="00CE06BF" w:rsidRPr="00D22B50" w:rsidRDefault="00CE06BF" w:rsidP="001D048B">
            <w:pPr>
              <w:cnfStyle w:val="000000000000" w:firstRow="0" w:lastRow="0" w:firstColumn="0" w:lastColumn="0" w:oddVBand="0" w:evenVBand="0" w:oddHBand="0" w:evenHBand="0" w:firstRowFirstColumn="0" w:firstRowLastColumn="0" w:lastRowFirstColumn="0" w:lastRowLastColumn="0"/>
              <w:rPr>
                <w:rFonts w:hint="eastAsia"/>
              </w:rPr>
            </w:pPr>
            <w:r w:rsidRPr="00D22B50">
              <w:rPr>
                <w:rFonts w:ascii="Arial" w:hAnsi="Arial" w:cs="Arial"/>
                <w:color w:val="1F1F1F"/>
                <w:bdr w:val="none" w:sz="0" w:space="0" w:color="auto" w:frame="1"/>
              </w:rPr>
              <w:t>0.4984</w:t>
            </w:r>
          </w:p>
        </w:tc>
        <w:tc>
          <w:tcPr>
            <w:tcW w:w="2074" w:type="dxa"/>
          </w:tcPr>
          <w:p w14:paraId="20AA5360" w14:textId="77777777" w:rsidR="00CE06BF" w:rsidRPr="00D22B50" w:rsidRDefault="00CE06BF" w:rsidP="001D048B">
            <w:pPr>
              <w:cnfStyle w:val="000000000000" w:firstRow="0" w:lastRow="0" w:firstColumn="0" w:lastColumn="0" w:oddVBand="0" w:evenVBand="0" w:oddHBand="0" w:evenHBand="0" w:firstRowFirstColumn="0" w:firstRowLastColumn="0" w:lastRowFirstColumn="0" w:lastRowLastColumn="0"/>
              <w:rPr>
                <w:rFonts w:hint="eastAsia"/>
              </w:rPr>
            </w:pPr>
            <w:r w:rsidRPr="00D22B50">
              <w:rPr>
                <w:rFonts w:ascii="Arial" w:hAnsi="Arial" w:cs="Arial"/>
                <w:color w:val="1F1F1F"/>
                <w:bdr w:val="none" w:sz="0" w:space="0" w:color="auto" w:frame="1"/>
              </w:rPr>
              <w:t>302.35%</w:t>
            </w:r>
          </w:p>
        </w:tc>
      </w:tr>
      <w:tr w:rsidR="00CE06BF" w:rsidRPr="00D22B50" w14:paraId="53419EF6" w14:textId="77777777" w:rsidTr="00FD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4BFAEE93" w14:textId="77777777" w:rsidR="00CE06BF" w:rsidRPr="00D22B50" w:rsidRDefault="00CE06BF" w:rsidP="001D048B">
            <w:pPr>
              <w:rPr>
                <w:rFonts w:hint="eastAsia"/>
                <w:b w:val="0"/>
                <w:bCs w:val="0"/>
              </w:rPr>
            </w:pPr>
            <w:r w:rsidRPr="00D22B50">
              <w:rPr>
                <w:rFonts w:ascii="Arial" w:hAnsi="Arial" w:cs="Arial"/>
                <w:b w:val="0"/>
                <w:bCs w:val="0"/>
                <w:color w:val="1F1F1F"/>
                <w:bdr w:val="none" w:sz="0" w:space="0" w:color="auto" w:frame="1"/>
              </w:rPr>
              <w:t>Combined</w:t>
            </w:r>
          </w:p>
        </w:tc>
        <w:tc>
          <w:tcPr>
            <w:tcW w:w="2074" w:type="dxa"/>
          </w:tcPr>
          <w:p w14:paraId="749F4B1A" w14:textId="77777777" w:rsidR="00CE06BF" w:rsidRPr="00D22B50" w:rsidRDefault="00CE06BF" w:rsidP="001D048B">
            <w:pPr>
              <w:cnfStyle w:val="000000100000" w:firstRow="0" w:lastRow="0" w:firstColumn="0" w:lastColumn="0" w:oddVBand="0" w:evenVBand="0" w:oddHBand="1" w:evenHBand="0" w:firstRowFirstColumn="0" w:firstRowLastColumn="0" w:lastRowFirstColumn="0" w:lastRowLastColumn="0"/>
              <w:rPr>
                <w:rFonts w:hint="eastAsia"/>
              </w:rPr>
            </w:pPr>
            <w:r w:rsidRPr="00D22B50">
              <w:rPr>
                <w:rFonts w:ascii="Arial" w:hAnsi="Arial" w:cs="Arial"/>
                <w:color w:val="1F1F1F"/>
                <w:bdr w:val="none" w:sz="0" w:space="0" w:color="auto" w:frame="1"/>
              </w:rPr>
              <w:t>Training from Scratch</w:t>
            </w:r>
          </w:p>
        </w:tc>
        <w:tc>
          <w:tcPr>
            <w:tcW w:w="2074" w:type="dxa"/>
          </w:tcPr>
          <w:p w14:paraId="1E110C26" w14:textId="77777777" w:rsidR="00CE06BF" w:rsidRPr="00D22B50" w:rsidRDefault="00CE06BF" w:rsidP="001D048B">
            <w:pPr>
              <w:cnfStyle w:val="000000100000" w:firstRow="0" w:lastRow="0" w:firstColumn="0" w:lastColumn="0" w:oddVBand="0" w:evenVBand="0" w:oddHBand="1" w:evenHBand="0" w:firstRowFirstColumn="0" w:firstRowLastColumn="0" w:lastRowFirstColumn="0" w:lastRowLastColumn="0"/>
              <w:rPr>
                <w:rFonts w:hint="eastAsia"/>
              </w:rPr>
            </w:pPr>
            <w:r w:rsidRPr="00D22B50">
              <w:rPr>
                <w:rFonts w:ascii="Arial" w:hAnsi="Arial" w:cs="Arial"/>
                <w:color w:val="1F1F1F"/>
                <w:bdr w:val="none" w:sz="0" w:space="0" w:color="auto" w:frame="1"/>
              </w:rPr>
              <w:t>0.7080</w:t>
            </w:r>
          </w:p>
        </w:tc>
        <w:tc>
          <w:tcPr>
            <w:tcW w:w="2074" w:type="dxa"/>
          </w:tcPr>
          <w:p w14:paraId="0F0BD045" w14:textId="77777777" w:rsidR="00CE06BF" w:rsidRPr="00D22B50" w:rsidRDefault="00CE06BF" w:rsidP="001D048B">
            <w:pPr>
              <w:cnfStyle w:val="000000100000" w:firstRow="0" w:lastRow="0" w:firstColumn="0" w:lastColumn="0" w:oddVBand="0" w:evenVBand="0" w:oddHBand="1" w:evenHBand="0" w:firstRowFirstColumn="0" w:firstRowLastColumn="0" w:lastRowFirstColumn="0" w:lastRowLastColumn="0"/>
              <w:rPr>
                <w:rFonts w:hint="eastAsia"/>
              </w:rPr>
            </w:pPr>
            <w:r w:rsidRPr="00D22B50">
              <w:rPr>
                <w:rFonts w:ascii="Arial" w:hAnsi="Arial" w:cs="Arial"/>
                <w:color w:val="1F1F1F"/>
                <w:bdr w:val="none" w:sz="0" w:space="0" w:color="auto" w:frame="1"/>
              </w:rPr>
              <w:t>355.01%</w:t>
            </w:r>
          </w:p>
        </w:tc>
      </w:tr>
    </w:tbl>
    <w:p w14:paraId="177C308A" w14:textId="08CA0F71" w:rsidR="00CE06BF" w:rsidRPr="00D22B50" w:rsidRDefault="00CE06BF" w:rsidP="00FD5995">
      <w:pPr>
        <w:pStyle w:val="af5"/>
        <w:spacing w:before="156" w:after="156"/>
      </w:pPr>
      <w:r w:rsidRPr="00D22B50">
        <w:t xml:space="preserve">The empirical data clearly indicates that while both fine-tuned architectures vastly outperformed the </w:t>
      </w:r>
      <w:r w:rsidR="00BD7543">
        <w:t>“</w:t>
      </w:r>
      <w:r w:rsidRPr="00D22B50">
        <w:t>from-scratch</w:t>
      </w:r>
      <w:r w:rsidR="00BD7543">
        <w:t>”</w:t>
      </w:r>
      <w:r w:rsidRPr="00D22B50">
        <w:t xml:space="preserve"> baseline (MSE = 0.7080), the LSTM framework consistently demonstrated superior stability over the Transformer within the strict 10-day cold-start window. Specifically, the LSTM achieved an average MSE of 0.4849, outperforming the Transformer</w:t>
      </w:r>
      <w:r w:rsidR="00BD7543">
        <w:t>’</w:t>
      </w:r>
      <w:r w:rsidRPr="00D22B50">
        <w:t>s 0.4984 by approximately 2.7%. This finding is of high scholarly significance, as it directly challenges the contemporary trend of defaulting to Attention-based models for all sequence tasks, particularly in environments where target domain data is critically sparse.</w:t>
      </w:r>
      <w:r w:rsidR="00CE1344" w:rsidRPr="00D22B50">
        <w:rPr>
          <w:rFonts w:asciiTheme="minorHAnsi" w:eastAsiaTheme="minorEastAsia" w:hAnsiTheme="minorHAnsi"/>
          <w:sz w:val="21"/>
        </w:rPr>
        <w:t xml:space="preserve"> </w:t>
      </w:r>
      <w:r w:rsidR="00CE1344" w:rsidRPr="00D22B50">
        <w:t xml:space="preserve">Prior investigations into deep neural network benchmarks have noted similar sensitivities when comparing recurrence-based and attention-based models across diverse energy scales </w:t>
      </w:r>
      <w:r w:rsidR="001D18D6" w:rsidRPr="00D22B50">
        <w:fldChar w:fldCharType="begin"/>
      </w:r>
      <w:r w:rsidR="001D18D6" w:rsidRPr="00D22B50">
        <w:instrText xml:space="preserve"> ADDIN ZOTERO_ITEM CSL_CITATION {"citationID":"ynZsklsL","properties":{"formattedCitation":"[39], [40]","plainCitation":"[39], [40]","noteIndex":0},"citationItems":[{"id":668,"uris":["http://zotero.org/users/local/p3tV44H5/items/L5AX8785"],"itemData":{"id":668,"type":"article-journal","abstract":"Numerous deep learning architectures have been developed to accommodate the diversity of time-series datasets across different domains. In this article, we survey common encoder and decoder designs used in both one-step-ahead and multi-horizon time-series forecasting—describing how temporal information is incorporated into predictions by each model. Next, we highlight recent developments in hybrid deep learning models, which combine well-studied statistical models with neural network components to improve pure methods in either category. Lastly, we outline some ways in which deep learning can also facilitate decision support with time-series data.\n            This article is part of the theme issue ‘Machine learning for weather and climate modelling’.","container-title":"Philosophical Transactions of the Royal Society A: Mathematical, Physical and Engineering Sciences","DOI":"10.1098/rsta.2020.0209","ISSN":"1364-503X, 1471-2962","issue":"2194","journalAbbreviation":"Phil. Trans. R. Soc. A.","language":"en","page":"20200209","source":"DOI.org (Crossref)","title":"Time-series forecasting with deep learning: a survey","title-short":"Time-series forecasting with deep learning","volume":"379","author":[{"family":"Lim","given":"Bryan"},{"family":"Zohren","given":"Stefan"}],"issued":{"date-parts":[["2021",4,5]]}}},{"id":675,"uris":["http://zotero.org/users/local/p3tV44H5/items/IDXM8DIF"],"itemData":{"id":675,"type":"paper-conference","abstract":"Ensuring sustainability demands more efficient energy management with minimized energy wastage. Therefore, the power grid of the future should provide an unprecedented level of flexibility in energy management. To that end, intelligent decision making requires accurate predictions of future energy demand/load, both at aggregate and individual site level. Thus, energy load forecasting have received increased attention in the recent past. However, it has proven to be a difficult problem. This paper presents a novel energy load forecasting methodology based on Deep Neural Networks, specifically, Long Short Term Memory (LSTM) algorithms. The presented work investigates two LSTM based architectures: 1) standard LSTM and 2) LSTM-based Sequence to Sequence (S2S) architecture. Both methods were implemented on a benchmark data set of electricity consumption data from one residential customer. Both architectures were trained and tested on one hour and one-minute time-step resolution datasets. Experimental results showed that the standard LSTM failed at one-minute resolution data while performing well in one-hour resolution data. It was shown that S2S architecture performed well on both datasets. Further, it was shown that the presented methods produced comparable results with the other deep learning methods for energy forecasting in literature.","container-title":"IECON 2016 - 42nd Annual Conference of the IEEE Industrial Electronics Society","DOI":"10.1109/IECON.2016.7793413","event-title":"IECON 2016 - 42nd Annual Conference of the IEEE Industrial Electronics Society","page":"7046-7051","source":"IEEE Xplore","title":"Building energy load forecasting using Deep Neural Networks","URL":"https://ieeexplore.ieee.org/abstract/document/7793413","author":[{"family":"Marino","given":"Daniel L."},{"family":"Amarasinghe","given":"Kasun"},{"family":"Manic","given":"Milos"}],"accessed":{"date-parts":[["2026",5,1]]},"issued":{"date-parts":[["2016",10]]}}}],"schema":"https://github.com/citation-style-language/schema/raw/master/csl-citation.json"} </w:instrText>
      </w:r>
      <w:r w:rsidR="001D18D6" w:rsidRPr="00D22B50">
        <w:fldChar w:fldCharType="separate"/>
      </w:r>
      <w:r w:rsidR="001D18D6" w:rsidRPr="00D22B50">
        <w:rPr>
          <w:rFonts w:cs="Times New Roman"/>
        </w:rPr>
        <w:t>[39], [40]</w:t>
      </w:r>
      <w:r w:rsidR="001D18D6" w:rsidRPr="00D22B50">
        <w:fldChar w:fldCharType="end"/>
      </w:r>
      <w:r w:rsidR="00CE1344" w:rsidRPr="00D22B50">
        <w:t>.</w:t>
      </w:r>
    </w:p>
    <w:p w14:paraId="125EEA90" w14:textId="77777777" w:rsidR="00CE06BF" w:rsidRPr="00D22B50" w:rsidRDefault="00CE06BF" w:rsidP="00CE06BF">
      <w:pPr>
        <w:pStyle w:val="3"/>
        <w:rPr>
          <w:rFonts w:hint="eastAsia"/>
        </w:rPr>
      </w:pPr>
      <w:bookmarkStart w:id="84" w:name="_Toc228641332"/>
      <w:r w:rsidRPr="00D22B50">
        <w:lastRenderedPageBreak/>
        <w:t>6.4.2 Theoretical Analysis: Inductive Bias vs. Data Hunger</w:t>
      </w:r>
      <w:bookmarkEnd w:id="84"/>
      <w:r w:rsidRPr="00D22B50">
        <w:t xml:space="preserve"> </w:t>
      </w:r>
    </w:p>
    <w:p w14:paraId="5E595447" w14:textId="51C703A3" w:rsidR="00CE06BF" w:rsidRPr="00D22B50" w:rsidRDefault="00CE06BF" w:rsidP="00FD5995">
      <w:pPr>
        <w:pStyle w:val="af5"/>
        <w:spacing w:before="156" w:after="156"/>
      </w:pPr>
      <w:r w:rsidRPr="00D22B50">
        <w:t xml:space="preserve">The empirical superiority of the LSTM in this specific regime can be elucidated through the theoretical lens of inductive bias. </w:t>
      </w:r>
      <w:r w:rsidR="00236858" w:rsidRPr="00D22B50">
        <w:t xml:space="preserve">The Transformer architecture relies entirely on the Multi-Head Self-Attention (MHSA) mechanism to compute global relationships across all time steps simultaneously. However, recent empirical evidence suggests that standard attention mechanisms can be outperformed by specialized sequence models in data-constrained scenarios </w:t>
      </w:r>
      <w:r w:rsidR="001D18D6" w:rsidRPr="00D22B50">
        <w:fldChar w:fldCharType="begin"/>
      </w:r>
      <w:r w:rsidR="001D18D6" w:rsidRPr="00D22B50">
        <w:instrText xml:space="preserve"> ADDIN ZOTERO_ITEM CSL_CITATION {"citationID":"ZB2Zd5pa","properties":{"formattedCitation":"[41]","plainCitation":"[41]","noteIndex":0},"citationItems":[{"id":597,"uris":["http://zotero.org/users/local/p3tV44H5/items/S8YC7LFL"],"itemData":{"id":597,"type":"article-journal","abstract":"Many real-world applications require the prediction of long sequence time-series, such as electricity consumption planning. Long sequence time-series forecasting (LSTF) demands a high prediction capacity of the model, which is the ability to capture precise long-range dependency coupling between output and input efficiently. Recent studies have shown the potential of Transformer to increase the prediction capacity. However, there are several severe issues with Transformer that prevent it from being directly applicable to LSTF, including quadratic time complexity, high memory usage, and inherent limitation of the encoder-decoder architecture. To address these issues, we design an efficient transformer-based model for LSTF, named Informer, with three distinctive characteristics: (i) a ProbSparse self-attention mechanism, which achieves O(L log L) in time complexity and memory usage, and has comparable performance on sequences' dependency alignment. (ii) the self-attention distilling highlights dominating attention by halving cascading layer input, and efficiently handles extreme long input sequences. (iii) the generative style decoder, while conceptually simple, predicts the long time-series sequences at one forward operation rather than a step-by-step way, which drastically improves the inference speed of long-sequence predictions. Extensive experiments on four large-scale datasets demonstrate that Informer significantly outperforms existing methods and provides a new solution to the LSTF problem.","container-title":"Proceedings of the AAAI Conference on Artificial Intelligence","DOI":"10.1609/aaai.v35i12.17325","ISSN":"2374-3468","issue":"12","language":"en","license":"Copyright (c) 2021 Association for the Advancement of Artificial Intelligence","page":"11106-11115","source":"ojs.aaai.org","title":"Informer: Beyond Efficient Transformer for Long Sequence Time-Series Forecasting","title-short":"Informer","volume":"35","author":[{"family":"Zhou","given":"Haoyi"},{"family":"Zhang","given":"Shanghang"},{"family":"Peng","given":"Jieqi"},{"family":"Zhang","given":"Shuai"},{"family":"Li","given":"Jianxin"},{"family":"Xiong","given":"Hui"},{"family":"Zhang","given":"Wancai"}],"issued":{"date-parts":[["2021",5,18]]}}}],"schema":"https://github.com/citation-style-language/schema/raw/master/csl-citation.json"} </w:instrText>
      </w:r>
      <w:r w:rsidR="001D18D6" w:rsidRPr="00D22B50">
        <w:fldChar w:fldCharType="separate"/>
      </w:r>
      <w:r w:rsidR="001D18D6" w:rsidRPr="00D22B50">
        <w:rPr>
          <w:rFonts w:cs="Times New Roman"/>
        </w:rPr>
        <w:t>[41]</w:t>
      </w:r>
      <w:r w:rsidR="001D18D6" w:rsidRPr="00D22B50">
        <w:fldChar w:fldCharType="end"/>
      </w:r>
      <w:r w:rsidR="00236858" w:rsidRPr="00D22B50">
        <w:t>.</w:t>
      </w:r>
      <w:r w:rsidRPr="00D22B50">
        <w:t xml:space="preserve"> While this design offers theoretical advantages in capturing long-range dependencies without information bottlenecks </w:t>
      </w:r>
      <w:r w:rsidR="001D18D6" w:rsidRPr="00D22B50">
        <w:fldChar w:fldCharType="begin"/>
      </w:r>
      <w:r w:rsidR="001D18D6" w:rsidRPr="00D22B50">
        <w:instrText xml:space="preserve"> ADDIN ZOTERO_ITEM CSL_CITATION {"citationID":"zj8cUyQU","properties":{"formattedCitation":"[4]","plainCitation":"[4]","noteIndex":0},"citationItems":[{"id":567,"uris":["http://zotero.org/users/local/p3tV44H5/items/J38MU6UU"],"itemData":{"id":567,"type":"article-journal","abstract":"The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1D18D6" w:rsidRPr="00D22B50">
        <w:fldChar w:fldCharType="separate"/>
      </w:r>
      <w:r w:rsidR="001D18D6" w:rsidRPr="00D22B50">
        <w:rPr>
          <w:rFonts w:cs="Times New Roman"/>
        </w:rPr>
        <w:t>[4]</w:t>
      </w:r>
      <w:r w:rsidR="001D18D6" w:rsidRPr="00D22B50">
        <w:fldChar w:fldCharType="end"/>
      </w:r>
      <w:r w:rsidRPr="00D22B50">
        <w:t xml:space="preserve">, it is fundamentally </w:t>
      </w:r>
      <w:r w:rsidR="00BD7543">
        <w:t>“</w:t>
      </w:r>
      <w:r w:rsidRPr="00D22B50">
        <w:t>data-hungry.</w:t>
      </w:r>
      <w:r w:rsidR="00BD7543">
        <w:t>”</w:t>
      </w:r>
      <w:r w:rsidRPr="00D22B50">
        <w:t xml:space="preserve"> Transformers assume minimal structural priors; they rely purely on the attention matrix to discover temporal rules. Consequently, they require substantial data volumes to guarantee robust weight updates during the fine-tuning phase </w:t>
      </w:r>
      <w:r w:rsidR="001D18D6" w:rsidRPr="00D22B50">
        <w:fldChar w:fldCharType="begin"/>
      </w:r>
      <w:r w:rsidR="001D18D6" w:rsidRPr="00D22B50">
        <w:instrText xml:space="preserve"> ADDIN ZOTERO_ITEM CSL_CITATION {"citationID":"oJLYinvI","properties":{"formattedCitation":"[8], [9]","plainCitation":"[8], [9]","noteIndex":0},"citationItems":[{"id":512,"uris":["http://zotero.org/users/local/p3tV44H5/items/HCMHHT5F"],"itemData":{"id":512,"type":"article-journal","abstract":"Learning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1D18D6" w:rsidRPr="00D22B50">
        <w:fldChar w:fldCharType="separate"/>
      </w:r>
      <w:r w:rsidR="001D18D6" w:rsidRPr="00D22B50">
        <w:rPr>
          <w:rFonts w:cs="Times New Roman"/>
        </w:rPr>
        <w:t>[8], [9]</w:t>
      </w:r>
      <w:r w:rsidR="001D18D6" w:rsidRPr="00D22B50">
        <w:fldChar w:fldCharType="end"/>
      </w:r>
      <w:r w:rsidRPr="00D22B50">
        <w:t>.</w:t>
      </w:r>
    </w:p>
    <w:p w14:paraId="240309F3" w14:textId="7868C594" w:rsidR="00CE06BF" w:rsidRPr="00D22B50" w:rsidRDefault="00CE06BF" w:rsidP="00FD5995">
      <w:pPr>
        <w:pStyle w:val="af5"/>
        <w:spacing w:before="156" w:after="156"/>
      </w:pPr>
      <w:r w:rsidRPr="00D22B50">
        <w:t xml:space="preserve">Conversely, the LSTM architecture possesses a strong inductive bias for sequential data. Its recurrent hidden state mathematically enforces the chronological flow of time, naturally processing data step-by-step </w:t>
      </w:r>
      <w:r w:rsidR="001D18D6" w:rsidRPr="00D22B50">
        <w:fldChar w:fldCharType="begin"/>
      </w:r>
      <w:r w:rsidR="001D18D6" w:rsidRPr="00D22B50">
        <w:instrText xml:space="preserve"> ADDIN ZOTERO_ITEM CSL_CITATION {"citationID":"9wcnPG2m","properties":{"formattedCitation":"[8]","plainCitation":"[8]","noteIndex":0},"citationItems":[{"id":512,"uris":["http://zotero.org/users/local/p3tV44H5/items/HCMHHT5F"],"itemData":{"id":512,"type":"article-journal","abstract":"Learning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Memory","volume":"9","author":[{"family":"Hochreiter","given":"Sepp"},{"family":"Schmidhuber","given":"Jürgen"}],"issued":{"date-parts":[["1997",11]]}}}],"schema":"https://github.com/citation-style-language/schema/raw/master/csl-citation.json"} </w:instrText>
      </w:r>
      <w:r w:rsidR="001D18D6" w:rsidRPr="00D22B50">
        <w:fldChar w:fldCharType="separate"/>
      </w:r>
      <w:r w:rsidR="001D18D6" w:rsidRPr="00D22B50">
        <w:rPr>
          <w:rFonts w:cs="Times New Roman"/>
        </w:rPr>
        <w:t>[8]</w:t>
      </w:r>
      <w:r w:rsidR="001D18D6" w:rsidRPr="00D22B50">
        <w:fldChar w:fldCharType="end"/>
      </w:r>
      <w:r w:rsidRPr="00D22B50">
        <w:t xml:space="preserve">. In a severely restricted 10-day window (comprising only 480 discrete observations), this inherent structural assumption acts as a powerful natural </w:t>
      </w:r>
      <w:proofErr w:type="spellStart"/>
      <w:r w:rsidRPr="00D22B50">
        <w:t>regularizer</w:t>
      </w:r>
      <w:proofErr w:type="spellEnd"/>
      <w:r w:rsidRPr="00D22B50">
        <w:t xml:space="preserve">. It restricts the hypothesis space of the model, effectively preventing the network from overfitting to the localized stochastic noise of the target household </w:t>
      </w:r>
      <w:r w:rsidR="001D18D6" w:rsidRPr="00D22B50">
        <w:fldChar w:fldCharType="begin"/>
      </w:r>
      <w:r w:rsidR="001D18D6" w:rsidRPr="00D22B50">
        <w:instrText xml:space="preserve"> ADDIN ZOTERO_ITEM CSL_CITATION {"citationID":"hVK4uRjE","properties":{"formattedCitation":"[11]","plainCitation":"[11]","noteIndex":0},"citationItems":[{"id":595,"uris":["http://zotero.org/users/local/p3tV44H5/items/RYGGA6L8"],"itemData":{"id":595,"type":"article-journal","abstract":"While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1D18D6" w:rsidRPr="00D22B50">
        <w:fldChar w:fldCharType="separate"/>
      </w:r>
      <w:r w:rsidR="001D18D6" w:rsidRPr="00D22B50">
        <w:rPr>
          <w:rFonts w:cs="Times New Roman"/>
        </w:rPr>
        <w:t>[11]</w:t>
      </w:r>
      <w:r w:rsidR="001D18D6" w:rsidRPr="00D22B50">
        <w:fldChar w:fldCharType="end"/>
      </w:r>
      <w:r w:rsidRPr="00D22B50">
        <w:t>.</w:t>
      </w:r>
    </w:p>
    <w:p w14:paraId="23A1872C" w14:textId="77777777" w:rsidR="00CE06BF" w:rsidRPr="00D22B50" w:rsidRDefault="00CE06BF" w:rsidP="00CE06BF">
      <w:pPr>
        <w:pStyle w:val="3"/>
        <w:rPr>
          <w:rFonts w:hint="eastAsia"/>
        </w:rPr>
      </w:pPr>
      <w:bookmarkStart w:id="85" w:name="_Toc228641333"/>
      <w:r w:rsidRPr="00D22B50">
        <w:t>6.4.3 Visual Evidence of Forecasting Stability</w:t>
      </w:r>
      <w:bookmarkEnd w:id="85"/>
      <w:r w:rsidRPr="00D22B50">
        <w:t xml:space="preserve"> </w:t>
      </w:r>
    </w:p>
    <w:p w14:paraId="06CB58F0" w14:textId="712A9B44" w:rsidR="00CE06BF" w:rsidRDefault="00CE06BF" w:rsidP="00FD5995">
      <w:pPr>
        <w:pStyle w:val="af5"/>
        <w:spacing w:before="156" w:after="156"/>
        <w:rPr>
          <w:rFonts w:eastAsiaTheme="minorEastAsia"/>
        </w:rPr>
      </w:pPr>
      <w:r w:rsidRPr="00D22B50">
        <w:t>Visual diagnostics derived from the batch testing (e.g., model</w:t>
      </w:r>
      <w:r w:rsidR="00B27735">
        <w:rPr>
          <w:rFonts w:eastAsiaTheme="minorEastAsia" w:hint="eastAsia"/>
        </w:rPr>
        <w:t xml:space="preserve"> </w:t>
      </w:r>
      <w:r w:rsidRPr="00D22B50">
        <w:t>final</w:t>
      </w:r>
      <w:r w:rsidR="00B27735">
        <w:rPr>
          <w:rFonts w:eastAsiaTheme="minorEastAsia" w:hint="eastAsia"/>
        </w:rPr>
        <w:t xml:space="preserve"> </w:t>
      </w:r>
      <w:r w:rsidRPr="00D22B50">
        <w:t>comparison</w:t>
      </w:r>
      <w:r w:rsidR="00B27735">
        <w:rPr>
          <w:rFonts w:eastAsiaTheme="minorEastAsia" w:hint="eastAsia"/>
        </w:rPr>
        <w:t xml:space="preserve"> </w:t>
      </w:r>
      <w:r w:rsidRPr="00D22B50">
        <w:t>enhanced.png</w:t>
      </w:r>
      <w:r w:rsidR="009570A0">
        <w:rPr>
          <w:rFonts w:eastAsiaTheme="minorEastAsia" w:hint="eastAsia"/>
        </w:rPr>
        <w:t>, shown in Figure 6</w:t>
      </w:r>
      <w:r w:rsidRPr="00D22B50">
        <w:t>) corroborate this numerical superiority. The predictions generated by the Transformer model frequently exhibit over-adjustments or erratic oscillations in response to sudden, non-periodic load spikes. This reflects the instability of the self-attention weight updates under extreme small-sample constraints. The LSTM</w:t>
      </w:r>
      <w:r w:rsidR="00BD7543">
        <w:t>’</w:t>
      </w:r>
      <w:r w:rsidRPr="00D22B50">
        <w:t xml:space="preserve">s predictions, however, maintain a smoother and more robust alignment with the underlying ground truth load curve. For smart grid operators, this forecasting stability is paramount; erratic predictions at the edge of the grid can disrupt reliable transformer load balancing and undermine automated demand-side management strategies </w:t>
      </w:r>
      <w:r w:rsidR="001D18D6" w:rsidRPr="00D22B50">
        <w:fldChar w:fldCharType="begin"/>
      </w:r>
      <w:r w:rsidR="001D18D6" w:rsidRPr="00D22B50">
        <w:instrText xml:space="preserve"> ADDIN ZOTERO_ITEM CSL_CITATION {"citationID":"7alHrmGo","properties":{"formattedCitation":"[1], [9]","plainCitation":"[1], [9]","noteIndex":0},"citationItems":[{"id":539,"uris":["http://zotero.org/users/local/p3tV44H5/items/HWZLV4UQ"],"itemData":{"id":539,"type":"article-journal","abstract":"Accurate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1D18D6" w:rsidRPr="00D22B50">
        <w:fldChar w:fldCharType="separate"/>
      </w:r>
      <w:r w:rsidR="001D18D6" w:rsidRPr="00D22B50">
        <w:rPr>
          <w:rFonts w:cs="Times New Roman"/>
        </w:rPr>
        <w:t>[1], [9]</w:t>
      </w:r>
      <w:r w:rsidR="001D18D6" w:rsidRPr="00D22B50">
        <w:fldChar w:fldCharType="end"/>
      </w:r>
      <w:r w:rsidRPr="00D22B50">
        <w:t>.</w:t>
      </w:r>
    </w:p>
    <w:p w14:paraId="3A3C8105" w14:textId="70FB3879" w:rsidR="009570A0" w:rsidRDefault="009570A0" w:rsidP="00FD5995">
      <w:pPr>
        <w:pStyle w:val="af5"/>
        <w:spacing w:before="156" w:after="156"/>
        <w:rPr>
          <w:rFonts w:eastAsiaTheme="minorEastAsia"/>
        </w:rPr>
      </w:pPr>
      <w:r>
        <w:rPr>
          <w:noProof/>
        </w:rPr>
        <w:lastRenderedPageBreak/>
        <w:drawing>
          <wp:inline distT="0" distB="0" distL="0" distR="0" wp14:anchorId="706B0B46" wp14:editId="4E942595">
            <wp:extent cx="5274310" cy="2637155"/>
            <wp:effectExtent l="0" t="0" r="2540" b="0"/>
            <wp:docPr id="44836795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p>
    <w:p w14:paraId="05BD5E77" w14:textId="149F130E" w:rsidR="00B27735" w:rsidRPr="00B27735" w:rsidRDefault="00B27735" w:rsidP="00B27735">
      <w:pPr>
        <w:pStyle w:val="af5"/>
        <w:spacing w:before="156" w:after="156"/>
        <w:jc w:val="center"/>
        <w:rPr>
          <w:rFonts w:eastAsiaTheme="minorEastAsia"/>
          <w:sz w:val="21"/>
          <w:szCs w:val="20"/>
        </w:rPr>
      </w:pPr>
      <w:r w:rsidRPr="00B27735">
        <w:rPr>
          <w:rFonts w:eastAsiaTheme="minorEastAsia" w:hint="eastAsia"/>
          <w:sz w:val="21"/>
          <w:szCs w:val="20"/>
        </w:rPr>
        <w:t>Fig 6. M</w:t>
      </w:r>
      <w:r w:rsidRPr="00B27735">
        <w:rPr>
          <w:sz w:val="21"/>
          <w:szCs w:val="20"/>
        </w:rPr>
        <w:t>odel</w:t>
      </w:r>
      <w:r w:rsidRPr="00B27735">
        <w:rPr>
          <w:rFonts w:eastAsiaTheme="minorEastAsia" w:hint="eastAsia"/>
          <w:sz w:val="21"/>
          <w:szCs w:val="20"/>
        </w:rPr>
        <w:t xml:space="preserve"> </w:t>
      </w:r>
      <w:r w:rsidRPr="00B27735">
        <w:rPr>
          <w:sz w:val="21"/>
          <w:szCs w:val="20"/>
        </w:rPr>
        <w:t>final</w:t>
      </w:r>
      <w:r w:rsidRPr="00B27735">
        <w:rPr>
          <w:rFonts w:eastAsiaTheme="minorEastAsia" w:hint="eastAsia"/>
          <w:sz w:val="21"/>
          <w:szCs w:val="20"/>
        </w:rPr>
        <w:t xml:space="preserve"> </w:t>
      </w:r>
      <w:r w:rsidRPr="00B27735">
        <w:rPr>
          <w:sz w:val="21"/>
          <w:szCs w:val="20"/>
        </w:rPr>
        <w:t>comparison</w:t>
      </w:r>
      <w:r w:rsidRPr="00B27735">
        <w:rPr>
          <w:rFonts w:eastAsiaTheme="minorEastAsia" w:hint="eastAsia"/>
          <w:sz w:val="21"/>
          <w:szCs w:val="20"/>
        </w:rPr>
        <w:t xml:space="preserve"> </w:t>
      </w:r>
      <w:r w:rsidRPr="00B27735">
        <w:rPr>
          <w:sz w:val="21"/>
          <w:szCs w:val="20"/>
        </w:rPr>
        <w:t>enhanced</w:t>
      </w:r>
    </w:p>
    <w:p w14:paraId="421F9A45" w14:textId="17984BAA" w:rsidR="00CE06BF" w:rsidRPr="00D22B50" w:rsidRDefault="00CE06BF" w:rsidP="00FD5995">
      <w:pPr>
        <w:pStyle w:val="af5"/>
        <w:spacing w:before="156" w:after="156"/>
      </w:pPr>
      <w:r w:rsidRPr="00D22B50">
        <w:t xml:space="preserve">Ultimately, while Transformers possess a higher theoretical capacity for large-scale datasets, this comparative framework proves that the sequence-constrained LSTM remains the more robust and reliable choice for the </w:t>
      </w:r>
      <w:r w:rsidR="00BD7543">
        <w:t>“</w:t>
      </w:r>
      <w:r w:rsidRPr="00D22B50">
        <w:t>Day-1</w:t>
      </w:r>
      <w:r w:rsidR="00BD7543">
        <w:t>”</w:t>
      </w:r>
      <w:r w:rsidRPr="00D22B50">
        <w:t xml:space="preserve"> deployment of newly commissioned smart meters.</w:t>
      </w:r>
    </w:p>
    <w:p w14:paraId="516E33EA" w14:textId="77777777" w:rsidR="00CE06BF" w:rsidRPr="00D22B50" w:rsidRDefault="00CE06BF" w:rsidP="00CE06BF">
      <w:pPr>
        <w:pStyle w:val="2"/>
        <w:rPr>
          <w:rFonts w:hint="eastAsia"/>
        </w:rPr>
      </w:pPr>
      <w:bookmarkStart w:id="86" w:name="_Toc228641334"/>
      <w:r w:rsidRPr="00D22B50">
        <w:t>6.5 Robustness Analysis and Metric Discussion</w:t>
      </w:r>
      <w:bookmarkEnd w:id="86"/>
    </w:p>
    <w:p w14:paraId="0BCA729A" w14:textId="4CB239F2" w:rsidR="00CE06BF" w:rsidRPr="00D22B50" w:rsidRDefault="00CE06BF" w:rsidP="00FD5995">
      <w:pPr>
        <w:pStyle w:val="af5"/>
        <w:spacing w:before="156" w:after="156"/>
      </w:pPr>
      <w:r w:rsidRPr="00D22B50">
        <w:t>The robustness of the proposed framework is further analyzed by examining the statistical distribution of forecasting errors across the heterogeneous consumer base. In a real-world smart grid deployment, a model</w:t>
      </w:r>
      <w:r w:rsidR="00BD7543">
        <w:t>’</w:t>
      </w:r>
      <w:r w:rsidRPr="00D22B50">
        <w:t>s consistency across a diverse population with varying appliance usage behaviors is often more critical than its average performance on a single household.</w:t>
      </w:r>
    </w:p>
    <w:p w14:paraId="709B2235" w14:textId="77777777" w:rsidR="00CE06BF" w:rsidRPr="00D22B50" w:rsidRDefault="00CE06BF" w:rsidP="00CE06BF">
      <w:pPr>
        <w:pStyle w:val="3"/>
        <w:rPr>
          <w:rFonts w:hint="eastAsia"/>
        </w:rPr>
      </w:pPr>
      <w:bookmarkStart w:id="87" w:name="_Toc228641335"/>
      <w:r w:rsidRPr="00D22B50">
        <w:t>6.5.1 Error Stability and Architecture Reliability</w:t>
      </w:r>
      <w:bookmarkEnd w:id="87"/>
    </w:p>
    <w:p w14:paraId="0A7C482A" w14:textId="77777777" w:rsidR="00CE06BF" w:rsidRPr="00D22B50" w:rsidRDefault="00CE06BF" w:rsidP="00FD5995">
      <w:pPr>
        <w:pStyle w:val="af5"/>
        <w:spacing w:before="156" w:after="156"/>
      </w:pPr>
      <w:r w:rsidRPr="00D22B50">
        <w:t>The statistical dispersion of errors provides critical insights into the reliability of the forecasting framework across the 30 test households. Our results indicate that the LSTM-based fine-tuning strategy demonstrates a significantly narrower error distribution compared to the scratch-training baseline. This reduction in variance suggests that knowledge migration provides more consistent service quality across diverse consumption magnitudes.</w:t>
      </w:r>
    </w:p>
    <w:p w14:paraId="5CE91EF1" w14:textId="28DB3CAB" w:rsidR="00CE06BF" w:rsidRPr="00D22B50" w:rsidRDefault="00CE06BF" w:rsidP="00FD5995">
      <w:pPr>
        <w:pStyle w:val="af5"/>
        <w:spacing w:before="156" w:after="156"/>
      </w:pPr>
      <w:r w:rsidRPr="00D22B50">
        <w:t xml:space="preserve">From an operational perspective, reducing the </w:t>
      </w:r>
      <w:r w:rsidR="00BD7543">
        <w:t>“</w:t>
      </w:r>
      <w:r w:rsidRPr="00D22B50">
        <w:t>worst-case</w:t>
      </w:r>
      <w:r w:rsidR="00BD7543">
        <w:t>”</w:t>
      </w:r>
      <w:r w:rsidRPr="00D22B50">
        <w:t xml:space="preserve"> error or tail risk is paramount for grid stability </w:t>
      </w:r>
      <w:r w:rsidR="001D18D6" w:rsidRPr="00D22B50">
        <w:fldChar w:fldCharType="begin"/>
      </w:r>
      <w:r w:rsidR="001D18D6" w:rsidRPr="00D22B50">
        <w:instrText xml:space="preserve"> ADDIN ZOTERO_ITEM CSL_CITATION {"citationID":"LkO5TRcj","properties":{"formattedCitation":"[4]","plainCitation":"[4]","noteIndex":0},"citationItems":[{"id":567,"uris":["http://zotero.org/users/local/p3tV44H5/items/J38MU6UU"],"itemData":{"id":567,"type":"article-journal","abstract":"The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1D18D6" w:rsidRPr="00D22B50">
        <w:fldChar w:fldCharType="separate"/>
      </w:r>
      <w:r w:rsidR="001D18D6" w:rsidRPr="00D22B50">
        <w:rPr>
          <w:rFonts w:cs="Times New Roman"/>
        </w:rPr>
        <w:t>[4]</w:t>
      </w:r>
      <w:r w:rsidR="001D18D6" w:rsidRPr="00D22B50">
        <w:fldChar w:fldCharType="end"/>
      </w:r>
      <w:r w:rsidRPr="00D22B50">
        <w:t>. Large, unpredictable forecasting failures at the distribution level can trigger localized transformer overloads and voltage instability</w:t>
      </w:r>
      <w:r w:rsidR="001D18D6" w:rsidRPr="00D22B50">
        <w:rPr>
          <w:rFonts w:eastAsiaTheme="minorEastAsia" w:hint="eastAsia"/>
        </w:rPr>
        <w:t xml:space="preserve"> </w:t>
      </w:r>
      <w:r w:rsidR="001A2364" w:rsidRPr="00D22B50">
        <w:rPr>
          <w:rFonts w:eastAsiaTheme="minorEastAsia"/>
        </w:rPr>
        <w:fldChar w:fldCharType="begin"/>
      </w:r>
      <w:r w:rsidR="001A2364" w:rsidRPr="00D22B50">
        <w:rPr>
          <w:rFonts w:eastAsiaTheme="minorEastAsia"/>
        </w:rPr>
        <w:instrText xml:space="preserve"> ADDIN ZOTERO_ITEM CSL_CITATION {"citationID":"Vv8r16DI","properties":{"formattedCitation":"[1]","plainCitation":"[1]","noteIndex":0},"citationItems":[{"id":539,"uris":["http://zotero.org/users/local/p3tV44H5/items/HWZLV4UQ"],"itemData":{"id":539,"type":"article-journal","abstract":"Accurate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schema":"https://github.com/citation-style-language/schema/raw/master/csl-citation.json"} </w:instrText>
      </w:r>
      <w:r w:rsidR="001A2364" w:rsidRPr="00D22B50">
        <w:rPr>
          <w:rFonts w:eastAsiaTheme="minorEastAsia"/>
        </w:rPr>
        <w:fldChar w:fldCharType="separate"/>
      </w:r>
      <w:r w:rsidR="001A2364" w:rsidRPr="00D22B50">
        <w:rPr>
          <w:rFonts w:eastAsiaTheme="minorEastAsia" w:cs="Times New Roman"/>
        </w:rPr>
        <w:t>[1]</w:t>
      </w:r>
      <w:r w:rsidR="001A2364" w:rsidRPr="00D22B50">
        <w:rPr>
          <w:rFonts w:eastAsiaTheme="minorEastAsia"/>
        </w:rPr>
        <w:fldChar w:fldCharType="end"/>
      </w:r>
      <w:r w:rsidRPr="00D22B50">
        <w:t xml:space="preserve">. By leveraging the stabilized weights of the pre-trained LSTM, the framework acts as a </w:t>
      </w:r>
      <w:r w:rsidR="00BD7543">
        <w:t>“</w:t>
      </w:r>
      <w:r w:rsidRPr="00D22B50">
        <w:t>variance compressor,</w:t>
      </w:r>
      <w:r w:rsidR="00BD7543">
        <w:t>”</w:t>
      </w:r>
      <w:r w:rsidRPr="00D22B50">
        <w:t xml:space="preserve"> ensuring that even households with highly irregular routines remain within a manageable error margin. While the Transformer model achieved competitive results, its slightly higher error variance in the 10-day window suggests a </w:t>
      </w:r>
      <w:r w:rsidRPr="00D22B50">
        <w:lastRenderedPageBreak/>
        <w:t>higher sensitivity to individual stochasticity when data is sparse.</w:t>
      </w:r>
    </w:p>
    <w:p w14:paraId="7654D96A" w14:textId="77777777" w:rsidR="00CE06BF" w:rsidRPr="00D22B50" w:rsidRDefault="00CE06BF" w:rsidP="00CE06BF">
      <w:pPr>
        <w:pStyle w:val="3"/>
        <w:rPr>
          <w:rFonts w:hint="eastAsia"/>
        </w:rPr>
      </w:pPr>
      <w:bookmarkStart w:id="88" w:name="_Toc228641336"/>
      <w:r w:rsidRPr="00D22B50">
        <w:t>6.5.2 Interpreting the MAPE Anomaly in Standardized Spaces</w:t>
      </w:r>
      <w:bookmarkEnd w:id="88"/>
    </w:p>
    <w:p w14:paraId="3025BDDB" w14:textId="660746F3" w:rsidR="00CE06BF" w:rsidRPr="00D22B50" w:rsidRDefault="00CE06BF" w:rsidP="00FD5995">
      <w:pPr>
        <w:pStyle w:val="af5"/>
        <w:spacing w:before="156" w:after="156"/>
      </w:pPr>
      <w:r w:rsidRPr="00D22B50">
        <w:t xml:space="preserve">A notable observation in the experimental results is that the Mean Absolute Percentage Error (MAPE) values exceed 250% for all tested configurations, including the optimized LSTM and Transformer models. In traditional macroeconomic forecasting, a MAPE of this magnitude would typically indicate model failure. However, in the context of high-resolution residential STLF performed on normalized data, this is primarily a mathematical artifact resulting from the Z-score normalization process </w:t>
      </w:r>
      <w:r w:rsidR="001A2364" w:rsidRPr="00D22B50">
        <w:rPr>
          <w:rFonts w:eastAsia="宋体" w:cs="Times New Roman"/>
        </w:rPr>
        <w:fldChar w:fldCharType="begin"/>
      </w:r>
      <w:r w:rsidR="001A2364" w:rsidRPr="00D22B50">
        <w:rPr>
          <w:rFonts w:eastAsia="宋体" w:cs="Times New Roman"/>
        </w:rPr>
        <w:instrText xml:space="preserve"> ADDIN ZOTERO_ITEM CSL_CITATION {"citationID":"5x0FgWYk","properties":{"formattedCitation":"[37], [42]","plainCitation":"[37], [42]","noteIndex":0},"citationItems":[{"id":570,"uris":["http://zotero.org/users/local/p3tV44H5/items/2VCBRUTA"],"itemData":{"id":570,"type":"article-journal","abstract":"Load forecasting has been a fundamental business problem since the inception of the electric power industry. Over the past 100 plus years, both research efforts and industry practices in this area have focused primarily on point load forecasting. In the most recent decade, though, the increased market competition, aging infrastructure and renewable integration requirements mean that probabilistic load forecasting has become more and more important to energy systems planning and operations. This paper offers a tutorial review of probabilistic electric load forecasting, including notable techniques, methodologies and evaluation methods, and common misunderstandings. We also underline the need to invest in additional research, such as reproducible case studies, probabilistic load forecast evaluation and valuation, and a consideration of emerging technologies and energy policies in the probabilistic load forecasting process.","container-title":"International Journal of Forecasting","DOI":"10.1016/j.ijforecast.2015.11.011","ISSN":"01692070","issue":"3","journalAbbreviation":"International Journal of Forecasting","language":"en","page":"914-938","source":"DOI.org (Crossref)","title":"Probabilistic electric load forecasting: A tutorial review","title-short":"Probabilistic electric load forecasting","volume":"32","author":[{"family":"Hong","given":"Tao"},{"family":"Fan","given":"Shu"}],"issued":{"date-parts":[["2016",7]]}}},{"id":647,"uris":["http://zotero.org/users/local/p3tV44H5/items/7GBWK86D"],"itemData":{"id":647,"type":"article-journal","abstract":"We discuss and compare measures of accuracy of univariate time series forecasts. The methods used in the M-competition as well as the M3-competition, and many of the measures recommended by previous authors on this topic, are found to be degenerate in commonly occurring situations. Instead, we propose that the mean absolute scaled error become the standard measure for comparing forecast accuracy across multiple time series.","container-title":"International Journal of Forecasting","DOI":"10.1016/j.ijforecast.2006.03.001","ISSN":"01692070","issue":"4","journalAbbreviation":"International Journal of Forecasting","language":"en","license":"https://www.elsevier.com/tdm/userlicense/1.0/","page":"679-688","source":"DOI.org (Crossref)","title":"Another look at measures of forecast accuracy","volume":"22","author":[{"family":"Hyndman","given":"Rob J."},{"family":"Koehler","given":"Anne B."}],"issued":{"date-parts":[["2006",10]]}}}],"schema":"https://github.com/citation-style-language/schema/raw/master/csl-citation.json"} </w:instrText>
      </w:r>
      <w:r w:rsidR="001A2364" w:rsidRPr="00D22B50">
        <w:rPr>
          <w:rFonts w:eastAsia="宋体" w:cs="Times New Roman"/>
        </w:rPr>
        <w:fldChar w:fldCharType="separate"/>
      </w:r>
      <w:r w:rsidR="001A2364" w:rsidRPr="00D22B50">
        <w:rPr>
          <w:rFonts w:eastAsia="宋体" w:cs="Times New Roman"/>
        </w:rPr>
        <w:t>[37], [42]</w:t>
      </w:r>
      <w:r w:rsidR="001A2364" w:rsidRPr="00D22B50">
        <w:rPr>
          <w:rFonts w:eastAsia="宋体" w:cs="Times New Roman"/>
        </w:rPr>
        <w:fldChar w:fldCharType="end"/>
      </w:r>
      <w:r w:rsidRPr="00D22B50">
        <w:t>.</w:t>
      </w:r>
    </w:p>
    <w:p w14:paraId="32F14843" w14:textId="35889C8A" w:rsidR="00CE06BF" w:rsidRPr="00D22B50" w:rsidRDefault="00CE06BF" w:rsidP="00FD5995">
      <w:pPr>
        <w:pStyle w:val="af5"/>
        <w:spacing w:before="156" w:after="156"/>
      </w:pPr>
      <w:r w:rsidRPr="00D22B50">
        <w:t xml:space="preserve">The MAPE formula is defined by the ratio of the absolute error to the actual value. In this research, consumption values are transformed into a standardized space where the mean is centered at zero. When a household is in a </w:t>
      </w:r>
      <w:r w:rsidR="00BD7543">
        <w:t>“</w:t>
      </w:r>
      <w:r w:rsidRPr="00D22B50">
        <w:t>base-load</w:t>
      </w:r>
      <w:r w:rsidR="00BD7543">
        <w:t>”</w:t>
      </w:r>
      <w:r w:rsidRPr="00D22B50">
        <w:t xml:space="preserve"> state—such as during late-night hours when residents are asleep—the normalized actual value </w:t>
      </w:r>
      <m:oMath>
        <m:sSub>
          <m:sSubPr>
            <m:ctrlPr>
              <w:rPr>
                <w:rFonts w:ascii="Cambria Math" w:hAnsi="Cambria Math"/>
                <w:i/>
              </w:rPr>
            </m:ctrlPr>
          </m:sSubPr>
          <m:e>
            <m:r>
              <w:rPr>
                <w:rFonts w:ascii="Cambria Math" w:hAnsi="Cambria Math"/>
              </w:rPr>
              <m:t>y</m:t>
            </m:r>
          </m:e>
          <m:sub>
            <m:r>
              <w:rPr>
                <w:rFonts w:ascii="Cambria Math" w:hAnsi="Cambria Math"/>
              </w:rPr>
              <m:t>t</m:t>
            </m:r>
          </m:sub>
        </m:sSub>
      </m:oMath>
      <w:r w:rsidRPr="00D22B50">
        <w:t xml:space="preserve"> frequently approaches zero. In the MAPE calculation, these near-zero values appear in the denominator, causing the percentage error to spike toward infinity even when the absolute difference between the predicted and actual value is negligible.</w:t>
      </w:r>
    </w:p>
    <w:p w14:paraId="3DAB343A" w14:textId="6C8FBF50" w:rsidR="002C44EF" w:rsidRPr="00D22B50" w:rsidRDefault="00CE06BF" w:rsidP="00FD5995">
      <w:pPr>
        <w:pStyle w:val="af5"/>
        <w:spacing w:before="156" w:after="156"/>
      </w:pPr>
      <w:r w:rsidRPr="00D22B50">
        <w:t xml:space="preserve">Despite these high absolute percentage values, the relative reduction in MAPE remains a powerful and valid indicator of performance improvement. The framework achieved a reduction from 355.01% (Scratch) to 285.81% (LSTM Fine-tuning). This significant decrease aligns with the gains observed in the more numerically stable MSE and RMSE metrics </w:t>
      </w:r>
      <w:r w:rsidR="001A2364" w:rsidRPr="00D22B50">
        <w:fldChar w:fldCharType="begin"/>
      </w:r>
      <w:r w:rsidR="001A2364" w:rsidRPr="00D22B50">
        <w:instrText xml:space="preserve"> ADDIN ZOTERO_ITEM CSL_CITATION {"citationID":"63vd6raq","properties":{"formattedCitation":"[4]","plainCitation":"[4]","noteIndex":0},"citationItems":[{"id":567,"uris":["http://zotero.org/users/local/p3tV44H5/items/J38MU6UU"],"itemData":{"id":567,"type":"article-journal","abstract":"The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1A2364" w:rsidRPr="00D22B50">
        <w:fldChar w:fldCharType="separate"/>
      </w:r>
      <w:r w:rsidR="001A2364" w:rsidRPr="00D22B50">
        <w:rPr>
          <w:rFonts w:cs="Times New Roman"/>
        </w:rPr>
        <w:t>[4]</w:t>
      </w:r>
      <w:r w:rsidR="001A2364" w:rsidRPr="00D22B50">
        <w:fldChar w:fldCharType="end"/>
      </w:r>
      <w:r w:rsidRPr="00D22B50">
        <w:t xml:space="preserve">. It confirms that the transfer learning framework effectively captures the macroscopic consumption cycles—the </w:t>
      </w:r>
      <w:r w:rsidR="00BD7543">
        <w:t>“</w:t>
      </w:r>
      <w:r w:rsidRPr="00D22B50">
        <w:t>energy fingerprint</w:t>
      </w:r>
      <w:r w:rsidR="00BD7543">
        <w:t>”</w:t>
      </w:r>
      <w:r w:rsidRPr="00D22B50">
        <w:t xml:space="preserve">—of residential users, even though the point-wise percentage metrics are skewed by the zero-centered nature of the standardized dataset </w:t>
      </w:r>
      <w:r w:rsidR="001A2364" w:rsidRPr="00D22B50">
        <w:fldChar w:fldCharType="begin"/>
      </w:r>
      <w:r w:rsidR="001A2364" w:rsidRPr="00D22B50">
        <w:instrText xml:space="preserve"> ADDIN ZOTERO_ITEM CSL_CITATION {"citationID":"RSRi7w2d","properties":{"formattedCitation":"[22]","plainCitation":"[22]","noteIndex":0},"citationItems":[{"id":582,"uris":["http://zotero.org/users/local/p3tV44H5/items/ZEP5S279"],"itemData":{"id":582,"type":"article-journal","abstract":"The key challenge for household load forecasting lies in the high volatility and uncertainty of load profiles. Traditional methods tend to avoid such uncertainty by load aggregation (to offset uncertainties), customer classification (to cluster uncertainties) and spectral analysis (to filter out uncertainties). This paper, for the first time, aims to directly learn the uncertainty by applying a new breed of machine learning algorithms – deep learning.","container-title":"IEEE Transactions on Smart Grid","DOI":"10.1109/TSG.2017.2686012","ISSN":"1949-3053, 1949-3061","issue":"5","journalAbbreviation":"IEEE Trans. Smart Grid","language":"en","license":"https://ieeexplore.ieee.org/Xplorehelp/downloads/license-information/IEEE.html","page":"5271-5280","source":"DOI.org (Crossref)","title":"Deep Learning for Household Load Forecasting—A Novel Pooling Deep RNN","volume":"9","author":[{"family":"Shi","given":"Heng"},{"family":"Xu","given":"Minghao"},{"family":"Li","given":"Ran"}],"issued":{"date-parts":[["2018",9]]}}}],"schema":"https://github.com/citation-style-language/schema/raw/master/csl-citation.json"} </w:instrText>
      </w:r>
      <w:r w:rsidR="001A2364" w:rsidRPr="00D22B50">
        <w:fldChar w:fldCharType="separate"/>
      </w:r>
      <w:r w:rsidR="001A2364" w:rsidRPr="00D22B50">
        <w:rPr>
          <w:rFonts w:cs="Times New Roman"/>
        </w:rPr>
        <w:t>[22]</w:t>
      </w:r>
      <w:r w:rsidR="001A2364" w:rsidRPr="00D22B50">
        <w:fldChar w:fldCharType="end"/>
      </w:r>
      <w:r w:rsidRPr="00D22B50">
        <w:t>.</w:t>
      </w:r>
    </w:p>
    <w:p w14:paraId="79E870D7" w14:textId="77777777" w:rsidR="00715AB5" w:rsidRPr="00D22B50" w:rsidRDefault="00715AB5" w:rsidP="00715AB5">
      <w:pPr>
        <w:pStyle w:val="1"/>
        <w:rPr>
          <w:rFonts w:hint="eastAsia"/>
        </w:rPr>
      </w:pPr>
      <w:bookmarkStart w:id="89" w:name="_Toc228641337"/>
      <w:r w:rsidRPr="00D22B50">
        <w:t>7</w:t>
      </w:r>
      <w:r w:rsidRPr="00D22B50">
        <w:rPr>
          <w:rFonts w:hint="eastAsia"/>
        </w:rPr>
        <w:t>.</w:t>
      </w:r>
      <w:r w:rsidRPr="00D22B50">
        <w:t xml:space="preserve"> Discussion</w:t>
      </w:r>
      <w:bookmarkEnd w:id="89"/>
    </w:p>
    <w:p w14:paraId="653DD786" w14:textId="77777777" w:rsidR="00715AB5" w:rsidRPr="00D22B50" w:rsidRDefault="00715AB5" w:rsidP="00715AB5">
      <w:pPr>
        <w:pStyle w:val="2"/>
        <w:rPr>
          <w:rFonts w:hint="eastAsia"/>
        </w:rPr>
      </w:pPr>
      <w:bookmarkStart w:id="90" w:name="_Toc228641338"/>
      <w:r w:rsidRPr="00D22B50">
        <w:t>7.1 Theoretical Foundations of the Performance Hierarchy</w:t>
      </w:r>
      <w:bookmarkEnd w:id="90"/>
      <w:r w:rsidRPr="00D22B50">
        <w:t xml:space="preserve"> </w:t>
      </w:r>
    </w:p>
    <w:p w14:paraId="10820D6B" w14:textId="65421F70" w:rsidR="00715AB5" w:rsidRPr="00D22B50" w:rsidRDefault="00715AB5" w:rsidP="00FD5995">
      <w:pPr>
        <w:pStyle w:val="af5"/>
        <w:spacing w:before="156" w:after="156"/>
      </w:pPr>
      <w:r w:rsidRPr="00D22B50">
        <w:t xml:space="preserve">The experimental results across the 30 residential households have consistently substantiated a hierarchical progression of predictive accuracy, which </w:t>
      </w:r>
      <w:r w:rsidR="002657F3">
        <w:t xml:space="preserve">I </w:t>
      </w:r>
      <w:r w:rsidRPr="00D22B50">
        <w:t xml:space="preserve">define as the </w:t>
      </w:r>
      <w:r w:rsidR="00BD7543">
        <w:t>“</w:t>
      </w:r>
      <w:r w:rsidRPr="00D22B50">
        <w:t>performance ladder.</w:t>
      </w:r>
      <w:r w:rsidR="00BD7543">
        <w:t>”</w:t>
      </w:r>
      <w:r w:rsidRPr="00D22B50">
        <w:t xml:space="preserve"> This ladder demonstrates that the integration of global knowledge through transfer learning represents a fundamental advancement over isolated local learning. The empirical transition from a scratch-training Mean Squared Error (MSE) of 0.7080 to an adaptive fine-tuning MSE of 0.4849 (for the LSTM backbone) is not merely a numerical optimization; it serves as a robust validation of the </w:t>
      </w:r>
      <w:r w:rsidR="00BD7543">
        <w:t>“</w:t>
      </w:r>
      <w:r w:rsidRPr="00D22B50">
        <w:t>Temporal Universality</w:t>
      </w:r>
      <w:r w:rsidR="00BD7543">
        <w:t>”</w:t>
      </w:r>
      <w:r w:rsidRPr="00D22B50">
        <w:t xml:space="preserve"> hypothesis in residential energy informatics. This hypothesis </w:t>
      </w:r>
      <w:r w:rsidRPr="00D22B50">
        <w:lastRenderedPageBreak/>
        <w:t xml:space="preserve">posits that beneath the apparent stochasticity of individual consumer behavior, there exists an underlying structural consistency in energy utilization patterns governed by shared socio-biological and circadian rhythms </w:t>
      </w:r>
      <w:r w:rsidR="001A2364" w:rsidRPr="00D22B50">
        <w:fldChar w:fldCharType="begin"/>
      </w:r>
      <w:r w:rsidR="001A2364" w:rsidRPr="00D22B50">
        <w:instrText xml:space="preserve"> ADDIN ZOTERO_ITEM CSL_CITATION {"citationID":"vJ1qcUwB","properties":{"formattedCitation":"[8], [9]","plainCitation":"[8], [9]","noteIndex":0},"citationItems":[{"id":512,"uris":["http://zotero.org/users/local/p3tV44H5/items/HCMHHT5F"],"itemData":{"id":512,"type":"article-journal","abstract":"Learning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1A2364" w:rsidRPr="00D22B50">
        <w:fldChar w:fldCharType="separate"/>
      </w:r>
      <w:r w:rsidR="001A2364" w:rsidRPr="00D22B50">
        <w:rPr>
          <w:rFonts w:cs="Times New Roman"/>
        </w:rPr>
        <w:t>[8], [9]</w:t>
      </w:r>
      <w:r w:rsidR="001A2364" w:rsidRPr="00D22B50">
        <w:fldChar w:fldCharType="end"/>
      </w:r>
      <w:r w:rsidRPr="00D22B50">
        <w:t>.</w:t>
      </w:r>
    </w:p>
    <w:p w14:paraId="68497E43" w14:textId="77777777" w:rsidR="00715AB5" w:rsidRPr="00D22B50" w:rsidRDefault="00715AB5" w:rsidP="00715AB5">
      <w:pPr>
        <w:pStyle w:val="3"/>
        <w:rPr>
          <w:rFonts w:hint="eastAsia"/>
        </w:rPr>
      </w:pPr>
      <w:bookmarkStart w:id="91" w:name="_Toc228641339"/>
      <w:r w:rsidRPr="00D22B50">
        <w:t>7.1.1 The Universality of Circadian Rhythms</w:t>
      </w:r>
      <w:bookmarkEnd w:id="91"/>
      <w:r w:rsidRPr="00D22B50">
        <w:t xml:space="preserve"> </w:t>
      </w:r>
    </w:p>
    <w:p w14:paraId="667DB99D" w14:textId="2F066550" w:rsidR="00715AB5" w:rsidRPr="00D22B50" w:rsidRDefault="00715AB5" w:rsidP="00FD5995">
      <w:pPr>
        <w:pStyle w:val="af5"/>
        <w:spacing w:before="156" w:after="156"/>
      </w:pPr>
      <w:r w:rsidRPr="00D22B50">
        <w:t xml:space="preserve">Residential electricity demand, while appearing chaotic at the individual meter level, is fundamentally anchored by deep-seated circadian cycles. These rhythms are dictated by the natural day-night cycle, standard societal working hours, and the collective domestic routines of the metropolitan population. The source domain models, particularly after being enhanced with multivariate temporal features such as Hour of Day and Day of Week, function as generalized feature extractors. They successfully internalize macro-level behaviors, including the thermodynamic lag of buildings and the recurring consumption peaks associated with morning and evening surges </w:t>
      </w:r>
      <w:r w:rsidR="001A2364" w:rsidRPr="00D22B50">
        <w:fldChar w:fldCharType="begin"/>
      </w:r>
      <w:r w:rsidR="001A2364" w:rsidRPr="00D22B50">
        <w:instrText xml:space="preserve"> ADDIN ZOTERO_ITEM CSL_CITATION {"citationID":"Pt1Un04o","properties":{"formattedCitation":"[9]","plainCitation":"[9]","noteIndex":0},"citationItems":[{"id":557,"uris":["http://zotero.org/users/local/p3tV44H5/items/N4D6A4RG"],"itemData":{"id":557,"type":"article-journal","abstract":"As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1A2364" w:rsidRPr="00D22B50">
        <w:fldChar w:fldCharType="separate"/>
      </w:r>
      <w:r w:rsidR="001A2364" w:rsidRPr="00D22B50">
        <w:rPr>
          <w:rFonts w:cs="Times New Roman"/>
        </w:rPr>
        <w:t>[9]</w:t>
      </w:r>
      <w:r w:rsidR="001A2364" w:rsidRPr="00D22B50">
        <w:fldChar w:fldCharType="end"/>
      </w:r>
      <w:r w:rsidRPr="00D22B50">
        <w:t xml:space="preserve">. By migrating these pre-trained weights, the target model does not start from a </w:t>
      </w:r>
      <w:r w:rsidR="00BD7543">
        <w:t>“</w:t>
      </w:r>
      <w:r w:rsidRPr="00D22B50">
        <w:t>tabula rasa</w:t>
      </w:r>
      <w:r w:rsidR="00BD7543">
        <w:t>”</w:t>
      </w:r>
      <w:r w:rsidRPr="00D22B50">
        <w:t xml:space="preserve"> state but from an informed prior that already understands the fundamental </w:t>
      </w:r>
      <w:r w:rsidR="00BD7543">
        <w:t>“</w:t>
      </w:r>
      <w:r w:rsidRPr="00D22B50">
        <w:t>grammar</w:t>
      </w:r>
      <w:r w:rsidR="00BD7543">
        <w:t>”</w:t>
      </w:r>
      <w:r w:rsidRPr="00D22B50">
        <w:t xml:space="preserve"> of energy demand </w:t>
      </w:r>
      <w:r w:rsidR="001A2364" w:rsidRPr="00D22B50">
        <w:fldChar w:fldCharType="begin"/>
      </w:r>
      <w:r w:rsidR="001A2364" w:rsidRPr="00D22B50">
        <w:instrText xml:space="preserve"> ADDIN ZOTERO_ITEM CSL_CITATION {"citationID":"5WfJwv9P","properties":{"formattedCitation":"[15]","plainCitation":"[15]","noteIndex":0},"citationItems":[{"id":587,"uris":["http://zotero.org/users/local/p3tV44H5/items/JV45ZU2Z"],"itemData":{"id":587,"type":"paper-conference","abstract":"Transfer learning for deep neural networks is the process of first training a base network on a source dataset, and then transferring the learned features (the network’s weights) to a second network to be trained on a target dataset. This idea has been shown to improve deep neural network’s generalization capabilities in many computer vision tasks such as image recognition and object localization. Apart from these applications, deep Convolutional Neural Networks (CNNs) have also recently gained popularity in the Time Series Classification (TSC) community. However, unlike for image recognition problems, transfer learning techniques have not yet been investigated thoroughly for the TSC task. This is surprising as the accuracy of deep learning models for TSC could potentially be improved if the model is fine-tuned from a pre-trained neural network instead of training it from scratch. In this paper, we fill this gap by investigating how to transfer deep CNNs for the TSC task. To evaluate the potential of transfer learning, we performed extensive experiments using the UCR archive which is the largest publicly available TSC benchmark containing 85 datasets. For each dataset in the archive, we pre-trained a model and then fine-tuned it on the other datasets resulting in 7140 different deep neural networks. These experiments revealed that transfer learning can improve or degrade the models predictions depending on the dataset used for transfer. Therefore, in an effort to predict the best source dataset for a given target dataset, we propose a new method relying on Dynamic Time Warping to measure inter-datasets similarities. We describe how our method can guide the transfer to choose the best source dataset leading to an improvement in accuracy on 71 out of 85 datasets.","container-title":"2018 IEEE International Conference on Big Data (Big Data)","DOI":"10.1109/BigData.2018.8621990","event-title":"2018 IEEE International Conference on Big Data (Big Data)","page":"1367-1376","source":"IEEE Xplore","title":"Transfer learning for time series classification","URL":"https://ieeexplore.ieee.org/document/8621990","author":[{"family":"Ismail Fawaz","given":"Hassan"},{"family":"Forestier","given":"Germain"},{"family":"Weber","given":"Jonathan"},{"family":"Idoumghar","given":"Lhassane"},{"family":"Muller","given":"Pierre-Alain"}],"accessed":{"date-parts":[["2026",5,1]]},"issued":{"date-parts":[["2018",12]]}}}],"schema":"https://github.com/citation-style-language/schema/raw/master/csl-citation.json"} </w:instrText>
      </w:r>
      <w:r w:rsidR="001A2364" w:rsidRPr="00D22B50">
        <w:fldChar w:fldCharType="separate"/>
      </w:r>
      <w:r w:rsidR="001A2364" w:rsidRPr="00D22B50">
        <w:rPr>
          <w:rFonts w:cs="Times New Roman"/>
        </w:rPr>
        <w:t>[15]</w:t>
      </w:r>
      <w:r w:rsidR="001A2364" w:rsidRPr="00D22B50">
        <w:fldChar w:fldCharType="end"/>
      </w:r>
      <w:r w:rsidRPr="00D22B50">
        <w:t>. This allows the model to interpret sparse local data through the lens of established global knowledge, providing immediate predictive utility.</w:t>
      </w:r>
    </w:p>
    <w:p w14:paraId="00469DBF" w14:textId="77777777" w:rsidR="00715AB5" w:rsidRPr="00D22B50" w:rsidRDefault="00715AB5" w:rsidP="00715AB5">
      <w:pPr>
        <w:pStyle w:val="3"/>
        <w:rPr>
          <w:rFonts w:hint="eastAsia"/>
        </w:rPr>
      </w:pPr>
      <w:bookmarkStart w:id="92" w:name="_Toc228641340"/>
      <w:r w:rsidRPr="00D22B50">
        <w:t xml:space="preserve">7.1.2 Transfer Learning as a Structural </w:t>
      </w:r>
      <w:proofErr w:type="spellStart"/>
      <w:r w:rsidRPr="00D22B50">
        <w:t>Regularizer</w:t>
      </w:r>
      <w:bookmarkEnd w:id="92"/>
      <w:proofErr w:type="spellEnd"/>
      <w:r w:rsidRPr="00D22B50">
        <w:t xml:space="preserve"> </w:t>
      </w:r>
    </w:p>
    <w:p w14:paraId="301E5678" w14:textId="4D384454" w:rsidR="00715AB5" w:rsidRPr="00D22B50" w:rsidRDefault="00715AB5" w:rsidP="00FD5995">
      <w:pPr>
        <w:pStyle w:val="af5"/>
        <w:spacing w:before="156" w:after="156"/>
      </w:pPr>
      <w:r w:rsidRPr="00D22B50">
        <w:t xml:space="preserve">In the extreme cold-start regime where sample size is critically limited (N = 10 days), the primary mathematical obstacle to accuracy is the high variance of the estimator. High-capacity models like LSTMs and Transformers, which possess thousands of degrees of freedom, are prone to </w:t>
      </w:r>
      <w:r w:rsidR="00BD7543">
        <w:t>“</w:t>
      </w:r>
      <w:r w:rsidRPr="00D22B50">
        <w:t>memorizing</w:t>
      </w:r>
      <w:r w:rsidR="00BD7543">
        <w:t>”</w:t>
      </w:r>
      <w:r w:rsidRPr="00D22B50">
        <w:t xml:space="preserve"> idiosyncratic noise and temporal anomalies when trained on only 480 observations </w:t>
      </w:r>
      <w:r w:rsidR="001A2364" w:rsidRPr="00D22B50">
        <w:fldChar w:fldCharType="begin"/>
      </w:r>
      <w:r w:rsidR="001A2364" w:rsidRPr="00D22B50">
        <w:instrText xml:space="preserve"> ADDIN ZOTERO_ITEM CSL_CITATION {"citationID":"KH4RiwY2","properties":{"formattedCitation":"[8], [9]","plainCitation":"[8], [9]","noteIndex":0},"citationItems":[{"id":512,"uris":["http://zotero.org/users/local/p3tV44H5/items/HCMHHT5F"],"itemData":{"id":512,"type":"article-journal","abstract":"Learning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1A2364" w:rsidRPr="00D22B50">
        <w:fldChar w:fldCharType="separate"/>
      </w:r>
      <w:r w:rsidR="001A2364" w:rsidRPr="00D22B50">
        <w:rPr>
          <w:rFonts w:cs="Times New Roman"/>
        </w:rPr>
        <w:t>[8], [9]</w:t>
      </w:r>
      <w:r w:rsidR="001A2364" w:rsidRPr="00D22B50">
        <w:fldChar w:fldCharType="end"/>
      </w:r>
      <w:r w:rsidRPr="00D22B50">
        <w:t>. This leads to catastrophic overfitting, where the model captures temporary quirks—such as an unusual holiday event during the 10-day window—rather than the true underlying signal.</w:t>
      </w:r>
    </w:p>
    <w:p w14:paraId="16E80846" w14:textId="52C04409" w:rsidR="00715AB5" w:rsidRPr="00D22B50" w:rsidRDefault="00715AB5" w:rsidP="00FD5995">
      <w:pPr>
        <w:pStyle w:val="af5"/>
        <w:spacing w:before="156" w:after="156"/>
      </w:pPr>
      <w:r w:rsidRPr="00D22B50">
        <w:t xml:space="preserve">The proposed transfer learning framework addresses this by acting as a structural </w:t>
      </w:r>
      <w:proofErr w:type="spellStart"/>
      <w:r w:rsidRPr="00D22B50">
        <w:t>regularizer</w:t>
      </w:r>
      <w:proofErr w:type="spellEnd"/>
      <w:r w:rsidRPr="00D22B50">
        <w:t xml:space="preserve">. By freezing the recurrent layers of the LSTM or the encoder blocks of the Transformer, </w:t>
      </w:r>
      <w:r w:rsidR="002657F3">
        <w:t xml:space="preserve">I </w:t>
      </w:r>
      <w:r w:rsidRPr="00D22B50">
        <w:t xml:space="preserve">effectively constrain the hypothesis space of the model. This forces the network to utilize generalized features proven robust across the 100-household source domain, effectively anchoring the predictions to reliable </w:t>
      </w:r>
      <w:r w:rsidR="00BD7543">
        <w:t>“</w:t>
      </w:r>
      <w:r w:rsidRPr="00D22B50">
        <w:t>temporal anchors</w:t>
      </w:r>
      <w:r w:rsidR="00BD7543">
        <w:t>”</w:t>
      </w:r>
      <w:r w:rsidRPr="00D22B50">
        <w:t xml:space="preserve"> </w:t>
      </w:r>
      <w:r w:rsidR="001A2364" w:rsidRPr="00D22B50">
        <w:fldChar w:fldCharType="begin"/>
      </w:r>
      <w:r w:rsidR="001A2364" w:rsidRPr="00D22B50">
        <w:instrText xml:space="preserve"> ADDIN ZOTERO_ITEM CSL_CITATION {"citationID":"a64iJiR0","properties":{"formattedCitation":"[11]","plainCitation":"[11]","noteIndex":0},"citationItems":[{"id":595,"uris":["http://zotero.org/users/local/p3tV44H5/items/RYGGA6L8"],"itemData":{"id":595,"type":"article-journal","abstract":"While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1A2364" w:rsidRPr="00D22B50">
        <w:fldChar w:fldCharType="separate"/>
      </w:r>
      <w:r w:rsidR="001A2364" w:rsidRPr="00D22B50">
        <w:rPr>
          <w:rFonts w:cs="Times New Roman"/>
        </w:rPr>
        <w:t>[11]</w:t>
      </w:r>
      <w:r w:rsidR="001A2364" w:rsidRPr="00D22B50">
        <w:fldChar w:fldCharType="end"/>
      </w:r>
      <w:r w:rsidRPr="00D22B50">
        <w:t xml:space="preserve">. This regularization prevents the </w:t>
      </w:r>
      <w:r w:rsidR="00BD7543">
        <w:t>“</w:t>
      </w:r>
      <w:r w:rsidRPr="00D22B50">
        <w:t>gradient drift</w:t>
      </w:r>
      <w:r w:rsidR="00BD7543">
        <w:t>”</w:t>
      </w:r>
      <w:r w:rsidRPr="00D22B50">
        <w:t xml:space="preserve"> typical of small-sample training and leads to the observed 31.5% improvement (for LSTM) in forecasting accuracy, ensuring stable performance even when target-specific context is virtually non-existent.</w:t>
      </w:r>
    </w:p>
    <w:p w14:paraId="5E921CA6" w14:textId="77777777" w:rsidR="00715AB5" w:rsidRPr="00D22B50" w:rsidRDefault="00715AB5" w:rsidP="00715AB5">
      <w:pPr>
        <w:pStyle w:val="2"/>
        <w:rPr>
          <w:rFonts w:hint="eastAsia"/>
        </w:rPr>
      </w:pPr>
      <w:bookmarkStart w:id="93" w:name="_Toc228641341"/>
      <w:r w:rsidRPr="00D22B50">
        <w:t>7.2 Architectural Trade-offs: Inductive Bias vs. Data Scarcity</w:t>
      </w:r>
      <w:bookmarkEnd w:id="93"/>
    </w:p>
    <w:p w14:paraId="2662077D" w14:textId="183E0E8F" w:rsidR="00715AB5" w:rsidRPr="00D22B50" w:rsidRDefault="00715AB5" w:rsidP="00FD5995">
      <w:pPr>
        <w:pStyle w:val="af5"/>
        <w:spacing w:before="156" w:after="156"/>
      </w:pPr>
      <w:r w:rsidRPr="00D22B50">
        <w:t xml:space="preserve">A pivotal scholarly insight derived from this comparative study is the performance divergence between Recurrence-based (LSTM) and Attention-based (Transformer) architectures under extreme data scarcity. While contemporary deep learning literature </w:t>
      </w:r>
      <w:r w:rsidRPr="00D22B50">
        <w:lastRenderedPageBreak/>
        <w:t xml:space="preserve">frequently positions the Transformer as the superior successor to recurrent networks for sequence modeling </w:t>
      </w:r>
      <w:r w:rsidR="001A2364" w:rsidRPr="00D22B50">
        <w:fldChar w:fldCharType="begin"/>
      </w:r>
      <w:r w:rsidR="001A2364" w:rsidRPr="00D22B50">
        <w:instrText xml:space="preserve"> ADDIN ZOTERO_ITEM CSL_CITATION {"citationID":"oz61xyoi","properties":{"formattedCitation":"[4]","plainCitation":"[4]","noteIndex":0},"citationItems":[{"id":567,"uris":["http://zotero.org/users/local/p3tV44H5/items/J38MU6UU"],"itemData":{"id":567,"type":"article-journal","abstract":"The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1A2364" w:rsidRPr="00D22B50">
        <w:fldChar w:fldCharType="separate"/>
      </w:r>
      <w:r w:rsidR="001A2364" w:rsidRPr="00D22B50">
        <w:rPr>
          <w:rFonts w:cs="Times New Roman"/>
        </w:rPr>
        <w:t>[4]</w:t>
      </w:r>
      <w:r w:rsidR="001A2364" w:rsidRPr="00D22B50">
        <w:fldChar w:fldCharType="end"/>
      </w:r>
      <w:r w:rsidRPr="00D22B50">
        <w:t>, our empirical results across the 30-household cohort reveal a more nuanced reality in cold-start regimes. The finding that the fine-tuned LSTM (MSE: 0.4849) outperformed the fine-tuned Transformer (MSE: 0.4984) provides a critical foundation for discussing the theoretical trade-offs between architectural capacity and representational robustness.</w:t>
      </w:r>
    </w:p>
    <w:p w14:paraId="19C61191" w14:textId="056604C0" w:rsidR="00715AB5" w:rsidRPr="00D22B50" w:rsidRDefault="00715AB5" w:rsidP="00715AB5">
      <w:pPr>
        <w:pStyle w:val="3"/>
        <w:rPr>
          <w:rFonts w:hint="eastAsia"/>
        </w:rPr>
      </w:pPr>
      <w:bookmarkStart w:id="94" w:name="_Toc228641342"/>
      <w:r w:rsidRPr="00D22B50">
        <w:t xml:space="preserve">7.2.1 The </w:t>
      </w:r>
      <w:r w:rsidR="00BD7543">
        <w:t>“</w:t>
      </w:r>
      <w:r w:rsidRPr="00D22B50">
        <w:t>Data Hunger</w:t>
      </w:r>
      <w:r w:rsidR="00BD7543">
        <w:t>”</w:t>
      </w:r>
      <w:r w:rsidRPr="00D22B50">
        <w:t xml:space="preserve"> Paradox of Self-Attention</w:t>
      </w:r>
      <w:bookmarkEnd w:id="94"/>
    </w:p>
    <w:p w14:paraId="5E9CA245" w14:textId="1A0C9C1D" w:rsidR="00715AB5" w:rsidRPr="00D22B50" w:rsidRDefault="00715AB5" w:rsidP="00FD5995">
      <w:pPr>
        <w:pStyle w:val="af5"/>
        <w:spacing w:before="156" w:after="156"/>
      </w:pPr>
      <w:r w:rsidRPr="00D22B50">
        <w:t xml:space="preserve">The relative underperformance of the Transformer in the 10-day window (N=480 observations) can be elucidated through the lens of architectural </w:t>
      </w:r>
      <w:r w:rsidR="00BD7543">
        <w:t>“</w:t>
      </w:r>
      <w:r w:rsidRPr="00D22B50">
        <w:t>data hunger.</w:t>
      </w:r>
      <w:r w:rsidR="00BD7543">
        <w:t>”</w:t>
      </w:r>
      <w:r w:rsidRPr="00D22B50">
        <w:t xml:space="preserve"> The core innovation of the Transformer is the Multi-Head Self-Attention (MHSA) mechanism, which computes global dependencies across the entire temporal window simultaneously. Unlike recurrent gates that process information sequentially, MHSA assumes minimal structural priors about the data, relying instead on the attention matrix to </w:t>
      </w:r>
      <w:r w:rsidR="00BD7543">
        <w:t>“</w:t>
      </w:r>
      <w:r w:rsidRPr="00D22B50">
        <w:t>discover</w:t>
      </w:r>
      <w:r w:rsidR="00BD7543">
        <w:t>”</w:t>
      </w:r>
      <w:r w:rsidRPr="00D22B50">
        <w:t xml:space="preserve"> temporal rules purely from the provided samples. In data-abundant environments, this flexibility allows Transformers to capture complex, multi-scale behavioral anomalies that evade traditional LSTMs.</w:t>
      </w:r>
    </w:p>
    <w:p w14:paraId="3A0A0C8E" w14:textId="422AE042" w:rsidR="00715AB5" w:rsidRPr="00D22B50" w:rsidRDefault="00715AB5" w:rsidP="00FD5995">
      <w:pPr>
        <w:pStyle w:val="af5"/>
        <w:spacing w:before="156" w:after="156"/>
      </w:pPr>
      <w:r w:rsidRPr="00D22B50">
        <w:t xml:space="preserve">However, in the extreme small-sample regime of a cold start, this lack of structural constraint becomes a mathematical liability. The attention weights are highly sensitive to localized stochasticity; with only 480 local observations, the fine-tuning process lacks sufficient </w:t>
      </w:r>
      <w:r w:rsidR="00BD7543">
        <w:t>“</w:t>
      </w:r>
      <w:r w:rsidRPr="00D22B50">
        <w:t>gradient density</w:t>
      </w:r>
      <w:r w:rsidR="00BD7543">
        <w:t>”</w:t>
      </w:r>
      <w:r w:rsidRPr="00D22B50">
        <w:t xml:space="preserve"> to reliably converge the high-dimensional self-attention matrices without capturing the idiosyncratic noise of the 10-day window </w:t>
      </w:r>
      <w:r w:rsidR="001A2364" w:rsidRPr="00D22B50">
        <w:fldChar w:fldCharType="begin"/>
      </w:r>
      <w:r w:rsidR="001A2364" w:rsidRPr="00D22B50">
        <w:instrText xml:space="preserve"> ADDIN ZOTERO_ITEM CSL_CITATION {"citationID":"SbvJS6Mb","properties":{"formattedCitation":"[8], [9]","plainCitation":"[8], [9]","noteIndex":0},"citationItems":[{"id":512,"uris":["http://zotero.org/users/local/p3tV44H5/items/HCMHHT5F"],"itemData":{"id":512,"type":"article-journal","abstract":"Learning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1A2364" w:rsidRPr="00D22B50">
        <w:fldChar w:fldCharType="separate"/>
      </w:r>
      <w:r w:rsidR="001A2364" w:rsidRPr="00D22B50">
        <w:rPr>
          <w:rFonts w:cs="Times New Roman"/>
        </w:rPr>
        <w:t>[8], [9]</w:t>
      </w:r>
      <w:r w:rsidR="001A2364" w:rsidRPr="00D22B50">
        <w:fldChar w:fldCharType="end"/>
      </w:r>
      <w:r w:rsidRPr="00D22B50">
        <w:t xml:space="preserve">. This results in the observed </w:t>
      </w:r>
      <w:r w:rsidR="00BD7543">
        <w:t>“</w:t>
      </w:r>
      <w:r w:rsidRPr="00D22B50">
        <w:t>over-adjustment</w:t>
      </w:r>
      <w:r w:rsidR="00BD7543">
        <w:t>”</w:t>
      </w:r>
      <w:r w:rsidRPr="00D22B50">
        <w:t xml:space="preserve"> to non-periodic spikes, leading to the slightly higher MSE and MAPE values recorded in our batch evaluation.</w:t>
      </w:r>
    </w:p>
    <w:p w14:paraId="2E90751C" w14:textId="77777777" w:rsidR="00715AB5" w:rsidRPr="00D22B50" w:rsidRDefault="00715AB5" w:rsidP="00715AB5">
      <w:pPr>
        <w:pStyle w:val="3"/>
        <w:rPr>
          <w:rFonts w:hint="eastAsia"/>
        </w:rPr>
      </w:pPr>
      <w:bookmarkStart w:id="95" w:name="_Toc228641343"/>
      <w:r w:rsidRPr="00D22B50">
        <w:t>7.2.2 The Advantage of Sequential Inductive Bias</w:t>
      </w:r>
      <w:bookmarkEnd w:id="95"/>
    </w:p>
    <w:p w14:paraId="76E97E9F" w14:textId="1AE295D0" w:rsidR="00715AB5" w:rsidRPr="00D22B50" w:rsidRDefault="00715AB5" w:rsidP="00FD5995">
      <w:pPr>
        <w:pStyle w:val="af5"/>
        <w:spacing w:before="156" w:after="156"/>
      </w:pPr>
      <w:r w:rsidRPr="00D22B50">
        <w:t xml:space="preserve">In contrast, the LSTM architecture possesses a strong inductive bias specifically tailored for time-series data. By maintaining a hidden state that is updated step-by-step, the LSTM mathematically enforces the chronological flow of time </w:t>
      </w:r>
      <w:r w:rsidR="001A2364" w:rsidRPr="00D22B50">
        <w:fldChar w:fldCharType="begin"/>
      </w:r>
      <w:r w:rsidR="001A2364" w:rsidRPr="00D22B50">
        <w:instrText xml:space="preserve"> ADDIN ZOTERO_ITEM CSL_CITATION {"citationID":"4B5Ft87j","properties":{"formattedCitation":"[8]","plainCitation":"[8]","noteIndex":0},"citationItems":[{"id":512,"uris":["http://zotero.org/users/local/p3tV44H5/items/HCMHHT5F"],"itemData":{"id":512,"type":"article-journal","abstract":"Learning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Memory","volume":"9","author":[{"family":"Hochreiter","given":"Sepp"},{"family":"Schmidhuber","given":"Jürgen"}],"issued":{"date-parts":[["1997",11]]}}}],"schema":"https://github.com/citation-style-language/schema/raw/master/csl-citation.json"} </w:instrText>
      </w:r>
      <w:r w:rsidR="001A2364" w:rsidRPr="00D22B50">
        <w:fldChar w:fldCharType="separate"/>
      </w:r>
      <w:r w:rsidR="001A2364" w:rsidRPr="00D22B50">
        <w:rPr>
          <w:rFonts w:cs="Times New Roman"/>
        </w:rPr>
        <w:t>[8]</w:t>
      </w:r>
      <w:r w:rsidR="001A2364" w:rsidRPr="00D22B50">
        <w:fldChar w:fldCharType="end"/>
      </w:r>
      <w:r w:rsidRPr="00D22B50">
        <w:t xml:space="preserve">. This inherent structural assumption acts as a powerful </w:t>
      </w:r>
      <w:proofErr w:type="spellStart"/>
      <w:r w:rsidRPr="00D22B50">
        <w:t>regularizer</w:t>
      </w:r>
      <w:proofErr w:type="spellEnd"/>
      <w:r w:rsidRPr="00D22B50">
        <w:t xml:space="preserve"> that is </w:t>
      </w:r>
      <w:r w:rsidR="00BD7543">
        <w:t>“</w:t>
      </w:r>
      <w:r w:rsidRPr="00D22B50">
        <w:t>built-in</w:t>
      </w:r>
      <w:r w:rsidR="00BD7543">
        <w:t>”</w:t>
      </w:r>
      <w:r w:rsidRPr="00D22B50">
        <w:t xml:space="preserve"> to the network</w:t>
      </w:r>
      <w:r w:rsidR="00BD7543">
        <w:t>’</w:t>
      </w:r>
      <w:r w:rsidRPr="00D22B50">
        <w:t xml:space="preserve">s recurrent geometry. For a newly commissioned smart meter, this sequential prior provides a stable interpretative framework that anchors the model even when local data is critically sparse </w:t>
      </w:r>
      <w:r w:rsidR="001A2364" w:rsidRPr="00D22B50">
        <w:fldChar w:fldCharType="begin"/>
      </w:r>
      <w:r w:rsidR="001A2364" w:rsidRPr="00D22B50">
        <w:instrText xml:space="preserve"> ADDIN ZOTERO_ITEM CSL_CITATION {"citationID":"sLXUNVIO","properties":{"formattedCitation":"[11]","plainCitation":"[11]","noteIndex":0},"citationItems":[{"id":595,"uris":["http://zotero.org/users/local/p3tV44H5/items/RYGGA6L8"],"itemData":{"id":595,"type":"article-journal","abstract":"While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1A2364" w:rsidRPr="00D22B50">
        <w:fldChar w:fldCharType="separate"/>
      </w:r>
      <w:r w:rsidR="001A2364" w:rsidRPr="00D22B50">
        <w:rPr>
          <w:rFonts w:cs="Times New Roman"/>
        </w:rPr>
        <w:t>[11]</w:t>
      </w:r>
      <w:r w:rsidR="001A2364" w:rsidRPr="00D22B50">
        <w:fldChar w:fldCharType="end"/>
      </w:r>
      <w:r w:rsidRPr="00D22B50">
        <w:t>.</w:t>
      </w:r>
    </w:p>
    <w:p w14:paraId="76AB9697" w14:textId="686FF7B0" w:rsidR="00715AB5" w:rsidRPr="00D22B50" w:rsidRDefault="00715AB5" w:rsidP="00FD5995">
      <w:pPr>
        <w:pStyle w:val="af5"/>
        <w:spacing w:before="156" w:after="156"/>
      </w:pPr>
      <w:r w:rsidRPr="00D22B50">
        <w:t xml:space="preserve">Our implementation proves that by migrating the pre-trained LSTM weights and freezing the recurrent gates, the model effectively utilizes a </w:t>
      </w:r>
      <w:r w:rsidR="00BD7543">
        <w:t>“</w:t>
      </w:r>
      <w:r w:rsidRPr="00D22B50">
        <w:t>generalized temporal template</w:t>
      </w:r>
      <w:r w:rsidR="00BD7543">
        <w:t>”</w:t>
      </w:r>
      <w:r w:rsidRPr="00D22B50">
        <w:t xml:space="preserve"> learned from the 100-household source domain </w:t>
      </w:r>
      <w:r w:rsidR="001A2364" w:rsidRPr="00D22B50">
        <w:fldChar w:fldCharType="begin"/>
      </w:r>
      <w:r w:rsidR="001A2364" w:rsidRPr="00D22B50">
        <w:instrText xml:space="preserve"> ADDIN ZOTERO_ITEM CSL_CITATION {"citationID":"57KObjdM","properties":{"formattedCitation":"[15]","plainCitation":"[15]","noteIndex":0},"citationItems":[{"id":587,"uris":["http://zotero.org/users/local/p3tV44H5/items/JV45ZU2Z"],"itemData":{"id":587,"type":"paper-conference","abstract":"Transfer learning for deep neural networks is the process of first training a base network on a source dataset, and then transferring the learned features (the network’s weights) to a second network to be trained on a target dataset. This idea has been shown to improve deep neural network’s generalization capabilities in many computer vision tasks such as image recognition and object localization. Apart from these applications, deep Convolutional Neural Networks (CNNs) have also recently gained popularity in the Time Series Classification (TSC) community. However, unlike for image recognition problems, transfer learning techniques have not yet been investigated thoroughly for the TSC task. This is surprising as the accuracy of deep learning models for TSC could potentially be improved if the model is fine-tuned from a pre-trained neural network instead of training it from scratch. In this paper, we fill this gap by investigating how to transfer deep CNNs for the TSC task. To evaluate the potential of transfer learning, we performed extensive experiments using the UCR archive which is the largest publicly available TSC benchmark containing 85 datasets. For each dataset in the archive, we pre-trained a model and then fine-tuned it on the other datasets resulting in 7140 different deep neural networks. These experiments revealed that transfer learning can improve or degrade the models predictions depending on the dataset used for transfer. Therefore, in an effort to predict the best source dataset for a given target dataset, we propose a new method relying on Dynamic Time Warping to measure inter-datasets similarities. We describe how our method can guide the transfer to choose the best source dataset leading to an improvement in accuracy on 71 out of 85 datasets.","container-title":"2018 IEEE International Conference on Big Data (Big Data)","DOI":"10.1109/BigData.2018.8621990","event-title":"2018 IEEE International Conference on Big Data (Big Data)","page":"1367-1376","source":"IEEE Xplore","title":"Transfer learning for time series classification","URL":"https://ieeexplore.ieee.org/document/8621990","author":[{"family":"Ismail Fawaz","given":"Hassan"},{"family":"Forestier","given":"Germain"},{"family":"Weber","given":"Jonathan"},{"family":"Idoumghar","given":"Lhassane"},{"family":"Muller","given":"Pierre-Alain"}],"accessed":{"date-parts":[["2026",5,1]]},"issued":{"date-parts":[["2018",12]]}}}],"schema":"https://github.com/citation-style-language/schema/raw/master/csl-citation.json"} </w:instrText>
      </w:r>
      <w:r w:rsidR="001A2364" w:rsidRPr="00D22B50">
        <w:fldChar w:fldCharType="separate"/>
      </w:r>
      <w:r w:rsidR="001A2364" w:rsidRPr="00D22B50">
        <w:rPr>
          <w:rFonts w:cs="Times New Roman"/>
        </w:rPr>
        <w:t>[15]</w:t>
      </w:r>
      <w:r w:rsidR="001A2364" w:rsidRPr="00D22B50">
        <w:fldChar w:fldCharType="end"/>
      </w:r>
      <w:r w:rsidRPr="00D22B50">
        <w:t xml:space="preserve">. The recurrent structure ensures that the knowledge localization phase (fine-tuning the final linear layer) remains grounded in the basic physics of residential energy cycles—such as the deterministic rise and fall of circadian loads—preventing the catastrophic model drift often seen in unconstrained attention mechanisms during small-sample adaptation. This architectural robustness explains why the LSTM achieved a lower MSE than the </w:t>
      </w:r>
      <w:r w:rsidRPr="00D22B50">
        <w:lastRenderedPageBreak/>
        <w:t xml:space="preserve">Transformer, confirming that for Day-1 deployment in smart grids, architectures with stronger sequential priors provide superior reliability </w:t>
      </w:r>
      <w:r w:rsidR="001A2364" w:rsidRPr="00D22B50">
        <w:fldChar w:fldCharType="begin"/>
      </w:r>
      <w:r w:rsidR="001A2364" w:rsidRPr="00D22B50">
        <w:instrText xml:space="preserve"> ADDIN ZOTERO_ITEM CSL_CITATION {"citationID":"x6lOVwiT","properties":{"formattedCitation":"[9]","plainCitation":"[9]","noteIndex":0},"citationItems":[{"id":557,"uris":["http://zotero.org/users/local/p3tV44H5/items/N4D6A4RG"],"itemData":{"id":557,"type":"article-journal","abstract":"As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1A2364" w:rsidRPr="00D22B50">
        <w:fldChar w:fldCharType="separate"/>
      </w:r>
      <w:r w:rsidR="001A2364" w:rsidRPr="00D22B50">
        <w:rPr>
          <w:rFonts w:cs="Times New Roman"/>
        </w:rPr>
        <w:t>[9]</w:t>
      </w:r>
      <w:r w:rsidR="001A2364" w:rsidRPr="00D22B50">
        <w:fldChar w:fldCharType="end"/>
      </w:r>
      <w:r w:rsidRPr="00D22B50">
        <w:t>.</w:t>
      </w:r>
    </w:p>
    <w:p w14:paraId="2FBD1060" w14:textId="77777777" w:rsidR="00715AB5" w:rsidRPr="00D22B50" w:rsidRDefault="00715AB5" w:rsidP="00715AB5">
      <w:pPr>
        <w:pStyle w:val="2"/>
        <w:rPr>
          <w:rFonts w:hint="eastAsia"/>
        </w:rPr>
      </w:pPr>
      <w:bookmarkStart w:id="96" w:name="_Toc228641344"/>
      <w:r w:rsidRPr="00D22B50">
        <w:t>7.3 The Critical Threshold of Negative Transfer and Optimization</w:t>
      </w:r>
      <w:bookmarkEnd w:id="96"/>
    </w:p>
    <w:p w14:paraId="0329ED8C" w14:textId="0C568D6E" w:rsidR="00715AB5" w:rsidRPr="00D22B50" w:rsidRDefault="00715AB5" w:rsidP="00FD5995">
      <w:pPr>
        <w:pStyle w:val="af5"/>
        <w:spacing w:before="156" w:after="156"/>
      </w:pPr>
      <w:r w:rsidRPr="00D22B50">
        <w:t xml:space="preserve">The empirical documentation of negative transfer in our preliminary Model 1 provides a critical warning for smart grid practitioners. It demonstrates that the conceptual proximity of source and target domains is insufficient to guarantee successful knowledge migration; architectural and parametric alignment is the true determinant of performance </w:t>
      </w:r>
      <w:r w:rsidR="001A2364" w:rsidRPr="00D22B50">
        <w:fldChar w:fldCharType="begin"/>
      </w:r>
      <w:r w:rsidR="001A2364" w:rsidRPr="00D22B50">
        <w:instrText xml:space="preserve"> ADDIN ZOTERO_ITEM CSL_CITATION {"citationID":"F7hW39PJ","properties":{"formattedCitation":"[13]","plainCitation":"[13]","noteIndex":0},"citationItems":[{"id":585,"uris":["http://zotero.org/users/local/p3tV44H5/items/SRPRYVXS"],"itemData":{"id":585,"type":"article-journal","abstract":"A major assumption in many machine learning and data mining algorithms is that the training and future data must be in the same feature space and have the same distribution. However, in many real-world applications, this assumption may not hold. For example, we sometimes have a classification task in one domain of interest, but we only have sufficient training data in another domain of interest, where the latter data may be in a different feature space or follow a different data distribution. In such cases, knowledge transfer, if done successfully, would greatly improve the performance of learning by avoiding much expensive data-labeling efforts. In recent years, transfer learning has emerged as a new learning framework to address this problem. This survey focuses on categorizing and reviewing the current progress on transfer learning for classification, regression, and clustering problems. In this survey, we discuss the relationship between transfer learning and other related machine learning techniques such as domain adaptation, multitask learning and sample selection bias, as well as covariate shift. We also explore some potential future issues in transfer learning research.","container-title":"IEEE Transactions on Knowledge and Data Engineering","DOI":"10.1109/TKDE.2009.191","ISSN":"1558-2191","issue":"10","page":"1345-1359","source":"IEEE Xplore","title":"A Survey on Transfer Learning","volume":"22","author":[{"family":"Pan","given":"Sinno Jialin"},{"family":"Yang","given":"Qiang"}],"issued":{"date-parts":[["2010",10]]}}}],"schema":"https://github.com/citation-style-language/schema/raw/master/csl-citation.json"} </w:instrText>
      </w:r>
      <w:r w:rsidR="001A2364" w:rsidRPr="00D22B50">
        <w:fldChar w:fldCharType="separate"/>
      </w:r>
      <w:r w:rsidR="001A2364" w:rsidRPr="00D22B50">
        <w:rPr>
          <w:rFonts w:cs="Times New Roman"/>
        </w:rPr>
        <w:t>[13]</w:t>
      </w:r>
      <w:r w:rsidR="001A2364" w:rsidRPr="00D22B50">
        <w:fldChar w:fldCharType="end"/>
      </w:r>
      <w:r w:rsidRPr="00D22B50">
        <w:t>. When the weights of Model 1—tuned via traditional manual heuristics—were transferred to the target households, the resulting average MSE was approximately 0.81, which is notably worse than the 0.7080 MSE achieved by the scratch-training baseline. This substantial performance penalty indicates that unoptimized pre-trained weights can actively hinder a model</w:t>
      </w:r>
      <w:r w:rsidR="00BD7543">
        <w:t>’</w:t>
      </w:r>
      <w:r w:rsidRPr="00D22B50">
        <w:t xml:space="preserve">s ability to adapt to new target domains </w:t>
      </w:r>
      <w:r w:rsidR="001A2364" w:rsidRPr="00D22B50">
        <w:fldChar w:fldCharType="begin"/>
      </w:r>
      <w:r w:rsidR="001A2364" w:rsidRPr="00D22B50">
        <w:instrText xml:space="preserve"> ADDIN ZOTERO_ITEM CSL_CITATION {"citationID":"WqW5bOX3","properties":{"formattedCitation":"[11]","plainCitation":"[11]","noteIndex":0},"citationItems":[{"id":595,"uris":["http://zotero.org/users/local/p3tV44H5/items/RYGGA6L8"],"itemData":{"id":595,"type":"article-journal","abstract":"While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1A2364" w:rsidRPr="00D22B50">
        <w:fldChar w:fldCharType="separate"/>
      </w:r>
      <w:r w:rsidR="001A2364" w:rsidRPr="00D22B50">
        <w:rPr>
          <w:rFonts w:cs="Times New Roman"/>
        </w:rPr>
        <w:t>[11]</w:t>
      </w:r>
      <w:r w:rsidR="001A2364" w:rsidRPr="00D22B50">
        <w:fldChar w:fldCharType="end"/>
      </w:r>
      <w:r w:rsidRPr="00D22B50">
        <w:t>.</w:t>
      </w:r>
    </w:p>
    <w:p w14:paraId="7A8ACFF3" w14:textId="77777777" w:rsidR="00715AB5" w:rsidRPr="00D22B50" w:rsidRDefault="00715AB5" w:rsidP="00715AB5">
      <w:pPr>
        <w:pStyle w:val="3"/>
        <w:rPr>
          <w:rFonts w:hint="eastAsia"/>
        </w:rPr>
      </w:pPr>
      <w:bookmarkStart w:id="97" w:name="_Toc228641345"/>
      <w:r w:rsidRPr="00D22B50">
        <w:t>7.3.1 Informative Bias and Source Domain Over-specialization</w:t>
      </w:r>
      <w:bookmarkEnd w:id="97"/>
      <w:r w:rsidRPr="00D22B50">
        <w:t xml:space="preserve"> </w:t>
      </w:r>
    </w:p>
    <w:p w14:paraId="3A58910B" w14:textId="11667D62" w:rsidR="00715AB5" w:rsidRPr="00D22B50" w:rsidRDefault="00715AB5" w:rsidP="00FD5995">
      <w:pPr>
        <w:pStyle w:val="af5"/>
        <w:spacing w:before="156" w:after="156"/>
      </w:pPr>
      <w:r w:rsidRPr="00D22B50">
        <w:t xml:space="preserve">A post-hoc analysis suggests that Model 1 suffered from </w:t>
      </w:r>
      <w:r w:rsidR="00BD7543">
        <w:t>“</w:t>
      </w:r>
      <w:r w:rsidRPr="00D22B50">
        <w:t>informative bias.</w:t>
      </w:r>
      <w:r w:rsidR="00BD7543">
        <w:t>”</w:t>
      </w:r>
      <w:r w:rsidRPr="00D22B50">
        <w:t xml:space="preserve"> Because the manual heuristics were focused solely on minimizing source domain training loss, the network</w:t>
      </w:r>
      <w:r w:rsidR="00BD7543">
        <w:t>’</w:t>
      </w:r>
      <w:r w:rsidRPr="00D22B50">
        <w:t>s internal weights became over-specialized to the idiosyncratic noise of the 100 source households. Instead of learning universal temporal invariants, Model 1 memorized specific behavioral anomalies. When transferred to a new target household, these biased weights imposed an incorrect representational structure that the sparse 10-day local target data could not overcome. This confirms that without deliberate regularization during the pre-training phase, deep neural networks tend to prioritize memorization over generalization, severely compromising their transferability.</w:t>
      </w:r>
    </w:p>
    <w:p w14:paraId="72C135D3" w14:textId="77777777" w:rsidR="00715AB5" w:rsidRPr="00D22B50" w:rsidRDefault="00715AB5" w:rsidP="00715AB5">
      <w:pPr>
        <w:pStyle w:val="3"/>
        <w:rPr>
          <w:rFonts w:hint="eastAsia"/>
        </w:rPr>
      </w:pPr>
      <w:bookmarkStart w:id="98" w:name="_Toc228641346"/>
      <w:r w:rsidRPr="00D22B50">
        <w:t>7.3.2 Bayesian Optimization as a Catalyst for Transferability</w:t>
      </w:r>
      <w:bookmarkEnd w:id="98"/>
      <w:r w:rsidRPr="00D22B50">
        <w:t xml:space="preserve"> </w:t>
      </w:r>
    </w:p>
    <w:p w14:paraId="793ACFE4" w14:textId="03344607" w:rsidR="00715AB5" w:rsidRPr="00D22B50" w:rsidRDefault="00715AB5" w:rsidP="00FD5995">
      <w:pPr>
        <w:pStyle w:val="af5"/>
        <w:spacing w:before="156" w:after="156"/>
      </w:pPr>
      <w:r w:rsidRPr="00D22B50">
        <w:t xml:space="preserve">The successful implementation of Model 2 via the </w:t>
      </w:r>
      <w:proofErr w:type="spellStart"/>
      <w:r w:rsidRPr="00D22B50">
        <w:t>Optuna</w:t>
      </w:r>
      <w:proofErr w:type="spellEnd"/>
      <w:r w:rsidRPr="00D22B50">
        <w:t xml:space="preserve"> framework represents a technical necessity for ensuring the robustness of neural representations</w:t>
      </w:r>
      <w:r w:rsidR="001A2364" w:rsidRPr="00D22B50">
        <w:rPr>
          <w:rFonts w:eastAsiaTheme="minorEastAsia" w:hint="eastAsia"/>
        </w:rPr>
        <w:t xml:space="preserve"> </w:t>
      </w:r>
      <w:r w:rsidR="001A2364" w:rsidRPr="00D22B50">
        <w:rPr>
          <w:rFonts w:eastAsiaTheme="minorEastAsia"/>
        </w:rPr>
        <w:fldChar w:fldCharType="begin"/>
      </w:r>
      <w:r w:rsidR="001A2364" w:rsidRPr="00D22B50">
        <w:rPr>
          <w:rFonts w:eastAsiaTheme="minorEastAsia"/>
        </w:rPr>
        <w:instrText xml:space="preserve"> ADDIN ZOTERO_ITEM CSL_CITATION {"citationID":"9N95fS0k","properties":{"formattedCitation":"[16]","plainCitation":"[16]","noteIndex":0},"citationItems":[{"id":575,"uris":["http://zotero.org/users/local/p3tV44H5/items/KGFYWMJL"],"itemData":{"id":575,"type":"paper-conference","abstract":"The purpose of this study is to introduce new design-criteria for next-generation hyperparameter optimization software. The criteria we propose include (1) define-by-run API that allows users to construct the parameter search space dynamically, (2) efficient implementation of both searching and pruning strategies, and (3) easy-to-setup, versatile architecture that can be deployed for various purposes, ranging from scalable distributed computing to light-weight experiment conducted via interactive interface. In order to prove our point, we will introduce Optuna, an optimization software which is a culmination of our effort in the development of a next generation optimization software. As an optimization software designed with define-by-run principle, Optuna is particularly the first of its kind. We will present the design-techniques that became necessary in the development of the software that meets the above criteria, and demonstrate the power of our new design through experimental results and real world applications. Our software is available under the MIT license (https://github.com/pfnet/optuna/).","collection-title":"KDD '19","container-title":"Proceedings of the 25th ACM SIGKDD International Conference on Knowledge Discovery &amp; Data Mining","DOI":"10.1145/3292500.3330701","ISBN":"978-1-4503-6201-6","page":"2623–2631","publisher":"Association for Computing Machinery","publisher-place":"New York, NY, USA","source":"ACM Digital Library","title":"Optuna: A Next-generation Hyperparameter Optimization Framework","title-short":"Optuna","URL":"https://dl.acm.org/doi/10.1145/3292500.3330701","author":[{"family":"Akiba","given":"Takuya"},{"family":"Sano","given":"Shotaro"},{"family":"Yanase","given":"Toshihiko"},{"family":"Ohta","given":"Takeru"},{"family":"Koyama","given":"Masanori"}],"accessed":{"date-parts":[["2026",5,1]]},"issued":{"date-parts":[["2019",7,25]]}}}],"schema":"https://github.com/citation-style-language/schema/raw/master/csl-citation.json"} </w:instrText>
      </w:r>
      <w:r w:rsidR="001A2364" w:rsidRPr="00D22B50">
        <w:rPr>
          <w:rFonts w:eastAsiaTheme="minorEastAsia"/>
        </w:rPr>
        <w:fldChar w:fldCharType="separate"/>
      </w:r>
      <w:r w:rsidR="001A2364" w:rsidRPr="00D22B50">
        <w:rPr>
          <w:rFonts w:eastAsiaTheme="minorEastAsia" w:cs="Times New Roman"/>
        </w:rPr>
        <w:t>[16]</w:t>
      </w:r>
      <w:r w:rsidR="001A2364" w:rsidRPr="00D22B50">
        <w:rPr>
          <w:rFonts w:eastAsiaTheme="minorEastAsia"/>
        </w:rPr>
        <w:fldChar w:fldCharType="end"/>
      </w:r>
      <w:r w:rsidRPr="00D22B50">
        <w:t xml:space="preserve">. By utilizing the Tree-structured </w:t>
      </w:r>
      <w:proofErr w:type="spellStart"/>
      <w:r w:rsidRPr="00D22B50">
        <w:t>Parzen</w:t>
      </w:r>
      <w:proofErr w:type="spellEnd"/>
      <w:r w:rsidRPr="00D22B50">
        <w:t xml:space="preserve"> Estimator (TPE) algorithm for systematic Bayesian optimization, the system explored the high-dimensional hyperparameter space to identify a flatter minimum in the loss landscape. Specifically, the optimization history revealed that a significantly lower learning rate and a tailored dropout configuration were necessary for the source model to maintain parameter generality.</w:t>
      </w:r>
    </w:p>
    <w:p w14:paraId="604661ED" w14:textId="569FA1A9" w:rsidR="00715AB5" w:rsidRPr="00D22B50" w:rsidRDefault="00715AB5" w:rsidP="00FD5995">
      <w:pPr>
        <w:pStyle w:val="af5"/>
        <w:spacing w:before="156" w:after="156"/>
      </w:pPr>
      <w:r w:rsidRPr="00D22B50">
        <w:t xml:space="preserve">This automated hyperparameter alignment transformed the initial negative transfer into a substantial forecasting gain, ultimately enabling the optimized LSTM to achieve an MSE of 0.4849. This dramatic shift from a performance penalty to a definitive advantage confirms that systematic Bayesian optimization is not merely a refinement step, but a fundamental prerequisite for robust knowledge migration in complex energy </w:t>
      </w:r>
      <w:r w:rsidRPr="00D22B50">
        <w:lastRenderedPageBreak/>
        <w:t xml:space="preserve">systems </w:t>
      </w:r>
      <w:r w:rsidR="001A2364" w:rsidRPr="00D22B50">
        <w:fldChar w:fldCharType="begin"/>
      </w:r>
      <w:r w:rsidR="001A2364" w:rsidRPr="00D22B50">
        <w:instrText xml:space="preserve"> ADDIN ZOTERO_ITEM CSL_CITATION {"citationID":"nV4uFadd","properties":{"formattedCitation":"[16]","plainCitation":"[16]","noteIndex":0},"citationItems":[{"id":575,"uris":["http://zotero.org/users/local/p3tV44H5/items/KGFYWMJL"],"itemData":{"id":575,"type":"paper-conference","abstract":"The purpose of this study is to introduce new design-criteria for next-generation hyperparameter optimization software. The criteria we propose include (1) define-by-run API that allows users to construct the parameter search space dynamically, (2) efficient implementation of both searching and pruning strategies, and (3) easy-to-setup, versatile architecture that can be deployed for various purposes, ranging from scalable distributed computing to light-weight experiment conducted via interactive interface. In order to prove our point, we will introduce Optuna, an optimization software which is a culmination of our effort in the development of a next generation optimization software. As an optimization software designed with define-by-run principle, Optuna is particularly the first of its kind. We will present the design-techniques that became necessary in the development of the software that meets the above criteria, and demonstrate the power of our new design through experimental results and real world applications. Our software is available under the MIT license (https://github.com/pfnet/optuna/).","collection-title":"KDD '19","container-title":"Proceedings of the 25th ACM SIGKDD International Conference on Knowledge Discovery &amp; Data Mining","DOI":"10.1145/3292500.3330701","ISBN":"978-1-4503-6201-6","page":"2623–2631","publisher":"Association for Computing Machinery","publisher-place":"New York, NY, USA","source":"ACM Digital Library","title":"Optuna: A Next-generation Hyperparameter Optimization Framework","title-short":"Optuna","URL":"https://dl.acm.org/doi/10.1145/3292500.3330701","author":[{"family":"Akiba","given":"Takuya"},{"family":"Sano","given":"Shotaro"},{"family":"Yanase","given":"Toshihiko"},{"family":"Ohta","given":"Takeru"},{"family":"Koyama","given":"Masanori"}],"accessed":{"date-parts":[["2026",5,1]]},"issued":{"date-parts":[["2019",7,25]]}}}],"schema":"https://github.com/citation-style-language/schema/raw/master/csl-citation.json"} </w:instrText>
      </w:r>
      <w:r w:rsidR="001A2364" w:rsidRPr="00D22B50">
        <w:fldChar w:fldCharType="separate"/>
      </w:r>
      <w:r w:rsidR="001A2364" w:rsidRPr="00D22B50">
        <w:rPr>
          <w:rFonts w:cs="Times New Roman"/>
        </w:rPr>
        <w:t>[16]</w:t>
      </w:r>
      <w:r w:rsidR="001A2364" w:rsidRPr="00D22B50">
        <w:fldChar w:fldCharType="end"/>
      </w:r>
      <w:r w:rsidRPr="00D22B50">
        <w:t>.</w:t>
      </w:r>
    </w:p>
    <w:p w14:paraId="0727A3EF" w14:textId="77777777" w:rsidR="00715AB5" w:rsidRPr="00D22B50" w:rsidRDefault="00715AB5" w:rsidP="00715AB5">
      <w:pPr>
        <w:pStyle w:val="2"/>
        <w:rPr>
          <w:rFonts w:hint="eastAsia"/>
        </w:rPr>
      </w:pPr>
      <w:bookmarkStart w:id="99" w:name="_Toc228641347"/>
      <w:r w:rsidRPr="00D22B50">
        <w:t>7.4 Implications for Smart Grid Reliability and Service Deployment</w:t>
      </w:r>
      <w:bookmarkEnd w:id="99"/>
    </w:p>
    <w:p w14:paraId="16C8AB58" w14:textId="5B6EE7AA" w:rsidR="00715AB5" w:rsidRPr="00D22B50" w:rsidRDefault="00715AB5" w:rsidP="00FD5995">
      <w:pPr>
        <w:pStyle w:val="af5"/>
        <w:spacing w:before="156" w:after="156"/>
      </w:pPr>
      <w:r w:rsidRPr="00D22B50">
        <w:t xml:space="preserve">The practical value of the proposed framework extends beyond average accuracy improvements, offering significant implications for the operational reliability of modern smart grids. By bridging the </w:t>
      </w:r>
      <w:r w:rsidR="00BD7543">
        <w:t>“</w:t>
      </w:r>
      <w:r w:rsidRPr="00D22B50">
        <w:t>value-void</w:t>
      </w:r>
      <w:r w:rsidR="00BD7543">
        <w:t>”</w:t>
      </w:r>
      <w:r w:rsidRPr="00D22B50">
        <w:t xml:space="preserve"> of the initial 10-day cold-start period, this methodology enables the immediate deployment of data-driven services for new participants.</w:t>
      </w:r>
    </w:p>
    <w:p w14:paraId="2B620631" w14:textId="4D5600A9" w:rsidR="00715AB5" w:rsidRPr="00D22B50" w:rsidRDefault="00715AB5" w:rsidP="00715AB5">
      <w:pPr>
        <w:pStyle w:val="3"/>
        <w:rPr>
          <w:rFonts w:hint="eastAsia"/>
        </w:rPr>
      </w:pPr>
      <w:bookmarkStart w:id="100" w:name="_Toc228641348"/>
      <w:r w:rsidRPr="00D22B50">
        <w:t xml:space="preserve">7.4.1 The </w:t>
      </w:r>
      <w:r w:rsidR="00BD7543">
        <w:t>“</w:t>
      </w:r>
      <w:r w:rsidRPr="00D22B50">
        <w:t>Variance Compressor</w:t>
      </w:r>
      <w:r w:rsidR="00BD7543">
        <w:t>”</w:t>
      </w:r>
      <w:r w:rsidRPr="00D22B50">
        <w:t xml:space="preserve"> Effect and Risk Mitigation</w:t>
      </w:r>
      <w:bookmarkEnd w:id="100"/>
      <w:r w:rsidRPr="00D22B50">
        <w:t xml:space="preserve"> </w:t>
      </w:r>
    </w:p>
    <w:p w14:paraId="6A945A9E" w14:textId="3356C2D4" w:rsidR="00715AB5" w:rsidRPr="00D22B50" w:rsidRDefault="00715AB5" w:rsidP="00FD5995">
      <w:pPr>
        <w:pStyle w:val="af5"/>
        <w:spacing w:before="156" w:after="156"/>
      </w:pPr>
      <w:r w:rsidRPr="00D22B50">
        <w:t xml:space="preserve">A critical observation from the batch evaluation of the 30 test households is the significant reduction in error variance. While the scratch-training approach exhibited volatile performance across different users, the optimized LSTM fine-tuning strategy acted as a </w:t>
      </w:r>
      <w:r w:rsidR="00BD7543">
        <w:t>“</w:t>
      </w:r>
      <w:r w:rsidRPr="00D22B50">
        <w:t>variance compressor,</w:t>
      </w:r>
      <w:r w:rsidR="00BD7543">
        <w:t>”</w:t>
      </w:r>
      <w:r w:rsidRPr="00D22B50">
        <w:t xml:space="preserve"> providing a more consistent level of service quality regardless of individual behavioral stochasticity. For utility operators, mitigating </w:t>
      </w:r>
      <w:r w:rsidR="00BD7543">
        <w:t>“</w:t>
      </w:r>
      <w:r w:rsidRPr="00D22B50">
        <w:t>tail risk</w:t>
      </w:r>
      <w:r w:rsidR="00BD7543">
        <w:t>”</w:t>
      </w:r>
      <w:r w:rsidRPr="00D22B50">
        <w:t xml:space="preserve">—the occurrence of extreme forecasting failures—is often more vital than marginal gains in mean accuracy </w:t>
      </w:r>
      <w:r w:rsidR="001A2364" w:rsidRPr="00D22B50">
        <w:fldChar w:fldCharType="begin"/>
      </w:r>
      <w:r w:rsidR="001A2364" w:rsidRPr="00D22B50">
        <w:instrText xml:space="preserve"> ADDIN ZOTERO_ITEM CSL_CITATION {"citationID":"kZKLWlsI","properties":{"formattedCitation":"[4]","plainCitation":"[4]","noteIndex":0},"citationItems":[{"id":567,"uris":["http://zotero.org/users/local/p3tV44H5/items/J38MU6UU"],"itemData":{"id":567,"type":"article-journal","abstract":"The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1A2364" w:rsidRPr="00D22B50">
        <w:fldChar w:fldCharType="separate"/>
      </w:r>
      <w:r w:rsidR="001A2364" w:rsidRPr="00D22B50">
        <w:rPr>
          <w:rFonts w:cs="Times New Roman"/>
        </w:rPr>
        <w:t>[4]</w:t>
      </w:r>
      <w:r w:rsidR="001A2364" w:rsidRPr="00D22B50">
        <w:fldChar w:fldCharType="end"/>
      </w:r>
      <w:r w:rsidRPr="00D22B50">
        <w:t xml:space="preserve">. Reliable forecasts at the grid edge are essential for localized transformer load balancing and the prevention of voltage instability caused by unpredictable residential surges </w:t>
      </w:r>
      <w:r w:rsidR="001A2364" w:rsidRPr="00D22B50">
        <w:fldChar w:fldCharType="begin"/>
      </w:r>
      <w:r w:rsidR="001A2364" w:rsidRPr="00D22B50">
        <w:instrText xml:space="preserve"> ADDIN ZOTERO_ITEM CSL_CITATION {"citationID":"eh3y6DrM","properties":{"formattedCitation":"[1]","plainCitation":"[1]","noteIndex":0},"citationItems":[{"id":539,"uris":["http://zotero.org/users/local/p3tV44H5/items/HWZLV4UQ"],"itemData":{"id":539,"type":"article-journal","abstract":"Accurate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schema":"https://github.com/citation-style-language/schema/raw/master/csl-citation.json"} </w:instrText>
      </w:r>
      <w:r w:rsidR="001A2364" w:rsidRPr="00D22B50">
        <w:fldChar w:fldCharType="separate"/>
      </w:r>
      <w:r w:rsidR="001A2364" w:rsidRPr="00D22B50">
        <w:rPr>
          <w:rFonts w:cs="Times New Roman"/>
        </w:rPr>
        <w:t>[1]</w:t>
      </w:r>
      <w:r w:rsidR="001A2364" w:rsidRPr="00D22B50">
        <w:fldChar w:fldCharType="end"/>
      </w:r>
      <w:r w:rsidRPr="00D22B50">
        <w:t xml:space="preserve">. By providing a stabilized forecasting floor from </w:t>
      </w:r>
      <w:r w:rsidR="00BD7543">
        <w:t>“</w:t>
      </w:r>
      <w:r w:rsidRPr="00D22B50">
        <w:t>Day 1,</w:t>
      </w:r>
      <w:r w:rsidR="00BD7543">
        <w:t>”</w:t>
      </w:r>
      <w:r w:rsidRPr="00D22B50">
        <w:t xml:space="preserve"> this framework ensures that new smart meter installations do not compromise the collective stability of the distribution network </w:t>
      </w:r>
      <w:r w:rsidR="001A2364" w:rsidRPr="00D22B50">
        <w:fldChar w:fldCharType="begin"/>
      </w:r>
      <w:r w:rsidR="001A2364" w:rsidRPr="00D22B50">
        <w:instrText xml:space="preserve"> ADDIN ZOTERO_ITEM CSL_CITATION {"citationID":"uOZTj1pY","properties":{"formattedCitation":"[9]","plainCitation":"[9]","noteIndex":0},"citationItems":[{"id":557,"uris":["http://zotero.org/users/local/p3tV44H5/items/N4D6A4RG"],"itemData":{"id":557,"type":"article-journal","abstract":"As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sidR="001A2364" w:rsidRPr="00D22B50">
        <w:fldChar w:fldCharType="separate"/>
      </w:r>
      <w:r w:rsidR="001A2364" w:rsidRPr="00D22B50">
        <w:rPr>
          <w:rFonts w:cs="Times New Roman"/>
        </w:rPr>
        <w:t>[9]</w:t>
      </w:r>
      <w:r w:rsidR="001A2364" w:rsidRPr="00D22B50">
        <w:fldChar w:fldCharType="end"/>
      </w:r>
      <w:r w:rsidRPr="00D22B50">
        <w:t>.</w:t>
      </w:r>
    </w:p>
    <w:p w14:paraId="586550EA" w14:textId="77777777" w:rsidR="00715AB5" w:rsidRPr="00D22B50" w:rsidRDefault="00715AB5" w:rsidP="00715AB5">
      <w:pPr>
        <w:pStyle w:val="3"/>
        <w:rPr>
          <w:rFonts w:hint="eastAsia"/>
        </w:rPr>
      </w:pPr>
      <w:bookmarkStart w:id="101" w:name="_Toc228641349"/>
      <w:r w:rsidRPr="00D22B50">
        <w:t>7.4.2 Interpreting the MAPE Anomaly and Scaling Artifacts</w:t>
      </w:r>
      <w:bookmarkEnd w:id="101"/>
      <w:r w:rsidRPr="00D22B50">
        <w:t xml:space="preserve"> </w:t>
      </w:r>
    </w:p>
    <w:p w14:paraId="41DE01F7" w14:textId="2BF04300" w:rsidR="00715AB5" w:rsidRPr="00D22B50" w:rsidRDefault="00715AB5" w:rsidP="00FD5995">
      <w:pPr>
        <w:pStyle w:val="af5"/>
        <w:spacing w:before="156" w:after="156"/>
      </w:pPr>
      <w:r w:rsidRPr="00D22B50">
        <w:t xml:space="preserve">Despite the clear superiority of the transfer learning approach in MSE and RMSE metrics, the persistently high Mean Absolute Percentage Error (MAPE) values (e.g., 285.80%) require rigorous scholarly interpretation. As observed in high-resolution residential load studies, this is primarily a mathematical artifact induced by Z-score normalization </w:t>
      </w:r>
      <w:r w:rsidR="001A2364" w:rsidRPr="00D22B50">
        <w:fldChar w:fldCharType="begin"/>
      </w:r>
      <w:r w:rsidR="001A2364" w:rsidRPr="00D22B50">
        <w:instrText xml:space="preserve"> ADDIN ZOTERO_ITEM CSL_CITATION {"citationID":"g5mU6ix0","properties":{"formattedCitation":"[37]","plainCitation":"[37]","noteIndex":0},"citationItems":[{"id":570,"uris":["http://zotero.org/users/local/p3tV44H5/items/2VCBRUTA"],"itemData":{"id":570,"type":"article-journal","abstract":"Load forecasting has been a fundamental business problem since the inception of the electric power industry. Over the past 100 plus years, both research efforts and industry practices in this area have focused primarily on point load forecasting. In the most recent decade, though, the increased market competition, aging infrastructure and renewable integration requirements mean that probabilistic load forecasting has become more and more important to energy systems planning and operations. This paper offers a tutorial review of probabilistic electric load forecasting, including notable techniques, methodologies and evaluation methods, and common misunderstandings. We also underline the need to invest in additional research, such as reproducible case studies, probabilistic load forecast evaluation and valuation, and a consideration of emerging technologies and energy policies in the probabilistic load forecasting process.","container-title":"International Journal of Forecasting","DOI":"10.1016/j.ijforecast.2015.11.011","ISSN":"01692070","issue":"3","journalAbbreviation":"International Journal of Forecasting","language":"en","page":"914-938","source":"DOI.org (Crossref)","title":"Probabilistic electric load forecasting: A tutorial review","title-short":"Probabilistic electric load forecasting","volume":"32","author":[{"family":"Hong","given":"Tao"},{"family":"Fan","given":"Shu"}],"issued":{"date-parts":[["2016",7]]}}}],"schema":"https://github.com/citation-style-language/schema/raw/master/csl-citation.json"} </w:instrText>
      </w:r>
      <w:r w:rsidR="001A2364" w:rsidRPr="00D22B50">
        <w:fldChar w:fldCharType="separate"/>
      </w:r>
      <w:r w:rsidR="001A2364" w:rsidRPr="00D22B50">
        <w:rPr>
          <w:rFonts w:cs="Times New Roman"/>
        </w:rPr>
        <w:t>[37]</w:t>
      </w:r>
      <w:r w:rsidR="001A2364" w:rsidRPr="00D22B50">
        <w:fldChar w:fldCharType="end"/>
      </w:r>
      <w:r w:rsidRPr="00D22B50">
        <w:t>. In the standardized feature space, consumption values are centered around zero. During base-load periods (such as late-night intervals), the actual value in the denominator of the MAPE formula approaches zero, causing the percentage error to inflate toward infinity even when the absolute kilowatt deviation is negligible.</w:t>
      </w:r>
    </w:p>
    <w:p w14:paraId="7CFE3C37" w14:textId="7FCB3FB1" w:rsidR="00715AB5" w:rsidRPr="00D22B50" w:rsidRDefault="00715AB5" w:rsidP="00FD5995">
      <w:pPr>
        <w:pStyle w:val="af5"/>
        <w:spacing w:before="156" w:after="156"/>
      </w:pPr>
      <w:r w:rsidRPr="00D22B50">
        <w:t xml:space="preserve">However, the relative reduction of MAPE from 355.01% (Scratch) to 285.80% (LSTM Fine-tuning) remains a highly valid statistical proxy for performance gain. This improvement aligns with the gains observed in more numerically stable metrics and confirms that the model is successfully internalizing the </w:t>
      </w:r>
      <w:r w:rsidR="00BD7543">
        <w:t>“</w:t>
      </w:r>
      <w:r w:rsidRPr="00D22B50">
        <w:t>energy fingerprint</w:t>
      </w:r>
      <w:r w:rsidR="00BD7543">
        <w:t>”</w:t>
      </w:r>
      <w:r w:rsidRPr="00D22B50">
        <w:t xml:space="preserve"> of the household </w:t>
      </w:r>
      <w:r w:rsidR="001A2364" w:rsidRPr="00D22B50">
        <w:fldChar w:fldCharType="begin"/>
      </w:r>
      <w:r w:rsidR="001A2364" w:rsidRPr="00D22B50">
        <w:instrText xml:space="preserve"> ADDIN ZOTERO_ITEM CSL_CITATION {"citationID":"O95Meiol","properties":{"formattedCitation":"[22]","plainCitation":"[22]","noteIndex":0},"citationItems":[{"id":582,"uris":["http://zotero.org/users/local/p3tV44H5/items/ZEP5S279"],"itemData":{"id":582,"type":"article-journal","abstract":"The key challenge for household load forecasting lies in the high volatility and uncertainty of load profiles. Traditional methods tend to avoid such uncertainty by load aggregation (to offset uncertainties), customer classification (to cluster uncertainties) and spectral analysis (to filter out uncertainties). This paper, for the first time, aims to directly learn the uncertainty by applying a new breed of machine learning algorithms – deep learning.","container-title":"IEEE Transactions on Smart Grid","DOI":"10.1109/TSG.2017.2686012","ISSN":"1949-3053, 1949-3061","issue":"5","journalAbbreviation":"IEEE Trans. Smart Grid","language":"en","license":"https://ieeexplore.ieee.org/Xplorehelp/downloads/license-information/IEEE.html","page":"5271-5280","source":"DOI.org (Crossref)","title":"Deep Learning for Household Load Forecasting—A Novel Pooling Deep RNN","volume":"9","author":[{"family":"Shi","given":"Heng"},{"family":"Xu","given":"Minghao"},{"family":"Li","given":"Ran"}],"issued":{"date-parts":[["2018",9]]}}}],"schema":"https://github.com/citation-style-language/schema/raw/master/csl-citation.json"} </w:instrText>
      </w:r>
      <w:r w:rsidR="001A2364" w:rsidRPr="00D22B50">
        <w:fldChar w:fldCharType="separate"/>
      </w:r>
      <w:r w:rsidR="001A2364" w:rsidRPr="00D22B50">
        <w:rPr>
          <w:rFonts w:cs="Times New Roman"/>
        </w:rPr>
        <w:t>[22]</w:t>
      </w:r>
      <w:r w:rsidR="001A2364" w:rsidRPr="00D22B50">
        <w:fldChar w:fldCharType="end"/>
      </w:r>
      <w:r w:rsidRPr="00D22B50">
        <w:t>. For practical application, these results suggest that while percentage-based metrics provide a sense of relative improvement, absolute error metrics in the original scale should remain the primary benchmarks for physical grid engineering.</w:t>
      </w:r>
    </w:p>
    <w:p w14:paraId="405901DE" w14:textId="77777777" w:rsidR="00715AB5" w:rsidRPr="00D22B50" w:rsidRDefault="00715AB5" w:rsidP="00715AB5">
      <w:pPr>
        <w:pStyle w:val="3"/>
        <w:rPr>
          <w:rFonts w:hint="eastAsia"/>
        </w:rPr>
      </w:pPr>
      <w:bookmarkStart w:id="102" w:name="_Toc228641350"/>
      <w:r w:rsidRPr="00D22B50">
        <w:lastRenderedPageBreak/>
        <w:t>7.4.3 Accelerating the ROI of Smart Metering Infrastructure</w:t>
      </w:r>
      <w:bookmarkEnd w:id="102"/>
      <w:r w:rsidRPr="00D22B50">
        <w:t xml:space="preserve"> </w:t>
      </w:r>
    </w:p>
    <w:p w14:paraId="774F41CB" w14:textId="43B702E8" w:rsidR="002C44EF" w:rsidRPr="00D22B50" w:rsidRDefault="00715AB5" w:rsidP="00FD5995">
      <w:pPr>
        <w:pStyle w:val="af5"/>
        <w:spacing w:before="156" w:after="156"/>
      </w:pPr>
      <w:r w:rsidRPr="00D22B50">
        <w:t xml:space="preserve">The ability to generate high-precision forecasts without a lengthy </w:t>
      </w:r>
      <w:r w:rsidR="00BD7543">
        <w:t>“</w:t>
      </w:r>
      <w:r w:rsidRPr="00D22B50">
        <w:t>burn-in</w:t>
      </w:r>
      <w:r w:rsidR="00BD7543">
        <w:t>”</w:t>
      </w:r>
      <w:r w:rsidRPr="00D22B50">
        <w:t xml:space="preserve"> period of data accumulation significantly enhances the Return on Investment (ROI) for Advanced Metering Infrastructure </w:t>
      </w:r>
      <w:r w:rsidR="001A2364" w:rsidRPr="00D22B50">
        <w:fldChar w:fldCharType="begin"/>
      </w:r>
      <w:r w:rsidR="001A2364" w:rsidRPr="00D22B50">
        <w:instrText xml:space="preserve"> ADDIN ZOTERO_ITEM CSL_CITATION {"citationID":"bimmU1xu","properties":{"formattedCitation":"[4]","plainCitation":"[4]","noteIndex":0},"citationItems":[{"id":567,"uris":["http://zotero.org/users/local/p3tV44H5/items/J38MU6UU"],"itemData":{"id":567,"type":"article-journal","abstract":"The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1A2364" w:rsidRPr="00D22B50">
        <w:fldChar w:fldCharType="separate"/>
      </w:r>
      <w:r w:rsidR="001A2364" w:rsidRPr="00D22B50">
        <w:rPr>
          <w:rFonts w:cs="Times New Roman"/>
        </w:rPr>
        <w:t>[4]</w:t>
      </w:r>
      <w:r w:rsidR="001A2364" w:rsidRPr="00D22B50">
        <w:fldChar w:fldCharType="end"/>
      </w:r>
      <w:r w:rsidRPr="00D22B50">
        <w:t xml:space="preserve">. Typically, smart grid services such as dynamic pricing and personalized demand-side management are delayed by months until sufficient history is gathered. Our results prove that by leveraging the </w:t>
      </w:r>
      <w:r w:rsidR="00BD7543">
        <w:t>“</w:t>
      </w:r>
      <w:r w:rsidRPr="00D22B50">
        <w:t>Inductive Bias</w:t>
      </w:r>
      <w:r w:rsidR="00BD7543">
        <w:t>”</w:t>
      </w:r>
      <w:r w:rsidRPr="00D22B50">
        <w:t xml:space="preserve"> of pre-trained LSTMs, operators can bypass this data-accumulation phase, enabling the full suite of smart grid functionalities immediately upon meter commissioning </w:t>
      </w:r>
      <w:r w:rsidR="001A2364" w:rsidRPr="00D22B50">
        <w:fldChar w:fldCharType="begin"/>
      </w:r>
      <w:r w:rsidR="001A2364" w:rsidRPr="00D22B50">
        <w:instrText xml:space="preserve"> ADDIN ZOTERO_ITEM CSL_CITATION {"citationID":"xF6earEx","properties":{"formattedCitation":"[4]","plainCitation":"[4]","noteIndex":0},"citationItems":[{"id":567,"uris":["http://zotero.org/users/local/p3tV44H5/items/J38MU6UU"],"itemData":{"id":567,"type":"article-journal","abstract":"The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sidR="001A2364" w:rsidRPr="00D22B50">
        <w:fldChar w:fldCharType="separate"/>
      </w:r>
      <w:r w:rsidR="001A2364" w:rsidRPr="00D22B50">
        <w:rPr>
          <w:rFonts w:cs="Times New Roman"/>
        </w:rPr>
        <w:t>[4]</w:t>
      </w:r>
      <w:r w:rsidR="001A2364" w:rsidRPr="00D22B50">
        <w:fldChar w:fldCharType="end"/>
      </w:r>
      <w:r w:rsidRPr="00D22B50">
        <w:t>. This acceleration is a key catalyst for the broader adoption of sustainable energy management technologies in residential sectors.</w:t>
      </w:r>
    </w:p>
    <w:p w14:paraId="6ECEB20E" w14:textId="77777777" w:rsidR="00715AB5" w:rsidRPr="00D22B50" w:rsidRDefault="00715AB5" w:rsidP="00715AB5">
      <w:pPr>
        <w:pStyle w:val="1"/>
        <w:rPr>
          <w:rFonts w:hint="eastAsia"/>
        </w:rPr>
      </w:pPr>
      <w:bookmarkStart w:id="103" w:name="_Toc228641351"/>
      <w:r w:rsidRPr="00D22B50">
        <w:t>8</w:t>
      </w:r>
      <w:r w:rsidRPr="00D22B50">
        <w:rPr>
          <w:rFonts w:hint="eastAsia"/>
        </w:rPr>
        <w:t>.</w:t>
      </w:r>
      <w:r w:rsidRPr="00D22B50">
        <w:t>Conclusion and Future Work</w:t>
      </w:r>
      <w:bookmarkEnd w:id="103"/>
    </w:p>
    <w:p w14:paraId="0A91BCFF" w14:textId="77777777" w:rsidR="00715AB5" w:rsidRPr="00D22B50" w:rsidRDefault="00715AB5" w:rsidP="00715AB5">
      <w:pPr>
        <w:pStyle w:val="2"/>
        <w:rPr>
          <w:rFonts w:hint="eastAsia"/>
        </w:rPr>
      </w:pPr>
      <w:bookmarkStart w:id="104" w:name="_Toc228641352"/>
      <w:r w:rsidRPr="00D22B50">
        <w:t>8.1 Summary of Contributions</w:t>
      </w:r>
      <w:bookmarkEnd w:id="104"/>
      <w:r w:rsidRPr="00D22B50">
        <w:t xml:space="preserve"> </w:t>
      </w:r>
    </w:p>
    <w:p w14:paraId="140C4A7F" w14:textId="688FAB56" w:rsidR="00715AB5" w:rsidRPr="00D22B50" w:rsidRDefault="00715AB5" w:rsidP="00FD5995">
      <w:pPr>
        <w:pStyle w:val="af5"/>
        <w:spacing w:before="156" w:after="156"/>
      </w:pPr>
      <w:r w:rsidRPr="00D22B50">
        <w:t xml:space="preserve">The integration of Advanced Metering Infrastructure (AMI) into modern smart grids has fundamentally transformed demand-side management. However, the operational </w:t>
      </w:r>
      <w:r w:rsidR="00BD7543">
        <w:t>“</w:t>
      </w:r>
      <w:r w:rsidRPr="00D22B50">
        <w:t>value-void</w:t>
      </w:r>
      <w:r w:rsidR="00BD7543">
        <w:t>”</w:t>
      </w:r>
      <w:r w:rsidRPr="00D22B50">
        <w:t xml:space="preserve"> caused by the data scarcity of newly commissioned smart meters—known as the cold-start problem—remains a critical bottleneck </w:t>
      </w:r>
      <w:r w:rsidR="001A2364" w:rsidRPr="00D22B50">
        <w:fldChar w:fldCharType="begin"/>
      </w:r>
      <w:r w:rsidR="001A2364" w:rsidRPr="00D22B50">
        <w:instrText xml:space="preserve"> ADDIN ZOTERO_ITEM CSL_CITATION {"citationID":"A5QETvT9","properties":{"formattedCitation":"[11]","plainCitation":"[11]","noteIndex":0},"citationItems":[{"id":595,"uris":["http://zotero.org/users/local/p3tV44H5/items/RYGGA6L8"],"itemData":{"id":595,"type":"article-journal","abstract":"While the general belief is that the best way to predict electric load is through individualized models, the existing studies have focused on one-for-all models because the individual models are difficult to train and require a significantly larger data accumulation time per individual. In recent years, applying deep learning for forecasting electric load has become an important research topic but still one-for-all has been the main approach. In this work, we adopt transfer learning and meta learning that can be smoothly integrated into deep neural networks, and show how a high-performance individualized model can be formed using the individual's data collected over just several days. This is made possible by extracting the common patterns of many individuals using a sufficiently large dataset, and then customizing each individual model using the specific individual's small dataset. The proposed methods are evaluated over residential and non-residential datasets. When compared to the conventional methods, the meta learning model shows 7.84% and 15.07% RMSE improvements over the residential and non-residential datasets, respectively. Our results suggest that the individualized models can be used as effective tools for many short-term load forecasting tasks.","container-title":"IEEE Access","DOI":"10.1109/ACCESS.2021.3053317","ISSN":"2169-3536","page":"15413-15425","source":"IEEE Xplore","title":"Individualized Short-Term Electric Load Forecasting With Deep Neural Network Based Transfer Learning and Meta Learning","volume":"9","author":[{"family":"Lee","given":"Eunjung"},{"family":"Rhee","given":"Wonjong"}],"issued":{"date-parts":[["2021"]]}}}],"schema":"https://github.com/citation-style-language/schema/raw/master/csl-citation.json"} </w:instrText>
      </w:r>
      <w:r w:rsidR="001A2364" w:rsidRPr="00D22B50">
        <w:fldChar w:fldCharType="separate"/>
      </w:r>
      <w:r w:rsidR="001A2364" w:rsidRPr="00D22B50">
        <w:rPr>
          <w:rFonts w:cs="Times New Roman"/>
        </w:rPr>
        <w:t>[11]</w:t>
      </w:r>
      <w:r w:rsidR="001A2364" w:rsidRPr="00D22B50">
        <w:fldChar w:fldCharType="end"/>
      </w:r>
      <w:r w:rsidRPr="00D22B50">
        <w:t>. This research successfully developed and rigorously evaluated a multivariate transfer learning framework to bridge this gap, specifically targeting the extreme 10-day (480 observations) small-sample regime. By conducting a systematic, head-to-head empirical comparison across a diverse cohort of 30 residential households from the London Smart Meter dataset, this study provides actionable insights into the architectural and strategic prerequisites for robust knowledge migration.</w:t>
      </w:r>
    </w:p>
    <w:p w14:paraId="3692A508" w14:textId="77777777" w:rsidR="00715AB5" w:rsidRPr="00D22B50" w:rsidRDefault="00715AB5" w:rsidP="00715AB5">
      <w:pPr>
        <w:pStyle w:val="2"/>
        <w:rPr>
          <w:rFonts w:hint="eastAsia"/>
        </w:rPr>
      </w:pPr>
      <w:bookmarkStart w:id="105" w:name="_Toc228641353"/>
      <w:r w:rsidRPr="00D22B50">
        <w:t>8.2 Key Empirical Findings</w:t>
      </w:r>
      <w:bookmarkEnd w:id="105"/>
      <w:r w:rsidRPr="00D22B50">
        <w:t xml:space="preserve"> </w:t>
      </w:r>
    </w:p>
    <w:p w14:paraId="32D1F4E8" w14:textId="77777777" w:rsidR="00715AB5" w:rsidRPr="00D22B50" w:rsidRDefault="00715AB5" w:rsidP="00FD5995">
      <w:pPr>
        <w:pStyle w:val="af5"/>
        <w:spacing w:before="156" w:after="156"/>
      </w:pPr>
      <w:r w:rsidRPr="00D22B50">
        <w:t>The experimental phase yielded three major scholarly and engineering discoveries:</w:t>
      </w:r>
    </w:p>
    <w:p w14:paraId="70F46B15" w14:textId="1CF71B9C" w:rsidR="00FD5995" w:rsidRPr="00D22B50" w:rsidRDefault="00715AB5" w:rsidP="00FD5995">
      <w:pPr>
        <w:pStyle w:val="af5"/>
        <w:numPr>
          <w:ilvl w:val="0"/>
          <w:numId w:val="24"/>
        </w:numPr>
        <w:spacing w:before="156" w:after="156"/>
      </w:pPr>
      <w:r w:rsidRPr="00D22B50">
        <w:t>The Superiority of Sequential Inductive Bias in Cold Starts: The most significant finding of this research is the performance divergence between neural architectures under extreme data scarcity. Despite the theoretical advantages of attention mechanisms in sequence modeling, the LSTM architecture (MSE: 0.4849) demonstrated empirically superior stability over the Transformer (MSE: 0.4984) during the 10-day fine-tuning window. The LSTM</w:t>
      </w:r>
      <w:r w:rsidR="00BD7543">
        <w:t>’</w:t>
      </w:r>
      <w:r w:rsidRPr="00D22B50">
        <w:t xml:space="preserve">s inherent sequential inductive bias acted as a structural </w:t>
      </w:r>
      <w:proofErr w:type="spellStart"/>
      <w:r w:rsidRPr="00D22B50">
        <w:t>regularizer</w:t>
      </w:r>
      <w:proofErr w:type="spellEnd"/>
      <w:r w:rsidRPr="00D22B50">
        <w:t xml:space="preserve">, preventing the catastrophic over-adjustment to localized noise that plagued the </w:t>
      </w:r>
      <w:r w:rsidR="00BD7543">
        <w:t>“</w:t>
      </w:r>
      <w:r w:rsidRPr="00D22B50">
        <w:t>data-hungry</w:t>
      </w:r>
      <w:r w:rsidR="00BD7543">
        <w:t>”</w:t>
      </w:r>
      <w:r w:rsidRPr="00D22B50">
        <w:t xml:space="preserve"> Transformer.</w:t>
      </w:r>
    </w:p>
    <w:p w14:paraId="68415466" w14:textId="38978F2B" w:rsidR="00FD5995" w:rsidRPr="00D22B50" w:rsidRDefault="00715AB5" w:rsidP="00FD5995">
      <w:pPr>
        <w:pStyle w:val="af5"/>
        <w:numPr>
          <w:ilvl w:val="0"/>
          <w:numId w:val="24"/>
        </w:numPr>
        <w:spacing w:before="156" w:after="156"/>
      </w:pPr>
      <w:r w:rsidRPr="00D22B50">
        <w:t xml:space="preserve">The Absolute Necessity of Knowledge Migration: The research established a definitive </w:t>
      </w:r>
      <w:r w:rsidR="00BD7543">
        <w:t>“</w:t>
      </w:r>
      <w:r w:rsidRPr="00D22B50">
        <w:t>performance ladder,</w:t>
      </w:r>
      <w:r w:rsidR="00BD7543">
        <w:t>”</w:t>
      </w:r>
      <w:r w:rsidRPr="00D22B50">
        <w:t xml:space="preserve"> proving that isolated local learning is </w:t>
      </w:r>
      <w:r w:rsidRPr="00D22B50">
        <w:lastRenderedPageBreak/>
        <w:t xml:space="preserve">mathematically unviable for new meters. The proposed adaptive fine-tuning strategy reduced the Mean Squared Error from 0.7080 (training from scratch) to 0.4849, while simultaneously acting as a </w:t>
      </w:r>
      <w:r w:rsidR="00BD7543">
        <w:t>“</w:t>
      </w:r>
      <w:r w:rsidRPr="00D22B50">
        <w:t>variance compressor</w:t>
      </w:r>
      <w:r w:rsidR="00BD7543">
        <w:t>”</w:t>
      </w:r>
      <w:r w:rsidRPr="00D22B50">
        <w:t xml:space="preserve"> to ensure consistent service quality across highly diverse consumption behaviors.</w:t>
      </w:r>
    </w:p>
    <w:p w14:paraId="75C47067" w14:textId="725A672A" w:rsidR="00715AB5" w:rsidRPr="00D22B50" w:rsidRDefault="00715AB5" w:rsidP="00FD5995">
      <w:pPr>
        <w:pStyle w:val="af5"/>
        <w:numPr>
          <w:ilvl w:val="0"/>
          <w:numId w:val="24"/>
        </w:numPr>
        <w:spacing w:before="156" w:after="156"/>
      </w:pPr>
      <w:r w:rsidRPr="00D22B50">
        <w:t xml:space="preserve">Overcoming Negative Transfer via Bayesian Optimization: The study documented the severe risks of </w:t>
      </w:r>
      <w:r w:rsidR="00BD7543">
        <w:t>“</w:t>
      </w:r>
      <w:r w:rsidRPr="00D22B50">
        <w:t>informative bias</w:t>
      </w:r>
      <w:r w:rsidR="00BD7543">
        <w:t>”</w:t>
      </w:r>
      <w:r w:rsidRPr="00D22B50">
        <w:t xml:space="preserve"> and negative transfer when migrating weights derived from manual heuristics. By implementing a Tree-structured </w:t>
      </w:r>
      <w:proofErr w:type="spellStart"/>
      <w:r w:rsidRPr="00D22B50">
        <w:t>Parzen</w:t>
      </w:r>
      <w:proofErr w:type="spellEnd"/>
      <w:r w:rsidRPr="00D22B50">
        <w:t xml:space="preserve"> Estimator (TPE) via the </w:t>
      </w:r>
      <w:proofErr w:type="spellStart"/>
      <w:r w:rsidRPr="00D22B50">
        <w:t>Optuna</w:t>
      </w:r>
      <w:proofErr w:type="spellEnd"/>
      <w:r w:rsidRPr="00D22B50">
        <w:t xml:space="preserve"> framework </w:t>
      </w:r>
      <w:r w:rsidR="00D22B50" w:rsidRPr="00D22B50">
        <w:fldChar w:fldCharType="begin"/>
      </w:r>
      <w:r w:rsidR="00D22B50" w:rsidRPr="00D22B50">
        <w:instrText xml:space="preserve"> ADDIN ZOTERO_ITEM CSL_CITATION {"citationID":"MAG6dy2A","properties":{"formattedCitation":"[16]","plainCitation":"[16]","noteIndex":0},"citationItems":[{"id":575,"uris":["http://zotero.org/users/local/p3tV44H5/items/KGFYWMJL"],"itemData":{"id":575,"type":"paper-conference","abstract":"The purpose of this study is to introduce new design-criteria for next-generation hyperparameter optimization software. The criteria we propose include (1) define-by-run API that allows users to construct the parameter search space dynamically, (2) efficient implementation of both searching and pruning strategies, and (3) easy-to-setup, versatile architecture that can be deployed for various purposes, ranging from scalable distributed computing to light-weight experiment conducted via interactive interface. In order to prove our point, we will introduce Optuna, an optimization software which is a culmination of our effort in the development of a next generation optimization software. As an optimization software designed with define-by-run principle, Optuna is particularly the first of its kind. We will present the design-techniques that became necessary in the development of the software that meets the above criteria, and demonstrate the power of our new design through experimental results and real world applications. Our software is available under the MIT license (https://github.com/pfnet/optuna/).","collection-title":"KDD '19","container-title":"Proceedings of the 25th ACM SIGKDD International Conference on Knowledge Discovery &amp; Data Mining","DOI":"10.1145/3292500.3330701","ISBN":"978-1-4503-6201-6","page":"2623–2631","publisher":"Association for Computing Machinery","publisher-place":"New York, NY, USA","source":"ACM Digital Library","title":"Optuna: A Next-generation Hyperparameter Optimization Framework","title-short":"Optuna","URL":"https://dl.acm.org/doi/10.1145/3292500.3330701","author":[{"family":"Akiba","given":"Takuya"},{"family":"Sano","given":"Shotaro"},{"family":"Yanase","given":"Toshihiko"},{"family":"Ohta","given":"Takeru"},{"family":"Koyama","given":"Masanori"}],"accessed":{"date-parts":[["2026",5,1]]},"issued":{"date-parts":[["2019",7,25]]}}}],"schema":"https://github.com/citation-style-language/schema/raw/master/csl-citation.json"} </w:instrText>
      </w:r>
      <w:r w:rsidR="00D22B50" w:rsidRPr="00D22B50">
        <w:fldChar w:fldCharType="separate"/>
      </w:r>
      <w:r w:rsidR="00D22B50" w:rsidRPr="00D22B50">
        <w:rPr>
          <w:rFonts w:cs="Times New Roman"/>
        </w:rPr>
        <w:t>[16]</w:t>
      </w:r>
      <w:r w:rsidR="00D22B50" w:rsidRPr="00D22B50">
        <w:fldChar w:fldCharType="end"/>
      </w:r>
      <w:r w:rsidRPr="00D22B50">
        <w:t xml:space="preserve">, the methodology successfully aligned the hyperparameter space, transforming an initial performance penalty (MSE: 0.81) into a nearly 30% forecasting gain. This proves that systematic architectural optimization is a mandatory prerequisite for successful transfer learning </w:t>
      </w:r>
      <w:r w:rsidR="00D22B50" w:rsidRPr="00D22B50">
        <w:fldChar w:fldCharType="begin"/>
      </w:r>
      <w:r w:rsidR="00D22B50" w:rsidRPr="00D22B50">
        <w:instrText xml:space="preserve"> ADDIN ZOTERO_ITEM CSL_CITATION {"citationID":"27TRXQfq","properties":{"formattedCitation":"[13]","plainCitation":"[13]","noteIndex":0},"citationItems":[{"id":585,"uris":["http://zotero.org/users/local/p3tV44H5/items/SRPRYVXS"],"itemData":{"id":585,"type":"article-journal","abstract":"A major assumption in many machine learning and data mining algorithms is that the training and future data must be in the same feature space and have the same distribution. However, in many real-world applications, this assumption may not hold. For example, we sometimes have a classification task in one domain of interest, but we only have sufficient training data in another domain of interest, where the latter data may be in a different feature space or follow a different data distribution. In such cases, knowledge transfer, if done successfully, would greatly improve the performance of learning by avoiding much expensive data-labeling efforts. In recent years, transfer learning has emerged as a new learning framework to address this problem. This survey focuses on categorizing and reviewing the current progress on transfer learning for classification, regression, and clustering problems. In this survey, we discuss the relationship between transfer learning and other related machine learning techniques such as domain adaptation, multitask learning and sample selection bias, as well as covariate shift. We also explore some potential future issues in transfer learning research.","container-title":"IEEE Transactions on Knowledge and Data Engineering","DOI":"10.1109/TKDE.2009.191","ISSN":"1558-2191","issue":"10","page":"1345-1359","source":"IEEE Xplore","title":"A Survey on Transfer Learning","volume":"22","author":[{"family":"Pan","given":"Sinno Jialin"},{"family":"Yang","given":"Qiang"}],"issued":{"date-parts":[["2010",10]]}}}],"schema":"https://github.com/citation-style-language/schema/raw/master/csl-citation.json"} </w:instrText>
      </w:r>
      <w:r w:rsidR="00D22B50" w:rsidRPr="00D22B50">
        <w:fldChar w:fldCharType="separate"/>
      </w:r>
      <w:r w:rsidR="00D22B50" w:rsidRPr="00D22B50">
        <w:rPr>
          <w:rFonts w:cs="Times New Roman"/>
        </w:rPr>
        <w:t>[13]</w:t>
      </w:r>
      <w:r w:rsidR="00D22B50" w:rsidRPr="00D22B50">
        <w:fldChar w:fldCharType="end"/>
      </w:r>
      <w:r w:rsidRPr="00D22B50">
        <w:t>.</w:t>
      </w:r>
    </w:p>
    <w:p w14:paraId="0C190B3E" w14:textId="77777777" w:rsidR="00715AB5" w:rsidRPr="00D22B50" w:rsidRDefault="00715AB5" w:rsidP="00715AB5">
      <w:pPr>
        <w:pStyle w:val="2"/>
        <w:rPr>
          <w:rFonts w:hint="eastAsia"/>
        </w:rPr>
      </w:pPr>
      <w:bookmarkStart w:id="106" w:name="_Toc228641354"/>
      <w:r w:rsidRPr="00D22B50">
        <w:t>8.3 Practical Implications for Utility Operators</w:t>
      </w:r>
      <w:bookmarkEnd w:id="106"/>
    </w:p>
    <w:p w14:paraId="37D10BB0" w14:textId="5F3DA2C8" w:rsidR="00715AB5" w:rsidRPr="00D22B50" w:rsidRDefault="00715AB5" w:rsidP="00FD5995">
      <w:pPr>
        <w:pStyle w:val="af5"/>
        <w:spacing w:before="156" w:after="156"/>
      </w:pPr>
      <w:r w:rsidRPr="00D22B50">
        <w:t>From an operational perspective, the proposed framework enables utility providers to bypass the traditional months-long data accumulation phase. By providing highly reliable Day-1 forecasts, operators can immediately implement localized transformer load balancing and dynamic pricing strategies, significantly accelerating the Return on Investment of smart grid rollouts. Furthermore, while percentage-based metrics (such as the 285.80% MAPE) exhibit mathematical artifacts due to zero-centered standardized data, the profound relative reductions confirm the framework</w:t>
      </w:r>
      <w:r w:rsidR="00BD7543">
        <w:t>’</w:t>
      </w:r>
      <w:r w:rsidRPr="00D22B50">
        <w:t xml:space="preserve">s capacity to securely capture the unique </w:t>
      </w:r>
      <w:r w:rsidR="00BD7543">
        <w:t>“</w:t>
      </w:r>
      <w:r w:rsidRPr="00D22B50">
        <w:t>energy fingerprint</w:t>
      </w:r>
      <w:r w:rsidR="00BD7543">
        <w:t>”</w:t>
      </w:r>
      <w:r w:rsidRPr="00D22B50">
        <w:t xml:space="preserve"> of individual users.</w:t>
      </w:r>
    </w:p>
    <w:p w14:paraId="69BA2152" w14:textId="77777777" w:rsidR="00715AB5" w:rsidRPr="00D22B50" w:rsidRDefault="00715AB5" w:rsidP="00715AB5">
      <w:pPr>
        <w:pStyle w:val="2"/>
        <w:rPr>
          <w:rFonts w:hint="eastAsia"/>
        </w:rPr>
      </w:pPr>
      <w:bookmarkStart w:id="107" w:name="_Toc228641355"/>
      <w:r w:rsidRPr="00D22B50">
        <w:t>8.4 Limitations and Future Directions</w:t>
      </w:r>
      <w:bookmarkEnd w:id="107"/>
      <w:r w:rsidRPr="00D22B50">
        <w:t xml:space="preserve"> </w:t>
      </w:r>
    </w:p>
    <w:p w14:paraId="75761166" w14:textId="4D2A98FC" w:rsidR="00715AB5" w:rsidRDefault="00715AB5" w:rsidP="00FD5995">
      <w:pPr>
        <w:pStyle w:val="af5"/>
        <w:spacing w:before="156" w:after="156"/>
        <w:rPr>
          <w:rFonts w:eastAsiaTheme="minorEastAsia"/>
        </w:rPr>
      </w:pPr>
      <w:r w:rsidRPr="00D22B50">
        <w:t xml:space="preserve">While this study resolves the immediate 10-day cold-start challenge, certain limitations warrant future investigation. First, the comparative evaluation was restricted to deterministic point forecasting. Future research should extend this framework into probabilistic forecasting boundaries to quantify uncertainty margins for grid dispatchers. Second, as the newly commissioned meter accumulates longitudinal data (e.g., beyond 3 to 6 months), a dynamic </w:t>
      </w:r>
      <w:r w:rsidR="00BD7543">
        <w:t>“</w:t>
      </w:r>
      <w:r w:rsidRPr="00D22B50">
        <w:t>architecture-switching</w:t>
      </w:r>
      <w:r w:rsidR="00BD7543">
        <w:t>”</w:t>
      </w:r>
      <w:r w:rsidRPr="00D22B50">
        <w:t xml:space="preserve"> mechanism could be explored. Such a system would deploy the stable LSTM during the cold-start phase and autonomously transition to a Transformer backbone once sufficient data is available to satisfy its multi-head attention requirements. </w:t>
      </w:r>
      <w:r w:rsidR="00CE1344" w:rsidRPr="00D22B50">
        <w:t xml:space="preserve">Finally, incorporating Federated Learning (FL) into the pre-training phase </w:t>
      </w:r>
      <w:r w:rsidR="00D22B50" w:rsidRPr="00D22B50">
        <w:fldChar w:fldCharType="begin"/>
      </w:r>
      <w:r w:rsidR="00D22B50" w:rsidRPr="00D22B50">
        <w:instrText xml:space="preserve"> ADDIN ZOTERO_ITEM CSL_CITATION {"citationID":"5bKJbYxV","properties":{"formattedCitation":"[43]","plainCitation":"[43]","noteIndex":0},"citationItems":[{"id":656,"uris":["http://zotero.org/users/local/p3tV44H5/items/G3N3ZXVW"],"itemData":{"id":656,"type":"article-journal","abstract":"Federated learning involves training statistical models over remote devices or siloed data centers, such as mobile phones or hospitals, while keeping data localized. Training in heterogeneous and potentially massive networks introduces novel challenges that require a fundamental departure from standard approaches for large-scale machine learning, distributed optimization, and privacy-preserving data analysis. In this article, we discuss the unique characteristics and challenges of federated learning, provide a broad overview of current approaches, and outline several directions of future work that are relevant to a wide range of research communities.","container-title":"IEEE Signal Processing Magazine","DOI":"10.1109/MSP.2020.2975749","ISSN":"1558-0792","issue":"3","page":"50-60","source":"IEEE Xplore","title":"Federated Learning: Challenges, Methods, and Future Directions","title-short":"Federated Learning","volume":"37","author":[{"family":"Li","given":"Tian"},{"family":"Sahu","given":"Anit Kumar"},{"family":"Talwalkar","given":"Ameet"},{"family":"Smith","given":"Virginia"}],"issued":{"date-parts":[["2020",5]]}}}],"schema":"https://github.com/citation-style-language/schema/raw/master/csl-citation.json"} </w:instrText>
      </w:r>
      <w:r w:rsidR="00D22B50" w:rsidRPr="00D22B50">
        <w:fldChar w:fldCharType="separate"/>
      </w:r>
      <w:r w:rsidR="00D22B50" w:rsidRPr="00D22B50">
        <w:rPr>
          <w:rFonts w:cs="Times New Roman"/>
        </w:rPr>
        <w:t>[43]</w:t>
      </w:r>
      <w:r w:rsidR="00D22B50" w:rsidRPr="00D22B50">
        <w:fldChar w:fldCharType="end"/>
      </w:r>
      <w:r w:rsidR="00CE1344" w:rsidRPr="00D22B50">
        <w:t xml:space="preserve"> could further enhance the source model</w:t>
      </w:r>
      <w:r w:rsidR="00BD7543">
        <w:t>’</w:t>
      </w:r>
      <w:r w:rsidR="00CE1344" w:rsidRPr="00D22B50">
        <w:t>s universality</w:t>
      </w:r>
      <w:r w:rsidR="009B36BC" w:rsidRPr="00D22B50">
        <w:rPr>
          <w:rFonts w:eastAsiaTheme="minorEastAsia" w:hint="eastAsia"/>
        </w:rPr>
        <w:t xml:space="preserve">, </w:t>
      </w:r>
      <w:r w:rsidR="009B36BC" w:rsidRPr="00D22B50">
        <w:rPr>
          <w:rFonts w:eastAsiaTheme="minorEastAsia"/>
        </w:rPr>
        <w:t xml:space="preserve">reflecting the evolving methodological standards in smart meter data analytics </w:t>
      </w:r>
      <w:r w:rsidR="00D22B50" w:rsidRPr="00D22B50">
        <w:rPr>
          <w:rFonts w:eastAsiaTheme="minorEastAsia"/>
        </w:rPr>
        <w:fldChar w:fldCharType="begin"/>
      </w:r>
      <w:r w:rsidR="00D22B50" w:rsidRPr="00D22B50">
        <w:rPr>
          <w:rFonts w:eastAsiaTheme="minorEastAsia"/>
        </w:rPr>
        <w:instrText xml:space="preserve"> ADDIN ZOTERO_ITEM CSL_CITATION {"citationID":"pKSmRS7R","properties":{"formattedCitation":"[44]","plainCitation":"[44]","noteIndex":0},"citationItems":[{"id":695,"uris":["http://zotero.org/users/local/p3tV44H5/items/5ZY8QQDG"],"itemData":{"id":695,"type":"article-journal","abstract":"The widespread popularity of smart meters enables an immense amount of fine-grained electricity consumption data to be collected. Meanwhile, the deregulation of the power industry, particularly on the delivery side, has continuously been moving forward worldwide. How to employ massive smart meter data to promote and enhance the efficiency and sustainability of the power grid is a pressing issue. To date, substantial works have been conducted on smart meter data analytics. To provide a comprehensive overview of the current research and to identify challenges for future research, this paper conducts an application-oriented review of smart meter data analytics. Following the three stages of analytics, namely, descriptive, predictive and prescriptive analytics, we identify the key application areas as load analysis, load forecasting, and load management. We also review the techniques and methodologies adopted or developed to address each application. In addition, we also discuss some research trends, such as big data issues, novel machine learning technologies, new business models, the transition of energy systems, and data privacy and security.","container-title":"IEEE Transactions on Smart Grid","DOI":"10.1109/TSG.2018.2818167","ISSN":"1949-3053, 1949-3061","issue":"3","journalAbbreviation":"IEEE Trans. Smart Grid","note":"arXiv:1802.04117 [cs]","page":"3125-3148","source":"arXiv.org","title":"Review of Smart Meter Data Analytics: Applications, Methodologies, and Challenges","title-short":"Review of Smart Meter Data Analytics","volume":"10","author":[{"family":"Wang","given":"Yi"},{"family":"Chen","given":"Qixin"},{"family":"Hong","given":"Tao"},{"family":"Kang","given":"Chongqing"}],"issued":{"date-parts":[["2019",5]]}}}],"schema":"https://github.com/citation-style-language/schema/raw/master/csl-citation.json"} </w:instrText>
      </w:r>
      <w:r w:rsidR="00D22B50" w:rsidRPr="00D22B50">
        <w:rPr>
          <w:rFonts w:eastAsiaTheme="minorEastAsia"/>
        </w:rPr>
        <w:fldChar w:fldCharType="separate"/>
      </w:r>
      <w:r w:rsidR="00D22B50" w:rsidRPr="00D22B50">
        <w:rPr>
          <w:rFonts w:eastAsiaTheme="minorEastAsia" w:cs="Times New Roman"/>
        </w:rPr>
        <w:t>[44]</w:t>
      </w:r>
      <w:r w:rsidR="00D22B50" w:rsidRPr="00D22B50">
        <w:rPr>
          <w:rFonts w:eastAsiaTheme="minorEastAsia"/>
        </w:rPr>
        <w:fldChar w:fldCharType="end"/>
      </w:r>
      <w:r w:rsidR="009B36BC" w:rsidRPr="00D22B50">
        <w:rPr>
          <w:rFonts w:eastAsiaTheme="minorEastAsia"/>
        </w:rPr>
        <w:t>,</w:t>
      </w:r>
      <w:r w:rsidR="00CE1344" w:rsidRPr="00D22B50">
        <w:t xml:space="preserve"> while strictly preserving the privacy of the 100-household source domain through decentralized knowledge aggregation </w:t>
      </w:r>
      <w:r w:rsidR="00D22B50" w:rsidRPr="00D22B50">
        <w:fldChar w:fldCharType="begin"/>
      </w:r>
      <w:r w:rsidR="00D22B50" w:rsidRPr="00D22B50">
        <w:instrText xml:space="preserve"> ADDIN ZOTERO_ITEM CSL_CITATION {"citationID":"PZr8AVXu","properties":{"formattedCitation":"[45]","plainCitation":"[45]","noteIndex":0},"citationItems":[{"id":669,"uris":["http://zotero.org/users/local/p3tV44H5/items/LA3HMASP"],"itemData":{"id":669,"type":"article-journal","abstract":"Today’s artificial intelligence still faces two major challenges. One is that, in most industries, data exists in the form of isolated islands. The other is the strengthening of data privacy and security. We propose a possible solution to these challenges: secure federated learning. Beyond the federated-learning framework first proposed by Google in 2016, we introduce a comprehensive secure federated-learning framework, which includes horizontal federated learning, vertical federated learning, and federated transfer learning. We provide definitions, architectures, and applications for the federated-learning framework, and provide a comprehensive survey of existing works on this subject. In addition, we propose building data networks among organizations based on federated mechanisms as an effective solution to allowing knowledge to be shared without compromising user privacy.","container-title":"ACM Trans. Intell. Syst. Technol.","DOI":"10.1145/3298981","ISSN":"2157-6904","issue":"2","page":"12:1–12:19","source":"ACM Digital Library","title":"Federated Machine Learning: Concept and Applications","title-short":"Federated Machine Learning","volume":"10","author":[{"family":"Yang","given":"Qiang"},{"family":"Liu","given":"Yang"},{"family":"Chen","given":"Tianjian"},{"family":"Tong","given":"Yongxin"}],"issued":{"date-parts":[["2019",1,28]]}}}],"schema":"https://github.com/citation-style-language/schema/raw/master/csl-citation.json"} </w:instrText>
      </w:r>
      <w:r w:rsidR="00D22B50" w:rsidRPr="00D22B50">
        <w:fldChar w:fldCharType="separate"/>
      </w:r>
      <w:r w:rsidR="00D22B50" w:rsidRPr="00D22B50">
        <w:rPr>
          <w:rFonts w:cs="Times New Roman"/>
        </w:rPr>
        <w:t>[45]</w:t>
      </w:r>
      <w:r w:rsidR="00D22B50" w:rsidRPr="00D22B50">
        <w:fldChar w:fldCharType="end"/>
      </w:r>
      <w:r w:rsidR="00CE1344" w:rsidRPr="00D22B50">
        <w:t>.</w:t>
      </w:r>
    </w:p>
    <w:p w14:paraId="50C472FC" w14:textId="35163BE5" w:rsidR="00AF6770" w:rsidRPr="00AF6770" w:rsidRDefault="00AF6770" w:rsidP="00FD5995">
      <w:pPr>
        <w:pStyle w:val="af5"/>
        <w:spacing w:before="156" w:after="156"/>
        <w:rPr>
          <w:rFonts w:eastAsiaTheme="minorEastAsia"/>
        </w:rPr>
      </w:pPr>
      <w:r w:rsidRPr="00AF6770">
        <w:rPr>
          <w:rFonts w:eastAsiaTheme="minorEastAsia"/>
        </w:rPr>
        <w:t xml:space="preserve">Furthermore, it must be acknowledged that the current models were developed under specific hardware and software constraints, which may have limited the exhaustive exploration of the model's performance ceiling. Consequently, a primary objective for future work is to further elevate the predictive accuracy and robustness of the </w:t>
      </w:r>
      <w:r w:rsidRPr="00AF6770">
        <w:rPr>
          <w:rFonts w:eastAsiaTheme="minorEastAsia"/>
        </w:rPr>
        <w:lastRenderedPageBreak/>
        <w:t>framework. This will involve significantly expanding the volume and diversity of the source domain data to cultivate a more potent and generalizable 'universal knowledge' base. Moreover, conducting a more granular and extensive search of the hyperparameter landscape will be essential to identify the absolute optimal configurations, thereby fully unlocking the potential of both LSTM and Transformer architectures in the context of residential load migration.</w:t>
      </w:r>
    </w:p>
    <w:p w14:paraId="1E95BCCF" w14:textId="6B080FED" w:rsidR="002C44EF" w:rsidRPr="00D22B50" w:rsidRDefault="00715AB5" w:rsidP="00715AB5">
      <w:pPr>
        <w:widowControl/>
        <w:jc w:val="left"/>
        <w:rPr>
          <w:rFonts w:hint="eastAsia"/>
        </w:rPr>
      </w:pPr>
      <w:r w:rsidRPr="00D22B50">
        <w:rPr>
          <w:rFonts w:hint="eastAsia"/>
        </w:rPr>
        <w:br w:type="page"/>
      </w:r>
    </w:p>
    <w:p w14:paraId="03F08FFF" w14:textId="5D89834E" w:rsidR="009B36BC" w:rsidRPr="00D22B50" w:rsidRDefault="002C44EF" w:rsidP="00FD5200">
      <w:pPr>
        <w:pStyle w:val="1"/>
        <w:rPr>
          <w:rFonts w:hint="eastAsia"/>
        </w:rPr>
      </w:pPr>
      <w:bookmarkStart w:id="108" w:name="_Toc228641356"/>
      <w:r w:rsidRPr="00D22B50">
        <w:lastRenderedPageBreak/>
        <w:t>References</w:t>
      </w:r>
      <w:bookmarkEnd w:id="108"/>
      <w:r w:rsidRPr="00D22B50">
        <w:t xml:space="preserve"> </w:t>
      </w:r>
    </w:p>
    <w:p w14:paraId="426A40E6" w14:textId="77777777" w:rsidR="00111004" w:rsidRPr="00111004" w:rsidRDefault="00FD5200" w:rsidP="00111004">
      <w:pPr>
        <w:pStyle w:val="af7"/>
        <w:rPr>
          <w:rFonts w:ascii="等线" w:eastAsia="等线" w:hAnsi="等线" w:hint="eastAsia"/>
        </w:rPr>
      </w:pPr>
      <w:r w:rsidRPr="00D22B50">
        <w:rPr>
          <w:rFonts w:hint="eastAsia"/>
        </w:rPr>
        <w:fldChar w:fldCharType="begin"/>
      </w:r>
      <w:r w:rsidR="00111004">
        <w:rPr>
          <w:rFonts w:hint="eastAsia"/>
        </w:rPr>
        <w:instrText xml:space="preserve"> ADDIN ZOTERO_BIBL {"uncited":[],"omitted":[],"custom":[]} CSL_BIBLIOGRAPHY </w:instrText>
      </w:r>
      <w:r w:rsidRPr="00D22B50">
        <w:rPr>
          <w:rFonts w:hint="eastAsia"/>
        </w:rPr>
        <w:fldChar w:fldCharType="separate"/>
      </w:r>
      <w:r w:rsidR="00111004" w:rsidRPr="00111004">
        <w:rPr>
          <w:rFonts w:ascii="等线" w:eastAsia="等线" w:hAnsi="等线"/>
        </w:rPr>
        <w:t>[1]</w:t>
      </w:r>
      <w:r w:rsidR="00111004" w:rsidRPr="00111004">
        <w:rPr>
          <w:rFonts w:ascii="等线" w:eastAsia="等线" w:hAnsi="等线"/>
        </w:rPr>
        <w:tab/>
        <w:t xml:space="preserve">N. Alemazkoor, M. Tootkaboni, R. Nateghi, and A. Louhghalam, ‘Smart-Meter Big Data for Load Forecasting: An Alternative Approach to Clustering’, </w:t>
      </w:r>
      <w:r w:rsidR="00111004" w:rsidRPr="00111004">
        <w:rPr>
          <w:rFonts w:ascii="等线" w:eastAsia="等线" w:hAnsi="等线"/>
          <w:i/>
          <w:iCs/>
        </w:rPr>
        <w:t>IEEE Access</w:t>
      </w:r>
      <w:r w:rsidR="00111004" w:rsidRPr="00111004">
        <w:rPr>
          <w:rFonts w:ascii="等线" w:eastAsia="等线" w:hAnsi="等线"/>
        </w:rPr>
        <w:t>, vol. 10, pp. 8377–8387, 2022, doi: 10.1109/ACCESS.2022.3142680.</w:t>
      </w:r>
    </w:p>
    <w:p w14:paraId="01488F26" w14:textId="77777777" w:rsidR="00111004" w:rsidRPr="00111004" w:rsidRDefault="00111004" w:rsidP="00111004">
      <w:pPr>
        <w:pStyle w:val="af7"/>
        <w:rPr>
          <w:rFonts w:ascii="等线" w:eastAsia="等线" w:hAnsi="等线" w:hint="eastAsia"/>
        </w:rPr>
      </w:pPr>
      <w:r w:rsidRPr="00111004">
        <w:rPr>
          <w:rFonts w:ascii="等线" w:eastAsia="等线" w:hAnsi="等线"/>
        </w:rPr>
        <w:t>[2]</w:t>
      </w:r>
      <w:r w:rsidRPr="00111004">
        <w:rPr>
          <w:rFonts w:ascii="等线" w:eastAsia="等线" w:hAnsi="等线"/>
        </w:rPr>
        <w:tab/>
        <w:t xml:space="preserve">Y. Zhang, T. Huang, and E. F. Bompard, ‘Big data analytics in smart grids: a review’, </w:t>
      </w:r>
      <w:r w:rsidRPr="00111004">
        <w:rPr>
          <w:rFonts w:ascii="等线" w:eastAsia="等线" w:hAnsi="等线"/>
          <w:i/>
          <w:iCs/>
        </w:rPr>
        <w:t>Energy Inform</w:t>
      </w:r>
      <w:r w:rsidRPr="00111004">
        <w:rPr>
          <w:rFonts w:ascii="等线" w:eastAsia="等线" w:hAnsi="等线"/>
        </w:rPr>
        <w:t>, vol. 1, no. 1, p. 8, Aug. 2018, doi: 10.1186/s42162-018-0007-5.</w:t>
      </w:r>
    </w:p>
    <w:p w14:paraId="57A8653E" w14:textId="77777777" w:rsidR="00111004" w:rsidRPr="00111004" w:rsidRDefault="00111004" w:rsidP="00111004">
      <w:pPr>
        <w:pStyle w:val="af7"/>
        <w:rPr>
          <w:rFonts w:ascii="等线" w:eastAsia="等线" w:hAnsi="等线" w:hint="eastAsia"/>
        </w:rPr>
      </w:pPr>
      <w:r w:rsidRPr="00111004">
        <w:rPr>
          <w:rFonts w:ascii="等线" w:eastAsia="等线" w:hAnsi="等线"/>
        </w:rPr>
        <w:t>[3]</w:t>
      </w:r>
      <w:r w:rsidRPr="00111004">
        <w:rPr>
          <w:rFonts w:ascii="等线" w:eastAsia="等线" w:hAnsi="等线"/>
        </w:rPr>
        <w:tab/>
        <w:t xml:space="preserve">S. S. S. R. Depuru, L. Wang, V. Devabhaktuni, and N. Gudi, ‘Smart meters for power grid — Challenges, issues, advantages and status’, in </w:t>
      </w:r>
      <w:r w:rsidRPr="00111004">
        <w:rPr>
          <w:rFonts w:ascii="等线" w:eastAsia="等线" w:hAnsi="等线"/>
          <w:i/>
          <w:iCs/>
        </w:rPr>
        <w:t>2011 IEEE/PES Power Systems Conference and Exposition</w:t>
      </w:r>
      <w:r w:rsidRPr="00111004">
        <w:rPr>
          <w:rFonts w:ascii="等线" w:eastAsia="等线" w:hAnsi="等线"/>
        </w:rPr>
        <w:t>, Mar. 2011, pp. 1–7. doi: 10.1109/PSCE.2011.5772451.</w:t>
      </w:r>
    </w:p>
    <w:p w14:paraId="7240DD74" w14:textId="77777777" w:rsidR="00111004" w:rsidRPr="00111004" w:rsidRDefault="00111004" w:rsidP="00111004">
      <w:pPr>
        <w:pStyle w:val="af7"/>
        <w:rPr>
          <w:rFonts w:ascii="等线" w:eastAsia="等线" w:hAnsi="等线" w:hint="eastAsia"/>
        </w:rPr>
      </w:pPr>
      <w:r w:rsidRPr="00111004">
        <w:rPr>
          <w:rFonts w:ascii="等线" w:eastAsia="等线" w:hAnsi="等线"/>
        </w:rPr>
        <w:t>[4]</w:t>
      </w:r>
      <w:r w:rsidRPr="00111004">
        <w:rPr>
          <w:rFonts w:ascii="等线" w:eastAsia="等线" w:hAnsi="等线"/>
        </w:rPr>
        <w:tab/>
        <w:t xml:space="preserve">M. Massaoudi, H. Abu-Rub, S. S. Refaat, I. Chihi, and F. S. Oueslati, ‘Deep Learning in Smart Grid Technology: A Review of Recent Advancements and Future Prospects’, </w:t>
      </w:r>
      <w:r w:rsidRPr="00111004">
        <w:rPr>
          <w:rFonts w:ascii="等线" w:eastAsia="等线" w:hAnsi="等线"/>
          <w:i/>
          <w:iCs/>
        </w:rPr>
        <w:t>IEEE Access</w:t>
      </w:r>
      <w:r w:rsidRPr="00111004">
        <w:rPr>
          <w:rFonts w:ascii="等线" w:eastAsia="等线" w:hAnsi="等线"/>
        </w:rPr>
        <w:t>, vol. 9, pp. 54558–54578, 2021, doi: 10.1109/ACCESS.2021.3071269.</w:t>
      </w:r>
    </w:p>
    <w:p w14:paraId="3D7C9FF4" w14:textId="77777777" w:rsidR="00111004" w:rsidRPr="00111004" w:rsidRDefault="00111004" w:rsidP="00111004">
      <w:pPr>
        <w:pStyle w:val="af7"/>
        <w:rPr>
          <w:rFonts w:ascii="等线" w:eastAsia="等线" w:hAnsi="等线" w:hint="eastAsia"/>
        </w:rPr>
      </w:pPr>
      <w:r w:rsidRPr="00111004">
        <w:rPr>
          <w:rFonts w:ascii="等线" w:eastAsia="等线" w:hAnsi="等线"/>
        </w:rPr>
        <w:t>[5]</w:t>
      </w:r>
      <w:r w:rsidRPr="00111004">
        <w:rPr>
          <w:rFonts w:ascii="等线" w:eastAsia="等线" w:hAnsi="等线"/>
        </w:rPr>
        <w:tab/>
        <w:t xml:space="preserve">M. Alhussein, K. Aurangzeb, and S. I. Haider, ‘Hybrid CNN-LSTM Model for Short-Term Individual Household Load Forecasting’, </w:t>
      </w:r>
      <w:r w:rsidRPr="00111004">
        <w:rPr>
          <w:rFonts w:ascii="等线" w:eastAsia="等线" w:hAnsi="等线"/>
          <w:i/>
          <w:iCs/>
        </w:rPr>
        <w:t>IEEE Access</w:t>
      </w:r>
      <w:r w:rsidRPr="00111004">
        <w:rPr>
          <w:rFonts w:ascii="等线" w:eastAsia="等线" w:hAnsi="等线"/>
        </w:rPr>
        <w:t>, vol. 8, pp. 180544–180557, 2020, doi: 10.1109/ACCESS.2020.3028281.</w:t>
      </w:r>
    </w:p>
    <w:p w14:paraId="7111345F" w14:textId="77777777" w:rsidR="00111004" w:rsidRPr="00111004" w:rsidRDefault="00111004" w:rsidP="00111004">
      <w:pPr>
        <w:pStyle w:val="af7"/>
        <w:rPr>
          <w:rFonts w:ascii="等线" w:eastAsia="等线" w:hAnsi="等线" w:hint="eastAsia"/>
        </w:rPr>
      </w:pPr>
      <w:r w:rsidRPr="00111004">
        <w:rPr>
          <w:rFonts w:ascii="等线" w:eastAsia="等线" w:hAnsi="等线"/>
        </w:rPr>
        <w:t>[6]</w:t>
      </w:r>
      <w:r w:rsidRPr="00111004">
        <w:rPr>
          <w:rFonts w:ascii="等线" w:eastAsia="等线" w:hAnsi="等线"/>
        </w:rPr>
        <w:tab/>
        <w:t xml:space="preserve">J. W. Taylor, ‘Short-term electricity demand forecasting using double seasonal exponential smoothing’, </w:t>
      </w:r>
      <w:r w:rsidRPr="00111004">
        <w:rPr>
          <w:rFonts w:ascii="等线" w:eastAsia="等线" w:hAnsi="等线"/>
          <w:i/>
          <w:iCs/>
        </w:rPr>
        <w:t>Journal of the Operational Research Society</w:t>
      </w:r>
      <w:r w:rsidRPr="00111004">
        <w:rPr>
          <w:rFonts w:ascii="等线" w:eastAsia="等线" w:hAnsi="等线"/>
        </w:rPr>
        <w:t>, vol. 54, no. 8, pp. 799–805, Aug. 2003, doi: 10.1057/palgrave.jors.2601589.</w:t>
      </w:r>
    </w:p>
    <w:p w14:paraId="3C130D75" w14:textId="77777777" w:rsidR="00111004" w:rsidRPr="00111004" w:rsidRDefault="00111004" w:rsidP="00111004">
      <w:pPr>
        <w:pStyle w:val="af7"/>
        <w:rPr>
          <w:rFonts w:ascii="等线" w:eastAsia="等线" w:hAnsi="等线" w:hint="eastAsia"/>
        </w:rPr>
      </w:pPr>
      <w:r w:rsidRPr="00111004">
        <w:rPr>
          <w:rFonts w:ascii="等线" w:eastAsia="等线" w:hAnsi="等线"/>
        </w:rPr>
        <w:t>[7]</w:t>
      </w:r>
      <w:r w:rsidRPr="00111004">
        <w:rPr>
          <w:rFonts w:ascii="等线" w:eastAsia="等线" w:hAnsi="等线"/>
        </w:rPr>
        <w:tab/>
        <w:t xml:space="preserve">C. Chatfield and H. Xing, </w:t>
      </w:r>
      <w:r w:rsidRPr="00111004">
        <w:rPr>
          <w:rFonts w:ascii="等线" w:eastAsia="等线" w:hAnsi="等线"/>
          <w:i/>
          <w:iCs/>
        </w:rPr>
        <w:t>The analysis of time series: an introduction</w:t>
      </w:r>
      <w:r w:rsidRPr="00111004">
        <w:rPr>
          <w:rFonts w:ascii="等线" w:eastAsia="等线" w:hAnsi="等线"/>
        </w:rPr>
        <w:t>, Seventh edition. in Chapman &amp; Hall/CRC texts in statistical science series. Boca Raton, Florida: CRC Press, 2019.</w:t>
      </w:r>
    </w:p>
    <w:p w14:paraId="41F81F8A" w14:textId="77777777" w:rsidR="00111004" w:rsidRPr="00111004" w:rsidRDefault="00111004" w:rsidP="00111004">
      <w:pPr>
        <w:pStyle w:val="af7"/>
        <w:rPr>
          <w:rFonts w:ascii="等线" w:eastAsia="等线" w:hAnsi="等线" w:hint="eastAsia"/>
        </w:rPr>
      </w:pPr>
      <w:r w:rsidRPr="00111004">
        <w:rPr>
          <w:rFonts w:ascii="等线" w:eastAsia="等线" w:hAnsi="等线"/>
        </w:rPr>
        <w:t>[8]</w:t>
      </w:r>
      <w:r w:rsidRPr="00111004">
        <w:rPr>
          <w:rFonts w:ascii="等线" w:eastAsia="等线" w:hAnsi="等线"/>
        </w:rPr>
        <w:tab/>
        <w:t xml:space="preserve">S. Hochreiter and J. Schmidhuber, ‘Long Short-Term Memory’, </w:t>
      </w:r>
      <w:r w:rsidRPr="00111004">
        <w:rPr>
          <w:rFonts w:ascii="等线" w:eastAsia="等线" w:hAnsi="等线"/>
          <w:i/>
          <w:iCs/>
        </w:rPr>
        <w:t>Neural Computation</w:t>
      </w:r>
      <w:r w:rsidRPr="00111004">
        <w:rPr>
          <w:rFonts w:ascii="等线" w:eastAsia="等线" w:hAnsi="等线"/>
        </w:rPr>
        <w:t>, vol. 9, no. 8, pp. 1735–1780, Nov. 1997, doi: 10.1162/neco.1997.9.8.1735.</w:t>
      </w:r>
    </w:p>
    <w:p w14:paraId="66DEC965" w14:textId="77777777" w:rsidR="00111004" w:rsidRPr="00111004" w:rsidRDefault="00111004" w:rsidP="00111004">
      <w:pPr>
        <w:pStyle w:val="af7"/>
        <w:rPr>
          <w:rFonts w:ascii="等线" w:eastAsia="等线" w:hAnsi="等线" w:hint="eastAsia"/>
        </w:rPr>
      </w:pPr>
      <w:r w:rsidRPr="00111004">
        <w:rPr>
          <w:rFonts w:ascii="等线" w:eastAsia="等线" w:hAnsi="等线"/>
        </w:rPr>
        <w:t>[9]</w:t>
      </w:r>
      <w:r w:rsidRPr="00111004">
        <w:rPr>
          <w:rFonts w:ascii="等线" w:eastAsia="等线" w:hAnsi="等线"/>
        </w:rPr>
        <w:tab/>
        <w:t xml:space="preserve">W. Kong, Z. Y. Dong, Y. Jia, D. J. Hill, Y. Xu, and Y. Zhang, ‘Short-Term Residential Load Forecasting Based on LSTM Recurrent Neural Network’, </w:t>
      </w:r>
      <w:r w:rsidRPr="00111004">
        <w:rPr>
          <w:rFonts w:ascii="等线" w:eastAsia="等线" w:hAnsi="等线"/>
          <w:i/>
          <w:iCs/>
        </w:rPr>
        <w:t>IEEE Transactions on Smart Grid</w:t>
      </w:r>
      <w:r w:rsidRPr="00111004">
        <w:rPr>
          <w:rFonts w:ascii="等线" w:eastAsia="等线" w:hAnsi="等线"/>
        </w:rPr>
        <w:t>, vol. 10, no. 1, pp. 841–851, Jan. 2019, doi: 10.1109/TSG.2017.2753802.</w:t>
      </w:r>
    </w:p>
    <w:p w14:paraId="0BE126D9" w14:textId="77777777" w:rsidR="00111004" w:rsidRPr="00111004" w:rsidRDefault="00111004" w:rsidP="00111004">
      <w:pPr>
        <w:pStyle w:val="af7"/>
        <w:rPr>
          <w:rFonts w:ascii="等线" w:eastAsia="等线" w:hAnsi="等线" w:hint="eastAsia"/>
        </w:rPr>
      </w:pPr>
      <w:r w:rsidRPr="00111004">
        <w:rPr>
          <w:rFonts w:ascii="等线" w:eastAsia="等线" w:hAnsi="等线"/>
        </w:rPr>
        <w:t>[10]</w:t>
      </w:r>
      <w:r w:rsidRPr="00111004">
        <w:rPr>
          <w:rFonts w:ascii="等线" w:eastAsia="等线" w:hAnsi="等线"/>
        </w:rPr>
        <w:tab/>
        <w:t xml:space="preserve">Y. Wang, Q. Yao, J. T. Kwok, and L. M. Ni, ‘Generalizing from a Few Examples: A Survey on Few-shot Learning’, </w:t>
      </w:r>
      <w:r w:rsidRPr="00111004">
        <w:rPr>
          <w:rFonts w:ascii="等线" w:eastAsia="等线" w:hAnsi="等线"/>
          <w:i/>
          <w:iCs/>
        </w:rPr>
        <w:t>ACM Comput. Surv.</w:t>
      </w:r>
      <w:r w:rsidRPr="00111004">
        <w:rPr>
          <w:rFonts w:ascii="等线" w:eastAsia="等线" w:hAnsi="等线"/>
        </w:rPr>
        <w:t>, vol. 53, no. 3, p. 63:1-63:34, Jun. 2020, doi: 10.1145/3386252.</w:t>
      </w:r>
    </w:p>
    <w:p w14:paraId="579C0FAC" w14:textId="77777777" w:rsidR="00111004" w:rsidRPr="00111004" w:rsidRDefault="00111004" w:rsidP="00111004">
      <w:pPr>
        <w:pStyle w:val="af7"/>
        <w:rPr>
          <w:rFonts w:ascii="等线" w:eastAsia="等线" w:hAnsi="等线" w:hint="eastAsia"/>
        </w:rPr>
      </w:pPr>
      <w:r w:rsidRPr="00111004">
        <w:rPr>
          <w:rFonts w:ascii="等线" w:eastAsia="等线" w:hAnsi="等线"/>
        </w:rPr>
        <w:t>[11]</w:t>
      </w:r>
      <w:r w:rsidRPr="00111004">
        <w:rPr>
          <w:rFonts w:ascii="等线" w:eastAsia="等线" w:hAnsi="等线"/>
        </w:rPr>
        <w:tab/>
        <w:t xml:space="preserve">E. Lee and W. Rhee, ‘Individualized Short-Term Electric Load Forecasting With Deep Neural Network Based Transfer Learning and Meta Learning’, </w:t>
      </w:r>
      <w:r w:rsidRPr="00111004">
        <w:rPr>
          <w:rFonts w:ascii="等线" w:eastAsia="等线" w:hAnsi="等线"/>
          <w:i/>
          <w:iCs/>
        </w:rPr>
        <w:t>IEEE Access</w:t>
      </w:r>
      <w:r w:rsidRPr="00111004">
        <w:rPr>
          <w:rFonts w:ascii="等线" w:eastAsia="等线" w:hAnsi="等线"/>
        </w:rPr>
        <w:t>, vol. 9, pp. 15413–15425, 2021, doi: 10.1109/ACCESS.2021.3053317.</w:t>
      </w:r>
    </w:p>
    <w:p w14:paraId="19122635" w14:textId="77777777" w:rsidR="00111004" w:rsidRPr="00111004" w:rsidRDefault="00111004" w:rsidP="00111004">
      <w:pPr>
        <w:pStyle w:val="af7"/>
        <w:rPr>
          <w:rFonts w:ascii="等线" w:eastAsia="等线" w:hAnsi="等线" w:hint="eastAsia"/>
        </w:rPr>
      </w:pPr>
      <w:r w:rsidRPr="00111004">
        <w:rPr>
          <w:rFonts w:ascii="等线" w:eastAsia="等线" w:hAnsi="等线"/>
        </w:rPr>
        <w:t>[12]</w:t>
      </w:r>
      <w:r w:rsidRPr="00111004">
        <w:rPr>
          <w:rFonts w:ascii="等线" w:eastAsia="等线" w:hAnsi="等线"/>
        </w:rPr>
        <w:tab/>
        <w:t xml:space="preserve">F. Zhuang </w:t>
      </w:r>
      <w:r w:rsidRPr="00111004">
        <w:rPr>
          <w:rFonts w:ascii="等线" w:eastAsia="等线" w:hAnsi="等线"/>
          <w:i/>
          <w:iCs/>
        </w:rPr>
        <w:t>et al.</w:t>
      </w:r>
      <w:r w:rsidRPr="00111004">
        <w:rPr>
          <w:rFonts w:ascii="等线" w:eastAsia="等线" w:hAnsi="等线"/>
        </w:rPr>
        <w:t xml:space="preserve">, ‘A Comprehensive Survey on Transfer Learning’, </w:t>
      </w:r>
      <w:r w:rsidRPr="00111004">
        <w:rPr>
          <w:rFonts w:ascii="等线" w:eastAsia="等线" w:hAnsi="等线"/>
          <w:i/>
          <w:iCs/>
        </w:rPr>
        <w:t>Proceedings of the IEEE</w:t>
      </w:r>
      <w:r w:rsidRPr="00111004">
        <w:rPr>
          <w:rFonts w:ascii="等线" w:eastAsia="等线" w:hAnsi="等线"/>
        </w:rPr>
        <w:t>, vol. 109, no. 1, pp. 43–76, Jan. 2021, doi: 10.1109/JPROC.2020.3004555.</w:t>
      </w:r>
    </w:p>
    <w:p w14:paraId="6850883B" w14:textId="77777777" w:rsidR="00111004" w:rsidRPr="00111004" w:rsidRDefault="00111004" w:rsidP="00111004">
      <w:pPr>
        <w:pStyle w:val="af7"/>
        <w:rPr>
          <w:rFonts w:ascii="等线" w:eastAsia="等线" w:hAnsi="等线" w:hint="eastAsia"/>
        </w:rPr>
      </w:pPr>
      <w:r w:rsidRPr="00111004">
        <w:rPr>
          <w:rFonts w:ascii="等线" w:eastAsia="等线" w:hAnsi="等线"/>
        </w:rPr>
        <w:t>[13]</w:t>
      </w:r>
      <w:r w:rsidRPr="00111004">
        <w:rPr>
          <w:rFonts w:ascii="等线" w:eastAsia="等线" w:hAnsi="等线"/>
        </w:rPr>
        <w:tab/>
        <w:t xml:space="preserve">S. J. Pan and Q. Yang, ‘A Survey on Transfer Learning’, </w:t>
      </w:r>
      <w:r w:rsidRPr="00111004">
        <w:rPr>
          <w:rFonts w:ascii="等线" w:eastAsia="等线" w:hAnsi="等线"/>
          <w:i/>
          <w:iCs/>
        </w:rPr>
        <w:t>IEEE Transactions on Knowledge and Data Engineering</w:t>
      </w:r>
      <w:r w:rsidRPr="00111004">
        <w:rPr>
          <w:rFonts w:ascii="等线" w:eastAsia="等线" w:hAnsi="等线"/>
        </w:rPr>
        <w:t>, vol. 22, no. 10, pp. 1345–1359, Oct. 2010, doi: 10.1109/TKDE.2009.191.</w:t>
      </w:r>
    </w:p>
    <w:p w14:paraId="74873C7C" w14:textId="77777777" w:rsidR="00111004" w:rsidRPr="00111004" w:rsidRDefault="00111004" w:rsidP="00111004">
      <w:pPr>
        <w:pStyle w:val="af7"/>
        <w:rPr>
          <w:rFonts w:ascii="等线" w:eastAsia="等线" w:hAnsi="等线" w:hint="eastAsia"/>
        </w:rPr>
      </w:pPr>
      <w:r w:rsidRPr="00111004">
        <w:rPr>
          <w:rFonts w:ascii="等线" w:eastAsia="等线" w:hAnsi="等线"/>
        </w:rPr>
        <w:t>[14]</w:t>
      </w:r>
      <w:r w:rsidRPr="00111004">
        <w:rPr>
          <w:rFonts w:ascii="等线" w:eastAsia="等线" w:hAnsi="等线"/>
        </w:rPr>
        <w:tab/>
        <w:t xml:space="preserve">Y. Bengio, A. Courville, and P. Vincent, ‘Representation Learning: A Review and New Perspectives’, </w:t>
      </w:r>
      <w:r w:rsidRPr="00111004">
        <w:rPr>
          <w:rFonts w:ascii="等线" w:eastAsia="等线" w:hAnsi="等线"/>
          <w:i/>
          <w:iCs/>
        </w:rPr>
        <w:t>IEEE Transactions on Pattern Analysis and Machine Intelligence</w:t>
      </w:r>
      <w:r w:rsidRPr="00111004">
        <w:rPr>
          <w:rFonts w:ascii="等线" w:eastAsia="等线" w:hAnsi="等线"/>
        </w:rPr>
        <w:t>, vol. 35, no. 8, pp. 1798–1828, Aug. 2013, doi: 10.1109/TPAMI.2013.50.</w:t>
      </w:r>
    </w:p>
    <w:p w14:paraId="03286753" w14:textId="77777777" w:rsidR="00111004" w:rsidRPr="00111004" w:rsidRDefault="00111004" w:rsidP="00111004">
      <w:pPr>
        <w:pStyle w:val="af7"/>
        <w:rPr>
          <w:rFonts w:ascii="等线" w:eastAsia="等线" w:hAnsi="等线" w:hint="eastAsia"/>
        </w:rPr>
      </w:pPr>
      <w:r w:rsidRPr="00111004">
        <w:rPr>
          <w:rFonts w:ascii="等线" w:eastAsia="等线" w:hAnsi="等线"/>
        </w:rPr>
        <w:t>[15]</w:t>
      </w:r>
      <w:r w:rsidRPr="00111004">
        <w:rPr>
          <w:rFonts w:ascii="等线" w:eastAsia="等线" w:hAnsi="等线"/>
        </w:rPr>
        <w:tab/>
        <w:t xml:space="preserve">H. Ismail Fawaz, G. Forestier, J. Weber, L. Idoumghar, and P.-A. Muller, ‘Transfer learning for time series classification’, in </w:t>
      </w:r>
      <w:r w:rsidRPr="00111004">
        <w:rPr>
          <w:rFonts w:ascii="等线" w:eastAsia="等线" w:hAnsi="等线"/>
          <w:i/>
          <w:iCs/>
        </w:rPr>
        <w:t>2018 IEEE International Conference on Big Data (Big Data)</w:t>
      </w:r>
      <w:r w:rsidRPr="00111004">
        <w:rPr>
          <w:rFonts w:ascii="等线" w:eastAsia="等线" w:hAnsi="等线"/>
        </w:rPr>
        <w:t xml:space="preserve">, </w:t>
      </w:r>
      <w:r w:rsidRPr="00111004">
        <w:rPr>
          <w:rFonts w:ascii="等线" w:eastAsia="等线" w:hAnsi="等线"/>
        </w:rPr>
        <w:lastRenderedPageBreak/>
        <w:t>Dec. 2018, pp. 1367–1376. doi: 10.1109/BigData.2018.8621990.</w:t>
      </w:r>
    </w:p>
    <w:p w14:paraId="40107B72" w14:textId="77777777" w:rsidR="00111004" w:rsidRPr="00111004" w:rsidRDefault="00111004" w:rsidP="00111004">
      <w:pPr>
        <w:pStyle w:val="af7"/>
        <w:rPr>
          <w:rFonts w:ascii="等线" w:eastAsia="等线" w:hAnsi="等线" w:hint="eastAsia"/>
        </w:rPr>
      </w:pPr>
      <w:r w:rsidRPr="00111004">
        <w:rPr>
          <w:rFonts w:ascii="等线" w:eastAsia="等线" w:hAnsi="等线"/>
        </w:rPr>
        <w:t>[16]</w:t>
      </w:r>
      <w:r w:rsidRPr="00111004">
        <w:rPr>
          <w:rFonts w:ascii="等线" w:eastAsia="等线" w:hAnsi="等线"/>
        </w:rPr>
        <w:tab/>
        <w:t xml:space="preserve">T. Akiba, S. Sano, T. Yanase, T. Ohta, and M. Koyama, ‘Optuna: A Next-generation Hyperparameter Optimization Framework’, in </w:t>
      </w:r>
      <w:r w:rsidRPr="00111004">
        <w:rPr>
          <w:rFonts w:ascii="等线" w:eastAsia="等线" w:hAnsi="等线"/>
          <w:i/>
          <w:iCs/>
        </w:rPr>
        <w:t>Proceedings of the 25th ACM SIGKDD International Conference on Knowledge Discovery &amp; Data Mining</w:t>
      </w:r>
      <w:r w:rsidRPr="00111004">
        <w:rPr>
          <w:rFonts w:ascii="等线" w:eastAsia="等线" w:hAnsi="等线"/>
        </w:rPr>
        <w:t>, in KDD ’19. New York, NY, USA: Association for Computing Machinery, Jul. 2019, pp. 2623–2631. doi: 10.1145/3292500.3330701.</w:t>
      </w:r>
    </w:p>
    <w:p w14:paraId="535CA945" w14:textId="77777777" w:rsidR="00111004" w:rsidRPr="00111004" w:rsidRDefault="00111004" w:rsidP="00111004">
      <w:pPr>
        <w:pStyle w:val="af7"/>
        <w:rPr>
          <w:rFonts w:ascii="等线" w:eastAsia="等线" w:hAnsi="等线" w:hint="eastAsia"/>
        </w:rPr>
      </w:pPr>
      <w:r w:rsidRPr="00111004">
        <w:rPr>
          <w:rFonts w:ascii="等线" w:eastAsia="等线" w:hAnsi="等线"/>
        </w:rPr>
        <w:t>[17]</w:t>
      </w:r>
      <w:r w:rsidRPr="00111004">
        <w:rPr>
          <w:rFonts w:ascii="等线" w:eastAsia="等线" w:hAnsi="等线"/>
        </w:rPr>
        <w:tab/>
        <w:t xml:space="preserve">Y. LeCun, Y. Bengio, and G. Hinton, ‘Deep learning’, </w:t>
      </w:r>
      <w:r w:rsidRPr="00111004">
        <w:rPr>
          <w:rFonts w:ascii="等线" w:eastAsia="等线" w:hAnsi="等线"/>
          <w:i/>
          <w:iCs/>
        </w:rPr>
        <w:t>Nature</w:t>
      </w:r>
      <w:r w:rsidRPr="00111004">
        <w:rPr>
          <w:rFonts w:ascii="等线" w:eastAsia="等线" w:hAnsi="等线"/>
        </w:rPr>
        <w:t>, vol. 521, no. 7553, pp. 436–444, May 2015, doi: 10.1038/nature14539.</w:t>
      </w:r>
    </w:p>
    <w:p w14:paraId="24D69947" w14:textId="77777777" w:rsidR="00111004" w:rsidRPr="00111004" w:rsidRDefault="00111004" w:rsidP="00111004">
      <w:pPr>
        <w:pStyle w:val="af7"/>
        <w:rPr>
          <w:rFonts w:ascii="等线" w:eastAsia="等线" w:hAnsi="等线" w:hint="eastAsia"/>
        </w:rPr>
      </w:pPr>
      <w:r w:rsidRPr="00111004">
        <w:rPr>
          <w:rFonts w:ascii="等线" w:eastAsia="等线" w:hAnsi="等线"/>
        </w:rPr>
        <w:t>[18]</w:t>
      </w:r>
      <w:r w:rsidRPr="00111004">
        <w:rPr>
          <w:rFonts w:ascii="等线" w:eastAsia="等线" w:hAnsi="等线"/>
        </w:rPr>
        <w:tab/>
        <w:t xml:space="preserve">H. S. Hippert, C. E. Pedreira, and R. C. Souza, ‘Neural networks for short-term load forecasting: a review and evaluation’, </w:t>
      </w:r>
      <w:r w:rsidRPr="00111004">
        <w:rPr>
          <w:rFonts w:ascii="等线" w:eastAsia="等线" w:hAnsi="等线"/>
          <w:i/>
          <w:iCs/>
        </w:rPr>
        <w:t>IEEE Transactions on Power Systems</w:t>
      </w:r>
      <w:r w:rsidRPr="00111004">
        <w:rPr>
          <w:rFonts w:ascii="等线" w:eastAsia="等线" w:hAnsi="等线"/>
        </w:rPr>
        <w:t>, vol. 16, no. 1, pp. 44–55, Feb. 2001, doi: 10.1109/59.910780.</w:t>
      </w:r>
    </w:p>
    <w:p w14:paraId="57C31122" w14:textId="77777777" w:rsidR="00111004" w:rsidRPr="00111004" w:rsidRDefault="00111004" w:rsidP="00111004">
      <w:pPr>
        <w:pStyle w:val="af7"/>
        <w:rPr>
          <w:rFonts w:ascii="等线" w:eastAsia="等线" w:hAnsi="等线" w:hint="eastAsia"/>
        </w:rPr>
      </w:pPr>
      <w:r w:rsidRPr="00111004">
        <w:rPr>
          <w:rFonts w:ascii="等线" w:eastAsia="等线" w:hAnsi="等线"/>
        </w:rPr>
        <w:t>[19]</w:t>
      </w:r>
      <w:r w:rsidRPr="00111004">
        <w:rPr>
          <w:rFonts w:ascii="等线" w:eastAsia="等线" w:hAnsi="等线"/>
        </w:rPr>
        <w:tab/>
        <w:t xml:space="preserve">J. Zheng, C. Xu, Z. Zhang, and X. Li, ‘Electric load forecasting in smart grids using Long-Short-Term-Memory based Recurrent Neural Network’, in </w:t>
      </w:r>
      <w:r w:rsidRPr="00111004">
        <w:rPr>
          <w:rFonts w:ascii="等线" w:eastAsia="等线" w:hAnsi="等线"/>
          <w:i/>
          <w:iCs/>
        </w:rPr>
        <w:t>2017 51st Annual Conference on Information Sciences and Systems (CISS)</w:t>
      </w:r>
      <w:r w:rsidRPr="00111004">
        <w:rPr>
          <w:rFonts w:ascii="等线" w:eastAsia="等线" w:hAnsi="等线"/>
        </w:rPr>
        <w:t>, Mar. 2017, pp. 1–6. doi: 10.1109/CISS.2017.7926112.</w:t>
      </w:r>
    </w:p>
    <w:p w14:paraId="7175251B" w14:textId="77777777" w:rsidR="00111004" w:rsidRPr="00111004" w:rsidRDefault="00111004" w:rsidP="00111004">
      <w:pPr>
        <w:pStyle w:val="af7"/>
        <w:rPr>
          <w:rFonts w:ascii="等线" w:eastAsia="等线" w:hAnsi="等线" w:hint="eastAsia"/>
        </w:rPr>
      </w:pPr>
      <w:r w:rsidRPr="00111004">
        <w:rPr>
          <w:rFonts w:ascii="等线" w:eastAsia="等线" w:hAnsi="等线"/>
        </w:rPr>
        <w:t>[20]</w:t>
      </w:r>
      <w:r w:rsidRPr="00111004">
        <w:rPr>
          <w:rFonts w:ascii="等线" w:eastAsia="等线" w:hAnsi="等线"/>
        </w:rPr>
        <w:tab/>
        <w:t xml:space="preserve">B. N. Oreshkin, D. Carpov, N. Chapados, and Y. Bengio, ‘N-BEATS: Neural basis expansion analysis for interpretable time series forecasting’, Feb. 20, 2020, </w:t>
      </w:r>
      <w:r w:rsidRPr="00111004">
        <w:rPr>
          <w:rFonts w:ascii="等线" w:eastAsia="等线" w:hAnsi="等线"/>
          <w:i/>
          <w:iCs/>
        </w:rPr>
        <w:t>arXiv</w:t>
      </w:r>
      <w:r w:rsidRPr="00111004">
        <w:rPr>
          <w:rFonts w:ascii="等线" w:eastAsia="等线" w:hAnsi="等线"/>
        </w:rPr>
        <w:t>: arXiv:1905.10437. doi: 10.48550/arXiv.1905.10437.</w:t>
      </w:r>
    </w:p>
    <w:p w14:paraId="361D8242" w14:textId="77777777" w:rsidR="00111004" w:rsidRPr="00111004" w:rsidRDefault="00111004" w:rsidP="00111004">
      <w:pPr>
        <w:pStyle w:val="af7"/>
        <w:rPr>
          <w:rFonts w:ascii="等线" w:eastAsia="等线" w:hAnsi="等线" w:hint="eastAsia"/>
        </w:rPr>
      </w:pPr>
      <w:r w:rsidRPr="00111004">
        <w:rPr>
          <w:rFonts w:ascii="等线" w:eastAsia="等线" w:hAnsi="等线"/>
        </w:rPr>
        <w:t>[21]</w:t>
      </w:r>
      <w:r w:rsidRPr="00111004">
        <w:rPr>
          <w:rFonts w:ascii="等线" w:eastAsia="等线" w:hAnsi="等线"/>
        </w:rPr>
        <w:tab/>
        <w:t xml:space="preserve">Y. Wang, D. Gan, M. Sun, N. Zhang, Z. Lu, and C. Kang, ‘Probabilistic individual load forecasting using pinball loss guided LSTM’, </w:t>
      </w:r>
      <w:r w:rsidRPr="00111004">
        <w:rPr>
          <w:rFonts w:ascii="等线" w:eastAsia="等线" w:hAnsi="等线"/>
          <w:i/>
          <w:iCs/>
        </w:rPr>
        <w:t>Applied Energy</w:t>
      </w:r>
      <w:r w:rsidRPr="00111004">
        <w:rPr>
          <w:rFonts w:ascii="等线" w:eastAsia="等线" w:hAnsi="等线"/>
        </w:rPr>
        <w:t>, vol. 235, pp. 10–20, Feb. 2019, doi: 10.1016/j.apenergy.2018.10.078.</w:t>
      </w:r>
    </w:p>
    <w:p w14:paraId="251AE4C9" w14:textId="77777777" w:rsidR="00111004" w:rsidRPr="00111004" w:rsidRDefault="00111004" w:rsidP="00111004">
      <w:pPr>
        <w:pStyle w:val="af7"/>
        <w:rPr>
          <w:rFonts w:ascii="等线" w:eastAsia="等线" w:hAnsi="等线" w:hint="eastAsia"/>
        </w:rPr>
      </w:pPr>
      <w:r w:rsidRPr="00111004">
        <w:rPr>
          <w:rFonts w:ascii="等线" w:eastAsia="等线" w:hAnsi="等线"/>
        </w:rPr>
        <w:t>[22]</w:t>
      </w:r>
      <w:r w:rsidRPr="00111004">
        <w:rPr>
          <w:rFonts w:ascii="等线" w:eastAsia="等线" w:hAnsi="等线"/>
        </w:rPr>
        <w:tab/>
        <w:t xml:space="preserve">H. Shi, M. Xu, and R. Li, ‘Deep Learning for Household Load Forecasting—A Novel Pooling Deep RNN’, </w:t>
      </w:r>
      <w:r w:rsidRPr="00111004">
        <w:rPr>
          <w:rFonts w:ascii="等线" w:eastAsia="等线" w:hAnsi="等线"/>
          <w:i/>
          <w:iCs/>
        </w:rPr>
        <w:t>IEEE Trans. Smart Grid</w:t>
      </w:r>
      <w:r w:rsidRPr="00111004">
        <w:rPr>
          <w:rFonts w:ascii="等线" w:eastAsia="等线" w:hAnsi="等线"/>
        </w:rPr>
        <w:t>, vol. 9, no. 5, pp. 5271–5280, Sep. 2018, doi: 10.1109/TSG.2017.2686012.</w:t>
      </w:r>
    </w:p>
    <w:p w14:paraId="13C7BF73" w14:textId="77777777" w:rsidR="00111004" w:rsidRPr="00111004" w:rsidRDefault="00111004" w:rsidP="00111004">
      <w:pPr>
        <w:pStyle w:val="af7"/>
        <w:rPr>
          <w:rFonts w:ascii="等线" w:eastAsia="等线" w:hAnsi="等线" w:hint="eastAsia"/>
        </w:rPr>
      </w:pPr>
      <w:r w:rsidRPr="00111004">
        <w:rPr>
          <w:rFonts w:ascii="等线" w:eastAsia="等线" w:hAnsi="等线"/>
        </w:rPr>
        <w:t>[23]</w:t>
      </w:r>
      <w:r w:rsidRPr="00111004">
        <w:rPr>
          <w:rFonts w:ascii="等线" w:eastAsia="等线" w:hAnsi="等线"/>
        </w:rPr>
        <w:tab/>
        <w:t xml:space="preserve">S. Smyl, ‘A hybrid method of exponential smoothing and recurrent neural networks for time series forecasting’, </w:t>
      </w:r>
      <w:r w:rsidRPr="00111004">
        <w:rPr>
          <w:rFonts w:ascii="等线" w:eastAsia="等线" w:hAnsi="等线"/>
          <w:i/>
          <w:iCs/>
        </w:rPr>
        <w:t>International Journal of Forecasting</w:t>
      </w:r>
      <w:r w:rsidRPr="00111004">
        <w:rPr>
          <w:rFonts w:ascii="等线" w:eastAsia="等线" w:hAnsi="等线"/>
        </w:rPr>
        <w:t>, vol. 36, no. 1, pp. 75–85, Jan. 2020, doi: 10.1016/j.ijforecast.2019.03.017.</w:t>
      </w:r>
    </w:p>
    <w:p w14:paraId="71085CBE" w14:textId="77777777" w:rsidR="00111004" w:rsidRPr="00111004" w:rsidRDefault="00111004" w:rsidP="00111004">
      <w:pPr>
        <w:pStyle w:val="af7"/>
        <w:rPr>
          <w:rFonts w:ascii="等线" w:eastAsia="等线" w:hAnsi="等线" w:hint="eastAsia"/>
        </w:rPr>
      </w:pPr>
      <w:r w:rsidRPr="00111004">
        <w:rPr>
          <w:rFonts w:ascii="等线" w:eastAsia="等线" w:hAnsi="等线"/>
        </w:rPr>
        <w:t>[24]</w:t>
      </w:r>
      <w:r w:rsidRPr="00111004">
        <w:rPr>
          <w:rFonts w:ascii="等线" w:eastAsia="等线" w:hAnsi="等线"/>
        </w:rPr>
        <w:tab/>
        <w:t xml:space="preserve">J. Lu, A. Liu, F. Dong, F. Gu, J. Gama, and G. Zhang, ‘Learning under Concept Drift: A Review’, </w:t>
      </w:r>
      <w:r w:rsidRPr="00111004">
        <w:rPr>
          <w:rFonts w:ascii="等线" w:eastAsia="等线" w:hAnsi="等线"/>
          <w:i/>
          <w:iCs/>
        </w:rPr>
        <w:t>IEEE Transactions on Knowledge and Data Engineering</w:t>
      </w:r>
      <w:r w:rsidRPr="00111004">
        <w:rPr>
          <w:rFonts w:ascii="等线" w:eastAsia="等线" w:hAnsi="等线"/>
        </w:rPr>
        <w:t>, vol. 31, no. 12, pp. 2346–2363, Dec. 2019, doi: 10.1109/TKDE.2018.2876857.</w:t>
      </w:r>
    </w:p>
    <w:p w14:paraId="68DAC72D" w14:textId="77777777" w:rsidR="00111004" w:rsidRPr="00111004" w:rsidRDefault="00111004" w:rsidP="00111004">
      <w:pPr>
        <w:pStyle w:val="af7"/>
        <w:rPr>
          <w:rFonts w:ascii="等线" w:eastAsia="等线" w:hAnsi="等线" w:hint="eastAsia"/>
        </w:rPr>
      </w:pPr>
      <w:r w:rsidRPr="00111004">
        <w:rPr>
          <w:rFonts w:ascii="等线" w:eastAsia="等线" w:hAnsi="等线"/>
        </w:rPr>
        <w:t>[25]</w:t>
      </w:r>
      <w:r w:rsidRPr="00111004">
        <w:rPr>
          <w:rFonts w:ascii="等线" w:eastAsia="等线" w:hAnsi="等线"/>
        </w:rPr>
        <w:tab/>
        <w:t xml:space="preserve">M. Cai, M. Pipattanasomporn, and S. Rahman, ‘Day-ahead building-level load forecasts using deep learning vs. traditional time-series techniques’, </w:t>
      </w:r>
      <w:r w:rsidRPr="00111004">
        <w:rPr>
          <w:rFonts w:ascii="等线" w:eastAsia="等线" w:hAnsi="等线"/>
          <w:i/>
          <w:iCs/>
        </w:rPr>
        <w:t>Applied Energy</w:t>
      </w:r>
      <w:r w:rsidRPr="00111004">
        <w:rPr>
          <w:rFonts w:ascii="等线" w:eastAsia="等线" w:hAnsi="等线"/>
        </w:rPr>
        <w:t>, vol. 236, pp. 1078–1088, Feb. 2019, doi: 10.1016/j.apenergy.2018.12.042.</w:t>
      </w:r>
    </w:p>
    <w:p w14:paraId="2C1807C1" w14:textId="77777777" w:rsidR="00111004" w:rsidRPr="00111004" w:rsidRDefault="00111004" w:rsidP="00111004">
      <w:pPr>
        <w:pStyle w:val="af7"/>
        <w:rPr>
          <w:rFonts w:ascii="等线" w:eastAsia="等线" w:hAnsi="等线" w:hint="eastAsia"/>
        </w:rPr>
      </w:pPr>
      <w:r w:rsidRPr="00111004">
        <w:rPr>
          <w:rFonts w:ascii="等线" w:eastAsia="等线" w:hAnsi="等线"/>
        </w:rPr>
        <w:t>[26]</w:t>
      </w:r>
      <w:r w:rsidRPr="00111004">
        <w:rPr>
          <w:rFonts w:ascii="等线" w:eastAsia="等线" w:hAnsi="等线"/>
        </w:rPr>
        <w:tab/>
        <w:t xml:space="preserve">J. Sola and J. Sevilla, ‘Importance of input data normalization for the application of neural networks to complex industrial problems’, </w:t>
      </w:r>
      <w:r w:rsidRPr="00111004">
        <w:rPr>
          <w:rFonts w:ascii="等线" w:eastAsia="等线" w:hAnsi="等线"/>
          <w:i/>
          <w:iCs/>
        </w:rPr>
        <w:t>IEEE Transactions on Nuclear Science</w:t>
      </w:r>
      <w:r w:rsidRPr="00111004">
        <w:rPr>
          <w:rFonts w:ascii="等线" w:eastAsia="等线" w:hAnsi="等线"/>
        </w:rPr>
        <w:t>, vol. 44, no. 3, pp. 1464–1468, Jun. 1997, doi: 10.1109/23.589532.</w:t>
      </w:r>
    </w:p>
    <w:p w14:paraId="30EE3B00" w14:textId="77777777" w:rsidR="00111004" w:rsidRPr="00111004" w:rsidRDefault="00111004" w:rsidP="00111004">
      <w:pPr>
        <w:pStyle w:val="af7"/>
        <w:rPr>
          <w:rFonts w:ascii="等线" w:eastAsia="等线" w:hAnsi="等线" w:hint="eastAsia"/>
        </w:rPr>
      </w:pPr>
      <w:r w:rsidRPr="00111004">
        <w:rPr>
          <w:rFonts w:ascii="等线" w:eastAsia="等线" w:hAnsi="等线"/>
        </w:rPr>
        <w:t>[27]</w:t>
      </w:r>
      <w:r w:rsidRPr="00111004">
        <w:rPr>
          <w:rFonts w:ascii="等线" w:eastAsia="等线" w:hAnsi="等线"/>
        </w:rPr>
        <w:tab/>
        <w:t xml:space="preserve">I. Goodfellow, Y. Bengio, and A. Courville, </w:t>
      </w:r>
      <w:r w:rsidRPr="00111004">
        <w:rPr>
          <w:rFonts w:ascii="等线" w:eastAsia="等线" w:hAnsi="等线"/>
          <w:i/>
          <w:iCs/>
        </w:rPr>
        <w:t>Deep learning</w:t>
      </w:r>
      <w:r w:rsidRPr="00111004">
        <w:rPr>
          <w:rFonts w:ascii="等线" w:eastAsia="等线" w:hAnsi="等线"/>
        </w:rPr>
        <w:t>. in Adaptive computation and machine learning. Cambridge, Mass: The MIT press, 2016.</w:t>
      </w:r>
    </w:p>
    <w:p w14:paraId="3E5A3835" w14:textId="77777777" w:rsidR="00111004" w:rsidRPr="00111004" w:rsidRDefault="00111004" w:rsidP="00111004">
      <w:pPr>
        <w:pStyle w:val="af7"/>
        <w:rPr>
          <w:rFonts w:ascii="等线" w:eastAsia="等线" w:hAnsi="等线" w:hint="eastAsia"/>
        </w:rPr>
      </w:pPr>
      <w:r w:rsidRPr="00111004">
        <w:rPr>
          <w:rFonts w:ascii="等线" w:eastAsia="等线" w:hAnsi="等线"/>
        </w:rPr>
        <w:t>[28]</w:t>
      </w:r>
      <w:r w:rsidRPr="00111004">
        <w:rPr>
          <w:rFonts w:ascii="等线" w:eastAsia="等线" w:hAnsi="等线"/>
        </w:rPr>
        <w:tab/>
        <w:t xml:space="preserve">A. Sherstinsky, ‘Fundamentals of Recurrent Neural Network (RNN) and Long Short-Term Memory (LSTM) network’, </w:t>
      </w:r>
      <w:r w:rsidRPr="00111004">
        <w:rPr>
          <w:rFonts w:ascii="等线" w:eastAsia="等线" w:hAnsi="等线"/>
          <w:i/>
          <w:iCs/>
        </w:rPr>
        <w:t>Physica D: Nonlinear Phenomena</w:t>
      </w:r>
      <w:r w:rsidRPr="00111004">
        <w:rPr>
          <w:rFonts w:ascii="等线" w:eastAsia="等线" w:hAnsi="等线"/>
        </w:rPr>
        <w:t>, vol. 404, p. 132306, Mar. 2020, doi: 10.1016/j.physd.2019.132306.</w:t>
      </w:r>
    </w:p>
    <w:p w14:paraId="262B0E7D" w14:textId="77777777" w:rsidR="00111004" w:rsidRPr="00111004" w:rsidRDefault="00111004" w:rsidP="00111004">
      <w:pPr>
        <w:pStyle w:val="af7"/>
        <w:rPr>
          <w:rFonts w:ascii="等线" w:eastAsia="等线" w:hAnsi="等线" w:hint="eastAsia"/>
        </w:rPr>
      </w:pPr>
      <w:r w:rsidRPr="00111004">
        <w:rPr>
          <w:rFonts w:ascii="等线" w:eastAsia="等线" w:hAnsi="等线"/>
        </w:rPr>
        <w:t>[29]</w:t>
      </w:r>
      <w:r w:rsidRPr="00111004">
        <w:rPr>
          <w:rFonts w:ascii="等线" w:eastAsia="等线" w:hAnsi="等线"/>
        </w:rPr>
        <w:tab/>
        <w:t xml:space="preserve">G. Ke </w:t>
      </w:r>
      <w:r w:rsidRPr="00111004">
        <w:rPr>
          <w:rFonts w:ascii="等线" w:eastAsia="等线" w:hAnsi="等线"/>
          <w:i/>
          <w:iCs/>
        </w:rPr>
        <w:t>et al.</w:t>
      </w:r>
      <w:r w:rsidRPr="00111004">
        <w:rPr>
          <w:rFonts w:ascii="等线" w:eastAsia="等线" w:hAnsi="等线"/>
        </w:rPr>
        <w:t xml:space="preserve">, ‘LightGBM: A Highly Efficient Gradient Boosting Decision Tree’, in </w:t>
      </w:r>
      <w:r w:rsidRPr="00111004">
        <w:rPr>
          <w:rFonts w:ascii="等线" w:eastAsia="等线" w:hAnsi="等线"/>
          <w:i/>
          <w:iCs/>
        </w:rPr>
        <w:t>Advances in Neural Information Processing Systems</w:t>
      </w:r>
      <w:r w:rsidRPr="00111004">
        <w:rPr>
          <w:rFonts w:ascii="等线" w:eastAsia="等线" w:hAnsi="等线"/>
        </w:rPr>
        <w:t xml:space="preserve">, Curran Associates, Inc., 2017. Accessed: May 01, 2026. [Online]. Available: </w:t>
      </w:r>
      <w:r w:rsidRPr="00111004">
        <w:rPr>
          <w:rFonts w:ascii="等线" w:eastAsia="等线" w:hAnsi="等线"/>
        </w:rPr>
        <w:lastRenderedPageBreak/>
        <w:t>https://proceedings.neurips.cc/paper/2017/hash/6449f44a102fde848669bdd9eb6b76fa-Abstract.html</w:t>
      </w:r>
    </w:p>
    <w:p w14:paraId="5CD7A4F4" w14:textId="77777777" w:rsidR="00111004" w:rsidRPr="00111004" w:rsidRDefault="00111004" w:rsidP="00111004">
      <w:pPr>
        <w:pStyle w:val="af7"/>
        <w:rPr>
          <w:rFonts w:ascii="等线" w:eastAsia="等线" w:hAnsi="等线" w:hint="eastAsia"/>
        </w:rPr>
      </w:pPr>
      <w:r w:rsidRPr="00111004">
        <w:rPr>
          <w:rFonts w:ascii="等线" w:eastAsia="等线" w:hAnsi="等线"/>
        </w:rPr>
        <w:t>[30]</w:t>
      </w:r>
      <w:r w:rsidRPr="00111004">
        <w:rPr>
          <w:rFonts w:ascii="等线" w:eastAsia="等线" w:hAnsi="等线"/>
        </w:rPr>
        <w:tab/>
        <w:t xml:space="preserve">A. Vaswani </w:t>
      </w:r>
      <w:r w:rsidRPr="00111004">
        <w:rPr>
          <w:rFonts w:ascii="等线" w:eastAsia="等线" w:hAnsi="等线"/>
          <w:i/>
          <w:iCs/>
        </w:rPr>
        <w:t>et al.</w:t>
      </w:r>
      <w:r w:rsidRPr="00111004">
        <w:rPr>
          <w:rFonts w:ascii="等线" w:eastAsia="等线" w:hAnsi="等线"/>
        </w:rPr>
        <w:t xml:space="preserve">, ‘Attention is All you Need’, in </w:t>
      </w:r>
      <w:r w:rsidRPr="00111004">
        <w:rPr>
          <w:rFonts w:ascii="等线" w:eastAsia="等线" w:hAnsi="等线"/>
          <w:i/>
          <w:iCs/>
        </w:rPr>
        <w:t>Advances in Neural Information Processing Systems</w:t>
      </w:r>
      <w:r w:rsidRPr="00111004">
        <w:rPr>
          <w:rFonts w:ascii="等线" w:eastAsia="等线" w:hAnsi="等线"/>
        </w:rPr>
        <w:t>, Curran Associates, Inc., 2017. Accessed: May 01, 2026. [Online]. Available: https://proceedings.neurips.cc/paper/2017/hash/3f5ee243547dee91fbd053c1c4a845aa-Abstract.html</w:t>
      </w:r>
    </w:p>
    <w:p w14:paraId="57E012C9" w14:textId="77777777" w:rsidR="00111004" w:rsidRPr="00111004" w:rsidRDefault="00111004" w:rsidP="00111004">
      <w:pPr>
        <w:pStyle w:val="af7"/>
        <w:rPr>
          <w:rFonts w:ascii="等线" w:eastAsia="等线" w:hAnsi="等线" w:hint="eastAsia"/>
        </w:rPr>
      </w:pPr>
      <w:r w:rsidRPr="00111004">
        <w:rPr>
          <w:rFonts w:ascii="等线" w:eastAsia="等线" w:hAnsi="等线"/>
        </w:rPr>
        <w:t>[31]</w:t>
      </w:r>
      <w:r w:rsidRPr="00111004">
        <w:rPr>
          <w:rFonts w:ascii="等线" w:eastAsia="等线" w:hAnsi="等线"/>
        </w:rPr>
        <w:tab/>
        <w:t xml:space="preserve">Z. Niu, G. Zhong, and H. Yu, ‘A review on the attention mechanism of deep learning’, </w:t>
      </w:r>
      <w:r w:rsidRPr="00111004">
        <w:rPr>
          <w:rFonts w:ascii="等线" w:eastAsia="等线" w:hAnsi="等线"/>
          <w:i/>
          <w:iCs/>
        </w:rPr>
        <w:t>Neurocomputing</w:t>
      </w:r>
      <w:r w:rsidRPr="00111004">
        <w:rPr>
          <w:rFonts w:ascii="等线" w:eastAsia="等线" w:hAnsi="等线"/>
        </w:rPr>
        <w:t>, vol. 452, pp. 48–62, Sep. 2021, doi: 10.1016/j.neucom.2021.03.091.</w:t>
      </w:r>
    </w:p>
    <w:p w14:paraId="4A3D834F" w14:textId="77777777" w:rsidR="00111004" w:rsidRPr="00111004" w:rsidRDefault="00111004" w:rsidP="00111004">
      <w:pPr>
        <w:pStyle w:val="af7"/>
        <w:rPr>
          <w:rFonts w:ascii="等线" w:eastAsia="等线" w:hAnsi="等线" w:hint="eastAsia"/>
        </w:rPr>
      </w:pPr>
      <w:r w:rsidRPr="00111004">
        <w:rPr>
          <w:rFonts w:ascii="等线" w:eastAsia="等线" w:hAnsi="等线"/>
        </w:rPr>
        <w:t>[32]</w:t>
      </w:r>
      <w:r w:rsidRPr="00111004">
        <w:rPr>
          <w:rFonts w:ascii="等线" w:eastAsia="等线" w:hAnsi="等线"/>
        </w:rPr>
        <w:tab/>
        <w:t xml:space="preserve">D. P. Kingma and J. Ba, ‘Adam: A Method for Stochastic Optimization’, Jan. 30, 2017, </w:t>
      </w:r>
      <w:r w:rsidRPr="00111004">
        <w:rPr>
          <w:rFonts w:ascii="等线" w:eastAsia="等线" w:hAnsi="等线"/>
          <w:i/>
          <w:iCs/>
        </w:rPr>
        <w:t>arXiv</w:t>
      </w:r>
      <w:r w:rsidRPr="00111004">
        <w:rPr>
          <w:rFonts w:ascii="等线" w:eastAsia="等线" w:hAnsi="等线"/>
        </w:rPr>
        <w:t>: arXiv:1412.6980. doi: 10.48550/arXiv.1412.6980.</w:t>
      </w:r>
    </w:p>
    <w:p w14:paraId="34E342D2" w14:textId="77777777" w:rsidR="00111004" w:rsidRPr="00111004" w:rsidRDefault="00111004" w:rsidP="00111004">
      <w:pPr>
        <w:pStyle w:val="af7"/>
        <w:rPr>
          <w:rFonts w:ascii="等线" w:eastAsia="等线" w:hAnsi="等线" w:hint="eastAsia"/>
        </w:rPr>
      </w:pPr>
      <w:r w:rsidRPr="00111004">
        <w:rPr>
          <w:rFonts w:ascii="等线" w:eastAsia="等线" w:hAnsi="等线"/>
        </w:rPr>
        <w:t>[33]</w:t>
      </w:r>
      <w:r w:rsidRPr="00111004">
        <w:rPr>
          <w:rFonts w:ascii="等线" w:eastAsia="等线" w:hAnsi="等线"/>
        </w:rPr>
        <w:tab/>
        <w:t xml:space="preserve">I. Loshchilov and F. Hutter, ‘Decoupled Weight Decay Regularization’, Jan. 04, 2019, </w:t>
      </w:r>
      <w:r w:rsidRPr="00111004">
        <w:rPr>
          <w:rFonts w:ascii="等线" w:eastAsia="等线" w:hAnsi="等线"/>
          <w:i/>
          <w:iCs/>
        </w:rPr>
        <w:t>arXiv</w:t>
      </w:r>
      <w:r w:rsidRPr="00111004">
        <w:rPr>
          <w:rFonts w:ascii="等线" w:eastAsia="等线" w:hAnsi="等线"/>
        </w:rPr>
        <w:t>: arXiv:1711.05101. doi: 10.48550/arXiv.1711.05101.</w:t>
      </w:r>
    </w:p>
    <w:p w14:paraId="0D8732F5" w14:textId="77777777" w:rsidR="00111004" w:rsidRPr="00111004" w:rsidRDefault="00111004" w:rsidP="00111004">
      <w:pPr>
        <w:pStyle w:val="af7"/>
        <w:rPr>
          <w:rFonts w:ascii="等线" w:eastAsia="等线" w:hAnsi="等线" w:hint="eastAsia"/>
        </w:rPr>
      </w:pPr>
      <w:r w:rsidRPr="00111004">
        <w:rPr>
          <w:rFonts w:ascii="等线" w:eastAsia="等线" w:hAnsi="等线"/>
        </w:rPr>
        <w:t>[34]</w:t>
      </w:r>
      <w:r w:rsidRPr="00111004">
        <w:rPr>
          <w:rFonts w:ascii="等线" w:eastAsia="等线" w:hAnsi="等线"/>
        </w:rPr>
        <w:tab/>
        <w:t>J. Bergstra, J. Bergstra, Y. Bengio, and Y. Bengio, ‘Random Search for Hyper-Parameter Optimization’.</w:t>
      </w:r>
    </w:p>
    <w:p w14:paraId="16BA8B1E" w14:textId="77777777" w:rsidR="00111004" w:rsidRPr="00111004" w:rsidRDefault="00111004" w:rsidP="00111004">
      <w:pPr>
        <w:pStyle w:val="af7"/>
        <w:rPr>
          <w:rFonts w:ascii="等线" w:eastAsia="等线" w:hAnsi="等线" w:hint="eastAsia"/>
        </w:rPr>
      </w:pPr>
      <w:r w:rsidRPr="00111004">
        <w:rPr>
          <w:rFonts w:ascii="等线" w:eastAsia="等线" w:hAnsi="等线"/>
        </w:rPr>
        <w:t>[35]</w:t>
      </w:r>
      <w:r w:rsidRPr="00111004">
        <w:rPr>
          <w:rFonts w:ascii="等线" w:eastAsia="等线" w:hAnsi="等线"/>
        </w:rPr>
        <w:tab/>
        <w:t xml:space="preserve">M. Feurer and F. Hutter, ‘Hyperparameter Optimization’, in </w:t>
      </w:r>
      <w:r w:rsidRPr="00111004">
        <w:rPr>
          <w:rFonts w:ascii="等线" w:eastAsia="等线" w:hAnsi="等线"/>
          <w:i/>
          <w:iCs/>
        </w:rPr>
        <w:t>Automated Machine Learning: Methods, Systems, Challenges</w:t>
      </w:r>
      <w:r w:rsidRPr="00111004">
        <w:rPr>
          <w:rFonts w:ascii="等线" w:eastAsia="等线" w:hAnsi="等线"/>
        </w:rPr>
        <w:t>, F. Hutter, L. Kotthoff, and J. Vanschoren, Eds, Cham: Springer International Publishing, 2019, pp. 3–33. doi: 10.1007/978-3-030-05318-5_1.</w:t>
      </w:r>
    </w:p>
    <w:p w14:paraId="0D77B486" w14:textId="77777777" w:rsidR="00111004" w:rsidRPr="00111004" w:rsidRDefault="00111004" w:rsidP="00111004">
      <w:pPr>
        <w:pStyle w:val="af7"/>
        <w:rPr>
          <w:rFonts w:ascii="等线" w:eastAsia="等线" w:hAnsi="等线" w:hint="eastAsia"/>
        </w:rPr>
      </w:pPr>
      <w:r w:rsidRPr="00111004">
        <w:rPr>
          <w:rFonts w:ascii="等线" w:eastAsia="等线" w:hAnsi="等线"/>
        </w:rPr>
        <w:t>[36]</w:t>
      </w:r>
      <w:r w:rsidRPr="00111004">
        <w:rPr>
          <w:rFonts w:ascii="等线" w:eastAsia="等线" w:hAnsi="等线"/>
        </w:rPr>
        <w:tab/>
        <w:t>T. J. Santner, B. J. Williams, and W. I. Notz, ‘The Design and Analysis of Computer Experiments’.</w:t>
      </w:r>
    </w:p>
    <w:p w14:paraId="44553C1D" w14:textId="77777777" w:rsidR="00111004" w:rsidRPr="00111004" w:rsidRDefault="00111004" w:rsidP="00111004">
      <w:pPr>
        <w:pStyle w:val="af7"/>
        <w:rPr>
          <w:rFonts w:ascii="等线" w:eastAsia="等线" w:hAnsi="等线" w:hint="eastAsia"/>
        </w:rPr>
      </w:pPr>
      <w:r w:rsidRPr="00111004">
        <w:rPr>
          <w:rFonts w:ascii="等线" w:eastAsia="等线" w:hAnsi="等线"/>
        </w:rPr>
        <w:t>[37]</w:t>
      </w:r>
      <w:r w:rsidRPr="00111004">
        <w:rPr>
          <w:rFonts w:ascii="等线" w:eastAsia="等线" w:hAnsi="等线"/>
        </w:rPr>
        <w:tab/>
        <w:t xml:space="preserve">T. Hong and S. Fan, ‘Probabilistic electric load forecasting: A tutorial review’, </w:t>
      </w:r>
      <w:r w:rsidRPr="00111004">
        <w:rPr>
          <w:rFonts w:ascii="等线" w:eastAsia="等线" w:hAnsi="等线"/>
          <w:i/>
          <w:iCs/>
        </w:rPr>
        <w:t>International Journal of Forecasting</w:t>
      </w:r>
      <w:r w:rsidRPr="00111004">
        <w:rPr>
          <w:rFonts w:ascii="等线" w:eastAsia="等线" w:hAnsi="等线"/>
        </w:rPr>
        <w:t>, vol. 32, no. 3, pp. 914–938, Jul. 2016, doi: 10.1016/j.ijforecast.2015.11.011.</w:t>
      </w:r>
    </w:p>
    <w:p w14:paraId="14F010A9" w14:textId="77777777" w:rsidR="00111004" w:rsidRPr="00111004" w:rsidRDefault="00111004" w:rsidP="00111004">
      <w:pPr>
        <w:pStyle w:val="af7"/>
        <w:rPr>
          <w:rFonts w:ascii="等线" w:eastAsia="等线" w:hAnsi="等线" w:hint="eastAsia"/>
        </w:rPr>
      </w:pPr>
      <w:r w:rsidRPr="00111004">
        <w:rPr>
          <w:rFonts w:ascii="等线" w:eastAsia="等线" w:hAnsi="等线"/>
        </w:rPr>
        <w:t>[38]</w:t>
      </w:r>
      <w:r w:rsidRPr="00111004">
        <w:rPr>
          <w:rFonts w:ascii="等线" w:eastAsia="等线" w:hAnsi="等线"/>
        </w:rPr>
        <w:tab/>
        <w:t>Z. Cao, L. Ma, M. Long, and J. Wang, ‘Partial Adversarial Domain Adaptation’.</w:t>
      </w:r>
    </w:p>
    <w:p w14:paraId="58BBDAFD" w14:textId="77777777" w:rsidR="00111004" w:rsidRPr="00111004" w:rsidRDefault="00111004" w:rsidP="00111004">
      <w:pPr>
        <w:pStyle w:val="af7"/>
        <w:rPr>
          <w:rFonts w:ascii="等线" w:eastAsia="等线" w:hAnsi="等线" w:hint="eastAsia"/>
        </w:rPr>
      </w:pPr>
      <w:r w:rsidRPr="00111004">
        <w:rPr>
          <w:rFonts w:ascii="等线" w:eastAsia="等线" w:hAnsi="等线"/>
        </w:rPr>
        <w:t>[39]</w:t>
      </w:r>
      <w:r w:rsidRPr="00111004">
        <w:rPr>
          <w:rFonts w:ascii="等线" w:eastAsia="等线" w:hAnsi="等线"/>
        </w:rPr>
        <w:tab/>
        <w:t xml:space="preserve">B. Lim and S. Zohren, ‘Time-series forecasting with deep learning: a survey’, </w:t>
      </w:r>
      <w:r w:rsidRPr="00111004">
        <w:rPr>
          <w:rFonts w:ascii="等线" w:eastAsia="等线" w:hAnsi="等线"/>
          <w:i/>
          <w:iCs/>
        </w:rPr>
        <w:t>Phil. Trans. R. Soc. A.</w:t>
      </w:r>
      <w:r w:rsidRPr="00111004">
        <w:rPr>
          <w:rFonts w:ascii="等线" w:eastAsia="等线" w:hAnsi="等线"/>
        </w:rPr>
        <w:t>, vol. 379, no. 2194, p. 20200209, Apr. 2021, doi: 10.1098/rsta.2020.0209.</w:t>
      </w:r>
    </w:p>
    <w:p w14:paraId="39CD1392" w14:textId="77777777" w:rsidR="00111004" w:rsidRPr="00111004" w:rsidRDefault="00111004" w:rsidP="00111004">
      <w:pPr>
        <w:pStyle w:val="af7"/>
        <w:rPr>
          <w:rFonts w:ascii="等线" w:eastAsia="等线" w:hAnsi="等线" w:hint="eastAsia"/>
        </w:rPr>
      </w:pPr>
      <w:r w:rsidRPr="00111004">
        <w:rPr>
          <w:rFonts w:ascii="等线" w:eastAsia="等线" w:hAnsi="等线"/>
        </w:rPr>
        <w:t>[40]</w:t>
      </w:r>
      <w:r w:rsidRPr="00111004">
        <w:rPr>
          <w:rFonts w:ascii="等线" w:eastAsia="等线" w:hAnsi="等线"/>
        </w:rPr>
        <w:tab/>
        <w:t xml:space="preserve">D. L. Marino, K. Amarasinghe, and M. Manic, ‘Building energy load forecasting using Deep Neural Networks’, in </w:t>
      </w:r>
      <w:r w:rsidRPr="00111004">
        <w:rPr>
          <w:rFonts w:ascii="等线" w:eastAsia="等线" w:hAnsi="等线"/>
          <w:i/>
          <w:iCs/>
        </w:rPr>
        <w:t>IECON 2016 - 42nd Annual Conference of the IEEE Industrial Electronics Society</w:t>
      </w:r>
      <w:r w:rsidRPr="00111004">
        <w:rPr>
          <w:rFonts w:ascii="等线" w:eastAsia="等线" w:hAnsi="等线"/>
        </w:rPr>
        <w:t>, Oct. 2016, pp. 7046–7051. doi: 10.1109/IECON.2016.7793413.</w:t>
      </w:r>
    </w:p>
    <w:p w14:paraId="0B74A4F4" w14:textId="77777777" w:rsidR="00111004" w:rsidRPr="00111004" w:rsidRDefault="00111004" w:rsidP="00111004">
      <w:pPr>
        <w:pStyle w:val="af7"/>
        <w:rPr>
          <w:rFonts w:ascii="等线" w:eastAsia="等线" w:hAnsi="等线" w:hint="eastAsia"/>
        </w:rPr>
      </w:pPr>
      <w:r w:rsidRPr="00111004">
        <w:rPr>
          <w:rFonts w:ascii="等线" w:eastAsia="等线" w:hAnsi="等线"/>
        </w:rPr>
        <w:t>[41]</w:t>
      </w:r>
      <w:r w:rsidRPr="00111004">
        <w:rPr>
          <w:rFonts w:ascii="等线" w:eastAsia="等线" w:hAnsi="等线"/>
        </w:rPr>
        <w:tab/>
        <w:t xml:space="preserve">H. Zhou </w:t>
      </w:r>
      <w:r w:rsidRPr="00111004">
        <w:rPr>
          <w:rFonts w:ascii="等线" w:eastAsia="等线" w:hAnsi="等线"/>
          <w:i/>
          <w:iCs/>
        </w:rPr>
        <w:t>et al.</w:t>
      </w:r>
      <w:r w:rsidRPr="00111004">
        <w:rPr>
          <w:rFonts w:ascii="等线" w:eastAsia="等线" w:hAnsi="等线"/>
        </w:rPr>
        <w:t xml:space="preserve">, ‘Informer: Beyond Efficient Transformer for Long Sequence Time-Series Forecasting’, </w:t>
      </w:r>
      <w:r w:rsidRPr="00111004">
        <w:rPr>
          <w:rFonts w:ascii="等线" w:eastAsia="等线" w:hAnsi="等线"/>
          <w:i/>
          <w:iCs/>
        </w:rPr>
        <w:t>Proceedings of the AAAI Conference on Artificial Intelligence</w:t>
      </w:r>
      <w:r w:rsidRPr="00111004">
        <w:rPr>
          <w:rFonts w:ascii="等线" w:eastAsia="等线" w:hAnsi="等线"/>
        </w:rPr>
        <w:t>, vol. 35, no. 12, pp. 11106–11115, May 2021, doi: 10.1609/aaai.v35i12.17325.</w:t>
      </w:r>
    </w:p>
    <w:p w14:paraId="14E8E11C" w14:textId="77777777" w:rsidR="00111004" w:rsidRPr="00111004" w:rsidRDefault="00111004" w:rsidP="00111004">
      <w:pPr>
        <w:pStyle w:val="af7"/>
        <w:rPr>
          <w:rFonts w:ascii="等线" w:eastAsia="等线" w:hAnsi="等线" w:hint="eastAsia"/>
        </w:rPr>
      </w:pPr>
      <w:r w:rsidRPr="00111004">
        <w:rPr>
          <w:rFonts w:ascii="等线" w:eastAsia="等线" w:hAnsi="等线"/>
        </w:rPr>
        <w:t>[42]</w:t>
      </w:r>
      <w:r w:rsidRPr="00111004">
        <w:rPr>
          <w:rFonts w:ascii="等线" w:eastAsia="等线" w:hAnsi="等线"/>
        </w:rPr>
        <w:tab/>
        <w:t xml:space="preserve">R. J. Hyndman and A. B. Koehler, ‘Another look at measures of forecast accuracy’, </w:t>
      </w:r>
      <w:r w:rsidRPr="00111004">
        <w:rPr>
          <w:rFonts w:ascii="等线" w:eastAsia="等线" w:hAnsi="等线"/>
          <w:i/>
          <w:iCs/>
        </w:rPr>
        <w:t>International Journal of Forecasting</w:t>
      </w:r>
      <w:r w:rsidRPr="00111004">
        <w:rPr>
          <w:rFonts w:ascii="等线" w:eastAsia="等线" w:hAnsi="等线"/>
        </w:rPr>
        <w:t>, vol. 22, no. 4, pp. 679–688, Oct. 2006, doi: 10.1016/j.ijforecast.2006.03.001.</w:t>
      </w:r>
    </w:p>
    <w:p w14:paraId="4510B90D" w14:textId="77777777" w:rsidR="00111004" w:rsidRPr="00111004" w:rsidRDefault="00111004" w:rsidP="00111004">
      <w:pPr>
        <w:pStyle w:val="af7"/>
        <w:rPr>
          <w:rFonts w:ascii="等线" w:eastAsia="等线" w:hAnsi="等线" w:hint="eastAsia"/>
        </w:rPr>
      </w:pPr>
      <w:r w:rsidRPr="00111004">
        <w:rPr>
          <w:rFonts w:ascii="等线" w:eastAsia="等线" w:hAnsi="等线"/>
        </w:rPr>
        <w:t>[43]</w:t>
      </w:r>
      <w:r w:rsidRPr="00111004">
        <w:rPr>
          <w:rFonts w:ascii="等线" w:eastAsia="等线" w:hAnsi="等线"/>
        </w:rPr>
        <w:tab/>
        <w:t xml:space="preserve">T. Li, A. K. Sahu, A. Talwalkar, and V. Smith, ‘Federated Learning: Challenges, Methods, and Future Directions’, </w:t>
      </w:r>
      <w:r w:rsidRPr="00111004">
        <w:rPr>
          <w:rFonts w:ascii="等线" w:eastAsia="等线" w:hAnsi="等线"/>
          <w:i/>
          <w:iCs/>
        </w:rPr>
        <w:t>IEEE Signal Processing Magazine</w:t>
      </w:r>
      <w:r w:rsidRPr="00111004">
        <w:rPr>
          <w:rFonts w:ascii="等线" w:eastAsia="等线" w:hAnsi="等线"/>
        </w:rPr>
        <w:t>, vol. 37, no. 3, pp. 50–60, May 2020, doi: 10.1109/MSP.2020.2975749.</w:t>
      </w:r>
    </w:p>
    <w:p w14:paraId="2D98054F" w14:textId="77777777" w:rsidR="00111004" w:rsidRPr="00111004" w:rsidRDefault="00111004" w:rsidP="00111004">
      <w:pPr>
        <w:pStyle w:val="af7"/>
        <w:rPr>
          <w:rFonts w:ascii="等线" w:eastAsia="等线" w:hAnsi="等线" w:hint="eastAsia"/>
        </w:rPr>
      </w:pPr>
      <w:r w:rsidRPr="00111004">
        <w:rPr>
          <w:rFonts w:ascii="等线" w:eastAsia="等线" w:hAnsi="等线"/>
        </w:rPr>
        <w:t>[44]</w:t>
      </w:r>
      <w:r w:rsidRPr="00111004">
        <w:rPr>
          <w:rFonts w:ascii="等线" w:eastAsia="等线" w:hAnsi="等线"/>
        </w:rPr>
        <w:tab/>
        <w:t xml:space="preserve">Y. Wang, Q. Chen, T. Hong, and C. Kang, ‘Review of Smart Meter Data Analytics: Applications, Methodologies, and Challenges’, </w:t>
      </w:r>
      <w:r w:rsidRPr="00111004">
        <w:rPr>
          <w:rFonts w:ascii="等线" w:eastAsia="等线" w:hAnsi="等线"/>
          <w:i/>
          <w:iCs/>
        </w:rPr>
        <w:t>IEEE Trans. Smart Grid</w:t>
      </w:r>
      <w:r w:rsidRPr="00111004">
        <w:rPr>
          <w:rFonts w:ascii="等线" w:eastAsia="等线" w:hAnsi="等线"/>
        </w:rPr>
        <w:t>, vol. 10, no. 3, pp. 3125–3148, May 2019, doi: 10.1109/TSG.2018.2818167.</w:t>
      </w:r>
    </w:p>
    <w:p w14:paraId="3C107C85" w14:textId="77777777" w:rsidR="00111004" w:rsidRPr="00111004" w:rsidRDefault="00111004" w:rsidP="00111004">
      <w:pPr>
        <w:pStyle w:val="af7"/>
        <w:rPr>
          <w:rFonts w:ascii="等线" w:eastAsia="等线" w:hAnsi="等线" w:hint="eastAsia"/>
        </w:rPr>
      </w:pPr>
      <w:r w:rsidRPr="00111004">
        <w:rPr>
          <w:rFonts w:ascii="等线" w:eastAsia="等线" w:hAnsi="等线"/>
        </w:rPr>
        <w:t>[45]</w:t>
      </w:r>
      <w:r w:rsidRPr="00111004">
        <w:rPr>
          <w:rFonts w:ascii="等线" w:eastAsia="等线" w:hAnsi="等线"/>
        </w:rPr>
        <w:tab/>
        <w:t xml:space="preserve">Q. Yang, Y. Liu, T. Chen, and Y. Tong, ‘Federated Machine Learning: Concept and Applications’, </w:t>
      </w:r>
      <w:r w:rsidRPr="00111004">
        <w:rPr>
          <w:rFonts w:ascii="等线" w:eastAsia="等线" w:hAnsi="等线"/>
          <w:i/>
          <w:iCs/>
        </w:rPr>
        <w:t>ACM Trans. Intell. Syst. Technol.</w:t>
      </w:r>
      <w:r w:rsidRPr="00111004">
        <w:rPr>
          <w:rFonts w:ascii="等线" w:eastAsia="等线" w:hAnsi="等线"/>
        </w:rPr>
        <w:t>, vol. 10, no. 2, p. 12:1-12:19, Jan. 2019, doi: 10.1145/3298981.</w:t>
      </w:r>
    </w:p>
    <w:p w14:paraId="372399CD" w14:textId="29F56D8D" w:rsidR="002C44EF" w:rsidRPr="00D22B50" w:rsidRDefault="00FD5200" w:rsidP="002C44EF">
      <w:pPr>
        <w:rPr>
          <w:rFonts w:hint="eastAsia"/>
        </w:rPr>
      </w:pPr>
      <w:r w:rsidRPr="00D22B50">
        <w:rPr>
          <w:rFonts w:hint="eastAsia"/>
        </w:rPr>
        <w:fldChar w:fldCharType="end"/>
      </w:r>
    </w:p>
    <w:sectPr w:rsidR="002C44EF" w:rsidRPr="00D22B50" w:rsidSect="00DC4709">
      <w:footerReference w:type="default" r:id="rId24"/>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CDD45" w14:textId="77777777" w:rsidR="0023766B" w:rsidRDefault="0023766B" w:rsidP="002C44EF">
      <w:pPr>
        <w:rPr>
          <w:rFonts w:hint="eastAsia"/>
        </w:rPr>
      </w:pPr>
      <w:r>
        <w:separator/>
      </w:r>
    </w:p>
  </w:endnote>
  <w:endnote w:type="continuationSeparator" w:id="0">
    <w:p w14:paraId="2E8B34DB" w14:textId="77777777" w:rsidR="0023766B" w:rsidRDefault="0023766B" w:rsidP="002C44E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9164539"/>
      <w:docPartObj>
        <w:docPartGallery w:val="Page Numbers (Bottom of Page)"/>
        <w:docPartUnique/>
      </w:docPartObj>
    </w:sdtPr>
    <w:sdtContent>
      <w:p w14:paraId="64A8782E" w14:textId="07F18EB4" w:rsidR="00B57CBF" w:rsidRDefault="00B57CBF">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48354782" w14:textId="77777777" w:rsidR="00B57CBF" w:rsidRDefault="00B57CBF">
    <w:pPr>
      <w:pStyle w:val="af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436299"/>
      <w:docPartObj>
        <w:docPartGallery w:val="Page Numbers (Bottom of Page)"/>
        <w:docPartUnique/>
      </w:docPartObj>
    </w:sdtPr>
    <w:sdtContent>
      <w:p w14:paraId="37A29E61" w14:textId="5751328F" w:rsidR="00DC4709" w:rsidRDefault="00DC4709">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3AF83B09" w14:textId="77777777" w:rsidR="00DC4709" w:rsidRDefault="00DC4709">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E1216" w14:textId="77777777" w:rsidR="0023766B" w:rsidRDefault="0023766B" w:rsidP="002C44EF">
      <w:pPr>
        <w:rPr>
          <w:rFonts w:hint="eastAsia"/>
        </w:rPr>
      </w:pPr>
      <w:r>
        <w:separator/>
      </w:r>
    </w:p>
  </w:footnote>
  <w:footnote w:type="continuationSeparator" w:id="0">
    <w:p w14:paraId="3CAD9DC3" w14:textId="77777777" w:rsidR="0023766B" w:rsidRDefault="0023766B" w:rsidP="002C44E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3107E"/>
    <w:multiLevelType w:val="hybridMultilevel"/>
    <w:tmpl w:val="DFF0B76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0A02127F"/>
    <w:multiLevelType w:val="hybridMultilevel"/>
    <w:tmpl w:val="B18CE12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57A22B4"/>
    <w:multiLevelType w:val="hybridMultilevel"/>
    <w:tmpl w:val="007E57C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86479C7"/>
    <w:multiLevelType w:val="multilevel"/>
    <w:tmpl w:val="1D50C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6D0CD1"/>
    <w:multiLevelType w:val="multilevel"/>
    <w:tmpl w:val="C0785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F45F8A"/>
    <w:multiLevelType w:val="hybridMultilevel"/>
    <w:tmpl w:val="01160D1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68F755C"/>
    <w:multiLevelType w:val="hybridMultilevel"/>
    <w:tmpl w:val="39F6063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E7C035E"/>
    <w:multiLevelType w:val="multilevel"/>
    <w:tmpl w:val="B7687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135A6B"/>
    <w:multiLevelType w:val="hybridMultilevel"/>
    <w:tmpl w:val="0472D01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3AFB6372"/>
    <w:multiLevelType w:val="multilevel"/>
    <w:tmpl w:val="CBCE2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555681"/>
    <w:multiLevelType w:val="multilevel"/>
    <w:tmpl w:val="97BC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8E12A0"/>
    <w:multiLevelType w:val="hybridMultilevel"/>
    <w:tmpl w:val="58FE716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1081056"/>
    <w:multiLevelType w:val="multilevel"/>
    <w:tmpl w:val="EAF20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EE260C"/>
    <w:multiLevelType w:val="hybridMultilevel"/>
    <w:tmpl w:val="C1E4E63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54771AE9"/>
    <w:multiLevelType w:val="multilevel"/>
    <w:tmpl w:val="48844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E12CE7"/>
    <w:multiLevelType w:val="multilevel"/>
    <w:tmpl w:val="D076E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E57326"/>
    <w:multiLevelType w:val="multilevel"/>
    <w:tmpl w:val="739A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5A0C48"/>
    <w:multiLevelType w:val="multilevel"/>
    <w:tmpl w:val="ACFE3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7D57DE"/>
    <w:multiLevelType w:val="hybridMultilevel"/>
    <w:tmpl w:val="696E2FE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6B7D6779"/>
    <w:multiLevelType w:val="multilevel"/>
    <w:tmpl w:val="BD22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4E0ECB"/>
    <w:multiLevelType w:val="multilevel"/>
    <w:tmpl w:val="7BF4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843571"/>
    <w:multiLevelType w:val="multilevel"/>
    <w:tmpl w:val="E2964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9F5EB4"/>
    <w:multiLevelType w:val="multilevel"/>
    <w:tmpl w:val="E09A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7564FE"/>
    <w:multiLevelType w:val="multilevel"/>
    <w:tmpl w:val="50BE0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9220616">
    <w:abstractNumId w:val="21"/>
  </w:num>
  <w:num w:numId="2" w16cid:durableId="1069957910">
    <w:abstractNumId w:val="7"/>
  </w:num>
  <w:num w:numId="3" w16cid:durableId="447437701">
    <w:abstractNumId w:val="14"/>
  </w:num>
  <w:num w:numId="4" w16cid:durableId="1794595447">
    <w:abstractNumId w:val="9"/>
  </w:num>
  <w:num w:numId="5" w16cid:durableId="222638567">
    <w:abstractNumId w:val="12"/>
  </w:num>
  <w:num w:numId="6" w16cid:durableId="142041487">
    <w:abstractNumId w:val="16"/>
  </w:num>
  <w:num w:numId="7" w16cid:durableId="1926038594">
    <w:abstractNumId w:val="20"/>
  </w:num>
  <w:num w:numId="8" w16cid:durableId="683442153">
    <w:abstractNumId w:val="15"/>
  </w:num>
  <w:num w:numId="9" w16cid:durableId="1850485661">
    <w:abstractNumId w:val="19"/>
  </w:num>
  <w:num w:numId="10" w16cid:durableId="1208297069">
    <w:abstractNumId w:val="3"/>
  </w:num>
  <w:num w:numId="11" w16cid:durableId="1839810822">
    <w:abstractNumId w:val="4"/>
  </w:num>
  <w:num w:numId="12" w16cid:durableId="1335379628">
    <w:abstractNumId w:val="23"/>
  </w:num>
  <w:num w:numId="13" w16cid:durableId="664165625">
    <w:abstractNumId w:val="10"/>
  </w:num>
  <w:num w:numId="14" w16cid:durableId="1548838356">
    <w:abstractNumId w:val="22"/>
  </w:num>
  <w:num w:numId="15" w16cid:durableId="905264599">
    <w:abstractNumId w:val="17"/>
  </w:num>
  <w:num w:numId="16" w16cid:durableId="534781339">
    <w:abstractNumId w:val="1"/>
  </w:num>
  <w:num w:numId="17" w16cid:durableId="1947880281">
    <w:abstractNumId w:val="13"/>
  </w:num>
  <w:num w:numId="18" w16cid:durableId="1841697009">
    <w:abstractNumId w:val="5"/>
  </w:num>
  <w:num w:numId="19" w16cid:durableId="565409272">
    <w:abstractNumId w:val="0"/>
  </w:num>
  <w:num w:numId="20" w16cid:durableId="1402362296">
    <w:abstractNumId w:val="11"/>
  </w:num>
  <w:num w:numId="21" w16cid:durableId="601644912">
    <w:abstractNumId w:val="2"/>
  </w:num>
  <w:num w:numId="22" w16cid:durableId="269165142">
    <w:abstractNumId w:val="18"/>
  </w:num>
  <w:num w:numId="23" w16cid:durableId="1169828840">
    <w:abstractNumId w:val="6"/>
  </w:num>
  <w:num w:numId="24" w16cid:durableId="2515472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29C"/>
    <w:rsid w:val="0004514E"/>
    <w:rsid w:val="000F2983"/>
    <w:rsid w:val="00111004"/>
    <w:rsid w:val="00112EEB"/>
    <w:rsid w:val="0012673C"/>
    <w:rsid w:val="00167F1E"/>
    <w:rsid w:val="001A2364"/>
    <w:rsid w:val="001B34A1"/>
    <w:rsid w:val="001D18D6"/>
    <w:rsid w:val="001D631B"/>
    <w:rsid w:val="00236858"/>
    <w:rsid w:val="0023766B"/>
    <w:rsid w:val="00243B98"/>
    <w:rsid w:val="002657F3"/>
    <w:rsid w:val="00271F27"/>
    <w:rsid w:val="002C44EF"/>
    <w:rsid w:val="002F0A36"/>
    <w:rsid w:val="003148A3"/>
    <w:rsid w:val="00330796"/>
    <w:rsid w:val="00337503"/>
    <w:rsid w:val="003414F5"/>
    <w:rsid w:val="00347C35"/>
    <w:rsid w:val="00362672"/>
    <w:rsid w:val="00371076"/>
    <w:rsid w:val="003C1591"/>
    <w:rsid w:val="003D1189"/>
    <w:rsid w:val="003D5270"/>
    <w:rsid w:val="00457400"/>
    <w:rsid w:val="004A210D"/>
    <w:rsid w:val="004B202C"/>
    <w:rsid w:val="004C1E55"/>
    <w:rsid w:val="004F3598"/>
    <w:rsid w:val="004F727A"/>
    <w:rsid w:val="00502DE2"/>
    <w:rsid w:val="00572676"/>
    <w:rsid w:val="005B7285"/>
    <w:rsid w:val="005E508E"/>
    <w:rsid w:val="005F5B13"/>
    <w:rsid w:val="00675009"/>
    <w:rsid w:val="0068507F"/>
    <w:rsid w:val="00715AB5"/>
    <w:rsid w:val="00723FDC"/>
    <w:rsid w:val="00733588"/>
    <w:rsid w:val="00753254"/>
    <w:rsid w:val="00785E2E"/>
    <w:rsid w:val="00791EC5"/>
    <w:rsid w:val="007C2DD2"/>
    <w:rsid w:val="008225FE"/>
    <w:rsid w:val="00875F47"/>
    <w:rsid w:val="008C7AC4"/>
    <w:rsid w:val="008F1B5F"/>
    <w:rsid w:val="008F7AEE"/>
    <w:rsid w:val="00926E42"/>
    <w:rsid w:val="00927075"/>
    <w:rsid w:val="009570A0"/>
    <w:rsid w:val="009B36BC"/>
    <w:rsid w:val="00A04735"/>
    <w:rsid w:val="00A332BE"/>
    <w:rsid w:val="00AC5B88"/>
    <w:rsid w:val="00AC7269"/>
    <w:rsid w:val="00AF229C"/>
    <w:rsid w:val="00AF6770"/>
    <w:rsid w:val="00B27735"/>
    <w:rsid w:val="00B37033"/>
    <w:rsid w:val="00B57CBF"/>
    <w:rsid w:val="00BD07A4"/>
    <w:rsid w:val="00BD23C6"/>
    <w:rsid w:val="00BD7543"/>
    <w:rsid w:val="00C355CA"/>
    <w:rsid w:val="00CB7FAE"/>
    <w:rsid w:val="00CD2527"/>
    <w:rsid w:val="00CD36FA"/>
    <w:rsid w:val="00CE06BF"/>
    <w:rsid w:val="00CE1344"/>
    <w:rsid w:val="00D00B14"/>
    <w:rsid w:val="00D0450B"/>
    <w:rsid w:val="00D12D22"/>
    <w:rsid w:val="00D22B50"/>
    <w:rsid w:val="00DA2025"/>
    <w:rsid w:val="00DB677D"/>
    <w:rsid w:val="00DC4709"/>
    <w:rsid w:val="00DF73D4"/>
    <w:rsid w:val="00E0746C"/>
    <w:rsid w:val="00E75C1D"/>
    <w:rsid w:val="00EA1A0B"/>
    <w:rsid w:val="00ED777B"/>
    <w:rsid w:val="00EF32D5"/>
    <w:rsid w:val="00F14378"/>
    <w:rsid w:val="00F61464"/>
    <w:rsid w:val="00F93B43"/>
    <w:rsid w:val="00FA00E5"/>
    <w:rsid w:val="00FD5200"/>
    <w:rsid w:val="00FD5995"/>
    <w:rsid w:val="00FF4A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785D4"/>
  <w15:chartTrackingRefBased/>
  <w15:docId w15:val="{DC9C54D3-7F40-4FBF-A293-5C1C0A51F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F229C"/>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AF229C"/>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AF229C"/>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AF229C"/>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AF229C"/>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AF229C"/>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AF229C"/>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F229C"/>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AF229C"/>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F229C"/>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AF229C"/>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AF229C"/>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AF229C"/>
    <w:rPr>
      <w:rFonts w:cstheme="majorBidi"/>
      <w:color w:val="2F5496" w:themeColor="accent1" w:themeShade="BF"/>
      <w:sz w:val="28"/>
      <w:szCs w:val="28"/>
    </w:rPr>
  </w:style>
  <w:style w:type="character" w:customStyle="1" w:styleId="50">
    <w:name w:val="标题 5 字符"/>
    <w:basedOn w:val="a0"/>
    <w:link w:val="5"/>
    <w:uiPriority w:val="9"/>
    <w:semiHidden/>
    <w:rsid w:val="00AF229C"/>
    <w:rPr>
      <w:rFonts w:cstheme="majorBidi"/>
      <w:color w:val="2F5496" w:themeColor="accent1" w:themeShade="BF"/>
      <w:sz w:val="24"/>
      <w:szCs w:val="24"/>
    </w:rPr>
  </w:style>
  <w:style w:type="character" w:customStyle="1" w:styleId="60">
    <w:name w:val="标题 6 字符"/>
    <w:basedOn w:val="a0"/>
    <w:link w:val="6"/>
    <w:uiPriority w:val="9"/>
    <w:semiHidden/>
    <w:rsid w:val="00AF229C"/>
    <w:rPr>
      <w:rFonts w:cstheme="majorBidi"/>
      <w:b/>
      <w:bCs/>
      <w:color w:val="2F5496" w:themeColor="accent1" w:themeShade="BF"/>
    </w:rPr>
  </w:style>
  <w:style w:type="character" w:customStyle="1" w:styleId="70">
    <w:name w:val="标题 7 字符"/>
    <w:basedOn w:val="a0"/>
    <w:link w:val="7"/>
    <w:uiPriority w:val="9"/>
    <w:semiHidden/>
    <w:rsid w:val="00AF229C"/>
    <w:rPr>
      <w:rFonts w:cstheme="majorBidi"/>
      <w:b/>
      <w:bCs/>
      <w:color w:val="595959" w:themeColor="text1" w:themeTint="A6"/>
    </w:rPr>
  </w:style>
  <w:style w:type="character" w:customStyle="1" w:styleId="80">
    <w:name w:val="标题 8 字符"/>
    <w:basedOn w:val="a0"/>
    <w:link w:val="8"/>
    <w:uiPriority w:val="9"/>
    <w:semiHidden/>
    <w:rsid w:val="00AF229C"/>
    <w:rPr>
      <w:rFonts w:cstheme="majorBidi"/>
      <w:color w:val="595959" w:themeColor="text1" w:themeTint="A6"/>
    </w:rPr>
  </w:style>
  <w:style w:type="character" w:customStyle="1" w:styleId="90">
    <w:name w:val="标题 9 字符"/>
    <w:basedOn w:val="a0"/>
    <w:link w:val="9"/>
    <w:uiPriority w:val="9"/>
    <w:semiHidden/>
    <w:rsid w:val="00AF229C"/>
    <w:rPr>
      <w:rFonts w:eastAsiaTheme="majorEastAsia" w:cstheme="majorBidi"/>
      <w:color w:val="595959" w:themeColor="text1" w:themeTint="A6"/>
    </w:rPr>
  </w:style>
  <w:style w:type="paragraph" w:styleId="a3">
    <w:name w:val="Title"/>
    <w:basedOn w:val="a"/>
    <w:next w:val="a"/>
    <w:link w:val="a4"/>
    <w:uiPriority w:val="10"/>
    <w:qFormat/>
    <w:rsid w:val="00AF229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F229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F229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F229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F229C"/>
    <w:pPr>
      <w:spacing w:before="160" w:after="160"/>
      <w:jc w:val="center"/>
    </w:pPr>
    <w:rPr>
      <w:i/>
      <w:iCs/>
      <w:color w:val="404040" w:themeColor="text1" w:themeTint="BF"/>
    </w:rPr>
  </w:style>
  <w:style w:type="character" w:customStyle="1" w:styleId="a8">
    <w:name w:val="引用 字符"/>
    <w:basedOn w:val="a0"/>
    <w:link w:val="a7"/>
    <w:uiPriority w:val="29"/>
    <w:rsid w:val="00AF229C"/>
    <w:rPr>
      <w:i/>
      <w:iCs/>
      <w:color w:val="404040" w:themeColor="text1" w:themeTint="BF"/>
    </w:rPr>
  </w:style>
  <w:style w:type="paragraph" w:styleId="a9">
    <w:name w:val="List Paragraph"/>
    <w:basedOn w:val="a"/>
    <w:uiPriority w:val="34"/>
    <w:qFormat/>
    <w:rsid w:val="00AF229C"/>
    <w:pPr>
      <w:ind w:left="720"/>
      <w:contextualSpacing/>
    </w:pPr>
  </w:style>
  <w:style w:type="character" w:styleId="aa">
    <w:name w:val="Intense Emphasis"/>
    <w:basedOn w:val="a0"/>
    <w:uiPriority w:val="21"/>
    <w:qFormat/>
    <w:rsid w:val="00AF229C"/>
    <w:rPr>
      <w:i/>
      <w:iCs/>
      <w:color w:val="2F5496" w:themeColor="accent1" w:themeShade="BF"/>
    </w:rPr>
  </w:style>
  <w:style w:type="paragraph" w:styleId="ab">
    <w:name w:val="Intense Quote"/>
    <w:basedOn w:val="a"/>
    <w:next w:val="a"/>
    <w:link w:val="ac"/>
    <w:uiPriority w:val="30"/>
    <w:qFormat/>
    <w:rsid w:val="00AF22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AF229C"/>
    <w:rPr>
      <w:i/>
      <w:iCs/>
      <w:color w:val="2F5496" w:themeColor="accent1" w:themeShade="BF"/>
    </w:rPr>
  </w:style>
  <w:style w:type="character" w:styleId="ad">
    <w:name w:val="Intense Reference"/>
    <w:basedOn w:val="a0"/>
    <w:uiPriority w:val="32"/>
    <w:qFormat/>
    <w:rsid w:val="00AF229C"/>
    <w:rPr>
      <w:b/>
      <w:bCs/>
      <w:smallCaps/>
      <w:color w:val="2F5496" w:themeColor="accent1" w:themeShade="BF"/>
      <w:spacing w:val="5"/>
    </w:rPr>
  </w:style>
  <w:style w:type="paragraph" w:styleId="ae">
    <w:name w:val="header"/>
    <w:basedOn w:val="a"/>
    <w:link w:val="af"/>
    <w:uiPriority w:val="99"/>
    <w:unhideWhenUsed/>
    <w:rsid w:val="002C44EF"/>
    <w:pPr>
      <w:tabs>
        <w:tab w:val="center" w:pos="4153"/>
        <w:tab w:val="right" w:pos="8306"/>
      </w:tabs>
      <w:snapToGrid w:val="0"/>
      <w:jc w:val="center"/>
    </w:pPr>
    <w:rPr>
      <w:sz w:val="18"/>
      <w:szCs w:val="18"/>
    </w:rPr>
  </w:style>
  <w:style w:type="character" w:customStyle="1" w:styleId="af">
    <w:name w:val="页眉 字符"/>
    <w:basedOn w:val="a0"/>
    <w:link w:val="ae"/>
    <w:uiPriority w:val="99"/>
    <w:rsid w:val="002C44EF"/>
    <w:rPr>
      <w:sz w:val="18"/>
      <w:szCs w:val="18"/>
    </w:rPr>
  </w:style>
  <w:style w:type="paragraph" w:styleId="af0">
    <w:name w:val="footer"/>
    <w:basedOn w:val="a"/>
    <w:link w:val="af1"/>
    <w:uiPriority w:val="99"/>
    <w:unhideWhenUsed/>
    <w:rsid w:val="002C44EF"/>
    <w:pPr>
      <w:tabs>
        <w:tab w:val="center" w:pos="4153"/>
        <w:tab w:val="right" w:pos="8306"/>
      </w:tabs>
      <w:snapToGrid w:val="0"/>
      <w:jc w:val="left"/>
    </w:pPr>
    <w:rPr>
      <w:sz w:val="18"/>
      <w:szCs w:val="18"/>
    </w:rPr>
  </w:style>
  <w:style w:type="character" w:customStyle="1" w:styleId="af1">
    <w:name w:val="页脚 字符"/>
    <w:basedOn w:val="a0"/>
    <w:link w:val="af0"/>
    <w:uiPriority w:val="99"/>
    <w:rsid w:val="002C44EF"/>
    <w:rPr>
      <w:sz w:val="18"/>
      <w:szCs w:val="18"/>
    </w:rPr>
  </w:style>
  <w:style w:type="table" w:styleId="af2">
    <w:name w:val="Table Grid"/>
    <w:basedOn w:val="a1"/>
    <w:uiPriority w:val="39"/>
    <w:rsid w:val="00AC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laceholder Text"/>
    <w:basedOn w:val="a0"/>
    <w:uiPriority w:val="99"/>
    <w:semiHidden/>
    <w:rsid w:val="00CD2527"/>
    <w:rPr>
      <w:color w:val="666666"/>
    </w:rPr>
  </w:style>
  <w:style w:type="character" w:styleId="af4">
    <w:name w:val="Strong"/>
    <w:basedOn w:val="a0"/>
    <w:uiPriority w:val="22"/>
    <w:qFormat/>
    <w:rsid w:val="00CE06BF"/>
    <w:rPr>
      <w:b/>
      <w:bCs/>
    </w:rPr>
  </w:style>
  <w:style w:type="paragraph" w:customStyle="1" w:styleId="af5">
    <w:name w:val="正文样式"/>
    <w:basedOn w:val="a"/>
    <w:link w:val="af6"/>
    <w:qFormat/>
    <w:rsid w:val="00FA00E5"/>
    <w:pPr>
      <w:spacing w:beforeLines="50" w:before="50" w:afterLines="50" w:after="50"/>
    </w:pPr>
    <w:rPr>
      <w:rFonts w:ascii="Times New Roman" w:eastAsia="Times New Roman" w:hAnsi="Times New Roman"/>
      <w:sz w:val="24"/>
    </w:rPr>
  </w:style>
  <w:style w:type="character" w:customStyle="1" w:styleId="af6">
    <w:name w:val="正文样式 字符"/>
    <w:basedOn w:val="a0"/>
    <w:link w:val="af5"/>
    <w:rsid w:val="00FA00E5"/>
    <w:rPr>
      <w:rFonts w:ascii="Times New Roman" w:eastAsia="Times New Roman" w:hAnsi="Times New Roman"/>
      <w:sz w:val="24"/>
    </w:rPr>
  </w:style>
  <w:style w:type="table" w:styleId="21">
    <w:name w:val="Plain Table 2"/>
    <w:basedOn w:val="a1"/>
    <w:uiPriority w:val="42"/>
    <w:rsid w:val="00FD599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7">
    <w:name w:val="Bibliography"/>
    <w:basedOn w:val="a"/>
    <w:next w:val="a"/>
    <w:uiPriority w:val="37"/>
    <w:unhideWhenUsed/>
    <w:rsid w:val="00FD5200"/>
    <w:pPr>
      <w:tabs>
        <w:tab w:val="left" w:pos="384"/>
      </w:tabs>
      <w:ind w:left="384" w:hanging="384"/>
    </w:pPr>
  </w:style>
  <w:style w:type="paragraph" w:styleId="TOC">
    <w:name w:val="TOC Heading"/>
    <w:basedOn w:val="1"/>
    <w:next w:val="a"/>
    <w:uiPriority w:val="39"/>
    <w:unhideWhenUsed/>
    <w:qFormat/>
    <w:rsid w:val="001D631B"/>
    <w:pPr>
      <w:widowControl/>
      <w:spacing w:before="240" w:after="0" w:line="259" w:lineRule="auto"/>
      <w:jc w:val="left"/>
      <w:outlineLvl w:val="9"/>
    </w:pPr>
    <w:rPr>
      <w:kern w:val="0"/>
      <w:sz w:val="32"/>
      <w:szCs w:val="32"/>
    </w:rPr>
  </w:style>
  <w:style w:type="paragraph" w:styleId="TOC2">
    <w:name w:val="toc 2"/>
    <w:basedOn w:val="a"/>
    <w:next w:val="a"/>
    <w:autoRedefine/>
    <w:uiPriority w:val="39"/>
    <w:unhideWhenUsed/>
    <w:rsid w:val="001D631B"/>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1D631B"/>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1D631B"/>
    <w:pPr>
      <w:widowControl/>
      <w:spacing w:after="100" w:line="259" w:lineRule="auto"/>
      <w:ind w:left="440"/>
      <w:jc w:val="left"/>
    </w:pPr>
    <w:rPr>
      <w:rFonts w:cs="Times New Roman"/>
      <w:kern w:val="0"/>
      <w:sz w:val="22"/>
    </w:rPr>
  </w:style>
  <w:style w:type="paragraph" w:styleId="TOC4">
    <w:name w:val="toc 4"/>
    <w:basedOn w:val="a"/>
    <w:next w:val="a"/>
    <w:autoRedefine/>
    <w:uiPriority w:val="39"/>
    <w:unhideWhenUsed/>
    <w:rsid w:val="001D631B"/>
    <w:pPr>
      <w:spacing w:after="160" w:line="278" w:lineRule="auto"/>
      <w:ind w:leftChars="600" w:left="1260"/>
      <w:jc w:val="left"/>
    </w:pPr>
    <w:rPr>
      <w:sz w:val="22"/>
      <w:szCs w:val="24"/>
      <w14:ligatures w14:val="standardContextual"/>
    </w:rPr>
  </w:style>
  <w:style w:type="paragraph" w:styleId="TOC5">
    <w:name w:val="toc 5"/>
    <w:basedOn w:val="a"/>
    <w:next w:val="a"/>
    <w:autoRedefine/>
    <w:uiPriority w:val="39"/>
    <w:unhideWhenUsed/>
    <w:rsid w:val="001D631B"/>
    <w:pPr>
      <w:spacing w:after="160" w:line="278" w:lineRule="auto"/>
      <w:ind w:leftChars="800" w:left="1680"/>
      <w:jc w:val="left"/>
    </w:pPr>
    <w:rPr>
      <w:sz w:val="22"/>
      <w:szCs w:val="24"/>
      <w14:ligatures w14:val="standardContextual"/>
    </w:rPr>
  </w:style>
  <w:style w:type="paragraph" w:styleId="TOC6">
    <w:name w:val="toc 6"/>
    <w:basedOn w:val="a"/>
    <w:next w:val="a"/>
    <w:autoRedefine/>
    <w:uiPriority w:val="39"/>
    <w:unhideWhenUsed/>
    <w:rsid w:val="001D631B"/>
    <w:pPr>
      <w:spacing w:after="160" w:line="278" w:lineRule="auto"/>
      <w:ind w:leftChars="1000" w:left="2100"/>
      <w:jc w:val="left"/>
    </w:pPr>
    <w:rPr>
      <w:sz w:val="22"/>
      <w:szCs w:val="24"/>
      <w14:ligatures w14:val="standardContextual"/>
    </w:rPr>
  </w:style>
  <w:style w:type="paragraph" w:styleId="TOC7">
    <w:name w:val="toc 7"/>
    <w:basedOn w:val="a"/>
    <w:next w:val="a"/>
    <w:autoRedefine/>
    <w:uiPriority w:val="39"/>
    <w:unhideWhenUsed/>
    <w:rsid w:val="001D631B"/>
    <w:pPr>
      <w:spacing w:after="160" w:line="278" w:lineRule="auto"/>
      <w:ind w:leftChars="1200" w:left="2520"/>
      <w:jc w:val="left"/>
    </w:pPr>
    <w:rPr>
      <w:sz w:val="22"/>
      <w:szCs w:val="24"/>
      <w14:ligatures w14:val="standardContextual"/>
    </w:rPr>
  </w:style>
  <w:style w:type="paragraph" w:styleId="TOC8">
    <w:name w:val="toc 8"/>
    <w:basedOn w:val="a"/>
    <w:next w:val="a"/>
    <w:autoRedefine/>
    <w:uiPriority w:val="39"/>
    <w:unhideWhenUsed/>
    <w:rsid w:val="001D631B"/>
    <w:pPr>
      <w:spacing w:after="160" w:line="278" w:lineRule="auto"/>
      <w:ind w:leftChars="1400" w:left="2940"/>
      <w:jc w:val="left"/>
    </w:pPr>
    <w:rPr>
      <w:sz w:val="22"/>
      <w:szCs w:val="24"/>
      <w14:ligatures w14:val="standardContextual"/>
    </w:rPr>
  </w:style>
  <w:style w:type="paragraph" w:styleId="TOC9">
    <w:name w:val="toc 9"/>
    <w:basedOn w:val="a"/>
    <w:next w:val="a"/>
    <w:autoRedefine/>
    <w:uiPriority w:val="39"/>
    <w:unhideWhenUsed/>
    <w:rsid w:val="001D631B"/>
    <w:pPr>
      <w:spacing w:after="160" w:line="278" w:lineRule="auto"/>
      <w:ind w:leftChars="1600" w:left="3360"/>
      <w:jc w:val="left"/>
    </w:pPr>
    <w:rPr>
      <w:sz w:val="22"/>
      <w:szCs w:val="24"/>
      <w14:ligatures w14:val="standardContextual"/>
    </w:rPr>
  </w:style>
  <w:style w:type="character" w:styleId="af8">
    <w:name w:val="Hyperlink"/>
    <w:basedOn w:val="a0"/>
    <w:uiPriority w:val="99"/>
    <w:unhideWhenUsed/>
    <w:rsid w:val="001D631B"/>
    <w:rPr>
      <w:color w:val="0563C1" w:themeColor="hyperlink"/>
      <w:u w:val="single"/>
    </w:rPr>
  </w:style>
  <w:style w:type="character" w:styleId="af9">
    <w:name w:val="Unresolved Mention"/>
    <w:basedOn w:val="a0"/>
    <w:uiPriority w:val="99"/>
    <w:semiHidden/>
    <w:unhideWhenUsed/>
    <w:rsid w:val="001D63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779D3-BD65-402C-81F1-C039E7BFE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50</Pages>
  <Words>58100</Words>
  <Characters>331176</Characters>
  <Application>Microsoft Office Word</Application>
  <DocSecurity>0</DocSecurity>
  <Lines>2759</Lines>
  <Paragraphs>776</Paragraphs>
  <ScaleCrop>false</ScaleCrop>
  <Company/>
  <LinksUpToDate>false</LinksUpToDate>
  <CharactersWithSpaces>388500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 rui</dc:creator>
  <cp:keywords/>
  <dc:description/>
  <cp:lastModifiedBy>guan rui</cp:lastModifiedBy>
  <cp:revision>32</cp:revision>
  <dcterms:created xsi:type="dcterms:W3CDTF">2026-05-01T08:49:00Z</dcterms:created>
  <dcterms:modified xsi:type="dcterms:W3CDTF">2026-05-02T12:22:00Z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id="UkKvh8u2"/&gt;&lt;style id="http://www.zotero.org/styles/ieee" locale="en-GB" hasBibliography="1" bibliographyStyleHasBeenSet="1"/&gt;&lt;prefs&gt;&lt;pref name="fieldType" value="Field"/&gt;&lt;/prefs&gt;&lt;/data&gt;</vt:lpwstr>
  </property>
</Properties>
</file>