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5F7D" w:rsidRPr="000670CD" w:rsidRDefault="002C26F8" w:rsidP="000670CD">
      <w:pPr>
        <w:rPr>
          <w:rFonts w:ascii="Arial" w:hAnsi="Arial" w:cs="Arial"/>
          <w:color w:val="000000"/>
          <w:sz w:val="22"/>
          <w:szCs w:val="22"/>
        </w:rPr>
      </w:pPr>
      <w:bookmarkStart w:id="0" w:name="_GoBack"/>
      <w:bookmarkEnd w:id="0"/>
      <w:r w:rsidRPr="005319E4">
        <w:rPr>
          <w:rFonts w:ascii="Arial" w:hAnsi="Arial" w:cs="Arial"/>
          <w:b/>
          <w:noProof/>
          <w:sz w:val="22"/>
          <w:szCs w:val="22"/>
        </w:rPr>
        <w:pict>
          <v:shape id="_x0000_s1028" type="#_x0000_t75" style="position:absolute;margin-left:36pt;margin-top:18pt;width:534pt;height:31pt;z-index:-251658752;mso-wrap-edited:f;mso-position-horizontal-relative:page;mso-position-vertical-relative:page" wrapcoords="-30 0 -30 20546 21600 20546 21600 0 -30 0">
            <v:imagedata r:id="rId7" o:title="WordHeader"/>
            <w10:wrap type="tight" anchorx="page" anchory="page"/>
          </v:shape>
        </w:pict>
      </w:r>
    </w:p>
    <w:p w:rsidR="000670CD" w:rsidRPr="000670CD" w:rsidRDefault="000670CD" w:rsidP="000670CD">
      <w:pPr>
        <w:spacing w:after="150" w:line="330" w:lineRule="atLeast"/>
        <w:rPr>
          <w:rFonts w:ascii="Arial" w:hAnsi="Arial" w:cs="Arial"/>
          <w:b/>
          <w:sz w:val="28"/>
          <w:szCs w:val="28"/>
        </w:rPr>
      </w:pPr>
      <w:r w:rsidRPr="000670CD">
        <w:rPr>
          <w:rFonts w:ascii="Arial" w:hAnsi="Arial" w:cs="Arial"/>
          <w:b/>
          <w:sz w:val="28"/>
          <w:szCs w:val="28"/>
        </w:rPr>
        <w:t>Section 136 Mental Health Act –Power to remove a mentally disordered person without a warrant</w:t>
      </w:r>
    </w:p>
    <w:p w:rsidR="000670CD" w:rsidRPr="000670CD" w:rsidRDefault="000670CD" w:rsidP="000670CD">
      <w:pPr>
        <w:spacing w:after="150" w:line="330" w:lineRule="atLeast"/>
        <w:rPr>
          <w:rFonts w:ascii="Arial" w:hAnsi="Arial" w:cs="Arial"/>
        </w:rPr>
      </w:pPr>
      <w:r w:rsidRPr="000670CD">
        <w:rPr>
          <w:rFonts w:ascii="Arial" w:hAnsi="Arial" w:cs="Arial"/>
        </w:rPr>
        <w:t xml:space="preserve">Under </w:t>
      </w:r>
      <w:hyperlink r:id="rId8" w:history="1">
        <w:r w:rsidRPr="000670CD">
          <w:rPr>
            <w:rFonts w:ascii="Arial" w:hAnsi="Arial" w:cs="Arial"/>
          </w:rPr>
          <w:t>section 136</w:t>
        </w:r>
      </w:hyperlink>
      <w:r w:rsidRPr="000670CD">
        <w:rPr>
          <w:rFonts w:ascii="Arial" w:hAnsi="Arial" w:cs="Arial"/>
        </w:rPr>
        <w:t xml:space="preserve"> MHA 1983, if a person appears to be suffering from a mental disorder and in immediate need of care or control, a constable may, if they think it’s necessary to do so in the interests of that person or for the protection of others, remove the person to a place of safety or, keep the person at a safe place.</w:t>
      </w:r>
    </w:p>
    <w:p w:rsidR="000670CD" w:rsidRPr="000670CD" w:rsidRDefault="000670CD" w:rsidP="000670CD">
      <w:pPr>
        <w:spacing w:after="150" w:line="330" w:lineRule="atLeast"/>
        <w:rPr>
          <w:rFonts w:ascii="Arial" w:hAnsi="Arial" w:cs="Arial"/>
        </w:rPr>
      </w:pPr>
      <w:r w:rsidRPr="000670CD">
        <w:rPr>
          <w:rFonts w:ascii="Arial" w:hAnsi="Arial" w:cs="Arial"/>
        </w:rPr>
        <w:t>Section 136(1A) allows this power to be exercised in any public or private place other than:</w:t>
      </w:r>
    </w:p>
    <w:p w:rsidR="000670CD" w:rsidRPr="000670CD" w:rsidRDefault="000670CD" w:rsidP="000670CD">
      <w:pPr>
        <w:numPr>
          <w:ilvl w:val="0"/>
          <w:numId w:val="20"/>
        </w:numPr>
        <w:spacing w:before="100" w:beforeAutospacing="1" w:after="100" w:afterAutospacing="1" w:line="330" w:lineRule="atLeast"/>
        <w:rPr>
          <w:rFonts w:ascii="Arial" w:hAnsi="Arial" w:cs="Arial"/>
        </w:rPr>
      </w:pPr>
      <w:r w:rsidRPr="000670CD">
        <w:rPr>
          <w:rFonts w:ascii="Arial" w:hAnsi="Arial" w:cs="Arial"/>
        </w:rPr>
        <w:t>a house</w:t>
      </w:r>
    </w:p>
    <w:p w:rsidR="000670CD" w:rsidRPr="000670CD" w:rsidRDefault="000670CD" w:rsidP="000670CD">
      <w:pPr>
        <w:numPr>
          <w:ilvl w:val="0"/>
          <w:numId w:val="20"/>
        </w:numPr>
        <w:spacing w:before="100" w:beforeAutospacing="1" w:after="100" w:afterAutospacing="1" w:line="330" w:lineRule="atLeast"/>
        <w:rPr>
          <w:rFonts w:ascii="Arial" w:hAnsi="Arial" w:cs="Arial"/>
        </w:rPr>
      </w:pPr>
      <w:r w:rsidRPr="000670CD">
        <w:rPr>
          <w:rFonts w:ascii="Arial" w:hAnsi="Arial" w:cs="Arial"/>
        </w:rPr>
        <w:t>flat or room where that person, or another person lives</w:t>
      </w:r>
    </w:p>
    <w:p w:rsidR="000670CD" w:rsidRPr="000670CD" w:rsidRDefault="000670CD" w:rsidP="000670CD">
      <w:pPr>
        <w:numPr>
          <w:ilvl w:val="0"/>
          <w:numId w:val="20"/>
        </w:numPr>
        <w:spacing w:before="100" w:beforeAutospacing="1" w:after="100" w:afterAutospacing="1" w:line="330" w:lineRule="atLeast"/>
        <w:rPr>
          <w:rFonts w:ascii="Arial" w:hAnsi="Arial" w:cs="Arial"/>
        </w:rPr>
      </w:pPr>
      <w:r w:rsidRPr="000670CD">
        <w:rPr>
          <w:rFonts w:ascii="Arial" w:hAnsi="Arial" w:cs="Arial"/>
        </w:rPr>
        <w:t>any yard</w:t>
      </w:r>
    </w:p>
    <w:p w:rsidR="000670CD" w:rsidRPr="000670CD" w:rsidRDefault="000670CD" w:rsidP="000670CD">
      <w:pPr>
        <w:numPr>
          <w:ilvl w:val="0"/>
          <w:numId w:val="20"/>
        </w:numPr>
        <w:spacing w:before="100" w:beforeAutospacing="1" w:after="100" w:afterAutospacing="1" w:line="330" w:lineRule="atLeast"/>
        <w:rPr>
          <w:rFonts w:ascii="Arial" w:hAnsi="Arial" w:cs="Arial"/>
        </w:rPr>
      </w:pPr>
      <w:r w:rsidRPr="000670CD">
        <w:rPr>
          <w:rFonts w:ascii="Arial" w:hAnsi="Arial" w:cs="Arial"/>
        </w:rPr>
        <w:t>garden garage or outhouse that is used in connection with the house, flat or room, other than one used in connection with one or more houses, flats or rooms.</w:t>
      </w:r>
    </w:p>
    <w:p w:rsidR="000670CD" w:rsidRDefault="000670CD" w:rsidP="000670CD">
      <w:pPr>
        <w:spacing w:after="150" w:line="330" w:lineRule="atLeast"/>
        <w:rPr>
          <w:rFonts w:ascii="Arial" w:hAnsi="Arial" w:cs="Arial"/>
        </w:rPr>
      </w:pPr>
      <w:r w:rsidRPr="000670CD">
        <w:rPr>
          <w:rFonts w:ascii="Arial" w:hAnsi="Arial" w:cs="Arial"/>
        </w:rPr>
        <w:t>The circumstances of people in hotel rooms or other forms of temporary</w:t>
      </w:r>
      <w:r w:rsidR="00904F40">
        <w:rPr>
          <w:rFonts w:ascii="Arial" w:hAnsi="Arial" w:cs="Arial"/>
        </w:rPr>
        <w:t xml:space="preserve"> accommodation, </w:t>
      </w:r>
      <w:r w:rsidRPr="000670CD">
        <w:rPr>
          <w:rFonts w:ascii="Arial" w:hAnsi="Arial" w:cs="Arial"/>
        </w:rPr>
        <w:t xml:space="preserve">including how long they are staying there, need to be considered when assessing whether that place should be considered as where the person ‘lives’. Although the legislation and guidance does not provide further clarification, concerns raised by a coroner (January 2020) caused the issue to be examined. </w:t>
      </w:r>
    </w:p>
    <w:p w:rsidR="000670CD" w:rsidRDefault="000670CD" w:rsidP="000670CD">
      <w:pPr>
        <w:spacing w:after="150" w:line="330" w:lineRule="atLeast"/>
        <w:rPr>
          <w:rFonts w:ascii="Arial" w:hAnsi="Arial" w:cs="Arial"/>
        </w:rPr>
      </w:pPr>
      <w:r w:rsidRPr="000670CD">
        <w:rPr>
          <w:rFonts w:ascii="Arial" w:hAnsi="Arial" w:cs="Arial"/>
        </w:rPr>
        <w:t xml:space="preserve">Taking into account the views of the coroner and legal advice obtained from the Home Office, it was the agreed position between the Home Office, College of Policing and NPCC that if a person was staying at a hotel for a night or short period this would not fall within subsection 1A. </w:t>
      </w:r>
    </w:p>
    <w:p w:rsidR="000670CD" w:rsidRPr="000670CD" w:rsidRDefault="000670CD" w:rsidP="000670CD">
      <w:pPr>
        <w:spacing w:after="150" w:line="330" w:lineRule="atLeast"/>
        <w:rPr>
          <w:rFonts w:ascii="Arial" w:hAnsi="Arial" w:cs="Arial"/>
        </w:rPr>
      </w:pPr>
      <w:r w:rsidRPr="000670CD">
        <w:rPr>
          <w:rFonts w:ascii="Arial" w:hAnsi="Arial" w:cs="Arial"/>
        </w:rPr>
        <w:t>However, if the person was staying in a hotel room on a more permanent basis (for example if they are housed there for an extended period by the local authority), this is likely to fall within subsection (1A) and the police would not be able to exercise their s136 powers.</w:t>
      </w:r>
    </w:p>
    <w:p w:rsidR="000670CD" w:rsidRDefault="000670CD" w:rsidP="00605F7D">
      <w:pPr>
        <w:jc w:val="both"/>
        <w:rPr>
          <w:rFonts w:ascii="Arial" w:hAnsi="Arial" w:cs="Arial"/>
          <w:sz w:val="16"/>
          <w:szCs w:val="16"/>
        </w:rPr>
      </w:pPr>
    </w:p>
    <w:p w:rsidR="000670CD" w:rsidRDefault="000670CD" w:rsidP="00605F7D">
      <w:pPr>
        <w:jc w:val="both"/>
        <w:rPr>
          <w:rFonts w:ascii="Arial" w:hAnsi="Arial" w:cs="Arial"/>
          <w:sz w:val="16"/>
          <w:szCs w:val="16"/>
        </w:rPr>
      </w:pPr>
    </w:p>
    <w:sectPr w:rsidR="000670CD" w:rsidSect="0002743A">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4E12" w:rsidRDefault="007F4E12">
      <w:r>
        <w:separator/>
      </w:r>
    </w:p>
  </w:endnote>
  <w:endnote w:type="continuationSeparator" w:id="0">
    <w:p w:rsidR="007F4E12" w:rsidRDefault="007F4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6E1A" w:rsidRDefault="00904F40" w:rsidP="00904F40">
    <w:pPr>
      <w:pStyle w:val="Footer"/>
      <w:rPr>
        <w:rFonts w:ascii="Arial" w:hAnsi="Arial" w:cs="Arial"/>
        <w:color w:val="000000"/>
        <w:sz w:val="17"/>
        <w:szCs w:val="16"/>
      </w:rPr>
    </w:pPr>
    <w:bookmarkStart w:id="3" w:name="TITUS1FooterEvenPages"/>
    <w:r>
      <w:rPr>
        <w:rFonts w:ascii="Arial" w:hAnsi="Arial" w:cs="Arial"/>
        <w:color w:val="000000"/>
        <w:sz w:val="17"/>
        <w:szCs w:val="16"/>
      </w:rPr>
      <w:t> </w:t>
    </w:r>
  </w:p>
  <w:bookmarkEnd w:id="3"/>
  <w:p w:rsidR="00EE6E1A" w:rsidRPr="002C26F8" w:rsidRDefault="00EE6E1A" w:rsidP="00EE6E1A">
    <w:pPr>
      <w:pStyle w:val="Footer"/>
      <w:rPr>
        <w:rFonts w:ascii="Arial" w:hAnsi="Arial" w:cs="Arial"/>
        <w:sz w:val="16"/>
        <w:szCs w:val="16"/>
      </w:rPr>
    </w:pPr>
  </w:p>
  <w:p w:rsidR="0002743A" w:rsidRDefault="000274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6F8" w:rsidRDefault="00904F40" w:rsidP="00904F40">
    <w:pPr>
      <w:pStyle w:val="Footer"/>
      <w:rPr>
        <w:rFonts w:ascii="Arial" w:hAnsi="Arial" w:cs="Arial"/>
        <w:color w:val="000000"/>
        <w:sz w:val="17"/>
        <w:szCs w:val="16"/>
      </w:rPr>
    </w:pPr>
    <w:bookmarkStart w:id="4" w:name="TITUS1FooterPrimary"/>
    <w:r>
      <w:rPr>
        <w:rFonts w:ascii="Arial" w:hAnsi="Arial" w:cs="Arial"/>
        <w:color w:val="000000"/>
        <w:sz w:val="17"/>
        <w:szCs w:val="16"/>
      </w:rPr>
      <w:t> </w:t>
    </w:r>
  </w:p>
  <w:bookmarkEnd w:id="4"/>
  <w:p w:rsidR="0002743A" w:rsidRPr="002C26F8" w:rsidRDefault="0002743A">
    <w:pPr>
      <w:pStyle w:val="Footer"/>
      <w:rPr>
        <w:rFonts w:ascii="Arial" w:hAnsi="Arial" w:cs="Arial"/>
        <w:sz w:val="16"/>
        <w:szCs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743A" w:rsidRDefault="00904F40" w:rsidP="00904F40">
    <w:pPr>
      <w:pStyle w:val="Footer"/>
      <w:rPr>
        <w:color w:val="000000"/>
        <w:sz w:val="17"/>
      </w:rPr>
    </w:pPr>
    <w:bookmarkStart w:id="6" w:name="TITUS1FooterFirstPage"/>
    <w:r>
      <w:rPr>
        <w:color w:val="000000"/>
        <w:sz w:val="17"/>
      </w:rPr>
      <w:t> </w:t>
    </w:r>
  </w:p>
  <w:bookmarkEnd w:id="6"/>
  <w:p w:rsidR="0002743A" w:rsidRDefault="00027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4E12" w:rsidRDefault="007F4E12">
      <w:r>
        <w:separator/>
      </w:r>
    </w:p>
  </w:footnote>
  <w:footnote w:type="continuationSeparator" w:id="0">
    <w:p w:rsidR="007F4E12" w:rsidRDefault="007F4E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6E1A" w:rsidRDefault="00904F40" w:rsidP="00904F40">
    <w:pPr>
      <w:pStyle w:val="Header"/>
      <w:rPr>
        <w:color w:val="000000"/>
        <w:sz w:val="17"/>
      </w:rPr>
    </w:pPr>
    <w:bookmarkStart w:id="1" w:name="TITUS1HeaderEvenPages"/>
    <w:r>
      <w:rPr>
        <w:color w:val="000000"/>
        <w:sz w:val="17"/>
      </w:rPr>
      <w:t> </w:t>
    </w:r>
  </w:p>
  <w:bookmarkEnd w:id="1"/>
  <w:p w:rsidR="00EE6E1A" w:rsidRDefault="00EE6E1A" w:rsidP="00EE6E1A">
    <w:pPr>
      <w:pStyle w:val="Header"/>
    </w:pPr>
  </w:p>
  <w:p w:rsidR="0002743A" w:rsidRDefault="000274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743A" w:rsidRDefault="00904F40" w:rsidP="00904F40">
    <w:pPr>
      <w:pStyle w:val="Header"/>
      <w:rPr>
        <w:color w:val="000000"/>
        <w:sz w:val="17"/>
      </w:rPr>
    </w:pPr>
    <w:bookmarkStart w:id="2" w:name="TITUS1HeaderPrimary"/>
    <w:r>
      <w:rPr>
        <w:color w:val="000000"/>
        <w:sz w:val="17"/>
      </w:rPr>
      <w:t> </w:t>
    </w:r>
  </w:p>
  <w:bookmarkEnd w:id="2"/>
  <w:p w:rsidR="0002743A" w:rsidRDefault="000274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743A" w:rsidRDefault="00904F40" w:rsidP="00904F40">
    <w:pPr>
      <w:pStyle w:val="Header"/>
      <w:rPr>
        <w:color w:val="000000"/>
        <w:sz w:val="17"/>
      </w:rPr>
    </w:pPr>
    <w:bookmarkStart w:id="5" w:name="TITUS1HeaderFirstPage"/>
    <w:r>
      <w:rPr>
        <w:color w:val="000000"/>
        <w:sz w:val="17"/>
      </w:rPr>
      <w:t> </w:t>
    </w:r>
  </w:p>
  <w:bookmarkEnd w:id="5"/>
  <w:p w:rsidR="0002743A" w:rsidRDefault="000274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in;height:3in" o:bullet="t"/>
    </w:pict>
  </w:numPicBullet>
  <w:abstractNum w:abstractNumId="0" w15:restartNumberingAfterBreak="0">
    <w:nsid w:val="02312EFB"/>
    <w:multiLevelType w:val="hybridMultilevel"/>
    <w:tmpl w:val="AB64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03D5C"/>
    <w:multiLevelType w:val="hybridMultilevel"/>
    <w:tmpl w:val="7D549F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5B81993"/>
    <w:multiLevelType w:val="hybridMultilevel"/>
    <w:tmpl w:val="B0FE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962F7"/>
    <w:multiLevelType w:val="hybridMultilevel"/>
    <w:tmpl w:val="D9FC52A8"/>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0CCB0397"/>
    <w:multiLevelType w:val="multilevel"/>
    <w:tmpl w:val="EBE8C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0D6C56"/>
    <w:multiLevelType w:val="hybridMultilevel"/>
    <w:tmpl w:val="FC80646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0331F67"/>
    <w:multiLevelType w:val="hybridMultilevel"/>
    <w:tmpl w:val="93D6FC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99D1E78"/>
    <w:multiLevelType w:val="hybridMultilevel"/>
    <w:tmpl w:val="72DE4096"/>
    <w:lvl w:ilvl="0" w:tplc="E30CFF1C">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C2E11A7"/>
    <w:multiLevelType w:val="hybridMultilevel"/>
    <w:tmpl w:val="BA0603F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5180DB4"/>
    <w:multiLevelType w:val="hybridMultilevel"/>
    <w:tmpl w:val="BC98B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B635B6"/>
    <w:multiLevelType w:val="hybridMultilevel"/>
    <w:tmpl w:val="8EC0E7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8AE3664"/>
    <w:multiLevelType w:val="hybridMultilevel"/>
    <w:tmpl w:val="B4F014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B5617F2"/>
    <w:multiLevelType w:val="hybridMultilevel"/>
    <w:tmpl w:val="9732D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CD7E3D"/>
    <w:multiLevelType w:val="multilevel"/>
    <w:tmpl w:val="8B666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6930AA"/>
    <w:multiLevelType w:val="hybridMultilevel"/>
    <w:tmpl w:val="4C9C7632"/>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15" w15:restartNumberingAfterBreak="0">
    <w:nsid w:val="565D62D4"/>
    <w:multiLevelType w:val="multilevel"/>
    <w:tmpl w:val="3440D42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6" w15:restartNumberingAfterBreak="0">
    <w:nsid w:val="5BF056FB"/>
    <w:multiLevelType w:val="hybridMultilevel"/>
    <w:tmpl w:val="16D09E20"/>
    <w:lvl w:ilvl="0" w:tplc="08090017">
      <w:start w:val="1"/>
      <w:numFmt w:val="lowerLetter"/>
      <w:lvlText w:val="%1)"/>
      <w:lvlJc w:val="left"/>
      <w:pPr>
        <w:tabs>
          <w:tab w:val="num" w:pos="720"/>
        </w:tabs>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610308D9"/>
    <w:multiLevelType w:val="hybridMultilevel"/>
    <w:tmpl w:val="4F10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F444D8"/>
    <w:multiLevelType w:val="hybridMultilevel"/>
    <w:tmpl w:val="A1662D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2D23959"/>
    <w:multiLevelType w:val="hybridMultilevel"/>
    <w:tmpl w:val="9A60B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4"/>
  </w:num>
  <w:num w:numId="3">
    <w:abstractNumId w:val="7"/>
  </w:num>
  <w:num w:numId="4">
    <w:abstractNumId w:val="6"/>
    <w:lvlOverride w:ilvl="0"/>
    <w:lvlOverride w:ilvl="1"/>
    <w:lvlOverride w:ilvl="2"/>
    <w:lvlOverride w:ilvl="3"/>
    <w:lvlOverride w:ilvl="4"/>
    <w:lvlOverride w:ilvl="5"/>
    <w:lvlOverride w:ilvl="6"/>
    <w:lvlOverride w:ilvl="7"/>
    <w:lvlOverride w:ilvl="8"/>
  </w:num>
  <w:num w:numId="5">
    <w:abstractNumId w:val="1"/>
    <w:lvlOverride w:ilvl="0"/>
    <w:lvlOverride w:ilvl="1"/>
    <w:lvlOverride w:ilvl="2"/>
    <w:lvlOverride w:ilvl="3"/>
    <w:lvlOverride w:ilvl="4"/>
    <w:lvlOverride w:ilvl="5"/>
    <w:lvlOverride w:ilvl="6"/>
    <w:lvlOverride w:ilvl="7"/>
    <w:lvlOverride w:ilvl="8"/>
  </w:num>
  <w:num w:numId="6">
    <w:abstractNumId w:val="10"/>
    <w:lvlOverride w:ilvl="0"/>
    <w:lvlOverride w:ilvl="1"/>
    <w:lvlOverride w:ilvl="2"/>
    <w:lvlOverride w:ilvl="3"/>
    <w:lvlOverride w:ilvl="4"/>
    <w:lvlOverride w:ilvl="5"/>
    <w:lvlOverride w:ilvl="6"/>
    <w:lvlOverride w:ilvl="7"/>
    <w:lvlOverride w:ilvl="8"/>
  </w:num>
  <w:num w:numId="7">
    <w:abstractNumId w:val="0"/>
  </w:num>
  <w:num w:numId="8">
    <w:abstractNumId w:val="2"/>
  </w:num>
  <w:num w:numId="9">
    <w:abstractNumId w:val="17"/>
  </w:num>
  <w:num w:numId="10">
    <w:abstractNumId w:val="12"/>
  </w:num>
  <w:num w:numId="11">
    <w:abstractNumId w:val="15"/>
  </w:num>
  <w:num w:numId="12">
    <w:abstractNumId w:val="8"/>
  </w:num>
  <w:num w:numId="13">
    <w:abstractNumId w:val="11"/>
  </w:num>
  <w:num w:numId="14">
    <w:abstractNumId w:val="19"/>
  </w:num>
  <w:num w:numId="15">
    <w:abstractNumId w:val="9"/>
  </w:num>
  <w:num w:numId="16">
    <w:abstractNumId w:val="13"/>
  </w:num>
  <w:num w:numId="17">
    <w:abstractNumId w:val="18"/>
    <w:lvlOverride w:ilvl="0"/>
    <w:lvlOverride w:ilvl="1"/>
    <w:lvlOverride w:ilvl="2"/>
    <w:lvlOverride w:ilvl="3"/>
    <w:lvlOverride w:ilvl="4"/>
    <w:lvlOverride w:ilvl="5"/>
    <w:lvlOverride w:ilvl="6"/>
    <w:lvlOverride w:ilvl="7"/>
    <w:lvlOverride w:ilvl="8"/>
  </w:num>
  <w:num w:numId="18">
    <w:abstractNumId w:val="5"/>
  </w:num>
  <w:num w:numId="19">
    <w:abstractNumId w:val="3"/>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9D40F7"/>
    <w:rsid w:val="00005DC1"/>
    <w:rsid w:val="00010B38"/>
    <w:rsid w:val="00012B6C"/>
    <w:rsid w:val="00012EFD"/>
    <w:rsid w:val="00013D0A"/>
    <w:rsid w:val="0002743A"/>
    <w:rsid w:val="0006106F"/>
    <w:rsid w:val="000670CD"/>
    <w:rsid w:val="00077390"/>
    <w:rsid w:val="000A15BE"/>
    <w:rsid w:val="000A6CC2"/>
    <w:rsid w:val="000B5145"/>
    <w:rsid w:val="000C5D3B"/>
    <w:rsid w:val="000D607D"/>
    <w:rsid w:val="000E39C6"/>
    <w:rsid w:val="000F11A0"/>
    <w:rsid w:val="000F1A66"/>
    <w:rsid w:val="00102163"/>
    <w:rsid w:val="001073F9"/>
    <w:rsid w:val="001322B4"/>
    <w:rsid w:val="00144739"/>
    <w:rsid w:val="00147D79"/>
    <w:rsid w:val="00167149"/>
    <w:rsid w:val="00175BE0"/>
    <w:rsid w:val="00186EFC"/>
    <w:rsid w:val="001A7D88"/>
    <w:rsid w:val="001B2582"/>
    <w:rsid w:val="001C7F4D"/>
    <w:rsid w:val="001E463C"/>
    <w:rsid w:val="001F66D5"/>
    <w:rsid w:val="00217BDF"/>
    <w:rsid w:val="00224AD6"/>
    <w:rsid w:val="00234B93"/>
    <w:rsid w:val="00245828"/>
    <w:rsid w:val="0026034E"/>
    <w:rsid w:val="00286156"/>
    <w:rsid w:val="002935E0"/>
    <w:rsid w:val="002C26F8"/>
    <w:rsid w:val="002D26E0"/>
    <w:rsid w:val="002E6B74"/>
    <w:rsid w:val="00307173"/>
    <w:rsid w:val="00355A22"/>
    <w:rsid w:val="00383149"/>
    <w:rsid w:val="00392F32"/>
    <w:rsid w:val="00394264"/>
    <w:rsid w:val="003D2098"/>
    <w:rsid w:val="003D3B70"/>
    <w:rsid w:val="003E5177"/>
    <w:rsid w:val="004129E5"/>
    <w:rsid w:val="00431A2C"/>
    <w:rsid w:val="00431D67"/>
    <w:rsid w:val="00432455"/>
    <w:rsid w:val="00436B02"/>
    <w:rsid w:val="00443A41"/>
    <w:rsid w:val="004450C1"/>
    <w:rsid w:val="004734E2"/>
    <w:rsid w:val="0047564E"/>
    <w:rsid w:val="004834EA"/>
    <w:rsid w:val="004A114D"/>
    <w:rsid w:val="004B1E1C"/>
    <w:rsid w:val="004E703B"/>
    <w:rsid w:val="00527B6E"/>
    <w:rsid w:val="005319E4"/>
    <w:rsid w:val="00534951"/>
    <w:rsid w:val="0053587B"/>
    <w:rsid w:val="0053677E"/>
    <w:rsid w:val="00581040"/>
    <w:rsid w:val="005A1955"/>
    <w:rsid w:val="005B4B54"/>
    <w:rsid w:val="005D5399"/>
    <w:rsid w:val="005D7741"/>
    <w:rsid w:val="005F76BC"/>
    <w:rsid w:val="00600B5C"/>
    <w:rsid w:val="00605F7D"/>
    <w:rsid w:val="00606B25"/>
    <w:rsid w:val="006108BA"/>
    <w:rsid w:val="00614D09"/>
    <w:rsid w:val="006212C1"/>
    <w:rsid w:val="006271D5"/>
    <w:rsid w:val="00653C26"/>
    <w:rsid w:val="00663DBE"/>
    <w:rsid w:val="006673F4"/>
    <w:rsid w:val="00681366"/>
    <w:rsid w:val="00696461"/>
    <w:rsid w:val="006A418A"/>
    <w:rsid w:val="006C79BB"/>
    <w:rsid w:val="007342A1"/>
    <w:rsid w:val="00734C1D"/>
    <w:rsid w:val="007612DE"/>
    <w:rsid w:val="007B38AA"/>
    <w:rsid w:val="007C3905"/>
    <w:rsid w:val="007C46D8"/>
    <w:rsid w:val="007D730A"/>
    <w:rsid w:val="007F4E12"/>
    <w:rsid w:val="0080245A"/>
    <w:rsid w:val="0080522A"/>
    <w:rsid w:val="00813083"/>
    <w:rsid w:val="008272B0"/>
    <w:rsid w:val="00861515"/>
    <w:rsid w:val="00875815"/>
    <w:rsid w:val="0089338A"/>
    <w:rsid w:val="00896F20"/>
    <w:rsid w:val="008A3F66"/>
    <w:rsid w:val="008B4045"/>
    <w:rsid w:val="008C4824"/>
    <w:rsid w:val="008C75A4"/>
    <w:rsid w:val="008D0C5D"/>
    <w:rsid w:val="008E169F"/>
    <w:rsid w:val="008E666B"/>
    <w:rsid w:val="008F07FA"/>
    <w:rsid w:val="00904F40"/>
    <w:rsid w:val="00905F55"/>
    <w:rsid w:val="00907FCD"/>
    <w:rsid w:val="00915011"/>
    <w:rsid w:val="00916228"/>
    <w:rsid w:val="00940420"/>
    <w:rsid w:val="009774F4"/>
    <w:rsid w:val="009822E5"/>
    <w:rsid w:val="0099256E"/>
    <w:rsid w:val="009A0572"/>
    <w:rsid w:val="009C5852"/>
    <w:rsid w:val="009D40F7"/>
    <w:rsid w:val="009D73C8"/>
    <w:rsid w:val="00A009D2"/>
    <w:rsid w:val="00A273BA"/>
    <w:rsid w:val="00A46232"/>
    <w:rsid w:val="00A577DE"/>
    <w:rsid w:val="00A57BE2"/>
    <w:rsid w:val="00A64B98"/>
    <w:rsid w:val="00A82B8F"/>
    <w:rsid w:val="00A945CB"/>
    <w:rsid w:val="00AC0CD5"/>
    <w:rsid w:val="00AC680E"/>
    <w:rsid w:val="00B259BC"/>
    <w:rsid w:val="00B44BE5"/>
    <w:rsid w:val="00B72DEE"/>
    <w:rsid w:val="00B756AF"/>
    <w:rsid w:val="00BA570D"/>
    <w:rsid w:val="00BB0D0C"/>
    <w:rsid w:val="00BC1C9E"/>
    <w:rsid w:val="00BE289C"/>
    <w:rsid w:val="00BE3D21"/>
    <w:rsid w:val="00C03B2C"/>
    <w:rsid w:val="00C234EA"/>
    <w:rsid w:val="00C454A5"/>
    <w:rsid w:val="00C50F7F"/>
    <w:rsid w:val="00C52327"/>
    <w:rsid w:val="00C654F9"/>
    <w:rsid w:val="00C67A3B"/>
    <w:rsid w:val="00C7073C"/>
    <w:rsid w:val="00C712F9"/>
    <w:rsid w:val="00C73AFE"/>
    <w:rsid w:val="00C82C84"/>
    <w:rsid w:val="00CA6A11"/>
    <w:rsid w:val="00CA7C57"/>
    <w:rsid w:val="00CB2665"/>
    <w:rsid w:val="00CF6A99"/>
    <w:rsid w:val="00D07751"/>
    <w:rsid w:val="00D20F0A"/>
    <w:rsid w:val="00D529F8"/>
    <w:rsid w:val="00D6795D"/>
    <w:rsid w:val="00DB5FFC"/>
    <w:rsid w:val="00DB70F5"/>
    <w:rsid w:val="00DC21DD"/>
    <w:rsid w:val="00DC3CFA"/>
    <w:rsid w:val="00DD2266"/>
    <w:rsid w:val="00DD5FBB"/>
    <w:rsid w:val="00DE1A75"/>
    <w:rsid w:val="00E0241D"/>
    <w:rsid w:val="00E3371F"/>
    <w:rsid w:val="00E5472E"/>
    <w:rsid w:val="00E704BE"/>
    <w:rsid w:val="00EB1AC6"/>
    <w:rsid w:val="00EB2F4D"/>
    <w:rsid w:val="00EB3669"/>
    <w:rsid w:val="00EC78D8"/>
    <w:rsid w:val="00EE6E1A"/>
    <w:rsid w:val="00F03BDB"/>
    <w:rsid w:val="00F074F7"/>
    <w:rsid w:val="00F15C61"/>
    <w:rsid w:val="00F31ED6"/>
    <w:rsid w:val="00F43E5B"/>
    <w:rsid w:val="00F75056"/>
    <w:rsid w:val="00F82063"/>
    <w:rsid w:val="00F864A2"/>
    <w:rsid w:val="00FA22C8"/>
    <w:rsid w:val="00FA45E4"/>
    <w:rsid w:val="00FC0126"/>
    <w:rsid w:val="00FD2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46263D75-2ECD-45F8-8024-6D759EE5B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34EA"/>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2C26F8"/>
    <w:pPr>
      <w:spacing w:before="100" w:beforeAutospacing="1" w:after="100" w:afterAutospacing="1"/>
    </w:pPr>
    <w:rPr>
      <w:color w:val="000000"/>
    </w:rPr>
  </w:style>
  <w:style w:type="character" w:styleId="Strong">
    <w:name w:val="Strong"/>
    <w:qFormat/>
    <w:rsid w:val="002C26F8"/>
    <w:rPr>
      <w:b/>
    </w:rPr>
  </w:style>
  <w:style w:type="paragraph" w:styleId="Header">
    <w:name w:val="header"/>
    <w:basedOn w:val="Normal"/>
    <w:rsid w:val="002C26F8"/>
    <w:pPr>
      <w:tabs>
        <w:tab w:val="center" w:pos="4153"/>
        <w:tab w:val="right" w:pos="8306"/>
      </w:tabs>
    </w:pPr>
  </w:style>
  <w:style w:type="paragraph" w:styleId="Footer">
    <w:name w:val="footer"/>
    <w:basedOn w:val="Normal"/>
    <w:rsid w:val="002C26F8"/>
    <w:pPr>
      <w:tabs>
        <w:tab w:val="center" w:pos="4153"/>
        <w:tab w:val="right" w:pos="8306"/>
      </w:tabs>
    </w:pPr>
  </w:style>
  <w:style w:type="paragraph" w:styleId="BalloonText">
    <w:name w:val="Balloon Text"/>
    <w:basedOn w:val="Normal"/>
    <w:link w:val="BalloonTextChar"/>
    <w:rsid w:val="0026034E"/>
    <w:rPr>
      <w:rFonts w:ascii="Segoe UI" w:hAnsi="Segoe UI" w:cs="Segoe UI"/>
      <w:sz w:val="18"/>
      <w:szCs w:val="18"/>
    </w:rPr>
  </w:style>
  <w:style w:type="character" w:customStyle="1" w:styleId="BalloonTextChar">
    <w:name w:val="Balloon Text Char"/>
    <w:link w:val="BalloonText"/>
    <w:rsid w:val="0026034E"/>
    <w:rPr>
      <w:rFonts w:ascii="Segoe UI" w:hAnsi="Segoe UI" w:cs="Segoe UI"/>
      <w:sz w:val="18"/>
      <w:szCs w:val="18"/>
    </w:rPr>
  </w:style>
  <w:style w:type="paragraph" w:styleId="ListParagraph">
    <w:name w:val="List Paragraph"/>
    <w:basedOn w:val="Normal"/>
    <w:uiPriority w:val="34"/>
    <w:qFormat/>
    <w:rsid w:val="00EC78D8"/>
    <w:pPr>
      <w:ind w:left="720"/>
    </w:pPr>
    <w:rPr>
      <w:rFonts w:ascii="Calibri" w:eastAsia="Calibri" w:hAnsi="Calibri"/>
      <w:sz w:val="22"/>
      <w:szCs w:val="22"/>
    </w:rPr>
  </w:style>
  <w:style w:type="paragraph" w:customStyle="1" w:styleId="Default">
    <w:name w:val="Default"/>
    <w:rsid w:val="00EC78D8"/>
    <w:pPr>
      <w:autoSpaceDE w:val="0"/>
      <w:autoSpaceDN w:val="0"/>
      <w:adjustRightInd w:val="0"/>
    </w:pPr>
    <w:rPr>
      <w:rFonts w:ascii="Arial" w:eastAsia="Calibr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6695">
      <w:bodyDiv w:val="1"/>
      <w:marLeft w:val="0"/>
      <w:marRight w:val="0"/>
      <w:marTop w:val="0"/>
      <w:marBottom w:val="0"/>
      <w:divBdr>
        <w:top w:val="none" w:sz="0" w:space="0" w:color="auto"/>
        <w:left w:val="none" w:sz="0" w:space="0" w:color="auto"/>
        <w:bottom w:val="none" w:sz="0" w:space="0" w:color="auto"/>
        <w:right w:val="none" w:sz="0" w:space="0" w:color="auto"/>
      </w:divBdr>
    </w:div>
    <w:div w:id="547688770">
      <w:bodyDiv w:val="1"/>
      <w:marLeft w:val="0"/>
      <w:marRight w:val="0"/>
      <w:marTop w:val="0"/>
      <w:marBottom w:val="0"/>
      <w:divBdr>
        <w:top w:val="none" w:sz="0" w:space="0" w:color="auto"/>
        <w:left w:val="none" w:sz="0" w:space="0" w:color="auto"/>
        <w:bottom w:val="none" w:sz="0" w:space="0" w:color="auto"/>
        <w:right w:val="none" w:sz="0" w:space="0" w:color="auto"/>
      </w:divBdr>
    </w:div>
    <w:div w:id="838889802">
      <w:bodyDiv w:val="1"/>
      <w:marLeft w:val="0"/>
      <w:marRight w:val="0"/>
      <w:marTop w:val="0"/>
      <w:marBottom w:val="0"/>
      <w:divBdr>
        <w:top w:val="none" w:sz="0" w:space="0" w:color="auto"/>
        <w:left w:val="none" w:sz="0" w:space="0" w:color="auto"/>
        <w:bottom w:val="none" w:sz="0" w:space="0" w:color="auto"/>
        <w:right w:val="none" w:sz="0" w:space="0" w:color="auto"/>
      </w:divBdr>
    </w:div>
    <w:div w:id="1040861181">
      <w:bodyDiv w:val="1"/>
      <w:marLeft w:val="0"/>
      <w:marRight w:val="0"/>
      <w:marTop w:val="0"/>
      <w:marBottom w:val="0"/>
      <w:divBdr>
        <w:top w:val="none" w:sz="0" w:space="0" w:color="auto"/>
        <w:left w:val="none" w:sz="0" w:space="0" w:color="auto"/>
        <w:bottom w:val="none" w:sz="0" w:space="0" w:color="auto"/>
        <w:right w:val="none" w:sz="0" w:space="0" w:color="auto"/>
      </w:divBdr>
    </w:div>
    <w:div w:id="1241140521">
      <w:bodyDiv w:val="1"/>
      <w:marLeft w:val="0"/>
      <w:marRight w:val="0"/>
      <w:marTop w:val="0"/>
      <w:marBottom w:val="0"/>
      <w:divBdr>
        <w:top w:val="none" w:sz="0" w:space="0" w:color="auto"/>
        <w:left w:val="none" w:sz="0" w:space="0" w:color="auto"/>
        <w:bottom w:val="none" w:sz="0" w:space="0" w:color="auto"/>
        <w:right w:val="none" w:sz="0" w:space="0" w:color="auto"/>
      </w:divBdr>
    </w:div>
    <w:div w:id="1361666962">
      <w:bodyDiv w:val="1"/>
      <w:marLeft w:val="0"/>
      <w:marRight w:val="0"/>
      <w:marTop w:val="0"/>
      <w:marBottom w:val="0"/>
      <w:divBdr>
        <w:top w:val="none" w:sz="0" w:space="0" w:color="auto"/>
        <w:left w:val="none" w:sz="0" w:space="0" w:color="auto"/>
        <w:bottom w:val="none" w:sz="0" w:space="0" w:color="auto"/>
        <w:right w:val="none" w:sz="0" w:space="0" w:color="auto"/>
      </w:divBdr>
    </w:div>
    <w:div w:id="1414429554">
      <w:bodyDiv w:val="1"/>
      <w:marLeft w:val="0"/>
      <w:marRight w:val="0"/>
      <w:marTop w:val="0"/>
      <w:marBottom w:val="0"/>
      <w:divBdr>
        <w:top w:val="none" w:sz="0" w:space="0" w:color="auto"/>
        <w:left w:val="none" w:sz="0" w:space="0" w:color="auto"/>
        <w:bottom w:val="none" w:sz="0" w:space="0" w:color="auto"/>
        <w:right w:val="none" w:sz="0" w:space="0" w:color="auto"/>
      </w:divBdr>
      <w:divsChild>
        <w:div w:id="587271928">
          <w:marLeft w:val="0"/>
          <w:marRight w:val="0"/>
          <w:marTop w:val="0"/>
          <w:marBottom w:val="0"/>
          <w:divBdr>
            <w:top w:val="none" w:sz="0" w:space="0" w:color="auto"/>
            <w:left w:val="none" w:sz="0" w:space="0" w:color="auto"/>
            <w:bottom w:val="none" w:sz="0" w:space="0" w:color="auto"/>
            <w:right w:val="none" w:sz="0" w:space="0" w:color="auto"/>
          </w:divBdr>
          <w:divsChild>
            <w:div w:id="1348756421">
              <w:marLeft w:val="0"/>
              <w:marRight w:val="0"/>
              <w:marTop w:val="0"/>
              <w:marBottom w:val="0"/>
              <w:divBdr>
                <w:top w:val="none" w:sz="0" w:space="0" w:color="auto"/>
                <w:left w:val="none" w:sz="0" w:space="0" w:color="auto"/>
                <w:bottom w:val="none" w:sz="0" w:space="0" w:color="auto"/>
                <w:right w:val="none" w:sz="0" w:space="0" w:color="auto"/>
              </w:divBdr>
              <w:divsChild>
                <w:div w:id="1920867856">
                  <w:marLeft w:val="0"/>
                  <w:marRight w:val="0"/>
                  <w:marTop w:val="0"/>
                  <w:marBottom w:val="0"/>
                  <w:divBdr>
                    <w:top w:val="none" w:sz="0" w:space="0" w:color="auto"/>
                    <w:left w:val="none" w:sz="0" w:space="0" w:color="auto"/>
                    <w:bottom w:val="none" w:sz="0" w:space="0" w:color="auto"/>
                    <w:right w:val="none" w:sz="0" w:space="0" w:color="auto"/>
                  </w:divBdr>
                  <w:divsChild>
                    <w:div w:id="1435175172">
                      <w:marLeft w:val="-150"/>
                      <w:marRight w:val="-150"/>
                      <w:marTop w:val="0"/>
                      <w:marBottom w:val="0"/>
                      <w:divBdr>
                        <w:top w:val="none" w:sz="0" w:space="0" w:color="auto"/>
                        <w:left w:val="none" w:sz="0" w:space="0" w:color="auto"/>
                        <w:bottom w:val="none" w:sz="0" w:space="0" w:color="auto"/>
                        <w:right w:val="none" w:sz="0" w:space="0" w:color="auto"/>
                      </w:divBdr>
                      <w:divsChild>
                        <w:div w:id="1602256714">
                          <w:marLeft w:val="150"/>
                          <w:marRight w:val="150"/>
                          <w:marTop w:val="0"/>
                          <w:marBottom w:val="0"/>
                          <w:divBdr>
                            <w:top w:val="none" w:sz="0" w:space="0" w:color="auto"/>
                            <w:left w:val="none" w:sz="0" w:space="0" w:color="auto"/>
                            <w:bottom w:val="none" w:sz="0" w:space="0" w:color="auto"/>
                            <w:right w:val="none" w:sz="0" w:space="0" w:color="auto"/>
                          </w:divBdr>
                          <w:divsChild>
                            <w:div w:id="1402143256">
                              <w:marLeft w:val="0"/>
                              <w:marRight w:val="0"/>
                              <w:marTop w:val="0"/>
                              <w:marBottom w:val="0"/>
                              <w:divBdr>
                                <w:top w:val="none" w:sz="0" w:space="0" w:color="auto"/>
                                <w:left w:val="none" w:sz="0" w:space="0" w:color="auto"/>
                                <w:bottom w:val="none" w:sz="0" w:space="0" w:color="auto"/>
                                <w:right w:val="none" w:sz="0" w:space="0" w:color="auto"/>
                              </w:divBdr>
                              <w:divsChild>
                                <w:div w:id="199579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6503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3/20/section/136"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263</Words>
  <Characters>1505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1765</CharactersWithSpaces>
  <SharedDoc>false</SharedDoc>
  <HLinks>
    <vt:vector size="6" baseType="variant">
      <vt:variant>
        <vt:i4>2621563</vt:i4>
      </vt:variant>
      <vt:variant>
        <vt:i4>0</vt:i4>
      </vt:variant>
      <vt:variant>
        <vt:i4>0</vt:i4>
      </vt:variant>
      <vt:variant>
        <vt:i4>5</vt:i4>
      </vt:variant>
      <vt:variant>
        <vt:lpwstr>http://www.legislation.gov.uk/ukpga/1983/20/section/136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swp51413</dc:creator>
  <cp:keywords/>
  <dc:description/>
  <cp:lastModifiedBy>Neil,Sharon swp3514</cp:lastModifiedBy>
  <cp:revision>2</cp:revision>
  <cp:lastPrinted>2019-04-15T12:12:00Z</cp:lastPrinted>
  <dcterms:created xsi:type="dcterms:W3CDTF">2021-02-15T13:25:00Z</dcterms:created>
  <dcterms:modified xsi:type="dcterms:W3CDTF">2021-02-15T13:25:00Z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f13bff2a-6a65-4d35-a86d-e22e442878ac</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