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2675378"/>
        <w:docPartObj>
          <w:docPartGallery w:val="Cover Pages"/>
          <w:docPartUnique/>
        </w:docPartObj>
      </w:sdtPr>
      <w:sdtEndPr>
        <w:rPr>
          <w:rFonts w:ascii="Arial" w:hAnsi="Arial" w:cs="Arial"/>
        </w:rPr>
      </w:sdtEndPr>
      <w:sdtContent>
        <w:p w14:paraId="27732BDB" w14:textId="4476BF08" w:rsidR="00E6088F" w:rsidRDefault="00E6088F">
          <w:r>
            <w:rPr>
              <w:noProof/>
            </w:rPr>
            <mc:AlternateContent>
              <mc:Choice Requires="wpg">
                <w:drawing>
                  <wp:anchor distT="0" distB="0" distL="114300" distR="114300" simplePos="0" relativeHeight="251662336" behindDoc="0" locked="0" layoutInCell="1" allowOverlap="1" wp14:anchorId="08662DEE" wp14:editId="3CED436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70BD1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dd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2A71682" wp14:editId="1F17528B">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BB19C" w14:textId="60F73EF5" w:rsidR="00E6088F" w:rsidRPr="00E6088F" w:rsidRDefault="00E6088F" w:rsidP="00E6088F">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A7168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DFBB19C" w14:textId="60F73EF5" w:rsidR="00E6088F" w:rsidRPr="00E6088F" w:rsidRDefault="00E6088F" w:rsidP="00E6088F">
                          <w:pPr>
                            <w:pStyle w:val="NoSpacing"/>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CC665C0" wp14:editId="423A6CFD">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35F2F" w14:textId="26424141" w:rsidR="00E6088F" w:rsidRDefault="00E6088F" w:rsidP="00E6088F">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CC665C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5535F2F" w14:textId="26424141" w:rsidR="00E6088F" w:rsidRDefault="00E6088F" w:rsidP="00E6088F">
                          <w:pPr>
                            <w:pStyle w:val="NoSpacing"/>
                            <w:rPr>
                              <w:color w:val="595959" w:themeColor="text1" w:themeTint="A6"/>
                              <w:sz w:val="20"/>
                              <w:szCs w:val="20"/>
                            </w:rPr>
                          </w:pPr>
                        </w:p>
                      </w:txbxContent>
                    </v:textbox>
                    <w10:wrap type="square" anchorx="page" anchory="page"/>
                  </v:shape>
                </w:pict>
              </mc:Fallback>
            </mc:AlternateContent>
          </w:r>
        </w:p>
        <w:p w14:paraId="313B2A97" w14:textId="09F695EE" w:rsidR="00890AC3" w:rsidRPr="00FF12DA" w:rsidRDefault="00FF12DA" w:rsidP="00FF12DA">
          <w:pPr>
            <w:rPr>
              <w:rFonts w:ascii="Arial" w:hAnsi="Arial" w:cs="Arial"/>
            </w:rPr>
          </w:pPr>
          <w:r>
            <w:rPr>
              <w:noProof/>
            </w:rPr>
            <mc:AlternateContent>
              <mc:Choice Requires="wps">
                <w:drawing>
                  <wp:anchor distT="0" distB="0" distL="114300" distR="114300" simplePos="0" relativeHeight="251659264" behindDoc="0" locked="0" layoutInCell="1" allowOverlap="1" wp14:anchorId="5673F183" wp14:editId="283307B5">
                    <wp:simplePos x="0" y="0"/>
                    <wp:positionH relativeFrom="page">
                      <wp:posOffset>228600</wp:posOffset>
                    </wp:positionH>
                    <wp:positionV relativeFrom="page">
                      <wp:posOffset>3019425</wp:posOffset>
                    </wp:positionV>
                    <wp:extent cx="6753225" cy="58007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6753225" cy="5800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B7E41" w14:textId="6CF1CD74"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Module number LCBB5004</w:t>
                                </w:r>
                              </w:p>
                              <w:p w14:paraId="610438F5" w14:textId="673A62DD"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Module name Managing People</w:t>
                                </w:r>
                              </w:p>
                              <w:p w14:paraId="27393188" w14:textId="77777777" w:rsidR="00FF12DA"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Employee engagement</w:t>
                                </w:r>
                              </w:p>
                              <w:p w14:paraId="78A8EE6F" w14:textId="77777777" w:rsidR="00FF12DA" w:rsidRPr="00ED32DD" w:rsidRDefault="00FF12DA" w:rsidP="00D43FFF">
                                <w:pPr>
                                  <w:jc w:val="center"/>
                                  <w:rPr>
                                    <w:rFonts w:ascii="Arial" w:hAnsi="Arial" w:cs="Arial"/>
                                    <w:color w:val="000000" w:themeColor="text1"/>
                                    <w:sz w:val="44"/>
                                    <w:szCs w:val="44"/>
                                  </w:rPr>
                                </w:pPr>
                              </w:p>
                              <w:p w14:paraId="45EFA9CD" w14:textId="44CE53AF" w:rsidR="00E6088F" w:rsidRPr="00ED32DD" w:rsidRDefault="00E6088F" w:rsidP="00D43FFF">
                                <w:pPr>
                                  <w:jc w:val="center"/>
                                  <w:rPr>
                                    <w:rFonts w:ascii="Arial" w:hAnsi="Arial" w:cs="Arial"/>
                                    <w:color w:val="000000" w:themeColor="text1"/>
                                    <w:sz w:val="44"/>
                                    <w:szCs w:val="44"/>
                                  </w:rPr>
                                </w:pPr>
                              </w:p>
                              <w:p w14:paraId="3A6D347F" w14:textId="77777777" w:rsidR="00BF3A1A" w:rsidRPr="00ED32DD" w:rsidRDefault="00BF3A1A" w:rsidP="00D43FFF">
                                <w:pPr>
                                  <w:jc w:val="center"/>
                                  <w:rPr>
                                    <w:rFonts w:ascii="Arial" w:hAnsi="Arial" w:cs="Arial"/>
                                    <w:color w:val="000000" w:themeColor="text1"/>
                                    <w:sz w:val="44"/>
                                    <w:szCs w:val="44"/>
                                  </w:rPr>
                                </w:pPr>
                              </w:p>
                              <w:p w14:paraId="02019559" w14:textId="6FFCF812"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Paulina Kostova</w:t>
                                </w:r>
                              </w:p>
                              <w:p w14:paraId="56C5C485" w14:textId="78BA3220"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Student N 2008000</w:t>
                                </w:r>
                              </w:p>
                              <w:p w14:paraId="1A21E725" w14:textId="235FB2BE" w:rsidR="00FF12DA" w:rsidRPr="00ED32DD" w:rsidRDefault="00FF12DA"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Submission date 9th May 2022</w:t>
                                </w:r>
                              </w:p>
                              <w:p w14:paraId="2958F2D3" w14:textId="57AA9422" w:rsidR="00FF12DA" w:rsidRPr="00ED32DD" w:rsidRDefault="00FF12DA"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Word count</w:t>
                                </w:r>
                                <w:r w:rsidR="002679A2" w:rsidRPr="00ED32DD">
                                  <w:rPr>
                                    <w:rFonts w:ascii="Arial" w:hAnsi="Arial" w:cs="Arial"/>
                                    <w:color w:val="000000" w:themeColor="text1"/>
                                    <w:sz w:val="44"/>
                                    <w:szCs w:val="44"/>
                                  </w:rPr>
                                  <w:t xml:space="preserve"> 1974</w:t>
                                </w:r>
                              </w:p>
                              <w:p w14:paraId="6EAC05B7" w14:textId="77777777" w:rsidR="00FF12DA" w:rsidRDefault="00FF12DA">
                                <w:pPr>
                                  <w:jc w:val="right"/>
                                  <w:rPr>
                                    <w:color w:val="DDDDDD" w:themeColor="accent1"/>
                                    <w:sz w:val="64"/>
                                    <w:szCs w:val="64"/>
                                  </w:rPr>
                                </w:pPr>
                              </w:p>
                              <w:p w14:paraId="2BE5FD32" w14:textId="77777777" w:rsidR="00E6088F" w:rsidRDefault="00E6088F">
                                <w:pPr>
                                  <w:jc w:val="right"/>
                                  <w:rPr>
                                    <w:color w:val="DDDDDD" w:themeColor="accent1"/>
                                    <w:sz w:val="64"/>
                                    <w:szCs w:val="64"/>
                                  </w:rPr>
                                </w:pPr>
                              </w:p>
                              <w:p w14:paraId="6042A51E" w14:textId="77777777" w:rsidR="00E6088F" w:rsidRDefault="00E6088F">
                                <w:pPr>
                                  <w:jc w:val="right"/>
                                  <w:rPr>
                                    <w:color w:val="DDDDDD" w:themeColor="accent1"/>
                                    <w:sz w:val="64"/>
                                    <w:szCs w:val="64"/>
                                  </w:rPr>
                                </w:pPr>
                              </w:p>
                              <w:p w14:paraId="7E8339D7" w14:textId="77777777" w:rsidR="00E6088F" w:rsidRDefault="00E6088F">
                                <w:pPr>
                                  <w:jc w:val="right"/>
                                  <w:rPr>
                                    <w:color w:val="DDDDDD" w:themeColor="accent1"/>
                                    <w:sz w:val="64"/>
                                    <w:szCs w:val="64"/>
                                  </w:rPr>
                                </w:pPr>
                              </w:p>
                              <w:p w14:paraId="218733B8" w14:textId="41F806D3" w:rsidR="00E6088F" w:rsidRDefault="00E6088F">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73F183" id="Text Box 154" o:spid="_x0000_s1028" type="#_x0000_t202" style="position:absolute;margin-left:18pt;margin-top:237.75pt;width:531.75pt;height:456.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" filled="f" stroked="f" strokeweight=".5pt">
                    <v:textbox inset="126pt,0,54pt,0">
                      <w:txbxContent>
                        <w:p w14:paraId="0ADB7E41" w14:textId="6CF1CD74"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Module number LCBB5004</w:t>
                          </w:r>
                        </w:p>
                        <w:p w14:paraId="610438F5" w14:textId="673A62DD"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Module name Managing People</w:t>
                          </w:r>
                        </w:p>
                        <w:p w14:paraId="27393188" w14:textId="77777777" w:rsidR="00FF12DA"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Employee engagement</w:t>
                          </w:r>
                        </w:p>
                        <w:p w14:paraId="78A8EE6F" w14:textId="77777777" w:rsidR="00FF12DA" w:rsidRPr="00ED32DD" w:rsidRDefault="00FF12DA" w:rsidP="00D43FFF">
                          <w:pPr>
                            <w:jc w:val="center"/>
                            <w:rPr>
                              <w:rFonts w:ascii="Arial" w:hAnsi="Arial" w:cs="Arial"/>
                              <w:color w:val="000000" w:themeColor="text1"/>
                              <w:sz w:val="44"/>
                              <w:szCs w:val="44"/>
                            </w:rPr>
                          </w:pPr>
                        </w:p>
                        <w:p w14:paraId="45EFA9CD" w14:textId="44CE53AF" w:rsidR="00E6088F" w:rsidRPr="00ED32DD" w:rsidRDefault="00E6088F" w:rsidP="00D43FFF">
                          <w:pPr>
                            <w:jc w:val="center"/>
                            <w:rPr>
                              <w:rFonts w:ascii="Arial" w:hAnsi="Arial" w:cs="Arial"/>
                              <w:color w:val="000000" w:themeColor="text1"/>
                              <w:sz w:val="44"/>
                              <w:szCs w:val="44"/>
                            </w:rPr>
                          </w:pPr>
                        </w:p>
                        <w:p w14:paraId="3A6D347F" w14:textId="77777777" w:rsidR="00BF3A1A" w:rsidRPr="00ED32DD" w:rsidRDefault="00BF3A1A" w:rsidP="00D43FFF">
                          <w:pPr>
                            <w:jc w:val="center"/>
                            <w:rPr>
                              <w:rFonts w:ascii="Arial" w:hAnsi="Arial" w:cs="Arial"/>
                              <w:color w:val="000000" w:themeColor="text1"/>
                              <w:sz w:val="44"/>
                              <w:szCs w:val="44"/>
                            </w:rPr>
                          </w:pPr>
                        </w:p>
                        <w:p w14:paraId="02019559" w14:textId="6FFCF812"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Paulina Kostova</w:t>
                          </w:r>
                        </w:p>
                        <w:p w14:paraId="56C5C485" w14:textId="78BA3220" w:rsidR="00E6088F" w:rsidRPr="00ED32DD" w:rsidRDefault="00E6088F"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Student N 2008000</w:t>
                          </w:r>
                        </w:p>
                        <w:p w14:paraId="1A21E725" w14:textId="235FB2BE" w:rsidR="00FF12DA" w:rsidRPr="00ED32DD" w:rsidRDefault="00FF12DA"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Submission date 9th May 2022</w:t>
                          </w:r>
                        </w:p>
                        <w:p w14:paraId="2958F2D3" w14:textId="57AA9422" w:rsidR="00FF12DA" w:rsidRPr="00ED32DD" w:rsidRDefault="00FF12DA" w:rsidP="00D43FFF">
                          <w:pPr>
                            <w:jc w:val="center"/>
                            <w:rPr>
                              <w:rFonts w:ascii="Arial" w:hAnsi="Arial" w:cs="Arial"/>
                              <w:color w:val="000000" w:themeColor="text1"/>
                              <w:sz w:val="44"/>
                              <w:szCs w:val="44"/>
                            </w:rPr>
                          </w:pPr>
                          <w:r w:rsidRPr="00ED32DD">
                            <w:rPr>
                              <w:rFonts w:ascii="Arial" w:hAnsi="Arial" w:cs="Arial"/>
                              <w:color w:val="000000" w:themeColor="text1"/>
                              <w:sz w:val="44"/>
                              <w:szCs w:val="44"/>
                            </w:rPr>
                            <w:t>Word count</w:t>
                          </w:r>
                          <w:r w:rsidR="002679A2" w:rsidRPr="00ED32DD">
                            <w:rPr>
                              <w:rFonts w:ascii="Arial" w:hAnsi="Arial" w:cs="Arial"/>
                              <w:color w:val="000000" w:themeColor="text1"/>
                              <w:sz w:val="44"/>
                              <w:szCs w:val="44"/>
                            </w:rPr>
                            <w:t xml:space="preserve"> 1974</w:t>
                          </w:r>
                        </w:p>
                        <w:p w14:paraId="6EAC05B7" w14:textId="77777777" w:rsidR="00FF12DA" w:rsidRDefault="00FF12DA">
                          <w:pPr>
                            <w:jc w:val="right"/>
                            <w:rPr>
                              <w:color w:val="DDDDDD" w:themeColor="accent1"/>
                              <w:sz w:val="64"/>
                              <w:szCs w:val="64"/>
                            </w:rPr>
                          </w:pPr>
                        </w:p>
                        <w:p w14:paraId="2BE5FD32" w14:textId="77777777" w:rsidR="00E6088F" w:rsidRDefault="00E6088F">
                          <w:pPr>
                            <w:jc w:val="right"/>
                            <w:rPr>
                              <w:color w:val="DDDDDD" w:themeColor="accent1"/>
                              <w:sz w:val="64"/>
                              <w:szCs w:val="64"/>
                            </w:rPr>
                          </w:pPr>
                        </w:p>
                        <w:p w14:paraId="6042A51E" w14:textId="77777777" w:rsidR="00E6088F" w:rsidRDefault="00E6088F">
                          <w:pPr>
                            <w:jc w:val="right"/>
                            <w:rPr>
                              <w:color w:val="DDDDDD" w:themeColor="accent1"/>
                              <w:sz w:val="64"/>
                              <w:szCs w:val="64"/>
                            </w:rPr>
                          </w:pPr>
                        </w:p>
                        <w:p w14:paraId="7E8339D7" w14:textId="77777777" w:rsidR="00E6088F" w:rsidRDefault="00E6088F">
                          <w:pPr>
                            <w:jc w:val="right"/>
                            <w:rPr>
                              <w:color w:val="DDDDDD" w:themeColor="accent1"/>
                              <w:sz w:val="64"/>
                              <w:szCs w:val="64"/>
                            </w:rPr>
                          </w:pPr>
                        </w:p>
                        <w:p w14:paraId="218733B8" w14:textId="41F806D3" w:rsidR="00E6088F" w:rsidRDefault="00E6088F">
                          <w:pPr>
                            <w:jc w:val="right"/>
                            <w:rPr>
                              <w:smallCaps/>
                              <w:color w:val="404040" w:themeColor="text1" w:themeTint="BF"/>
                              <w:sz w:val="36"/>
                              <w:szCs w:val="36"/>
                            </w:rPr>
                          </w:pPr>
                        </w:p>
                      </w:txbxContent>
                    </v:textbox>
                    <w10:wrap type="square" anchorx="page" anchory="page"/>
                  </v:shape>
                </w:pict>
              </mc:Fallback>
            </mc:AlternateContent>
          </w:r>
          <w:r w:rsidR="00E6088F">
            <w:rPr>
              <w:rFonts w:ascii="Arial" w:hAnsi="Arial" w:cs="Arial"/>
            </w:rPr>
            <w:br w:type="page"/>
          </w:r>
        </w:p>
      </w:sdtContent>
    </w:sdt>
    <w:p w14:paraId="589DF8DC" w14:textId="77777777" w:rsidR="00890AC3" w:rsidRPr="00737853" w:rsidRDefault="00045B5B" w:rsidP="00231D70">
      <w:pPr>
        <w:tabs>
          <w:tab w:val="left" w:pos="3450"/>
        </w:tabs>
        <w:spacing w:after="0" w:line="360" w:lineRule="auto"/>
        <w:jc w:val="center"/>
        <w:rPr>
          <w:rFonts w:ascii="Arial" w:hAnsi="Arial" w:cs="Arial"/>
        </w:rPr>
      </w:pPr>
      <w:r w:rsidRPr="00737853">
        <w:rPr>
          <w:rFonts w:ascii="Arial" w:hAnsi="Arial" w:cs="Arial"/>
        </w:rPr>
        <w:lastRenderedPageBreak/>
        <w:t>Introduction</w:t>
      </w:r>
    </w:p>
    <w:p w14:paraId="3F60EA23" w14:textId="20A266E9" w:rsidR="00316469"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 xml:space="preserve">Employee engagement is an essential process for any profit-making organization as it helps in increasing its competitive advantage through increased productivity and reduced employee turnover. The continued survival of most business </w:t>
      </w:r>
      <w:r w:rsidR="00B5220F" w:rsidRPr="00737853">
        <w:rPr>
          <w:rFonts w:ascii="Arial" w:hAnsi="Arial" w:cs="Arial"/>
        </w:rPr>
        <w:t>organizations</w:t>
      </w:r>
      <w:r w:rsidR="00045B5B" w:rsidRPr="00737853">
        <w:rPr>
          <w:rFonts w:ascii="Arial" w:hAnsi="Arial" w:cs="Arial"/>
        </w:rPr>
        <w:t xml:space="preserve"> is based on their ability to maximize profits from the available resources while recognizing the possibility of future changes that can affect the preferences of their workforce. Therefore, it is not new that most small and large business organizations have significantly invested in initiatives and policies that promote commitment and engagement with their employees. Corporate leaders sometimes face difficulty in trying to adjust their business operations </w:t>
      </w:r>
      <w:r w:rsidR="00B5220F" w:rsidRPr="00737853">
        <w:rPr>
          <w:rFonts w:ascii="Arial" w:hAnsi="Arial" w:cs="Arial"/>
        </w:rPr>
        <w:t>concerning</w:t>
      </w:r>
      <w:r w:rsidR="00045B5B" w:rsidRPr="00737853">
        <w:rPr>
          <w:rFonts w:ascii="Arial" w:hAnsi="Arial" w:cs="Arial"/>
        </w:rPr>
        <w:t xml:space="preserve"> change, especially if they narrow their focus to the available processes and products. However, they can achieve a viable future for their organizations if they </w:t>
      </w:r>
      <w:r w:rsidR="00B5220F" w:rsidRPr="00737853">
        <w:rPr>
          <w:rFonts w:ascii="Arial" w:hAnsi="Arial" w:cs="Arial"/>
        </w:rPr>
        <w:t>know</w:t>
      </w:r>
      <w:r w:rsidR="00045B5B" w:rsidRPr="00737853">
        <w:rPr>
          <w:rFonts w:ascii="Arial" w:hAnsi="Arial" w:cs="Arial"/>
        </w:rPr>
        <w:t xml:space="preserve"> how to balance maximizing profits in the short run and employee engagement. This paper is a comprehensive report on the concept and drivers of employee engagement, tools for measuring employee engagement</w:t>
      </w:r>
      <w:r w:rsidR="00B5220F" w:rsidRPr="00737853">
        <w:rPr>
          <w:rFonts w:ascii="Arial" w:hAnsi="Arial" w:cs="Arial"/>
        </w:rPr>
        <w:t>,</w:t>
      </w:r>
      <w:r w:rsidR="00045B5B" w:rsidRPr="00737853">
        <w:rPr>
          <w:rFonts w:ascii="Arial" w:hAnsi="Arial" w:cs="Arial"/>
        </w:rPr>
        <w:t xml:space="preserve"> and a construct of the employee value proposition.</w:t>
      </w:r>
    </w:p>
    <w:p w14:paraId="04030EDE" w14:textId="77777777" w:rsidR="00316469" w:rsidRPr="00737853" w:rsidRDefault="00045B5B" w:rsidP="00231D70">
      <w:pPr>
        <w:tabs>
          <w:tab w:val="left" w:pos="3450"/>
        </w:tabs>
        <w:spacing w:after="0" w:line="360" w:lineRule="auto"/>
        <w:jc w:val="both"/>
        <w:rPr>
          <w:rFonts w:ascii="Arial" w:hAnsi="Arial" w:cs="Arial"/>
        </w:rPr>
      </w:pPr>
      <w:r w:rsidRPr="00737853">
        <w:rPr>
          <w:rFonts w:ascii="Arial" w:hAnsi="Arial" w:cs="Arial"/>
        </w:rPr>
        <w:t>Review the concept and drivers of employee engagement</w:t>
      </w:r>
    </w:p>
    <w:p w14:paraId="045E1F70" w14:textId="3783E8F4" w:rsidR="00040511"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 xml:space="preserve">Different authors and scholars have generated different meanings of employee engagement. According to </w:t>
      </w:r>
      <w:r w:rsidR="00B2516E" w:rsidRPr="00737853">
        <w:rPr>
          <w:rFonts w:ascii="Arial" w:hAnsi="Arial" w:cs="Arial"/>
        </w:rPr>
        <w:t xml:space="preserve">Sun and </w:t>
      </w:r>
      <w:proofErr w:type="spellStart"/>
      <w:r w:rsidR="00B2516E" w:rsidRPr="00737853">
        <w:rPr>
          <w:rFonts w:ascii="Arial" w:hAnsi="Arial" w:cs="Arial"/>
        </w:rPr>
        <w:t>Bunchapattanasakda</w:t>
      </w:r>
      <w:proofErr w:type="spellEnd"/>
      <w:r w:rsidR="00B2516E" w:rsidRPr="00737853">
        <w:rPr>
          <w:rFonts w:ascii="Arial" w:hAnsi="Arial" w:cs="Arial"/>
        </w:rPr>
        <w:t xml:space="preserve"> (2019), </w:t>
      </w:r>
      <w:r w:rsidR="00045B5B" w:rsidRPr="00737853">
        <w:rPr>
          <w:rFonts w:ascii="Arial" w:hAnsi="Arial" w:cs="Arial"/>
        </w:rPr>
        <w:t>the concept refers to the employees' intellectual and emotional commitment toward their work or the level of discretionary effort portrayed by organizational workers in their line of duty.</w:t>
      </w:r>
      <w:r w:rsidR="0017268D" w:rsidRPr="00737853">
        <w:rPr>
          <w:rFonts w:ascii="Arial" w:hAnsi="Arial" w:cs="Arial"/>
        </w:rPr>
        <w:t xml:space="preserve"> The definition by </w:t>
      </w:r>
      <w:r w:rsidR="00B2516E" w:rsidRPr="00737853">
        <w:rPr>
          <w:rFonts w:ascii="Arial" w:hAnsi="Arial" w:cs="Arial"/>
        </w:rPr>
        <w:t>Bailey et al. (2017</w:t>
      </w:r>
      <w:r w:rsidR="0017268D" w:rsidRPr="00737853">
        <w:rPr>
          <w:rFonts w:ascii="Arial" w:hAnsi="Arial" w:cs="Arial"/>
        </w:rPr>
        <w:t xml:space="preserve">) indicates that employee engagement refers to employee energy and passion for extending a discretionary effort in assisting the organization to achieve its </w:t>
      </w:r>
      <w:r w:rsidR="00B5220F" w:rsidRPr="00737853">
        <w:rPr>
          <w:rFonts w:ascii="Arial" w:hAnsi="Arial" w:cs="Arial"/>
        </w:rPr>
        <w:t>long-term</w:t>
      </w:r>
      <w:r w:rsidR="0017268D" w:rsidRPr="00737853">
        <w:rPr>
          <w:rFonts w:ascii="Arial" w:hAnsi="Arial" w:cs="Arial"/>
        </w:rPr>
        <w:t xml:space="preserve"> goals. It is usually connected to employees' dedication towards the organization, their support of organizational values</w:t>
      </w:r>
      <w:r w:rsidR="00B5220F" w:rsidRPr="00737853">
        <w:rPr>
          <w:rFonts w:ascii="Arial" w:hAnsi="Arial" w:cs="Arial"/>
        </w:rPr>
        <w:t>,</w:t>
      </w:r>
      <w:r w:rsidR="0017268D" w:rsidRPr="00737853">
        <w:rPr>
          <w:rFonts w:ascii="Arial" w:hAnsi="Arial" w:cs="Arial"/>
        </w:rPr>
        <w:t xml:space="preserve"> and readiness to provide excellent human services to the organization. Therefore, this definition highlights the psychological rather than physical contract employees form with their respective organizations. </w:t>
      </w:r>
      <w:r w:rsidR="00045B5B" w:rsidRPr="00737853">
        <w:rPr>
          <w:rFonts w:ascii="Arial" w:hAnsi="Arial" w:cs="Arial"/>
        </w:rPr>
        <w:t xml:space="preserve">However, </w:t>
      </w:r>
      <w:proofErr w:type="spellStart"/>
      <w:r w:rsidR="00606059" w:rsidRPr="00737853">
        <w:rPr>
          <w:rFonts w:ascii="Arial" w:hAnsi="Arial" w:cs="Arial"/>
        </w:rPr>
        <w:t>Eldor</w:t>
      </w:r>
      <w:proofErr w:type="spellEnd"/>
      <w:r w:rsidR="00606059" w:rsidRPr="00737853">
        <w:rPr>
          <w:rFonts w:ascii="Arial" w:hAnsi="Arial" w:cs="Arial"/>
        </w:rPr>
        <w:t xml:space="preserve"> and Vigoda-Gadot (2017), </w:t>
      </w:r>
      <w:r w:rsidR="00045B5B" w:rsidRPr="00737853">
        <w:rPr>
          <w:rFonts w:ascii="Arial" w:hAnsi="Arial" w:cs="Arial"/>
        </w:rPr>
        <w:t>defined the concept as a sense of employees being valued</w:t>
      </w:r>
      <w:r w:rsidR="0017268D" w:rsidRPr="00737853">
        <w:rPr>
          <w:rFonts w:ascii="Arial" w:hAnsi="Arial" w:cs="Arial"/>
        </w:rPr>
        <w:t xml:space="preserve"> through being involved in organizational activities, which increases their satisfaction. </w:t>
      </w:r>
      <w:r w:rsidR="004C0332" w:rsidRPr="00737853">
        <w:rPr>
          <w:rFonts w:ascii="Arial" w:hAnsi="Arial" w:cs="Arial"/>
        </w:rPr>
        <w:t>Employees who are engaged in their workplace feel valued and develop inspiration from their official duties. Additionally, they tend to be highly customer-focused and are concerned about the organization's future success</w:t>
      </w:r>
      <w:r w:rsidR="00606059" w:rsidRPr="00737853">
        <w:rPr>
          <w:rFonts w:ascii="Arial" w:hAnsi="Arial" w:cs="Arial"/>
        </w:rPr>
        <w:t xml:space="preserve"> (</w:t>
      </w:r>
      <w:proofErr w:type="spellStart"/>
      <w:r w:rsidR="00606059" w:rsidRPr="00737853">
        <w:rPr>
          <w:rFonts w:ascii="Arial" w:hAnsi="Arial" w:cs="Arial"/>
        </w:rPr>
        <w:t>Eldor</w:t>
      </w:r>
      <w:proofErr w:type="spellEnd"/>
      <w:r w:rsidR="00606059" w:rsidRPr="00737853">
        <w:rPr>
          <w:rFonts w:ascii="Arial" w:hAnsi="Arial" w:cs="Arial"/>
        </w:rPr>
        <w:t xml:space="preserve"> and Vigoda-Gadot 2017, p. 528</w:t>
      </w:r>
      <w:r w:rsidRPr="00737853">
        <w:rPr>
          <w:rFonts w:ascii="Arial" w:hAnsi="Arial" w:cs="Arial"/>
        </w:rPr>
        <w:t xml:space="preserve">). </w:t>
      </w:r>
      <w:r w:rsidR="004C0332" w:rsidRPr="00737853">
        <w:rPr>
          <w:rFonts w:ascii="Arial" w:hAnsi="Arial" w:cs="Arial"/>
        </w:rPr>
        <w:t>Hence, they are ready to drive it towards achieving its long-term goals and objectives.</w:t>
      </w:r>
    </w:p>
    <w:p w14:paraId="29E8B56D" w14:textId="7214CCFB" w:rsidR="004C0332" w:rsidRPr="00737853" w:rsidRDefault="00890AC3" w:rsidP="00231D70">
      <w:pPr>
        <w:tabs>
          <w:tab w:val="left" w:pos="3450"/>
        </w:tabs>
        <w:spacing w:after="0" w:line="360" w:lineRule="auto"/>
        <w:jc w:val="both"/>
        <w:rPr>
          <w:rFonts w:ascii="Arial" w:hAnsi="Arial" w:cs="Arial"/>
        </w:rPr>
      </w:pPr>
      <w:r w:rsidRPr="00737853">
        <w:rPr>
          <w:rFonts w:ascii="Arial" w:hAnsi="Arial" w:cs="Arial"/>
        </w:rPr>
        <w:lastRenderedPageBreak/>
        <w:t xml:space="preserve">       </w:t>
      </w:r>
      <w:r w:rsidR="00045B5B" w:rsidRPr="00737853">
        <w:rPr>
          <w:rFonts w:ascii="Arial" w:hAnsi="Arial" w:cs="Arial"/>
        </w:rPr>
        <w:t xml:space="preserve">One of the key drivers of employee engagement is emotional commitment. An employee's commitment to diligently serve the organization is directly related to their overall performance and productivity. </w:t>
      </w:r>
      <w:r w:rsidR="00B2516E" w:rsidRPr="00737853">
        <w:rPr>
          <w:rFonts w:ascii="Arial" w:hAnsi="Arial" w:cs="Arial"/>
        </w:rPr>
        <w:t xml:space="preserve">Emotional commitment refers to the employee’s ability to genuinely contribute their expertise in the pursuit of the </w:t>
      </w:r>
      <w:r w:rsidR="00B5220F" w:rsidRPr="00737853">
        <w:rPr>
          <w:rFonts w:ascii="Arial" w:hAnsi="Arial" w:cs="Arial"/>
        </w:rPr>
        <w:t>organization’s</w:t>
      </w:r>
      <w:r w:rsidR="00B2516E" w:rsidRPr="00737853">
        <w:rPr>
          <w:rFonts w:ascii="Arial" w:hAnsi="Arial" w:cs="Arial"/>
        </w:rPr>
        <w:t xml:space="preserve"> goals</w:t>
      </w:r>
      <w:r w:rsidRPr="00737853">
        <w:rPr>
          <w:rFonts w:ascii="Arial" w:hAnsi="Arial" w:cs="Arial"/>
        </w:rPr>
        <w:t xml:space="preserve"> (</w:t>
      </w:r>
      <w:proofErr w:type="spellStart"/>
      <w:r w:rsidRPr="00737853">
        <w:rPr>
          <w:rFonts w:ascii="Arial" w:hAnsi="Arial" w:cs="Arial"/>
        </w:rPr>
        <w:t>Eldor</w:t>
      </w:r>
      <w:proofErr w:type="spellEnd"/>
      <w:r w:rsidRPr="00737853">
        <w:rPr>
          <w:rFonts w:ascii="Arial" w:hAnsi="Arial" w:cs="Arial"/>
        </w:rPr>
        <w:t xml:space="preserve"> and Vigoda-Gadot 2017, p. 543)</w:t>
      </w:r>
      <w:r w:rsidR="00B2516E" w:rsidRPr="00737853">
        <w:rPr>
          <w:rFonts w:ascii="Arial" w:hAnsi="Arial" w:cs="Arial"/>
        </w:rPr>
        <w:t xml:space="preserve">. </w:t>
      </w:r>
      <w:r w:rsidR="00B5220F" w:rsidRPr="00737853">
        <w:rPr>
          <w:rFonts w:ascii="Arial" w:hAnsi="Arial" w:cs="Arial"/>
        </w:rPr>
        <w:t>A high</w:t>
      </w:r>
      <w:r w:rsidR="00B2516E" w:rsidRPr="00737853">
        <w:rPr>
          <w:rFonts w:ascii="Arial" w:hAnsi="Arial" w:cs="Arial"/>
        </w:rPr>
        <w:t xml:space="preserve"> level of emotional commitment implies </w:t>
      </w:r>
      <w:r w:rsidR="00B5220F" w:rsidRPr="00737853">
        <w:rPr>
          <w:rFonts w:ascii="Arial" w:hAnsi="Arial" w:cs="Arial"/>
        </w:rPr>
        <w:t xml:space="preserve">a </w:t>
      </w:r>
      <w:r w:rsidR="00B2516E" w:rsidRPr="00737853">
        <w:rPr>
          <w:rFonts w:ascii="Arial" w:hAnsi="Arial" w:cs="Arial"/>
        </w:rPr>
        <w:t xml:space="preserve">higher possibility of achieving organizational objectives and improving productivity. </w:t>
      </w:r>
      <w:r w:rsidR="00045B5B" w:rsidRPr="00737853">
        <w:rPr>
          <w:rFonts w:ascii="Arial" w:hAnsi="Arial" w:cs="Arial"/>
        </w:rPr>
        <w:t>Second is a work-life balance</w:t>
      </w:r>
      <w:r w:rsidR="00930D1A" w:rsidRPr="00737853">
        <w:rPr>
          <w:rFonts w:ascii="Arial" w:hAnsi="Arial" w:cs="Arial"/>
        </w:rPr>
        <w:t xml:space="preserve"> which is also a crucial determinant of employee retention. Human resource managers should recognize the unique needs of various categories of employees to understand the increasingly diverse nature of the organization's workforce. This knowledge plays a crucial role in designing and adopting organizational strategies and activities that will promote engagement of the diverse groups of employees at work. Workplace culture is another driver of employee engagement. Different corporate environments have fostered different cultures, some of which do not foster employee retention through engagement</w:t>
      </w:r>
      <w:r w:rsidRPr="00737853">
        <w:rPr>
          <w:rFonts w:ascii="Arial" w:hAnsi="Arial" w:cs="Arial"/>
        </w:rPr>
        <w:t xml:space="preserve"> (Sun and </w:t>
      </w:r>
      <w:proofErr w:type="spellStart"/>
      <w:r w:rsidRPr="00737853">
        <w:rPr>
          <w:rFonts w:ascii="Arial" w:hAnsi="Arial" w:cs="Arial"/>
        </w:rPr>
        <w:t>Bunchapattanasakda</w:t>
      </w:r>
      <w:proofErr w:type="spellEnd"/>
      <w:r w:rsidRPr="00737853">
        <w:rPr>
          <w:rFonts w:ascii="Arial" w:hAnsi="Arial" w:cs="Arial"/>
        </w:rPr>
        <w:t xml:space="preserve"> 2019, p. 68)</w:t>
      </w:r>
      <w:r w:rsidR="00930D1A" w:rsidRPr="00737853">
        <w:rPr>
          <w:rFonts w:ascii="Arial" w:hAnsi="Arial" w:cs="Arial"/>
        </w:rPr>
        <w:t>.</w:t>
      </w:r>
      <w:r w:rsidR="00D35D15" w:rsidRPr="00737853">
        <w:rPr>
          <w:rFonts w:ascii="Arial" w:hAnsi="Arial" w:cs="Arial"/>
        </w:rPr>
        <w:t xml:space="preserve"> An organization with a workplace culture that promotes the psychological well-being of the employees that promotes safety, job security</w:t>
      </w:r>
      <w:r w:rsidR="00B5220F" w:rsidRPr="00737853">
        <w:rPr>
          <w:rFonts w:ascii="Arial" w:hAnsi="Arial" w:cs="Arial"/>
        </w:rPr>
        <w:t>,</w:t>
      </w:r>
      <w:r w:rsidR="00D35D15" w:rsidRPr="00737853">
        <w:rPr>
          <w:rFonts w:ascii="Arial" w:hAnsi="Arial" w:cs="Arial"/>
        </w:rPr>
        <w:t xml:space="preserve"> and fair competition </w:t>
      </w:r>
      <w:r w:rsidR="00B5220F" w:rsidRPr="00737853">
        <w:rPr>
          <w:rFonts w:ascii="Arial" w:hAnsi="Arial" w:cs="Arial"/>
        </w:rPr>
        <w:t>is</w:t>
      </w:r>
      <w:r w:rsidR="00D35D15" w:rsidRPr="00737853">
        <w:rPr>
          <w:rFonts w:ascii="Arial" w:hAnsi="Arial" w:cs="Arial"/>
        </w:rPr>
        <w:t xml:space="preserve"> better placed to build and maintain employee engagement. Furthermore, organizations </w:t>
      </w:r>
      <w:proofErr w:type="gramStart"/>
      <w:r w:rsidR="00D35D15" w:rsidRPr="00737853">
        <w:rPr>
          <w:rFonts w:ascii="Arial" w:hAnsi="Arial" w:cs="Arial"/>
        </w:rPr>
        <w:t>that</w:t>
      </w:r>
      <w:r w:rsidR="00737853">
        <w:rPr>
          <w:rFonts w:ascii="Arial" w:hAnsi="Arial" w:cs="Arial"/>
        </w:rPr>
        <w:t xml:space="preserve"> </w:t>
      </w:r>
      <w:r w:rsidR="00D35D15" w:rsidRPr="00737853">
        <w:rPr>
          <w:rFonts w:ascii="Arial" w:hAnsi="Arial" w:cs="Arial"/>
        </w:rPr>
        <w:t>potential employees</w:t>
      </w:r>
      <w:proofErr w:type="gramEnd"/>
      <w:r w:rsidR="00D35D15" w:rsidRPr="00737853">
        <w:rPr>
          <w:rFonts w:ascii="Arial" w:hAnsi="Arial" w:cs="Arial"/>
        </w:rPr>
        <w:t xml:space="preserve"> recognize as an "employer of choice" set a good image that attracts and retain employees hence portraying high levels of engagement. In essence, a strong corporate culture that promotes employee respect and provides training activities has a significant impact on enhancing employee loyalty and increasing engagement.</w:t>
      </w:r>
    </w:p>
    <w:p w14:paraId="5F84D0BE" w14:textId="77777777" w:rsidR="00316469" w:rsidRPr="00737853" w:rsidRDefault="00045B5B" w:rsidP="00231D70">
      <w:pPr>
        <w:tabs>
          <w:tab w:val="left" w:pos="3450"/>
        </w:tabs>
        <w:spacing w:after="0" w:line="360" w:lineRule="auto"/>
        <w:jc w:val="both"/>
        <w:rPr>
          <w:rFonts w:ascii="Arial" w:hAnsi="Arial" w:cs="Arial"/>
        </w:rPr>
      </w:pPr>
      <w:r w:rsidRPr="00737853">
        <w:rPr>
          <w:rFonts w:ascii="Arial" w:hAnsi="Arial" w:cs="Arial"/>
        </w:rPr>
        <w:t>Evaluate diagnostic tools to measure the engagement</w:t>
      </w:r>
    </w:p>
    <w:p w14:paraId="0548E111" w14:textId="2BD07E6F" w:rsidR="00751E14"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There are various diagnostic criteria approved for measuring employee engagement. However, for this research, I will focus on six (6) diagnostic criteria.</w:t>
      </w:r>
    </w:p>
    <w:p w14:paraId="57EF0D0F" w14:textId="77777777" w:rsidR="00751E14" w:rsidRPr="00737853" w:rsidRDefault="00045B5B" w:rsidP="00231D70">
      <w:pPr>
        <w:pStyle w:val="ListParagraph"/>
        <w:numPr>
          <w:ilvl w:val="0"/>
          <w:numId w:val="1"/>
        </w:numPr>
        <w:tabs>
          <w:tab w:val="left" w:pos="3450"/>
        </w:tabs>
        <w:spacing w:after="0" w:line="360" w:lineRule="auto"/>
        <w:jc w:val="both"/>
        <w:rPr>
          <w:rFonts w:ascii="Arial" w:hAnsi="Arial" w:cs="Arial"/>
        </w:rPr>
      </w:pPr>
      <w:r w:rsidRPr="00737853">
        <w:rPr>
          <w:rFonts w:ascii="Arial" w:hAnsi="Arial" w:cs="Arial"/>
        </w:rPr>
        <w:t>IES Engagement Survey</w:t>
      </w:r>
    </w:p>
    <w:p w14:paraId="08D4E805" w14:textId="52548475" w:rsidR="00751E14"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It is an engagement measure made up of twelve attitudinal phrases that determine organizational commitment, citizenship, and the range employees recognize organizational values. It is also crucial to measure employees' perception of the extent to which the organization empowers individuals to perform well</w:t>
      </w:r>
      <w:r w:rsidR="00C16D8C" w:rsidRPr="00737853">
        <w:rPr>
          <w:rFonts w:ascii="Arial" w:hAnsi="Arial" w:cs="Arial"/>
        </w:rPr>
        <w:t xml:space="preserve"> (Shuck, Adelson</w:t>
      </w:r>
      <w:r w:rsidR="00B5220F" w:rsidRPr="00737853">
        <w:rPr>
          <w:rFonts w:ascii="Arial" w:hAnsi="Arial" w:cs="Arial"/>
        </w:rPr>
        <w:t>,</w:t>
      </w:r>
      <w:r w:rsidR="00C16D8C" w:rsidRPr="00737853">
        <w:rPr>
          <w:rFonts w:ascii="Arial" w:hAnsi="Arial" w:cs="Arial"/>
        </w:rPr>
        <w:t xml:space="preserve"> and </w:t>
      </w:r>
      <w:proofErr w:type="spellStart"/>
      <w:r w:rsidR="00C16D8C" w:rsidRPr="00737853">
        <w:rPr>
          <w:rFonts w:ascii="Arial" w:hAnsi="Arial" w:cs="Arial"/>
        </w:rPr>
        <w:t>Reio</w:t>
      </w:r>
      <w:proofErr w:type="spellEnd"/>
      <w:r w:rsidR="00C16D8C" w:rsidRPr="00737853">
        <w:rPr>
          <w:rFonts w:ascii="Arial" w:hAnsi="Arial" w:cs="Arial"/>
        </w:rPr>
        <w:t xml:space="preserve"> Jr 2017, p. 957)</w:t>
      </w:r>
      <w:r w:rsidR="00045B5B" w:rsidRPr="00737853">
        <w:rPr>
          <w:rFonts w:ascii="Arial" w:hAnsi="Arial" w:cs="Arial"/>
        </w:rPr>
        <w:t xml:space="preserve">. The survey </w:t>
      </w:r>
      <w:r w:rsidR="00B5220F" w:rsidRPr="00737853">
        <w:rPr>
          <w:rFonts w:ascii="Arial" w:hAnsi="Arial" w:cs="Arial"/>
        </w:rPr>
        <w:t>allows the respondents</w:t>
      </w:r>
      <w:r w:rsidR="00045B5B" w:rsidRPr="00737853">
        <w:rPr>
          <w:rFonts w:ascii="Arial" w:hAnsi="Arial" w:cs="Arial"/>
        </w:rPr>
        <w:t xml:space="preserve"> to indicate their point of agreement with every statement using a scale of one to five. Higher scores reflect a higher level of employee engagement.</w:t>
      </w:r>
    </w:p>
    <w:p w14:paraId="6AD5CD0C" w14:textId="77777777" w:rsidR="00751E14" w:rsidRPr="00737853" w:rsidRDefault="00045B5B" w:rsidP="00231D70">
      <w:pPr>
        <w:pStyle w:val="ListParagraph"/>
        <w:numPr>
          <w:ilvl w:val="0"/>
          <w:numId w:val="1"/>
        </w:numPr>
        <w:tabs>
          <w:tab w:val="left" w:pos="3450"/>
        </w:tabs>
        <w:spacing w:after="0" w:line="360" w:lineRule="auto"/>
        <w:jc w:val="both"/>
        <w:rPr>
          <w:rFonts w:ascii="Arial" w:hAnsi="Arial" w:cs="Arial"/>
        </w:rPr>
      </w:pPr>
      <w:r w:rsidRPr="00737853">
        <w:rPr>
          <w:rFonts w:ascii="Arial" w:hAnsi="Arial" w:cs="Arial"/>
        </w:rPr>
        <w:t>Roffey Park Institute’s Engagement Diagnostic Service</w:t>
      </w:r>
    </w:p>
    <w:p w14:paraId="27283F45" w14:textId="0F6A634F" w:rsidR="00FC04A9" w:rsidRPr="00737853" w:rsidRDefault="00890AC3" w:rsidP="00231D70">
      <w:pPr>
        <w:tabs>
          <w:tab w:val="left" w:pos="3450"/>
        </w:tabs>
        <w:spacing w:after="0" w:line="360" w:lineRule="auto"/>
        <w:jc w:val="both"/>
        <w:rPr>
          <w:rFonts w:ascii="Arial" w:hAnsi="Arial" w:cs="Arial"/>
        </w:rPr>
      </w:pPr>
      <w:r w:rsidRPr="00737853">
        <w:rPr>
          <w:rFonts w:ascii="Arial" w:hAnsi="Arial" w:cs="Arial"/>
        </w:rPr>
        <w:lastRenderedPageBreak/>
        <w:t xml:space="preserve">         </w:t>
      </w:r>
      <w:r w:rsidR="00045B5B" w:rsidRPr="00737853">
        <w:rPr>
          <w:rFonts w:ascii="Arial" w:hAnsi="Arial" w:cs="Arial"/>
        </w:rPr>
        <w:t>It is a diagnostic criterion for employee engagement that the Roffey Park Institute created to enable organizations to measure t6heir engagement levels. The scale was developed within the framework of a package service to allow organizations to determine and gain insight into employee engagement as an important aspect of their goal achievement</w:t>
      </w:r>
      <w:r w:rsidR="00C16D8C" w:rsidRPr="00737853">
        <w:rPr>
          <w:rFonts w:ascii="Arial" w:hAnsi="Arial" w:cs="Arial"/>
        </w:rPr>
        <w:t xml:space="preserve"> (Shuck, Adelson</w:t>
      </w:r>
      <w:r w:rsidR="00B5220F" w:rsidRPr="00737853">
        <w:rPr>
          <w:rFonts w:ascii="Arial" w:hAnsi="Arial" w:cs="Arial"/>
        </w:rPr>
        <w:t>,</w:t>
      </w:r>
      <w:r w:rsidR="00C16D8C" w:rsidRPr="00737853">
        <w:rPr>
          <w:rFonts w:ascii="Arial" w:hAnsi="Arial" w:cs="Arial"/>
        </w:rPr>
        <w:t xml:space="preserve"> and </w:t>
      </w:r>
      <w:proofErr w:type="spellStart"/>
      <w:r w:rsidR="00C16D8C" w:rsidRPr="00737853">
        <w:rPr>
          <w:rFonts w:ascii="Arial" w:hAnsi="Arial" w:cs="Arial"/>
        </w:rPr>
        <w:t>Reio</w:t>
      </w:r>
      <w:proofErr w:type="spellEnd"/>
      <w:r w:rsidR="00C16D8C" w:rsidRPr="00737853">
        <w:rPr>
          <w:rFonts w:ascii="Arial" w:hAnsi="Arial" w:cs="Arial"/>
        </w:rPr>
        <w:t xml:space="preserve"> Jr 2017, p. 961)</w:t>
      </w:r>
      <w:r w:rsidR="00045B5B" w:rsidRPr="00737853">
        <w:rPr>
          <w:rFonts w:ascii="Arial" w:hAnsi="Arial" w:cs="Arial"/>
        </w:rPr>
        <w:t>. The criteria provide an empirically validated scale that measures organizational engagement based on four primary measures: workers' commitment, their relationship at the workplace, the available motivations, and their perceptions of their work and roles.</w:t>
      </w:r>
    </w:p>
    <w:p w14:paraId="4E1001EC" w14:textId="77777777" w:rsidR="00FC04A9" w:rsidRPr="00737853" w:rsidRDefault="00045B5B" w:rsidP="00231D70">
      <w:pPr>
        <w:pStyle w:val="ListParagraph"/>
        <w:numPr>
          <w:ilvl w:val="0"/>
          <w:numId w:val="1"/>
        </w:numPr>
        <w:tabs>
          <w:tab w:val="left" w:pos="3450"/>
        </w:tabs>
        <w:spacing w:after="0" w:line="360" w:lineRule="auto"/>
        <w:jc w:val="both"/>
        <w:rPr>
          <w:rFonts w:ascii="Arial" w:hAnsi="Arial" w:cs="Arial"/>
        </w:rPr>
      </w:pPr>
      <w:proofErr w:type="spellStart"/>
      <w:r w:rsidRPr="00737853">
        <w:rPr>
          <w:rFonts w:ascii="Arial" w:hAnsi="Arial" w:cs="Arial"/>
        </w:rPr>
        <w:t>NetPromoter</w:t>
      </w:r>
      <w:proofErr w:type="spellEnd"/>
      <w:r w:rsidRPr="00737853">
        <w:rPr>
          <w:rFonts w:ascii="Arial" w:hAnsi="Arial" w:cs="Arial"/>
        </w:rPr>
        <w:t xml:space="preserve"> </w:t>
      </w:r>
    </w:p>
    <w:p w14:paraId="57269BFD" w14:textId="7F708943" w:rsidR="00FC04A9"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 xml:space="preserve">The criteria are founded on the idea that an organization's customers can be categorized into three groups: Promoters, passives, and detractors. </w:t>
      </w:r>
      <w:r w:rsidR="0093783F" w:rsidRPr="00737853">
        <w:rPr>
          <w:rFonts w:ascii="Arial" w:hAnsi="Arial" w:cs="Arial"/>
        </w:rPr>
        <w:t>Just like customers, employees can be categorized into promoters, passives</w:t>
      </w:r>
      <w:r w:rsidR="00B5220F" w:rsidRPr="00737853">
        <w:rPr>
          <w:rFonts w:ascii="Arial" w:hAnsi="Arial" w:cs="Arial"/>
        </w:rPr>
        <w:t>,</w:t>
      </w:r>
      <w:r w:rsidR="0093783F" w:rsidRPr="00737853">
        <w:rPr>
          <w:rFonts w:ascii="Arial" w:hAnsi="Arial" w:cs="Arial"/>
        </w:rPr>
        <w:t xml:space="preserve"> and detractors depending on their level of satisfaction and engagement in the organization</w:t>
      </w:r>
      <w:r w:rsidR="00C16D8C" w:rsidRPr="00737853">
        <w:rPr>
          <w:rFonts w:ascii="Arial" w:hAnsi="Arial" w:cs="Arial"/>
        </w:rPr>
        <w:t xml:space="preserve"> (Owens et al. 2016, p. 35)</w:t>
      </w:r>
      <w:r w:rsidR="0093783F" w:rsidRPr="00737853">
        <w:rPr>
          <w:rFonts w:ascii="Arial" w:hAnsi="Arial" w:cs="Arial"/>
        </w:rPr>
        <w:t xml:space="preserve">. An organization's score on employee engagement is estimated by subtracting the percentage of detractors from the percentage of promoters. The measure emphasizes that an employee's level of advocacy in the organization is a crucial result of employee engagement. </w:t>
      </w:r>
    </w:p>
    <w:p w14:paraId="7F3B3044" w14:textId="77777777" w:rsidR="0093783F" w:rsidRPr="00737853" w:rsidRDefault="00045B5B" w:rsidP="00231D70">
      <w:pPr>
        <w:pStyle w:val="ListParagraph"/>
        <w:numPr>
          <w:ilvl w:val="0"/>
          <w:numId w:val="1"/>
        </w:numPr>
        <w:tabs>
          <w:tab w:val="left" w:pos="3450"/>
        </w:tabs>
        <w:spacing w:after="0" w:line="360" w:lineRule="auto"/>
        <w:jc w:val="both"/>
        <w:rPr>
          <w:rFonts w:ascii="Arial" w:hAnsi="Arial" w:cs="Arial"/>
        </w:rPr>
      </w:pPr>
      <w:r w:rsidRPr="00737853">
        <w:rPr>
          <w:rFonts w:ascii="Arial" w:hAnsi="Arial" w:cs="Arial"/>
        </w:rPr>
        <w:t>Gallup Workforce Audit</w:t>
      </w:r>
    </w:p>
    <w:p w14:paraId="1CB7AE78" w14:textId="30997F1F" w:rsidR="00DD5E41"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 xml:space="preserve">It is a diagnostic criterion developed by </w:t>
      </w:r>
      <w:r w:rsidR="00C16D8C" w:rsidRPr="00737853">
        <w:rPr>
          <w:rFonts w:ascii="Arial" w:hAnsi="Arial" w:cs="Arial"/>
        </w:rPr>
        <w:t xml:space="preserve">Buckingham and Coffman (1999). </w:t>
      </w:r>
      <w:r w:rsidR="00045B5B" w:rsidRPr="00737853">
        <w:rPr>
          <w:rFonts w:ascii="Arial" w:hAnsi="Arial" w:cs="Arial"/>
        </w:rPr>
        <w:t>It is made up of twelve questions for determining employee engagement, and these questions touch on various employee issues</w:t>
      </w:r>
      <w:r w:rsidR="00C16D8C" w:rsidRPr="00737853">
        <w:rPr>
          <w:rFonts w:ascii="Arial" w:hAnsi="Arial" w:cs="Arial"/>
        </w:rPr>
        <w:t xml:space="preserve"> (Shuck, Adelson</w:t>
      </w:r>
      <w:r w:rsidR="00B5220F" w:rsidRPr="00737853">
        <w:rPr>
          <w:rFonts w:ascii="Arial" w:hAnsi="Arial" w:cs="Arial"/>
        </w:rPr>
        <w:t>,</w:t>
      </w:r>
      <w:r w:rsidR="00C16D8C" w:rsidRPr="00737853">
        <w:rPr>
          <w:rFonts w:ascii="Arial" w:hAnsi="Arial" w:cs="Arial"/>
        </w:rPr>
        <w:t xml:space="preserve"> and </w:t>
      </w:r>
      <w:proofErr w:type="spellStart"/>
      <w:r w:rsidR="00C16D8C" w:rsidRPr="00737853">
        <w:rPr>
          <w:rFonts w:ascii="Arial" w:hAnsi="Arial" w:cs="Arial"/>
        </w:rPr>
        <w:t>Reio</w:t>
      </w:r>
      <w:proofErr w:type="spellEnd"/>
      <w:r w:rsidR="00C16D8C" w:rsidRPr="00737853">
        <w:rPr>
          <w:rFonts w:ascii="Arial" w:hAnsi="Arial" w:cs="Arial"/>
        </w:rPr>
        <w:t xml:space="preserve"> Jr 2017, p. 963)</w:t>
      </w:r>
      <w:r w:rsidR="00045B5B" w:rsidRPr="00737853">
        <w:rPr>
          <w:rFonts w:ascii="Arial" w:hAnsi="Arial" w:cs="Arial"/>
        </w:rPr>
        <w:t xml:space="preserve">. The employee issues addressed by </w:t>
      </w:r>
      <w:proofErr w:type="gramStart"/>
      <w:r w:rsidR="00045B5B" w:rsidRPr="00737853">
        <w:rPr>
          <w:rFonts w:ascii="Arial" w:hAnsi="Arial" w:cs="Arial"/>
        </w:rPr>
        <w:t>this criteria</w:t>
      </w:r>
      <w:proofErr w:type="gramEnd"/>
      <w:r w:rsidR="00045B5B" w:rsidRPr="00737853">
        <w:rPr>
          <w:rFonts w:ascii="Arial" w:hAnsi="Arial" w:cs="Arial"/>
        </w:rPr>
        <w:t xml:space="preserve"> include; understanding their expectations at work</w:t>
      </w:r>
      <w:r w:rsidR="00AE1E1D" w:rsidRPr="00737853">
        <w:rPr>
          <w:rFonts w:ascii="Arial" w:hAnsi="Arial" w:cs="Arial"/>
        </w:rPr>
        <w:t>, availability of resources to execute their duties, recognition</w:t>
      </w:r>
      <w:r w:rsidR="00B5220F" w:rsidRPr="00737853">
        <w:rPr>
          <w:rFonts w:ascii="Arial" w:hAnsi="Arial" w:cs="Arial"/>
        </w:rPr>
        <w:t>,</w:t>
      </w:r>
      <w:r w:rsidR="00AE1E1D" w:rsidRPr="00737853">
        <w:rPr>
          <w:rFonts w:ascii="Arial" w:hAnsi="Arial" w:cs="Arial"/>
        </w:rPr>
        <w:t xml:space="preserve"> and motivation, encouragement to grow, building good friendships, and being listened to at work. The answers to these questions have a direct connection to business outcomes like productivity, profit margin, customer loyalty, employee retention</w:t>
      </w:r>
      <w:r w:rsidR="00B5220F" w:rsidRPr="00737853">
        <w:rPr>
          <w:rFonts w:ascii="Arial" w:hAnsi="Arial" w:cs="Arial"/>
        </w:rPr>
        <w:t>,</w:t>
      </w:r>
      <w:r w:rsidR="00AE1E1D" w:rsidRPr="00737853">
        <w:rPr>
          <w:rFonts w:ascii="Arial" w:hAnsi="Arial" w:cs="Arial"/>
        </w:rPr>
        <w:t xml:space="preserve"> and engagement.</w:t>
      </w:r>
    </w:p>
    <w:p w14:paraId="4DACFE8B" w14:textId="77777777" w:rsidR="00AE1E1D" w:rsidRPr="00737853" w:rsidRDefault="00045B5B" w:rsidP="00231D70">
      <w:pPr>
        <w:pStyle w:val="ListParagraph"/>
        <w:numPr>
          <w:ilvl w:val="0"/>
          <w:numId w:val="1"/>
        </w:numPr>
        <w:tabs>
          <w:tab w:val="left" w:pos="3450"/>
        </w:tabs>
        <w:spacing w:after="0" w:line="360" w:lineRule="auto"/>
        <w:jc w:val="both"/>
        <w:rPr>
          <w:rFonts w:ascii="Arial" w:hAnsi="Arial" w:cs="Arial"/>
        </w:rPr>
      </w:pPr>
      <w:r w:rsidRPr="00737853">
        <w:rPr>
          <w:rFonts w:ascii="Arial" w:hAnsi="Arial" w:cs="Arial"/>
        </w:rPr>
        <w:t>Towers Perrin Rapid Engagement Diagnostic Survey</w:t>
      </w:r>
    </w:p>
    <w:p w14:paraId="00AE093F" w14:textId="458F37BE" w:rsidR="00AE1E1D"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 xml:space="preserve">It is diagnostic criteria developed from research conducted on 40 000 workers in North America. It is a paper or web-based survey which </w:t>
      </w:r>
      <w:r w:rsidR="00B5220F" w:rsidRPr="00737853">
        <w:rPr>
          <w:rFonts w:ascii="Arial" w:hAnsi="Arial" w:cs="Arial"/>
        </w:rPr>
        <w:t>allows business organizations</w:t>
      </w:r>
      <w:r w:rsidR="00045B5B" w:rsidRPr="00737853">
        <w:rPr>
          <w:rFonts w:ascii="Arial" w:hAnsi="Arial" w:cs="Arial"/>
        </w:rPr>
        <w:t xml:space="preserve"> to determine and benchmark their degree of employee engagement</w:t>
      </w:r>
      <w:r w:rsidR="00C16D8C" w:rsidRPr="00737853">
        <w:rPr>
          <w:rFonts w:ascii="Arial" w:hAnsi="Arial" w:cs="Arial"/>
        </w:rPr>
        <w:t xml:space="preserve"> (Owens et al. 2016, p. 35)</w:t>
      </w:r>
      <w:r w:rsidR="00045B5B" w:rsidRPr="00737853">
        <w:rPr>
          <w:rFonts w:ascii="Arial" w:hAnsi="Arial" w:cs="Arial"/>
        </w:rPr>
        <w:t>. It also helps organizations recognize internal factors that drive engagement and areas that require organizational intervention to boost employee engagement. The development of this measure indicated its main advantage of being cheap and efficient as compared to other conventional methods of measuring engagement.</w:t>
      </w:r>
    </w:p>
    <w:p w14:paraId="2FA554D5" w14:textId="77777777" w:rsidR="00AE1E1D" w:rsidRPr="00737853" w:rsidRDefault="00045B5B" w:rsidP="00231D70">
      <w:pPr>
        <w:pStyle w:val="ListParagraph"/>
        <w:numPr>
          <w:ilvl w:val="0"/>
          <w:numId w:val="1"/>
        </w:numPr>
        <w:tabs>
          <w:tab w:val="left" w:pos="3450"/>
        </w:tabs>
        <w:spacing w:after="0" w:line="360" w:lineRule="auto"/>
        <w:jc w:val="both"/>
        <w:rPr>
          <w:rFonts w:ascii="Arial" w:hAnsi="Arial" w:cs="Arial"/>
        </w:rPr>
      </w:pPr>
      <w:r w:rsidRPr="00737853">
        <w:rPr>
          <w:rFonts w:ascii="Arial" w:hAnsi="Arial" w:cs="Arial"/>
        </w:rPr>
        <w:lastRenderedPageBreak/>
        <w:t>Utrecht Work Engagement Scale (UWES)</w:t>
      </w:r>
    </w:p>
    <w:p w14:paraId="74B449E4" w14:textId="39DED607" w:rsidR="00AE1E1D"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 xml:space="preserve">The scale was developed to measure employee engagement using three constructs which contain between 9 and 17 items. The criterion was founded on the presumption that a positive working environment with high satisfaction is characterized by dedication, </w:t>
      </w:r>
      <w:r w:rsidR="00B5220F" w:rsidRPr="00737853">
        <w:rPr>
          <w:rFonts w:ascii="Arial" w:hAnsi="Arial" w:cs="Arial"/>
        </w:rPr>
        <w:t>vigor,</w:t>
      </w:r>
      <w:r w:rsidR="00045B5B" w:rsidRPr="00737853">
        <w:rPr>
          <w:rFonts w:ascii="Arial" w:hAnsi="Arial" w:cs="Arial"/>
        </w:rPr>
        <w:t xml:space="preserve"> and absorption</w:t>
      </w:r>
      <w:r w:rsidR="00C16D8C" w:rsidRPr="00737853">
        <w:rPr>
          <w:rFonts w:ascii="Arial" w:hAnsi="Arial" w:cs="Arial"/>
        </w:rPr>
        <w:t xml:space="preserve"> (</w:t>
      </w:r>
      <w:proofErr w:type="spellStart"/>
      <w:r w:rsidR="00C16D8C" w:rsidRPr="00737853">
        <w:rPr>
          <w:rFonts w:ascii="Arial" w:hAnsi="Arial" w:cs="Arial"/>
        </w:rPr>
        <w:t>Lovakov</w:t>
      </w:r>
      <w:proofErr w:type="spellEnd"/>
      <w:r w:rsidR="00C16D8C" w:rsidRPr="00737853">
        <w:rPr>
          <w:rFonts w:ascii="Arial" w:hAnsi="Arial" w:cs="Arial"/>
        </w:rPr>
        <w:t xml:space="preserve">, </w:t>
      </w:r>
      <w:proofErr w:type="spellStart"/>
      <w:r w:rsidR="00C16D8C" w:rsidRPr="00737853">
        <w:rPr>
          <w:rFonts w:ascii="Arial" w:hAnsi="Arial" w:cs="Arial"/>
        </w:rPr>
        <w:t>Agadullina</w:t>
      </w:r>
      <w:proofErr w:type="spellEnd"/>
      <w:r w:rsidR="00B5220F" w:rsidRPr="00737853">
        <w:rPr>
          <w:rFonts w:ascii="Arial" w:hAnsi="Arial" w:cs="Arial"/>
        </w:rPr>
        <w:t>,</w:t>
      </w:r>
      <w:r w:rsidR="00C16D8C" w:rsidRPr="00737853">
        <w:rPr>
          <w:rFonts w:ascii="Arial" w:hAnsi="Arial" w:cs="Arial"/>
        </w:rPr>
        <w:t xml:space="preserve"> and Schaufeli 2017, p. 147)</w:t>
      </w:r>
      <w:r w:rsidR="00045B5B" w:rsidRPr="00737853">
        <w:rPr>
          <w:rFonts w:ascii="Arial" w:hAnsi="Arial" w:cs="Arial"/>
        </w:rPr>
        <w:t>. It is a commonly used method because of its high validity, which implies a strong correlation to the theoretical models of engagement.</w:t>
      </w:r>
    </w:p>
    <w:p w14:paraId="4383A55A" w14:textId="77777777" w:rsidR="00AE1E1D" w:rsidRPr="00737853" w:rsidRDefault="00045B5B" w:rsidP="00231D70">
      <w:pPr>
        <w:tabs>
          <w:tab w:val="left" w:pos="3450"/>
        </w:tabs>
        <w:spacing w:after="0" w:line="360" w:lineRule="auto"/>
        <w:jc w:val="both"/>
        <w:rPr>
          <w:rFonts w:ascii="Arial" w:hAnsi="Arial" w:cs="Arial"/>
        </w:rPr>
      </w:pPr>
      <w:r w:rsidRPr="00737853">
        <w:rPr>
          <w:rFonts w:ascii="Arial" w:hAnsi="Arial" w:cs="Arial"/>
        </w:rPr>
        <w:t>Employee Value Proposition</w:t>
      </w:r>
    </w:p>
    <w:p w14:paraId="2C6B571F" w14:textId="77777777" w:rsidR="00015C0A" w:rsidRPr="00737853" w:rsidRDefault="00890AC3"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The following employee value proposition was constructed based on previously covered ideas and analysis.</w:t>
      </w:r>
    </w:p>
    <w:p w14:paraId="2CFA098B" w14:textId="512ACEF6" w:rsidR="00C453D2" w:rsidRPr="00737853" w:rsidRDefault="00045B5B" w:rsidP="00231D70">
      <w:pPr>
        <w:pStyle w:val="ListParagraph"/>
        <w:numPr>
          <w:ilvl w:val="0"/>
          <w:numId w:val="2"/>
        </w:numPr>
        <w:tabs>
          <w:tab w:val="left" w:pos="3450"/>
        </w:tabs>
        <w:spacing w:after="0" w:line="360" w:lineRule="auto"/>
        <w:jc w:val="both"/>
        <w:rPr>
          <w:rFonts w:ascii="Arial" w:hAnsi="Arial" w:cs="Arial"/>
        </w:rPr>
      </w:pPr>
      <w:r w:rsidRPr="00737853">
        <w:rPr>
          <w:rFonts w:ascii="Arial" w:hAnsi="Arial" w:cs="Arial"/>
          <w:b/>
        </w:rPr>
        <w:t>Higher level of work flexibility</w:t>
      </w:r>
      <w:r w:rsidRPr="00737853">
        <w:rPr>
          <w:rFonts w:ascii="Arial" w:hAnsi="Arial" w:cs="Arial"/>
        </w:rPr>
        <w:t>:</w:t>
      </w:r>
      <w:r w:rsidR="00B5220F" w:rsidRPr="00737853">
        <w:rPr>
          <w:rFonts w:ascii="Arial" w:hAnsi="Arial" w:cs="Arial"/>
        </w:rPr>
        <w:t xml:space="preserve"> Most employees desire</w:t>
      </w:r>
      <w:r w:rsidRPr="00737853">
        <w:rPr>
          <w:rFonts w:ascii="Arial" w:hAnsi="Arial" w:cs="Arial"/>
        </w:rPr>
        <w:t xml:space="preserve"> to work in an organization that p</w:t>
      </w:r>
      <w:r w:rsidR="00EC10DB" w:rsidRPr="00737853">
        <w:rPr>
          <w:rFonts w:ascii="Arial" w:hAnsi="Arial" w:cs="Arial"/>
        </w:rPr>
        <w:t>rovides high flexibility in terms of work schedule and location. Jobs with high flexibility generate higher satisfaction and create room for personal growth. Employee satisfaction is achieved through a higher level of freedom and autonomy to execute their official duties while at the same time attending to their daily needs outside the organization</w:t>
      </w:r>
      <w:r w:rsidR="00C16D8C" w:rsidRPr="00737853">
        <w:rPr>
          <w:rFonts w:ascii="Arial" w:hAnsi="Arial" w:cs="Arial"/>
        </w:rPr>
        <w:t xml:space="preserve"> (</w:t>
      </w:r>
      <w:proofErr w:type="spellStart"/>
      <w:r w:rsidR="00C16D8C" w:rsidRPr="00737853">
        <w:rPr>
          <w:rFonts w:ascii="Arial" w:hAnsi="Arial" w:cs="Arial"/>
        </w:rPr>
        <w:t>Mascarenhas</w:t>
      </w:r>
      <w:proofErr w:type="spellEnd"/>
      <w:r w:rsidR="00C16D8C" w:rsidRPr="00737853">
        <w:rPr>
          <w:rFonts w:ascii="Arial" w:hAnsi="Arial" w:cs="Arial"/>
        </w:rPr>
        <w:t xml:space="preserve"> 2019, p. 99)</w:t>
      </w:r>
      <w:r w:rsidR="00EC10DB" w:rsidRPr="00737853">
        <w:rPr>
          <w:rFonts w:ascii="Arial" w:hAnsi="Arial" w:cs="Arial"/>
        </w:rPr>
        <w:t xml:space="preserve">. Work flexibility also creates a working environment that makes the employees develop a sense of being valued hence increasing their job satisfaction. Even in this post-pandemic period, employees have attached greater value to flexibility </w:t>
      </w:r>
      <w:proofErr w:type="gramStart"/>
      <w:r w:rsidR="00EC10DB" w:rsidRPr="00737853">
        <w:rPr>
          <w:rFonts w:ascii="Arial" w:hAnsi="Arial" w:cs="Arial"/>
        </w:rPr>
        <w:t>with regard to</w:t>
      </w:r>
      <w:proofErr w:type="gramEnd"/>
      <w:r w:rsidR="00EC10DB" w:rsidRPr="00737853">
        <w:rPr>
          <w:rFonts w:ascii="Arial" w:hAnsi="Arial" w:cs="Arial"/>
        </w:rPr>
        <w:t xml:space="preserve"> working both remotely with a few in-office days. Organizations should therefore allow the employees to choose the number of days to work in the office and remotely as well as their daily working hours.</w:t>
      </w:r>
    </w:p>
    <w:p w14:paraId="0F4CE5B4" w14:textId="57EC6D00" w:rsidR="00EC10DB" w:rsidRPr="00737853" w:rsidRDefault="00045B5B" w:rsidP="00231D70">
      <w:pPr>
        <w:pStyle w:val="ListParagraph"/>
        <w:numPr>
          <w:ilvl w:val="0"/>
          <w:numId w:val="2"/>
        </w:numPr>
        <w:tabs>
          <w:tab w:val="left" w:pos="3450"/>
        </w:tabs>
        <w:spacing w:after="0" w:line="360" w:lineRule="auto"/>
        <w:jc w:val="both"/>
        <w:rPr>
          <w:rFonts w:ascii="Arial" w:hAnsi="Arial" w:cs="Arial"/>
        </w:rPr>
      </w:pPr>
      <w:r w:rsidRPr="00737853">
        <w:rPr>
          <w:rFonts w:ascii="Arial" w:hAnsi="Arial" w:cs="Arial"/>
          <w:b/>
        </w:rPr>
        <w:t>Creating organizational mission and values that go beyond work</w:t>
      </w:r>
      <w:r w:rsidRPr="00737853">
        <w:rPr>
          <w:rFonts w:ascii="Arial" w:hAnsi="Arial" w:cs="Arial"/>
        </w:rPr>
        <w:t xml:space="preserve">:  Modern employees give more attention to the mission and values that an organization </w:t>
      </w:r>
      <w:r w:rsidR="00B5220F" w:rsidRPr="00737853">
        <w:rPr>
          <w:rFonts w:ascii="Arial" w:hAnsi="Arial" w:cs="Arial"/>
        </w:rPr>
        <w:t>upholds</w:t>
      </w:r>
      <w:r w:rsidRPr="00737853">
        <w:rPr>
          <w:rFonts w:ascii="Arial" w:hAnsi="Arial" w:cs="Arial"/>
        </w:rPr>
        <w:t xml:space="preserve"> as they search for a job. The interest has increased particularly in the current years </w:t>
      </w:r>
      <w:r w:rsidR="00EE065F" w:rsidRPr="00737853">
        <w:rPr>
          <w:rFonts w:ascii="Arial" w:hAnsi="Arial" w:cs="Arial"/>
        </w:rPr>
        <w:t>associated with political and social unrest. Prospective employees are highly attracted to employers with missions and values that are clearly defined, especially those related to real life. Therefore, job seekers interested in an organization's activities go beyond the common goal of maximizing profits</w:t>
      </w:r>
      <w:r w:rsidR="00C16D8C" w:rsidRPr="00737853">
        <w:rPr>
          <w:rFonts w:ascii="Arial" w:hAnsi="Arial" w:cs="Arial"/>
        </w:rPr>
        <w:t xml:space="preserve"> (</w:t>
      </w:r>
      <w:proofErr w:type="spellStart"/>
      <w:r w:rsidR="00C16D8C" w:rsidRPr="00737853">
        <w:rPr>
          <w:rFonts w:ascii="Arial" w:hAnsi="Arial" w:cs="Arial"/>
        </w:rPr>
        <w:t>Mascarenhas</w:t>
      </w:r>
      <w:proofErr w:type="spellEnd"/>
      <w:r w:rsidR="00C16D8C" w:rsidRPr="00737853">
        <w:rPr>
          <w:rFonts w:ascii="Arial" w:hAnsi="Arial" w:cs="Arial"/>
        </w:rPr>
        <w:t xml:space="preserve"> 2019, p. 101)</w:t>
      </w:r>
      <w:r w:rsidR="00EE065F" w:rsidRPr="00737853">
        <w:rPr>
          <w:rFonts w:ascii="Arial" w:hAnsi="Arial" w:cs="Arial"/>
        </w:rPr>
        <w:t>. These activities include initiatives such as creating environmental equity, empowering communities</w:t>
      </w:r>
      <w:r w:rsidR="00B5220F" w:rsidRPr="00737853">
        <w:rPr>
          <w:rFonts w:ascii="Arial" w:hAnsi="Arial" w:cs="Arial"/>
        </w:rPr>
        <w:t>,</w:t>
      </w:r>
      <w:r w:rsidR="00EE065F" w:rsidRPr="00737853">
        <w:rPr>
          <w:rFonts w:ascii="Arial" w:hAnsi="Arial" w:cs="Arial"/>
        </w:rPr>
        <w:t xml:space="preserve"> and promoting mental health and well-being. </w:t>
      </w:r>
    </w:p>
    <w:p w14:paraId="1414D374" w14:textId="77777777" w:rsidR="00EE065F" w:rsidRPr="00737853" w:rsidRDefault="00045B5B" w:rsidP="00231D70">
      <w:pPr>
        <w:pStyle w:val="ListParagraph"/>
        <w:numPr>
          <w:ilvl w:val="0"/>
          <w:numId w:val="2"/>
        </w:numPr>
        <w:tabs>
          <w:tab w:val="left" w:pos="3450"/>
        </w:tabs>
        <w:spacing w:after="0" w:line="360" w:lineRule="auto"/>
        <w:jc w:val="both"/>
        <w:rPr>
          <w:rFonts w:ascii="Arial" w:hAnsi="Arial" w:cs="Arial"/>
        </w:rPr>
      </w:pPr>
      <w:r w:rsidRPr="00737853">
        <w:rPr>
          <w:rFonts w:ascii="Arial" w:hAnsi="Arial" w:cs="Arial"/>
          <w:b/>
        </w:rPr>
        <w:t>Building and promoting employee relationships</w:t>
      </w:r>
      <w:r w:rsidRPr="00737853">
        <w:rPr>
          <w:rFonts w:ascii="Arial" w:hAnsi="Arial" w:cs="Arial"/>
        </w:rPr>
        <w:t xml:space="preserve">: While employees today prefer remote over in-office working, many organizations emphasize the </w:t>
      </w:r>
      <w:r w:rsidRPr="00737853">
        <w:rPr>
          <w:rFonts w:ascii="Arial" w:hAnsi="Arial" w:cs="Arial"/>
        </w:rPr>
        <w:lastRenderedPageBreak/>
        <w:t>significance of employee relationships in driving performance</w:t>
      </w:r>
      <w:r w:rsidR="00C16D8C" w:rsidRPr="00737853">
        <w:rPr>
          <w:rFonts w:ascii="Arial" w:hAnsi="Arial" w:cs="Arial"/>
        </w:rPr>
        <w:t xml:space="preserve"> (Pawar 2018, p. 94)</w:t>
      </w:r>
      <w:r w:rsidRPr="00737853">
        <w:rPr>
          <w:rFonts w:ascii="Arial" w:hAnsi="Arial" w:cs="Arial"/>
        </w:rPr>
        <w:t>. Employee relationship means connecting employees to create teamwork in a meaningful manner. The diversity of employees in terms in terms of talent and unique abilities can play a crucial role in building productive teamwork that can increase the organization's competitive advantage. Apart from remote working, organizations should strengthen the effects of in-office working by:</w:t>
      </w:r>
    </w:p>
    <w:p w14:paraId="7E00D14B" w14:textId="77777777" w:rsidR="00093085" w:rsidRPr="00737853" w:rsidRDefault="00045B5B" w:rsidP="00231D70">
      <w:pPr>
        <w:pStyle w:val="ListParagraph"/>
        <w:numPr>
          <w:ilvl w:val="0"/>
          <w:numId w:val="3"/>
        </w:numPr>
        <w:tabs>
          <w:tab w:val="left" w:pos="3450"/>
        </w:tabs>
        <w:spacing w:after="0" w:line="360" w:lineRule="auto"/>
        <w:jc w:val="both"/>
        <w:rPr>
          <w:rFonts w:ascii="Arial" w:hAnsi="Arial" w:cs="Arial"/>
        </w:rPr>
      </w:pPr>
      <w:r w:rsidRPr="00737853">
        <w:rPr>
          <w:rFonts w:ascii="Arial" w:hAnsi="Arial" w:cs="Arial"/>
        </w:rPr>
        <w:t>Organizing face to face meetings at the organization</w:t>
      </w:r>
    </w:p>
    <w:p w14:paraId="006A2761" w14:textId="77777777" w:rsidR="00093085" w:rsidRPr="00737853" w:rsidRDefault="00045B5B" w:rsidP="00231D70">
      <w:pPr>
        <w:pStyle w:val="ListParagraph"/>
        <w:numPr>
          <w:ilvl w:val="0"/>
          <w:numId w:val="3"/>
        </w:numPr>
        <w:tabs>
          <w:tab w:val="left" w:pos="3450"/>
        </w:tabs>
        <w:spacing w:after="0" w:line="360" w:lineRule="auto"/>
        <w:jc w:val="both"/>
        <w:rPr>
          <w:rFonts w:ascii="Arial" w:hAnsi="Arial" w:cs="Arial"/>
        </w:rPr>
      </w:pPr>
      <w:r w:rsidRPr="00737853">
        <w:rPr>
          <w:rFonts w:ascii="Arial" w:hAnsi="Arial" w:cs="Arial"/>
        </w:rPr>
        <w:t>Organizing informal meetings to increase interpersonal connection</w:t>
      </w:r>
    </w:p>
    <w:p w14:paraId="037574E8" w14:textId="77777777" w:rsidR="00093085" w:rsidRPr="00737853" w:rsidRDefault="00045B5B" w:rsidP="00231D70">
      <w:pPr>
        <w:pStyle w:val="ListParagraph"/>
        <w:numPr>
          <w:ilvl w:val="0"/>
          <w:numId w:val="3"/>
        </w:numPr>
        <w:tabs>
          <w:tab w:val="left" w:pos="3450"/>
        </w:tabs>
        <w:spacing w:after="0" w:line="360" w:lineRule="auto"/>
        <w:jc w:val="both"/>
        <w:rPr>
          <w:rFonts w:ascii="Arial" w:hAnsi="Arial" w:cs="Arial"/>
        </w:rPr>
      </w:pPr>
      <w:r w:rsidRPr="00737853">
        <w:rPr>
          <w:rFonts w:ascii="Arial" w:hAnsi="Arial" w:cs="Arial"/>
        </w:rPr>
        <w:t xml:space="preserve">Engaging in </w:t>
      </w:r>
      <w:proofErr w:type="gramStart"/>
      <w:r w:rsidRPr="00737853">
        <w:rPr>
          <w:rFonts w:ascii="Arial" w:hAnsi="Arial" w:cs="Arial"/>
        </w:rPr>
        <w:t>mini-celebrations</w:t>
      </w:r>
      <w:proofErr w:type="gramEnd"/>
      <w:r w:rsidRPr="00737853">
        <w:rPr>
          <w:rFonts w:ascii="Arial" w:hAnsi="Arial" w:cs="Arial"/>
        </w:rPr>
        <w:t xml:space="preserve"> at desk aisles </w:t>
      </w:r>
    </w:p>
    <w:p w14:paraId="4C129264" w14:textId="77777777" w:rsidR="00093085" w:rsidRPr="00737853" w:rsidRDefault="00045B5B" w:rsidP="00231D70">
      <w:pPr>
        <w:pStyle w:val="ListParagraph"/>
        <w:numPr>
          <w:ilvl w:val="0"/>
          <w:numId w:val="3"/>
        </w:numPr>
        <w:tabs>
          <w:tab w:val="left" w:pos="3450"/>
        </w:tabs>
        <w:spacing w:after="0" w:line="360" w:lineRule="auto"/>
        <w:jc w:val="both"/>
        <w:rPr>
          <w:rFonts w:ascii="Arial" w:hAnsi="Arial" w:cs="Arial"/>
        </w:rPr>
      </w:pPr>
      <w:r w:rsidRPr="00737853">
        <w:rPr>
          <w:rFonts w:ascii="Arial" w:hAnsi="Arial" w:cs="Arial"/>
        </w:rPr>
        <w:t>Engaging in impromptu moments at the office</w:t>
      </w:r>
    </w:p>
    <w:p w14:paraId="7F86EECF" w14:textId="7E3E378C" w:rsidR="00C22AE0" w:rsidRPr="00737853" w:rsidRDefault="00045B5B" w:rsidP="00231D70">
      <w:pPr>
        <w:pStyle w:val="ListParagraph"/>
        <w:numPr>
          <w:ilvl w:val="0"/>
          <w:numId w:val="4"/>
        </w:numPr>
        <w:tabs>
          <w:tab w:val="left" w:pos="3450"/>
        </w:tabs>
        <w:spacing w:after="0" w:line="360" w:lineRule="auto"/>
        <w:jc w:val="both"/>
        <w:rPr>
          <w:rFonts w:ascii="Arial" w:hAnsi="Arial" w:cs="Arial"/>
        </w:rPr>
      </w:pPr>
      <w:r w:rsidRPr="00737853">
        <w:rPr>
          <w:rFonts w:ascii="Arial" w:hAnsi="Arial" w:cs="Arial"/>
          <w:b/>
        </w:rPr>
        <w:t>Creating projects that promote work-life integration</w:t>
      </w:r>
      <w:r w:rsidRPr="00737853">
        <w:rPr>
          <w:rFonts w:ascii="Arial" w:hAnsi="Arial" w:cs="Arial"/>
        </w:rPr>
        <w:t>: A new way of supporting employees and improving their work-life integration is essential. The employees often prefer remote working over an in-office environment, but without proper integration, their productivity and performance might be greatly affected. Therefore, work-life integration means helping the employees to adjust to their preferred working environment to maintain their performance. It is also a crucial means of attracting and retaining talent in the modern world</w:t>
      </w:r>
      <w:r w:rsidR="00C16D8C" w:rsidRPr="00737853">
        <w:rPr>
          <w:rFonts w:ascii="Arial" w:hAnsi="Arial" w:cs="Arial"/>
        </w:rPr>
        <w:t xml:space="preserve"> (</w:t>
      </w:r>
      <w:proofErr w:type="spellStart"/>
      <w:r w:rsidR="00890AC3" w:rsidRPr="00737853">
        <w:rPr>
          <w:rFonts w:ascii="Arial" w:hAnsi="Arial" w:cs="Arial"/>
        </w:rPr>
        <w:t>Mascarenhas</w:t>
      </w:r>
      <w:proofErr w:type="spellEnd"/>
      <w:r w:rsidR="00890AC3" w:rsidRPr="00737853">
        <w:rPr>
          <w:rFonts w:ascii="Arial" w:hAnsi="Arial" w:cs="Arial"/>
        </w:rPr>
        <w:t xml:space="preserve"> 2019, p. 102)</w:t>
      </w:r>
      <w:r w:rsidRPr="00737853">
        <w:rPr>
          <w:rFonts w:ascii="Arial" w:hAnsi="Arial" w:cs="Arial"/>
        </w:rPr>
        <w:t xml:space="preserve">. Organizations should aspire to create a flexible and healthy working environment that allows employees to balance work and personal lives without having to compete for attention. Additionally, organizations should also consider additional burdens such as financial constraints faced by individuals </w:t>
      </w:r>
      <w:proofErr w:type="gramStart"/>
      <w:r w:rsidRPr="00737853">
        <w:rPr>
          <w:rFonts w:ascii="Arial" w:hAnsi="Arial" w:cs="Arial"/>
        </w:rPr>
        <w:t>as a result of</w:t>
      </w:r>
      <w:proofErr w:type="gramEnd"/>
      <w:r w:rsidRPr="00737853">
        <w:rPr>
          <w:rFonts w:ascii="Arial" w:hAnsi="Arial" w:cs="Arial"/>
        </w:rPr>
        <w:t xml:space="preserve"> working from home. These financial burdens are associated with caregiving costs and </w:t>
      </w:r>
      <w:r w:rsidR="00140305" w:rsidRPr="00737853">
        <w:rPr>
          <w:rFonts w:ascii="Arial" w:hAnsi="Arial" w:cs="Arial"/>
        </w:rPr>
        <w:t>technological costs to help manage their time and internet bills. Thus, the organization can support the employees through initiatives such as the delivery of subsi</w:t>
      </w:r>
      <w:r w:rsidR="00BA6D54" w:rsidRPr="00737853">
        <w:rPr>
          <w:rFonts w:ascii="Arial" w:hAnsi="Arial" w:cs="Arial"/>
        </w:rPr>
        <w:t>dized food, office allowances to</w:t>
      </w:r>
      <w:r w:rsidR="00140305" w:rsidRPr="00737853">
        <w:rPr>
          <w:rFonts w:ascii="Arial" w:hAnsi="Arial" w:cs="Arial"/>
        </w:rPr>
        <w:t xml:space="preserve"> cater </w:t>
      </w:r>
      <w:r w:rsidR="00B5220F" w:rsidRPr="00737853">
        <w:rPr>
          <w:rFonts w:ascii="Arial" w:hAnsi="Arial" w:cs="Arial"/>
        </w:rPr>
        <w:t>to</w:t>
      </w:r>
      <w:r w:rsidR="00140305" w:rsidRPr="00737853">
        <w:rPr>
          <w:rFonts w:ascii="Arial" w:hAnsi="Arial" w:cs="Arial"/>
        </w:rPr>
        <w:t xml:space="preserve"> equipment needs</w:t>
      </w:r>
      <w:r w:rsidR="00B5220F" w:rsidRPr="00737853">
        <w:rPr>
          <w:rFonts w:ascii="Arial" w:hAnsi="Arial" w:cs="Arial"/>
        </w:rPr>
        <w:t>,</w:t>
      </w:r>
      <w:r w:rsidR="00140305" w:rsidRPr="00737853">
        <w:rPr>
          <w:rFonts w:ascii="Arial" w:hAnsi="Arial" w:cs="Arial"/>
        </w:rPr>
        <w:t xml:space="preserve"> and technological reimbursements to cover technological needs. </w:t>
      </w:r>
    </w:p>
    <w:p w14:paraId="76846C0A" w14:textId="77777777" w:rsidR="00DF6697" w:rsidRPr="00737853" w:rsidRDefault="00045B5B" w:rsidP="00231D70">
      <w:pPr>
        <w:pStyle w:val="ListParagraph"/>
        <w:numPr>
          <w:ilvl w:val="0"/>
          <w:numId w:val="4"/>
        </w:numPr>
        <w:tabs>
          <w:tab w:val="left" w:pos="3450"/>
        </w:tabs>
        <w:spacing w:after="0" w:line="360" w:lineRule="auto"/>
        <w:jc w:val="both"/>
        <w:rPr>
          <w:rFonts w:ascii="Arial" w:hAnsi="Arial" w:cs="Arial"/>
        </w:rPr>
      </w:pPr>
      <w:r w:rsidRPr="00737853">
        <w:rPr>
          <w:rFonts w:ascii="Arial" w:hAnsi="Arial" w:cs="Arial"/>
          <w:b/>
        </w:rPr>
        <w:t>Creating a friendly working environment</w:t>
      </w:r>
      <w:r w:rsidRPr="00737853">
        <w:rPr>
          <w:rFonts w:ascii="Arial" w:hAnsi="Arial" w:cs="Arial"/>
        </w:rPr>
        <w:t>: A work environment that promotes the safety and health standards of the employees can enhance employee engagement. An organization that experiences an overall reduction in poor employee health and workplace accidents is likely to have lower levels of employee turnover facilitated by ill-health</w:t>
      </w:r>
      <w:r w:rsidR="00C16D8C" w:rsidRPr="00737853">
        <w:rPr>
          <w:rFonts w:ascii="Arial" w:hAnsi="Arial" w:cs="Arial"/>
        </w:rPr>
        <w:t xml:space="preserve"> (Pawar 2018, p. 96)</w:t>
      </w:r>
      <w:r w:rsidRPr="00737853">
        <w:rPr>
          <w:rFonts w:ascii="Arial" w:hAnsi="Arial" w:cs="Arial"/>
        </w:rPr>
        <w:t xml:space="preserve">. A good working environment is also associated with reduced employee absenteeism and associated costs. In essence, a healthier workforce will significantly contribute to the overall performance and profitability of the organization. </w:t>
      </w:r>
    </w:p>
    <w:p w14:paraId="698496B2" w14:textId="77777777" w:rsidR="0041478D" w:rsidRPr="00737853" w:rsidRDefault="0041478D" w:rsidP="00231D70">
      <w:pPr>
        <w:pStyle w:val="ListParagraph"/>
        <w:tabs>
          <w:tab w:val="left" w:pos="3450"/>
        </w:tabs>
        <w:spacing w:after="0" w:line="360" w:lineRule="auto"/>
        <w:jc w:val="both"/>
        <w:rPr>
          <w:rFonts w:ascii="Arial" w:hAnsi="Arial" w:cs="Arial"/>
        </w:rPr>
      </w:pPr>
    </w:p>
    <w:p w14:paraId="1E961298" w14:textId="77777777" w:rsidR="00316469" w:rsidRPr="00737853" w:rsidRDefault="00045B5B" w:rsidP="00231D70">
      <w:pPr>
        <w:tabs>
          <w:tab w:val="left" w:pos="3450"/>
        </w:tabs>
        <w:spacing w:after="0" w:line="360" w:lineRule="auto"/>
        <w:jc w:val="center"/>
        <w:rPr>
          <w:rFonts w:ascii="Arial" w:hAnsi="Arial" w:cs="Arial"/>
        </w:rPr>
      </w:pPr>
      <w:r w:rsidRPr="00737853">
        <w:rPr>
          <w:rFonts w:ascii="Arial" w:hAnsi="Arial" w:cs="Arial"/>
        </w:rPr>
        <w:t>Conclusion</w:t>
      </w:r>
    </w:p>
    <w:p w14:paraId="7E540238" w14:textId="6E07BCB1" w:rsidR="00DF6697" w:rsidRPr="00737853" w:rsidRDefault="00C16D8C" w:rsidP="00231D70">
      <w:pPr>
        <w:tabs>
          <w:tab w:val="left" w:pos="3450"/>
        </w:tabs>
        <w:spacing w:after="0" w:line="360" w:lineRule="auto"/>
        <w:jc w:val="both"/>
        <w:rPr>
          <w:rFonts w:ascii="Arial" w:hAnsi="Arial" w:cs="Arial"/>
        </w:rPr>
      </w:pPr>
      <w:r w:rsidRPr="00737853">
        <w:rPr>
          <w:rFonts w:ascii="Arial" w:hAnsi="Arial" w:cs="Arial"/>
        </w:rPr>
        <w:t xml:space="preserve">         </w:t>
      </w:r>
      <w:r w:rsidR="00045B5B" w:rsidRPr="00737853">
        <w:rPr>
          <w:rFonts w:ascii="Arial" w:hAnsi="Arial" w:cs="Arial"/>
        </w:rPr>
        <w:t>Emplo</w:t>
      </w:r>
      <w:r w:rsidR="00FD1AD8" w:rsidRPr="00737853">
        <w:rPr>
          <w:rFonts w:ascii="Arial" w:hAnsi="Arial" w:cs="Arial"/>
        </w:rPr>
        <w:t>yee engagement is a significant concept in today's business world. Therefore, organizational managers should implement effective strategies that enhance employee engagement for improved productivity and performance in the long term. However, managers should acquire significant insight into the drivers and indicators of employee engagement before implementing such strategies.</w:t>
      </w:r>
      <w:r w:rsidR="00C349C5" w:rsidRPr="00737853">
        <w:rPr>
          <w:rFonts w:ascii="Arial" w:hAnsi="Arial" w:cs="Arial"/>
        </w:rPr>
        <w:t xml:space="preserve"> Several indicators help </w:t>
      </w:r>
      <w:r w:rsidR="00B5220F" w:rsidRPr="00737853">
        <w:rPr>
          <w:rFonts w:ascii="Arial" w:hAnsi="Arial" w:cs="Arial"/>
        </w:rPr>
        <w:t>organizations</w:t>
      </w:r>
      <w:r w:rsidR="00C349C5" w:rsidRPr="00737853">
        <w:rPr>
          <w:rFonts w:ascii="Arial" w:hAnsi="Arial" w:cs="Arial"/>
        </w:rPr>
        <w:t xml:space="preserve"> measure employee engagement, and each utilizes different aspects of employee engagement. The choice of a diagnostic tool depends on the organization's perception of factors that influence the level of engagement among their employees. Therefore, the choice of an indicator varies from one organization to the other.</w:t>
      </w:r>
      <w:r w:rsidR="00FD1AD8" w:rsidRPr="00737853">
        <w:rPr>
          <w:rFonts w:ascii="Arial" w:hAnsi="Arial" w:cs="Arial"/>
        </w:rPr>
        <w:t xml:space="preserve"> A powerful employee value proposition that will differentiate the organization from its competitors is essential for attracting top talent. Modern employees aspire to work with organizations</w:t>
      </w:r>
      <w:r w:rsidR="00C349C5" w:rsidRPr="00737853">
        <w:rPr>
          <w:rFonts w:ascii="Arial" w:hAnsi="Arial" w:cs="Arial"/>
        </w:rPr>
        <w:t xml:space="preserve"> that will generate memorable workplace experiences. Organizations that recognize the importance of employee value proposition will integrate this concept in their recruitment strategy to attract employees, reduce the rate of employee turnover and improve performance.</w:t>
      </w:r>
    </w:p>
    <w:p w14:paraId="77E6169A" w14:textId="77777777" w:rsidR="00BA6D54" w:rsidRDefault="00BA6D54" w:rsidP="00231D70">
      <w:pPr>
        <w:tabs>
          <w:tab w:val="left" w:pos="3450"/>
        </w:tabs>
        <w:spacing w:after="0" w:line="360" w:lineRule="auto"/>
        <w:rPr>
          <w:rFonts w:ascii="Times New Roman" w:hAnsi="Times New Roman" w:cs="Times New Roman"/>
          <w:sz w:val="24"/>
          <w:szCs w:val="24"/>
        </w:rPr>
      </w:pPr>
    </w:p>
    <w:p w14:paraId="50FE0050" w14:textId="77777777" w:rsidR="00890AC3" w:rsidRDefault="00890AC3" w:rsidP="00231D70">
      <w:pPr>
        <w:tabs>
          <w:tab w:val="left" w:pos="3450"/>
        </w:tabs>
        <w:spacing w:after="0" w:line="360" w:lineRule="auto"/>
        <w:rPr>
          <w:rFonts w:ascii="Times New Roman" w:hAnsi="Times New Roman" w:cs="Times New Roman"/>
          <w:sz w:val="24"/>
          <w:szCs w:val="24"/>
        </w:rPr>
      </w:pPr>
    </w:p>
    <w:p w14:paraId="3B5EEC55" w14:textId="77777777" w:rsidR="00890AC3" w:rsidRDefault="00890AC3" w:rsidP="00231D70">
      <w:pPr>
        <w:tabs>
          <w:tab w:val="left" w:pos="3450"/>
        </w:tabs>
        <w:spacing w:after="0" w:line="360" w:lineRule="auto"/>
        <w:rPr>
          <w:rFonts w:ascii="Times New Roman" w:hAnsi="Times New Roman" w:cs="Times New Roman"/>
          <w:sz w:val="24"/>
          <w:szCs w:val="24"/>
        </w:rPr>
      </w:pPr>
    </w:p>
    <w:p w14:paraId="439D489A" w14:textId="77777777" w:rsidR="00890AC3" w:rsidRDefault="00890AC3" w:rsidP="00231D70">
      <w:pPr>
        <w:tabs>
          <w:tab w:val="left" w:pos="3450"/>
        </w:tabs>
        <w:spacing w:after="0" w:line="360" w:lineRule="auto"/>
        <w:rPr>
          <w:rFonts w:ascii="Times New Roman" w:hAnsi="Times New Roman" w:cs="Times New Roman"/>
          <w:sz w:val="24"/>
          <w:szCs w:val="24"/>
        </w:rPr>
      </w:pPr>
    </w:p>
    <w:p w14:paraId="03F71FFB" w14:textId="371D2B01" w:rsidR="00890AC3" w:rsidRDefault="00890AC3" w:rsidP="00231D70">
      <w:pPr>
        <w:tabs>
          <w:tab w:val="left" w:pos="3450"/>
        </w:tabs>
        <w:spacing w:after="0" w:line="360" w:lineRule="auto"/>
        <w:rPr>
          <w:rFonts w:ascii="Times New Roman" w:hAnsi="Times New Roman" w:cs="Times New Roman"/>
          <w:sz w:val="24"/>
          <w:szCs w:val="24"/>
        </w:rPr>
      </w:pPr>
    </w:p>
    <w:p w14:paraId="750794C9" w14:textId="3EE3D18A" w:rsidR="00AB46AE" w:rsidRDefault="00AB46AE" w:rsidP="00231D70">
      <w:pPr>
        <w:tabs>
          <w:tab w:val="left" w:pos="3450"/>
        </w:tabs>
        <w:spacing w:after="0" w:line="360" w:lineRule="auto"/>
        <w:rPr>
          <w:rFonts w:ascii="Times New Roman" w:hAnsi="Times New Roman" w:cs="Times New Roman"/>
          <w:sz w:val="24"/>
          <w:szCs w:val="24"/>
        </w:rPr>
      </w:pPr>
    </w:p>
    <w:p w14:paraId="44EA71FA" w14:textId="71234B4D" w:rsidR="00AB46AE" w:rsidRDefault="00AB46AE" w:rsidP="00231D70">
      <w:pPr>
        <w:tabs>
          <w:tab w:val="left" w:pos="3450"/>
        </w:tabs>
        <w:spacing w:after="0" w:line="360" w:lineRule="auto"/>
        <w:rPr>
          <w:rFonts w:ascii="Times New Roman" w:hAnsi="Times New Roman" w:cs="Times New Roman"/>
          <w:sz w:val="24"/>
          <w:szCs w:val="24"/>
        </w:rPr>
      </w:pPr>
    </w:p>
    <w:p w14:paraId="720CADC0" w14:textId="6B72846D" w:rsidR="00AB46AE" w:rsidRDefault="00AB46AE" w:rsidP="00231D70">
      <w:pPr>
        <w:tabs>
          <w:tab w:val="left" w:pos="3450"/>
        </w:tabs>
        <w:spacing w:after="0" w:line="360" w:lineRule="auto"/>
        <w:rPr>
          <w:rFonts w:ascii="Times New Roman" w:hAnsi="Times New Roman" w:cs="Times New Roman"/>
          <w:sz w:val="24"/>
          <w:szCs w:val="24"/>
        </w:rPr>
      </w:pPr>
    </w:p>
    <w:p w14:paraId="234F362C" w14:textId="30DDF11B" w:rsidR="00AB46AE" w:rsidRDefault="00AB46AE" w:rsidP="00231D70">
      <w:pPr>
        <w:tabs>
          <w:tab w:val="left" w:pos="3450"/>
        </w:tabs>
        <w:spacing w:after="0" w:line="360" w:lineRule="auto"/>
        <w:rPr>
          <w:rFonts w:ascii="Times New Roman" w:hAnsi="Times New Roman" w:cs="Times New Roman"/>
          <w:sz w:val="24"/>
          <w:szCs w:val="24"/>
        </w:rPr>
      </w:pPr>
    </w:p>
    <w:p w14:paraId="4D775859" w14:textId="7685295E" w:rsidR="00AB46AE" w:rsidRDefault="00AB46AE" w:rsidP="00231D70">
      <w:pPr>
        <w:tabs>
          <w:tab w:val="left" w:pos="3450"/>
        </w:tabs>
        <w:spacing w:after="0" w:line="360" w:lineRule="auto"/>
        <w:rPr>
          <w:rFonts w:ascii="Times New Roman" w:hAnsi="Times New Roman" w:cs="Times New Roman"/>
          <w:sz w:val="24"/>
          <w:szCs w:val="24"/>
        </w:rPr>
      </w:pPr>
    </w:p>
    <w:p w14:paraId="6D90EF96" w14:textId="6C4431D2" w:rsidR="00AB46AE" w:rsidRDefault="00AB46AE" w:rsidP="00231D70">
      <w:pPr>
        <w:tabs>
          <w:tab w:val="left" w:pos="3450"/>
        </w:tabs>
        <w:spacing w:after="0" w:line="360" w:lineRule="auto"/>
        <w:rPr>
          <w:rFonts w:ascii="Times New Roman" w:hAnsi="Times New Roman" w:cs="Times New Roman"/>
          <w:sz w:val="24"/>
          <w:szCs w:val="24"/>
        </w:rPr>
      </w:pPr>
    </w:p>
    <w:p w14:paraId="0F382786" w14:textId="7850F83F" w:rsidR="00AB46AE" w:rsidRDefault="00AB46AE" w:rsidP="00231D70">
      <w:pPr>
        <w:tabs>
          <w:tab w:val="left" w:pos="3450"/>
        </w:tabs>
        <w:spacing w:after="0" w:line="360" w:lineRule="auto"/>
        <w:rPr>
          <w:rFonts w:ascii="Times New Roman" w:hAnsi="Times New Roman" w:cs="Times New Roman"/>
          <w:sz w:val="24"/>
          <w:szCs w:val="24"/>
        </w:rPr>
      </w:pPr>
    </w:p>
    <w:p w14:paraId="55508E68" w14:textId="0E742000" w:rsidR="00AB46AE" w:rsidRDefault="00AB46AE" w:rsidP="00231D70">
      <w:pPr>
        <w:tabs>
          <w:tab w:val="left" w:pos="3450"/>
        </w:tabs>
        <w:spacing w:after="0" w:line="360" w:lineRule="auto"/>
        <w:rPr>
          <w:rFonts w:ascii="Times New Roman" w:hAnsi="Times New Roman" w:cs="Times New Roman"/>
          <w:sz w:val="24"/>
          <w:szCs w:val="24"/>
        </w:rPr>
      </w:pPr>
    </w:p>
    <w:p w14:paraId="17FC48EA" w14:textId="4485F33A" w:rsidR="00AB46AE" w:rsidRDefault="00AB46AE" w:rsidP="00231D70">
      <w:pPr>
        <w:tabs>
          <w:tab w:val="left" w:pos="3450"/>
        </w:tabs>
        <w:spacing w:after="0" w:line="360" w:lineRule="auto"/>
        <w:rPr>
          <w:rFonts w:ascii="Times New Roman" w:hAnsi="Times New Roman" w:cs="Times New Roman"/>
          <w:sz w:val="24"/>
          <w:szCs w:val="24"/>
        </w:rPr>
      </w:pPr>
    </w:p>
    <w:p w14:paraId="61D0D714" w14:textId="77777777" w:rsidR="00AB46AE" w:rsidRDefault="00AB46AE" w:rsidP="00231D70">
      <w:pPr>
        <w:tabs>
          <w:tab w:val="left" w:pos="3450"/>
        </w:tabs>
        <w:spacing w:after="0" w:line="360" w:lineRule="auto"/>
        <w:rPr>
          <w:rFonts w:ascii="Times New Roman" w:hAnsi="Times New Roman" w:cs="Times New Roman"/>
          <w:sz w:val="24"/>
          <w:szCs w:val="24"/>
        </w:rPr>
      </w:pPr>
    </w:p>
    <w:p w14:paraId="6DEBDD47" w14:textId="77777777" w:rsidR="00F75DA5" w:rsidRDefault="00F75DA5" w:rsidP="00231D70">
      <w:pPr>
        <w:tabs>
          <w:tab w:val="left" w:pos="3450"/>
        </w:tabs>
        <w:spacing w:after="0" w:line="360" w:lineRule="auto"/>
        <w:jc w:val="center"/>
        <w:rPr>
          <w:rFonts w:ascii="Arial" w:hAnsi="Arial" w:cs="Arial"/>
        </w:rPr>
      </w:pPr>
    </w:p>
    <w:p w14:paraId="41E360FB" w14:textId="5D0041DF" w:rsidR="00316469" w:rsidRDefault="00B2516E" w:rsidP="00231D70">
      <w:pPr>
        <w:tabs>
          <w:tab w:val="left" w:pos="3450"/>
        </w:tabs>
        <w:spacing w:after="0" w:line="360" w:lineRule="auto"/>
        <w:jc w:val="center"/>
        <w:rPr>
          <w:rFonts w:ascii="Arial" w:hAnsi="Arial" w:cs="Arial"/>
        </w:rPr>
      </w:pPr>
      <w:r w:rsidRPr="00AB46AE">
        <w:rPr>
          <w:rFonts w:ascii="Arial" w:hAnsi="Arial" w:cs="Arial"/>
        </w:rPr>
        <w:lastRenderedPageBreak/>
        <w:t>References List</w:t>
      </w:r>
    </w:p>
    <w:p w14:paraId="78D77671" w14:textId="77777777" w:rsidR="00231D70" w:rsidRPr="00AB46AE" w:rsidRDefault="00231D70" w:rsidP="00231D70">
      <w:pPr>
        <w:tabs>
          <w:tab w:val="left" w:pos="3450"/>
        </w:tabs>
        <w:spacing w:after="0" w:line="360" w:lineRule="auto"/>
        <w:jc w:val="center"/>
        <w:rPr>
          <w:rFonts w:ascii="Arial" w:hAnsi="Arial" w:cs="Arial"/>
        </w:rPr>
      </w:pPr>
    </w:p>
    <w:p w14:paraId="4B0C475D" w14:textId="77777777" w:rsidR="00890AC3" w:rsidRPr="00AB46AE" w:rsidRDefault="00890AC3" w:rsidP="00231D70">
      <w:pPr>
        <w:tabs>
          <w:tab w:val="left" w:pos="3450"/>
        </w:tabs>
        <w:spacing w:after="0" w:line="360" w:lineRule="auto"/>
        <w:ind w:left="720" w:hanging="720"/>
        <w:rPr>
          <w:rFonts w:ascii="Arial" w:hAnsi="Arial" w:cs="Arial"/>
        </w:rPr>
      </w:pPr>
      <w:r w:rsidRPr="00AB46AE">
        <w:rPr>
          <w:rFonts w:ascii="Arial" w:hAnsi="Arial" w:cs="Arial"/>
        </w:rPr>
        <w:t xml:space="preserve">Bailey, C., Madden, A., </w:t>
      </w:r>
      <w:proofErr w:type="spellStart"/>
      <w:r w:rsidRPr="00AB46AE">
        <w:rPr>
          <w:rFonts w:ascii="Arial" w:hAnsi="Arial" w:cs="Arial"/>
        </w:rPr>
        <w:t>Alfes</w:t>
      </w:r>
      <w:proofErr w:type="spellEnd"/>
      <w:r w:rsidRPr="00AB46AE">
        <w:rPr>
          <w:rFonts w:ascii="Arial" w:hAnsi="Arial" w:cs="Arial"/>
        </w:rPr>
        <w:t xml:space="preserve">, K. and Fletcher, L., 2017. The meaning, </w:t>
      </w:r>
      <w:proofErr w:type="gramStart"/>
      <w:r w:rsidRPr="00AB46AE">
        <w:rPr>
          <w:rFonts w:ascii="Arial" w:hAnsi="Arial" w:cs="Arial"/>
        </w:rPr>
        <w:t>antecedents</w:t>
      </w:r>
      <w:proofErr w:type="gramEnd"/>
      <w:r w:rsidRPr="00AB46AE">
        <w:rPr>
          <w:rFonts w:ascii="Arial" w:hAnsi="Arial" w:cs="Arial"/>
        </w:rPr>
        <w:t xml:space="preserve"> and outcomes of employee engagement: A narrative synthesis. </w:t>
      </w:r>
      <w:r w:rsidRPr="00AB46AE">
        <w:rPr>
          <w:rFonts w:ascii="Arial" w:hAnsi="Arial" w:cs="Arial"/>
          <w:i/>
          <w:iCs/>
        </w:rPr>
        <w:t>International Journal of Management Reviews</w:t>
      </w:r>
      <w:r w:rsidRPr="00AB46AE">
        <w:rPr>
          <w:rFonts w:ascii="Arial" w:hAnsi="Arial" w:cs="Arial"/>
        </w:rPr>
        <w:t xml:space="preserve">, </w:t>
      </w:r>
      <w:r w:rsidRPr="00AB46AE">
        <w:rPr>
          <w:rFonts w:ascii="Arial" w:hAnsi="Arial" w:cs="Arial"/>
          <w:i/>
          <w:iCs/>
        </w:rPr>
        <w:t>19</w:t>
      </w:r>
      <w:r w:rsidRPr="00AB46AE">
        <w:rPr>
          <w:rFonts w:ascii="Arial" w:hAnsi="Arial" w:cs="Arial"/>
        </w:rPr>
        <w:t>(1), pp.31-53.</w:t>
      </w:r>
    </w:p>
    <w:p w14:paraId="311A8DE2" w14:textId="77777777" w:rsidR="00890AC3" w:rsidRPr="00AB46AE" w:rsidRDefault="00890AC3" w:rsidP="00231D70">
      <w:pPr>
        <w:tabs>
          <w:tab w:val="left" w:pos="3450"/>
        </w:tabs>
        <w:spacing w:after="0" w:line="360" w:lineRule="auto"/>
        <w:ind w:left="720" w:hanging="720"/>
        <w:rPr>
          <w:rFonts w:ascii="Arial" w:hAnsi="Arial" w:cs="Arial"/>
        </w:rPr>
      </w:pPr>
      <w:proofErr w:type="spellStart"/>
      <w:r w:rsidRPr="00AB46AE">
        <w:rPr>
          <w:rFonts w:ascii="Arial" w:hAnsi="Arial" w:cs="Arial"/>
        </w:rPr>
        <w:t>Eldor</w:t>
      </w:r>
      <w:proofErr w:type="spellEnd"/>
      <w:r w:rsidRPr="00AB46AE">
        <w:rPr>
          <w:rFonts w:ascii="Arial" w:hAnsi="Arial" w:cs="Arial"/>
        </w:rPr>
        <w:t xml:space="preserve">, L. and Vigoda-Gadot, E., 2017. The nature of employee engagement: Rethinking the employee–organization relationship. </w:t>
      </w:r>
      <w:r w:rsidRPr="00AB46AE">
        <w:rPr>
          <w:rFonts w:ascii="Arial" w:hAnsi="Arial" w:cs="Arial"/>
          <w:i/>
          <w:iCs/>
        </w:rPr>
        <w:t>The International Journal of Human Resource Management</w:t>
      </w:r>
      <w:r w:rsidRPr="00AB46AE">
        <w:rPr>
          <w:rFonts w:ascii="Arial" w:hAnsi="Arial" w:cs="Arial"/>
        </w:rPr>
        <w:t xml:space="preserve">, </w:t>
      </w:r>
      <w:r w:rsidRPr="00AB46AE">
        <w:rPr>
          <w:rFonts w:ascii="Arial" w:hAnsi="Arial" w:cs="Arial"/>
          <w:i/>
          <w:iCs/>
        </w:rPr>
        <w:t>28</w:t>
      </w:r>
      <w:r w:rsidRPr="00AB46AE">
        <w:rPr>
          <w:rFonts w:ascii="Arial" w:hAnsi="Arial" w:cs="Arial"/>
        </w:rPr>
        <w:t>(3), pp.526-552.</w:t>
      </w:r>
    </w:p>
    <w:p w14:paraId="62C1DB6F" w14:textId="77777777" w:rsidR="00890AC3" w:rsidRPr="00AB46AE" w:rsidRDefault="00890AC3" w:rsidP="00231D70">
      <w:pPr>
        <w:tabs>
          <w:tab w:val="left" w:pos="3450"/>
        </w:tabs>
        <w:spacing w:after="0" w:line="360" w:lineRule="auto"/>
        <w:ind w:left="720" w:hanging="720"/>
        <w:rPr>
          <w:rFonts w:ascii="Arial" w:hAnsi="Arial" w:cs="Arial"/>
        </w:rPr>
      </w:pPr>
      <w:proofErr w:type="spellStart"/>
      <w:r w:rsidRPr="00AB46AE">
        <w:rPr>
          <w:rFonts w:ascii="Arial" w:hAnsi="Arial" w:cs="Arial"/>
        </w:rPr>
        <w:t>Lovakov</w:t>
      </w:r>
      <w:proofErr w:type="spellEnd"/>
      <w:r w:rsidRPr="00AB46AE">
        <w:rPr>
          <w:rFonts w:ascii="Arial" w:hAnsi="Arial" w:cs="Arial"/>
        </w:rPr>
        <w:t xml:space="preserve">, A.V., </w:t>
      </w:r>
      <w:proofErr w:type="spellStart"/>
      <w:r w:rsidRPr="00AB46AE">
        <w:rPr>
          <w:rFonts w:ascii="Arial" w:hAnsi="Arial" w:cs="Arial"/>
        </w:rPr>
        <w:t>Agadullina</w:t>
      </w:r>
      <w:proofErr w:type="spellEnd"/>
      <w:r w:rsidRPr="00AB46AE">
        <w:rPr>
          <w:rFonts w:ascii="Arial" w:hAnsi="Arial" w:cs="Arial"/>
        </w:rPr>
        <w:t xml:space="preserve">, E.R. and Schaufeli, W.B., 2017. Psychometric properties of the Russian version of the Utrecht Work Engagement Scale (UWES-9). </w:t>
      </w:r>
      <w:r w:rsidRPr="00AB46AE">
        <w:rPr>
          <w:rFonts w:ascii="Arial" w:hAnsi="Arial" w:cs="Arial"/>
          <w:i/>
          <w:iCs/>
        </w:rPr>
        <w:t>Psychology in Russia: State of the Art</w:t>
      </w:r>
      <w:r w:rsidRPr="00AB46AE">
        <w:rPr>
          <w:rFonts w:ascii="Arial" w:hAnsi="Arial" w:cs="Arial"/>
        </w:rPr>
        <w:t xml:space="preserve">, </w:t>
      </w:r>
      <w:r w:rsidRPr="00AB46AE">
        <w:rPr>
          <w:rFonts w:ascii="Arial" w:hAnsi="Arial" w:cs="Arial"/>
          <w:i/>
          <w:iCs/>
        </w:rPr>
        <w:t>10</w:t>
      </w:r>
      <w:r w:rsidRPr="00AB46AE">
        <w:rPr>
          <w:rFonts w:ascii="Arial" w:hAnsi="Arial" w:cs="Arial"/>
        </w:rPr>
        <w:t>(1), pp.145-162.</w:t>
      </w:r>
    </w:p>
    <w:p w14:paraId="420C2457" w14:textId="77777777" w:rsidR="00890AC3" w:rsidRPr="00AB46AE" w:rsidRDefault="00890AC3" w:rsidP="00231D70">
      <w:pPr>
        <w:tabs>
          <w:tab w:val="left" w:pos="3450"/>
        </w:tabs>
        <w:spacing w:after="0" w:line="360" w:lineRule="auto"/>
        <w:ind w:left="720" w:hanging="720"/>
        <w:rPr>
          <w:rFonts w:ascii="Arial" w:hAnsi="Arial" w:cs="Arial"/>
        </w:rPr>
      </w:pPr>
      <w:proofErr w:type="spellStart"/>
      <w:r w:rsidRPr="00AB46AE">
        <w:rPr>
          <w:rFonts w:ascii="Arial" w:hAnsi="Arial" w:cs="Arial"/>
        </w:rPr>
        <w:t>Mascarenhas</w:t>
      </w:r>
      <w:proofErr w:type="spellEnd"/>
      <w:r w:rsidRPr="00AB46AE">
        <w:rPr>
          <w:rFonts w:ascii="Arial" w:hAnsi="Arial" w:cs="Arial"/>
        </w:rPr>
        <w:t xml:space="preserve">, B.G., 2019. Employer branding, employee value proposition, and employee experience: </w:t>
      </w:r>
      <w:proofErr w:type="gramStart"/>
      <w:r w:rsidRPr="00AB46AE">
        <w:rPr>
          <w:rFonts w:ascii="Arial" w:hAnsi="Arial" w:cs="Arial"/>
        </w:rPr>
        <w:t>New</w:t>
      </w:r>
      <w:proofErr w:type="gramEnd"/>
      <w:r w:rsidRPr="00AB46AE">
        <w:rPr>
          <w:rFonts w:ascii="Arial" w:hAnsi="Arial" w:cs="Arial"/>
        </w:rPr>
        <w:t xml:space="preserve"> approaches for people management in organizations. In </w:t>
      </w:r>
      <w:r w:rsidRPr="00AB46AE">
        <w:rPr>
          <w:rFonts w:ascii="Arial" w:hAnsi="Arial" w:cs="Arial"/>
          <w:i/>
          <w:iCs/>
        </w:rPr>
        <w:t>Strategic Employee Communication</w:t>
      </w:r>
      <w:r w:rsidRPr="00AB46AE">
        <w:rPr>
          <w:rFonts w:ascii="Arial" w:hAnsi="Arial" w:cs="Arial"/>
        </w:rPr>
        <w:t xml:space="preserve"> (pp. 97-103). Palgrave Macmillan, Cham.</w:t>
      </w:r>
    </w:p>
    <w:p w14:paraId="66DAF079" w14:textId="77777777" w:rsidR="00890AC3" w:rsidRPr="00AB46AE" w:rsidRDefault="00890AC3" w:rsidP="00231D70">
      <w:pPr>
        <w:tabs>
          <w:tab w:val="left" w:pos="3450"/>
        </w:tabs>
        <w:spacing w:after="0" w:line="360" w:lineRule="auto"/>
        <w:ind w:left="720" w:hanging="720"/>
        <w:rPr>
          <w:rFonts w:ascii="Arial" w:hAnsi="Arial" w:cs="Arial"/>
        </w:rPr>
      </w:pPr>
      <w:r w:rsidRPr="00AB46AE">
        <w:rPr>
          <w:rFonts w:ascii="Arial" w:hAnsi="Arial" w:cs="Arial"/>
        </w:rPr>
        <w:t xml:space="preserve">Owens, B.P., Baker, W.E., Sumpter, D.M. and Cameron, K.S., 2016. Relational energy at work: Implications for job engagement and job performance. </w:t>
      </w:r>
      <w:r w:rsidRPr="00AB46AE">
        <w:rPr>
          <w:rFonts w:ascii="Arial" w:hAnsi="Arial" w:cs="Arial"/>
          <w:i/>
          <w:iCs/>
        </w:rPr>
        <w:t>Journal of Applied Psychology</w:t>
      </w:r>
      <w:r w:rsidRPr="00AB46AE">
        <w:rPr>
          <w:rFonts w:ascii="Arial" w:hAnsi="Arial" w:cs="Arial"/>
        </w:rPr>
        <w:t xml:space="preserve">, </w:t>
      </w:r>
      <w:r w:rsidRPr="00AB46AE">
        <w:rPr>
          <w:rFonts w:ascii="Arial" w:hAnsi="Arial" w:cs="Arial"/>
          <w:i/>
          <w:iCs/>
        </w:rPr>
        <w:t>101</w:t>
      </w:r>
      <w:r w:rsidRPr="00AB46AE">
        <w:rPr>
          <w:rFonts w:ascii="Arial" w:hAnsi="Arial" w:cs="Arial"/>
        </w:rPr>
        <w:t>(1), p.35.</w:t>
      </w:r>
    </w:p>
    <w:p w14:paraId="78484E1C" w14:textId="77777777" w:rsidR="00890AC3" w:rsidRPr="00AB46AE" w:rsidRDefault="00890AC3" w:rsidP="00231D70">
      <w:pPr>
        <w:tabs>
          <w:tab w:val="left" w:pos="3450"/>
        </w:tabs>
        <w:spacing w:after="0" w:line="360" w:lineRule="auto"/>
        <w:ind w:left="720" w:hanging="720"/>
        <w:rPr>
          <w:rFonts w:ascii="Arial" w:hAnsi="Arial" w:cs="Arial"/>
        </w:rPr>
      </w:pPr>
      <w:r w:rsidRPr="00AB46AE">
        <w:rPr>
          <w:rFonts w:ascii="Arial" w:hAnsi="Arial" w:cs="Arial"/>
        </w:rPr>
        <w:t xml:space="preserve">Pawar, A., 2018. Analyzing organizational elements of employee value proposition: the employees perspective. In </w:t>
      </w:r>
      <w:r w:rsidRPr="00AB46AE">
        <w:rPr>
          <w:rFonts w:ascii="Arial" w:hAnsi="Arial" w:cs="Arial"/>
          <w:i/>
          <w:iCs/>
        </w:rPr>
        <w:t>Proceedings of Asia Conference on Business and Economic Studies (ACBES) by University of Economics Ho Chi Minh City on 8th–9th Sep</w:t>
      </w:r>
      <w:r w:rsidRPr="00AB46AE">
        <w:rPr>
          <w:rFonts w:ascii="Arial" w:hAnsi="Arial" w:cs="Arial"/>
        </w:rPr>
        <w:t xml:space="preserve"> (pp. 94-103).</w:t>
      </w:r>
    </w:p>
    <w:p w14:paraId="0201FDF9" w14:textId="77777777" w:rsidR="00890AC3" w:rsidRPr="00AB46AE" w:rsidRDefault="00890AC3" w:rsidP="00231D70">
      <w:pPr>
        <w:tabs>
          <w:tab w:val="left" w:pos="3450"/>
        </w:tabs>
        <w:spacing w:after="0" w:line="360" w:lineRule="auto"/>
        <w:ind w:left="720" w:hanging="720"/>
        <w:rPr>
          <w:rFonts w:ascii="Arial" w:hAnsi="Arial" w:cs="Arial"/>
        </w:rPr>
      </w:pPr>
      <w:r w:rsidRPr="00AB46AE">
        <w:rPr>
          <w:rFonts w:ascii="Arial" w:hAnsi="Arial" w:cs="Arial"/>
        </w:rPr>
        <w:t xml:space="preserve">Shuck, B., Adelson, J.L. and </w:t>
      </w:r>
      <w:proofErr w:type="spellStart"/>
      <w:r w:rsidRPr="00AB46AE">
        <w:rPr>
          <w:rFonts w:ascii="Arial" w:hAnsi="Arial" w:cs="Arial"/>
        </w:rPr>
        <w:t>Reio</w:t>
      </w:r>
      <w:proofErr w:type="spellEnd"/>
      <w:r w:rsidRPr="00AB46AE">
        <w:rPr>
          <w:rFonts w:ascii="Arial" w:hAnsi="Arial" w:cs="Arial"/>
        </w:rPr>
        <w:t xml:space="preserve"> Jr, T.G., 2017. The employee engagement scale: Initial evidence for construct validity and implications for theory and practice. </w:t>
      </w:r>
      <w:r w:rsidRPr="00AB46AE">
        <w:rPr>
          <w:rFonts w:ascii="Arial" w:hAnsi="Arial" w:cs="Arial"/>
          <w:i/>
          <w:iCs/>
        </w:rPr>
        <w:t>Human Resource Management</w:t>
      </w:r>
      <w:r w:rsidRPr="00AB46AE">
        <w:rPr>
          <w:rFonts w:ascii="Arial" w:hAnsi="Arial" w:cs="Arial"/>
        </w:rPr>
        <w:t xml:space="preserve">, </w:t>
      </w:r>
      <w:r w:rsidRPr="00AB46AE">
        <w:rPr>
          <w:rFonts w:ascii="Arial" w:hAnsi="Arial" w:cs="Arial"/>
          <w:i/>
          <w:iCs/>
        </w:rPr>
        <w:t>56</w:t>
      </w:r>
      <w:r w:rsidRPr="00AB46AE">
        <w:rPr>
          <w:rFonts w:ascii="Arial" w:hAnsi="Arial" w:cs="Arial"/>
        </w:rPr>
        <w:t>(6), pp.953-977.</w:t>
      </w:r>
    </w:p>
    <w:p w14:paraId="5E6CB65F" w14:textId="1B487C58" w:rsidR="003011B5" w:rsidRPr="006E35DA" w:rsidRDefault="00890AC3" w:rsidP="00231D70">
      <w:pPr>
        <w:tabs>
          <w:tab w:val="left" w:pos="3450"/>
        </w:tabs>
        <w:spacing w:after="0" w:line="360" w:lineRule="auto"/>
        <w:ind w:left="720" w:hanging="720"/>
        <w:rPr>
          <w:rFonts w:ascii="Times New Roman" w:hAnsi="Times New Roman" w:cs="Times New Roman"/>
          <w:sz w:val="24"/>
          <w:szCs w:val="24"/>
        </w:rPr>
      </w:pPr>
      <w:r w:rsidRPr="00AB46AE">
        <w:rPr>
          <w:rFonts w:ascii="Arial" w:hAnsi="Arial" w:cs="Arial"/>
        </w:rPr>
        <w:t xml:space="preserve">Sun, L. and </w:t>
      </w:r>
      <w:proofErr w:type="spellStart"/>
      <w:r w:rsidRPr="00AB46AE">
        <w:rPr>
          <w:rFonts w:ascii="Arial" w:hAnsi="Arial" w:cs="Arial"/>
        </w:rPr>
        <w:t>Bunchapattanasakda</w:t>
      </w:r>
      <w:proofErr w:type="spellEnd"/>
      <w:r w:rsidRPr="00AB46AE">
        <w:rPr>
          <w:rFonts w:ascii="Arial" w:hAnsi="Arial" w:cs="Arial"/>
        </w:rPr>
        <w:t xml:space="preserve">, C., 2019. Employee engagement: A literature review. </w:t>
      </w:r>
      <w:r w:rsidRPr="00AB46AE">
        <w:rPr>
          <w:rFonts w:ascii="Arial" w:hAnsi="Arial" w:cs="Arial"/>
          <w:i/>
          <w:iCs/>
        </w:rPr>
        <w:t>International Journal of Human Resource Studies</w:t>
      </w:r>
      <w:r w:rsidRPr="00AB46AE">
        <w:rPr>
          <w:rFonts w:ascii="Arial" w:hAnsi="Arial" w:cs="Arial"/>
        </w:rPr>
        <w:t xml:space="preserve">, </w:t>
      </w:r>
      <w:r w:rsidRPr="00AB46AE">
        <w:rPr>
          <w:rFonts w:ascii="Arial" w:hAnsi="Arial" w:cs="Arial"/>
          <w:i/>
          <w:iCs/>
        </w:rPr>
        <w:t>9</w:t>
      </w:r>
      <w:r w:rsidRPr="00AB46AE">
        <w:rPr>
          <w:rFonts w:ascii="Arial" w:hAnsi="Arial" w:cs="Arial"/>
        </w:rPr>
        <w:t>(1), pp.63-80.</w:t>
      </w:r>
    </w:p>
    <w:sectPr w:rsidR="003011B5" w:rsidRPr="006E35DA" w:rsidSect="00E6088F">
      <w:footerReference w:type="default" r:id="rId9"/>
      <w:pgSz w:w="12240" w:h="15840" w:code="1"/>
      <w:pgMar w:top="1418" w:right="1814" w:bottom="1418" w:left="181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74657" w14:textId="77777777" w:rsidR="0020518C" w:rsidRDefault="0020518C" w:rsidP="00B2516E">
      <w:pPr>
        <w:spacing w:after="0" w:line="240" w:lineRule="auto"/>
      </w:pPr>
      <w:r>
        <w:separator/>
      </w:r>
    </w:p>
  </w:endnote>
  <w:endnote w:type="continuationSeparator" w:id="0">
    <w:p w14:paraId="1EB07C7F" w14:textId="77777777" w:rsidR="0020518C" w:rsidRDefault="0020518C" w:rsidP="00B2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681696"/>
      <w:docPartObj>
        <w:docPartGallery w:val="Page Numbers (Bottom of Page)"/>
        <w:docPartUnique/>
      </w:docPartObj>
    </w:sdtPr>
    <w:sdtEndPr>
      <w:rPr>
        <w:color w:val="7F7F7F" w:themeColor="background1" w:themeShade="7F"/>
        <w:spacing w:val="60"/>
      </w:rPr>
    </w:sdtEndPr>
    <w:sdtContent>
      <w:p w14:paraId="7D09648B" w14:textId="2AB41343" w:rsidR="00D43FFF" w:rsidRDefault="00D43FF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4BCE69C" w14:textId="77777777" w:rsidR="00D43FFF" w:rsidRDefault="00D43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5116B" w14:textId="77777777" w:rsidR="0020518C" w:rsidRDefault="0020518C" w:rsidP="00B2516E">
      <w:pPr>
        <w:spacing w:after="0" w:line="240" w:lineRule="auto"/>
      </w:pPr>
      <w:r>
        <w:separator/>
      </w:r>
    </w:p>
  </w:footnote>
  <w:footnote w:type="continuationSeparator" w:id="0">
    <w:p w14:paraId="3BD918D0" w14:textId="77777777" w:rsidR="0020518C" w:rsidRDefault="0020518C" w:rsidP="00B25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65E3B"/>
    <w:multiLevelType w:val="hybridMultilevel"/>
    <w:tmpl w:val="100C1A78"/>
    <w:lvl w:ilvl="0" w:tplc="46500064">
      <w:start w:val="1"/>
      <w:numFmt w:val="lowerLetter"/>
      <w:lvlText w:val="%1)"/>
      <w:lvlJc w:val="left"/>
      <w:pPr>
        <w:ind w:left="1080" w:hanging="360"/>
      </w:pPr>
      <w:rPr>
        <w:rFonts w:ascii="Times New Roman" w:eastAsiaTheme="minorHAnsi" w:hAnsi="Times New Roman" w:cs="Times New Roman"/>
      </w:rPr>
    </w:lvl>
    <w:lvl w:ilvl="1" w:tplc="3A4E475C" w:tentative="1">
      <w:start w:val="1"/>
      <w:numFmt w:val="bullet"/>
      <w:lvlText w:val="o"/>
      <w:lvlJc w:val="left"/>
      <w:pPr>
        <w:ind w:left="1800" w:hanging="360"/>
      </w:pPr>
      <w:rPr>
        <w:rFonts w:ascii="Courier New" w:hAnsi="Courier New" w:cs="Courier New" w:hint="default"/>
      </w:rPr>
    </w:lvl>
    <w:lvl w:ilvl="2" w:tplc="E9E80F42" w:tentative="1">
      <w:start w:val="1"/>
      <w:numFmt w:val="bullet"/>
      <w:lvlText w:val=""/>
      <w:lvlJc w:val="left"/>
      <w:pPr>
        <w:ind w:left="2520" w:hanging="360"/>
      </w:pPr>
      <w:rPr>
        <w:rFonts w:ascii="Wingdings" w:hAnsi="Wingdings" w:hint="default"/>
      </w:rPr>
    </w:lvl>
    <w:lvl w:ilvl="3" w:tplc="D1F651D6" w:tentative="1">
      <w:start w:val="1"/>
      <w:numFmt w:val="bullet"/>
      <w:lvlText w:val=""/>
      <w:lvlJc w:val="left"/>
      <w:pPr>
        <w:ind w:left="3240" w:hanging="360"/>
      </w:pPr>
      <w:rPr>
        <w:rFonts w:ascii="Symbol" w:hAnsi="Symbol" w:hint="default"/>
      </w:rPr>
    </w:lvl>
    <w:lvl w:ilvl="4" w:tplc="D5F6C14E" w:tentative="1">
      <w:start w:val="1"/>
      <w:numFmt w:val="bullet"/>
      <w:lvlText w:val="o"/>
      <w:lvlJc w:val="left"/>
      <w:pPr>
        <w:ind w:left="3960" w:hanging="360"/>
      </w:pPr>
      <w:rPr>
        <w:rFonts w:ascii="Courier New" w:hAnsi="Courier New" w:cs="Courier New" w:hint="default"/>
      </w:rPr>
    </w:lvl>
    <w:lvl w:ilvl="5" w:tplc="47BA3052" w:tentative="1">
      <w:start w:val="1"/>
      <w:numFmt w:val="bullet"/>
      <w:lvlText w:val=""/>
      <w:lvlJc w:val="left"/>
      <w:pPr>
        <w:ind w:left="4680" w:hanging="360"/>
      </w:pPr>
      <w:rPr>
        <w:rFonts w:ascii="Wingdings" w:hAnsi="Wingdings" w:hint="default"/>
      </w:rPr>
    </w:lvl>
    <w:lvl w:ilvl="6" w:tplc="34A06DEE" w:tentative="1">
      <w:start w:val="1"/>
      <w:numFmt w:val="bullet"/>
      <w:lvlText w:val=""/>
      <w:lvlJc w:val="left"/>
      <w:pPr>
        <w:ind w:left="5400" w:hanging="360"/>
      </w:pPr>
      <w:rPr>
        <w:rFonts w:ascii="Symbol" w:hAnsi="Symbol" w:hint="default"/>
      </w:rPr>
    </w:lvl>
    <w:lvl w:ilvl="7" w:tplc="C9321E64" w:tentative="1">
      <w:start w:val="1"/>
      <w:numFmt w:val="bullet"/>
      <w:lvlText w:val="o"/>
      <w:lvlJc w:val="left"/>
      <w:pPr>
        <w:ind w:left="6120" w:hanging="360"/>
      </w:pPr>
      <w:rPr>
        <w:rFonts w:ascii="Courier New" w:hAnsi="Courier New" w:cs="Courier New" w:hint="default"/>
      </w:rPr>
    </w:lvl>
    <w:lvl w:ilvl="8" w:tplc="5352FD8C" w:tentative="1">
      <w:start w:val="1"/>
      <w:numFmt w:val="bullet"/>
      <w:lvlText w:val=""/>
      <w:lvlJc w:val="left"/>
      <w:pPr>
        <w:ind w:left="6840" w:hanging="360"/>
      </w:pPr>
      <w:rPr>
        <w:rFonts w:ascii="Wingdings" w:hAnsi="Wingdings" w:hint="default"/>
      </w:rPr>
    </w:lvl>
  </w:abstractNum>
  <w:abstractNum w:abstractNumId="1" w15:restartNumberingAfterBreak="0">
    <w:nsid w:val="25B4341D"/>
    <w:multiLevelType w:val="hybridMultilevel"/>
    <w:tmpl w:val="79DEB480"/>
    <w:lvl w:ilvl="0" w:tplc="57E2E764">
      <w:start w:val="1"/>
      <w:numFmt w:val="decimal"/>
      <w:lvlText w:val="%1."/>
      <w:lvlJc w:val="left"/>
      <w:pPr>
        <w:ind w:left="720" w:hanging="360"/>
      </w:pPr>
    </w:lvl>
    <w:lvl w:ilvl="1" w:tplc="80D62924" w:tentative="1">
      <w:start w:val="1"/>
      <w:numFmt w:val="lowerLetter"/>
      <w:lvlText w:val="%2."/>
      <w:lvlJc w:val="left"/>
      <w:pPr>
        <w:ind w:left="1440" w:hanging="360"/>
      </w:pPr>
    </w:lvl>
    <w:lvl w:ilvl="2" w:tplc="B88AF98C" w:tentative="1">
      <w:start w:val="1"/>
      <w:numFmt w:val="lowerRoman"/>
      <w:lvlText w:val="%3."/>
      <w:lvlJc w:val="right"/>
      <w:pPr>
        <w:ind w:left="2160" w:hanging="180"/>
      </w:pPr>
    </w:lvl>
    <w:lvl w:ilvl="3" w:tplc="1B362576" w:tentative="1">
      <w:start w:val="1"/>
      <w:numFmt w:val="decimal"/>
      <w:lvlText w:val="%4."/>
      <w:lvlJc w:val="left"/>
      <w:pPr>
        <w:ind w:left="2880" w:hanging="360"/>
      </w:pPr>
    </w:lvl>
    <w:lvl w:ilvl="4" w:tplc="A6C8C244" w:tentative="1">
      <w:start w:val="1"/>
      <w:numFmt w:val="lowerLetter"/>
      <w:lvlText w:val="%5."/>
      <w:lvlJc w:val="left"/>
      <w:pPr>
        <w:ind w:left="3600" w:hanging="360"/>
      </w:pPr>
    </w:lvl>
    <w:lvl w:ilvl="5" w:tplc="523C54A6" w:tentative="1">
      <w:start w:val="1"/>
      <w:numFmt w:val="lowerRoman"/>
      <w:lvlText w:val="%6."/>
      <w:lvlJc w:val="right"/>
      <w:pPr>
        <w:ind w:left="4320" w:hanging="180"/>
      </w:pPr>
    </w:lvl>
    <w:lvl w:ilvl="6" w:tplc="D890C9A0" w:tentative="1">
      <w:start w:val="1"/>
      <w:numFmt w:val="decimal"/>
      <w:lvlText w:val="%7."/>
      <w:lvlJc w:val="left"/>
      <w:pPr>
        <w:ind w:left="5040" w:hanging="360"/>
      </w:pPr>
    </w:lvl>
    <w:lvl w:ilvl="7" w:tplc="8F8C995C" w:tentative="1">
      <w:start w:val="1"/>
      <w:numFmt w:val="lowerLetter"/>
      <w:lvlText w:val="%8."/>
      <w:lvlJc w:val="left"/>
      <w:pPr>
        <w:ind w:left="5760" w:hanging="360"/>
      </w:pPr>
    </w:lvl>
    <w:lvl w:ilvl="8" w:tplc="E078F16A" w:tentative="1">
      <w:start w:val="1"/>
      <w:numFmt w:val="lowerRoman"/>
      <w:lvlText w:val="%9."/>
      <w:lvlJc w:val="right"/>
      <w:pPr>
        <w:ind w:left="6480" w:hanging="180"/>
      </w:pPr>
    </w:lvl>
  </w:abstractNum>
  <w:abstractNum w:abstractNumId="2" w15:restartNumberingAfterBreak="0">
    <w:nsid w:val="47831F22"/>
    <w:multiLevelType w:val="hybridMultilevel"/>
    <w:tmpl w:val="48AC7404"/>
    <w:lvl w:ilvl="0" w:tplc="E09C692E">
      <w:start w:val="1"/>
      <w:numFmt w:val="bullet"/>
      <w:lvlText w:val=""/>
      <w:lvlJc w:val="left"/>
      <w:pPr>
        <w:ind w:left="720" w:hanging="360"/>
      </w:pPr>
      <w:rPr>
        <w:rFonts w:ascii="Symbol" w:hAnsi="Symbol" w:hint="default"/>
      </w:rPr>
    </w:lvl>
    <w:lvl w:ilvl="1" w:tplc="719E4828" w:tentative="1">
      <w:start w:val="1"/>
      <w:numFmt w:val="bullet"/>
      <w:lvlText w:val="o"/>
      <w:lvlJc w:val="left"/>
      <w:pPr>
        <w:ind w:left="1440" w:hanging="360"/>
      </w:pPr>
      <w:rPr>
        <w:rFonts w:ascii="Courier New" w:hAnsi="Courier New" w:cs="Courier New" w:hint="default"/>
      </w:rPr>
    </w:lvl>
    <w:lvl w:ilvl="2" w:tplc="7CEA93DE" w:tentative="1">
      <w:start w:val="1"/>
      <w:numFmt w:val="bullet"/>
      <w:lvlText w:val=""/>
      <w:lvlJc w:val="left"/>
      <w:pPr>
        <w:ind w:left="2160" w:hanging="360"/>
      </w:pPr>
      <w:rPr>
        <w:rFonts w:ascii="Wingdings" w:hAnsi="Wingdings" w:hint="default"/>
      </w:rPr>
    </w:lvl>
    <w:lvl w:ilvl="3" w:tplc="35A2D6EE" w:tentative="1">
      <w:start w:val="1"/>
      <w:numFmt w:val="bullet"/>
      <w:lvlText w:val=""/>
      <w:lvlJc w:val="left"/>
      <w:pPr>
        <w:ind w:left="2880" w:hanging="360"/>
      </w:pPr>
      <w:rPr>
        <w:rFonts w:ascii="Symbol" w:hAnsi="Symbol" w:hint="default"/>
      </w:rPr>
    </w:lvl>
    <w:lvl w:ilvl="4" w:tplc="14A4601C" w:tentative="1">
      <w:start w:val="1"/>
      <w:numFmt w:val="bullet"/>
      <w:lvlText w:val="o"/>
      <w:lvlJc w:val="left"/>
      <w:pPr>
        <w:ind w:left="3600" w:hanging="360"/>
      </w:pPr>
      <w:rPr>
        <w:rFonts w:ascii="Courier New" w:hAnsi="Courier New" w:cs="Courier New" w:hint="default"/>
      </w:rPr>
    </w:lvl>
    <w:lvl w:ilvl="5" w:tplc="AD32E2DE" w:tentative="1">
      <w:start w:val="1"/>
      <w:numFmt w:val="bullet"/>
      <w:lvlText w:val=""/>
      <w:lvlJc w:val="left"/>
      <w:pPr>
        <w:ind w:left="4320" w:hanging="360"/>
      </w:pPr>
      <w:rPr>
        <w:rFonts w:ascii="Wingdings" w:hAnsi="Wingdings" w:hint="default"/>
      </w:rPr>
    </w:lvl>
    <w:lvl w:ilvl="6" w:tplc="13B0A570" w:tentative="1">
      <w:start w:val="1"/>
      <w:numFmt w:val="bullet"/>
      <w:lvlText w:val=""/>
      <w:lvlJc w:val="left"/>
      <w:pPr>
        <w:ind w:left="5040" w:hanging="360"/>
      </w:pPr>
      <w:rPr>
        <w:rFonts w:ascii="Symbol" w:hAnsi="Symbol" w:hint="default"/>
      </w:rPr>
    </w:lvl>
    <w:lvl w:ilvl="7" w:tplc="3196CB24" w:tentative="1">
      <w:start w:val="1"/>
      <w:numFmt w:val="bullet"/>
      <w:lvlText w:val="o"/>
      <w:lvlJc w:val="left"/>
      <w:pPr>
        <w:ind w:left="5760" w:hanging="360"/>
      </w:pPr>
      <w:rPr>
        <w:rFonts w:ascii="Courier New" w:hAnsi="Courier New" w:cs="Courier New" w:hint="default"/>
      </w:rPr>
    </w:lvl>
    <w:lvl w:ilvl="8" w:tplc="B33A44DE" w:tentative="1">
      <w:start w:val="1"/>
      <w:numFmt w:val="bullet"/>
      <w:lvlText w:val=""/>
      <w:lvlJc w:val="left"/>
      <w:pPr>
        <w:ind w:left="6480" w:hanging="360"/>
      </w:pPr>
      <w:rPr>
        <w:rFonts w:ascii="Wingdings" w:hAnsi="Wingdings" w:hint="default"/>
      </w:rPr>
    </w:lvl>
  </w:abstractNum>
  <w:abstractNum w:abstractNumId="3" w15:restartNumberingAfterBreak="0">
    <w:nsid w:val="73D8775D"/>
    <w:multiLevelType w:val="hybridMultilevel"/>
    <w:tmpl w:val="E7B0D30A"/>
    <w:lvl w:ilvl="0" w:tplc="FB884BC4">
      <w:start w:val="1"/>
      <w:numFmt w:val="bullet"/>
      <w:lvlText w:val=""/>
      <w:lvlJc w:val="left"/>
      <w:pPr>
        <w:ind w:left="720" w:hanging="360"/>
      </w:pPr>
      <w:rPr>
        <w:rFonts w:ascii="Symbol" w:hAnsi="Symbol" w:hint="default"/>
      </w:rPr>
    </w:lvl>
    <w:lvl w:ilvl="1" w:tplc="0568ACB8" w:tentative="1">
      <w:start w:val="1"/>
      <w:numFmt w:val="bullet"/>
      <w:lvlText w:val="o"/>
      <w:lvlJc w:val="left"/>
      <w:pPr>
        <w:ind w:left="1440" w:hanging="360"/>
      </w:pPr>
      <w:rPr>
        <w:rFonts w:ascii="Courier New" w:hAnsi="Courier New" w:cs="Courier New" w:hint="default"/>
      </w:rPr>
    </w:lvl>
    <w:lvl w:ilvl="2" w:tplc="88268082" w:tentative="1">
      <w:start w:val="1"/>
      <w:numFmt w:val="bullet"/>
      <w:lvlText w:val=""/>
      <w:lvlJc w:val="left"/>
      <w:pPr>
        <w:ind w:left="2160" w:hanging="360"/>
      </w:pPr>
      <w:rPr>
        <w:rFonts w:ascii="Wingdings" w:hAnsi="Wingdings" w:hint="default"/>
      </w:rPr>
    </w:lvl>
    <w:lvl w:ilvl="3" w:tplc="725A7B66" w:tentative="1">
      <w:start w:val="1"/>
      <w:numFmt w:val="bullet"/>
      <w:lvlText w:val=""/>
      <w:lvlJc w:val="left"/>
      <w:pPr>
        <w:ind w:left="2880" w:hanging="360"/>
      </w:pPr>
      <w:rPr>
        <w:rFonts w:ascii="Symbol" w:hAnsi="Symbol" w:hint="default"/>
      </w:rPr>
    </w:lvl>
    <w:lvl w:ilvl="4" w:tplc="866E9D6A" w:tentative="1">
      <w:start w:val="1"/>
      <w:numFmt w:val="bullet"/>
      <w:lvlText w:val="o"/>
      <w:lvlJc w:val="left"/>
      <w:pPr>
        <w:ind w:left="3600" w:hanging="360"/>
      </w:pPr>
      <w:rPr>
        <w:rFonts w:ascii="Courier New" w:hAnsi="Courier New" w:cs="Courier New" w:hint="default"/>
      </w:rPr>
    </w:lvl>
    <w:lvl w:ilvl="5" w:tplc="74F8AA46" w:tentative="1">
      <w:start w:val="1"/>
      <w:numFmt w:val="bullet"/>
      <w:lvlText w:val=""/>
      <w:lvlJc w:val="left"/>
      <w:pPr>
        <w:ind w:left="4320" w:hanging="360"/>
      </w:pPr>
      <w:rPr>
        <w:rFonts w:ascii="Wingdings" w:hAnsi="Wingdings" w:hint="default"/>
      </w:rPr>
    </w:lvl>
    <w:lvl w:ilvl="6" w:tplc="C31A4836" w:tentative="1">
      <w:start w:val="1"/>
      <w:numFmt w:val="bullet"/>
      <w:lvlText w:val=""/>
      <w:lvlJc w:val="left"/>
      <w:pPr>
        <w:ind w:left="5040" w:hanging="360"/>
      </w:pPr>
      <w:rPr>
        <w:rFonts w:ascii="Symbol" w:hAnsi="Symbol" w:hint="default"/>
      </w:rPr>
    </w:lvl>
    <w:lvl w:ilvl="7" w:tplc="A7D4151E" w:tentative="1">
      <w:start w:val="1"/>
      <w:numFmt w:val="bullet"/>
      <w:lvlText w:val="o"/>
      <w:lvlJc w:val="left"/>
      <w:pPr>
        <w:ind w:left="5760" w:hanging="360"/>
      </w:pPr>
      <w:rPr>
        <w:rFonts w:ascii="Courier New" w:hAnsi="Courier New" w:cs="Courier New" w:hint="default"/>
      </w:rPr>
    </w:lvl>
    <w:lvl w:ilvl="8" w:tplc="8C3AF8FC" w:tentative="1">
      <w:start w:val="1"/>
      <w:numFmt w:val="bullet"/>
      <w:lvlText w:val=""/>
      <w:lvlJc w:val="left"/>
      <w:pPr>
        <w:ind w:left="6480" w:hanging="360"/>
      </w:pPr>
      <w:rPr>
        <w:rFonts w:ascii="Wingdings" w:hAnsi="Wingdings" w:hint="default"/>
      </w:rPr>
    </w:lvl>
  </w:abstractNum>
  <w:num w:numId="1" w16cid:durableId="2118719803">
    <w:abstractNumId w:val="1"/>
  </w:num>
  <w:num w:numId="2" w16cid:durableId="372655090">
    <w:abstractNumId w:val="3"/>
  </w:num>
  <w:num w:numId="3" w16cid:durableId="466238305">
    <w:abstractNumId w:val="0"/>
  </w:num>
  <w:num w:numId="4" w16cid:durableId="2089577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5DA"/>
    <w:rsid w:val="00015C0A"/>
    <w:rsid w:val="00040511"/>
    <w:rsid w:val="00045B5B"/>
    <w:rsid w:val="00074CF6"/>
    <w:rsid w:val="00093085"/>
    <w:rsid w:val="00140305"/>
    <w:rsid w:val="0015581C"/>
    <w:rsid w:val="0017268D"/>
    <w:rsid w:val="0020518C"/>
    <w:rsid w:val="00231D70"/>
    <w:rsid w:val="002679A2"/>
    <w:rsid w:val="003011B5"/>
    <w:rsid w:val="00316469"/>
    <w:rsid w:val="00316527"/>
    <w:rsid w:val="00356052"/>
    <w:rsid w:val="0041478D"/>
    <w:rsid w:val="004C0332"/>
    <w:rsid w:val="004E455F"/>
    <w:rsid w:val="00587911"/>
    <w:rsid w:val="005C2EED"/>
    <w:rsid w:val="00606059"/>
    <w:rsid w:val="00681481"/>
    <w:rsid w:val="006D02D7"/>
    <w:rsid w:val="006E35DA"/>
    <w:rsid w:val="00737853"/>
    <w:rsid w:val="00751E14"/>
    <w:rsid w:val="00890AC3"/>
    <w:rsid w:val="00930D1A"/>
    <w:rsid w:val="0093783F"/>
    <w:rsid w:val="00A03C2A"/>
    <w:rsid w:val="00A979AF"/>
    <w:rsid w:val="00AB46AE"/>
    <w:rsid w:val="00AE1E1D"/>
    <w:rsid w:val="00B2516E"/>
    <w:rsid w:val="00B5153E"/>
    <w:rsid w:val="00B5220F"/>
    <w:rsid w:val="00BA6D54"/>
    <w:rsid w:val="00BF3A1A"/>
    <w:rsid w:val="00C0091E"/>
    <w:rsid w:val="00C16D8C"/>
    <w:rsid w:val="00C22AE0"/>
    <w:rsid w:val="00C349C5"/>
    <w:rsid w:val="00C453D2"/>
    <w:rsid w:val="00D27B9D"/>
    <w:rsid w:val="00D35D15"/>
    <w:rsid w:val="00D43FFF"/>
    <w:rsid w:val="00DB0A20"/>
    <w:rsid w:val="00DD5E41"/>
    <w:rsid w:val="00DF6697"/>
    <w:rsid w:val="00E6088F"/>
    <w:rsid w:val="00EC10DB"/>
    <w:rsid w:val="00ED32DD"/>
    <w:rsid w:val="00EE065F"/>
    <w:rsid w:val="00F75DA5"/>
    <w:rsid w:val="00FC04A9"/>
    <w:rsid w:val="00FD1AD8"/>
    <w:rsid w:val="00FF1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AD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E14"/>
    <w:pPr>
      <w:ind w:left="720"/>
      <w:contextualSpacing/>
    </w:pPr>
  </w:style>
  <w:style w:type="paragraph" w:styleId="Header">
    <w:name w:val="header"/>
    <w:basedOn w:val="Normal"/>
    <w:link w:val="HeaderChar"/>
    <w:uiPriority w:val="99"/>
    <w:unhideWhenUsed/>
    <w:rsid w:val="00AE1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E1D"/>
  </w:style>
  <w:style w:type="paragraph" w:styleId="Footer">
    <w:name w:val="footer"/>
    <w:basedOn w:val="Normal"/>
    <w:link w:val="FooterChar"/>
    <w:uiPriority w:val="99"/>
    <w:unhideWhenUsed/>
    <w:rsid w:val="00AE1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E1D"/>
  </w:style>
  <w:style w:type="paragraph" w:styleId="NoSpacing">
    <w:name w:val="No Spacing"/>
    <w:link w:val="NoSpacingChar"/>
    <w:uiPriority w:val="1"/>
    <w:qFormat/>
    <w:rsid w:val="00E6088F"/>
    <w:pPr>
      <w:spacing w:after="0" w:line="240" w:lineRule="auto"/>
    </w:pPr>
    <w:rPr>
      <w:rFonts w:eastAsiaTheme="minorEastAsia"/>
    </w:rPr>
  </w:style>
  <w:style w:type="character" w:customStyle="1" w:styleId="NoSpacingChar">
    <w:name w:val="No Spacing Char"/>
    <w:basedOn w:val="DefaultParagraphFont"/>
    <w:link w:val="NoSpacing"/>
    <w:uiPriority w:val="1"/>
    <w:rsid w:val="00E6088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203842">
      <w:bodyDiv w:val="1"/>
      <w:marLeft w:val="0"/>
      <w:marRight w:val="0"/>
      <w:marTop w:val="0"/>
      <w:marBottom w:val="0"/>
      <w:divBdr>
        <w:top w:val="none" w:sz="0" w:space="0" w:color="auto"/>
        <w:left w:val="none" w:sz="0" w:space="0" w:color="auto"/>
        <w:bottom w:val="none" w:sz="0" w:space="0" w:color="auto"/>
        <w:right w:val="none" w:sz="0" w:space="0" w:color="auto"/>
      </w:divBdr>
      <w:divsChild>
        <w:div w:id="1819029301">
          <w:marLeft w:val="0"/>
          <w:marRight w:val="0"/>
          <w:marTop w:val="0"/>
          <w:marBottom w:val="0"/>
          <w:divBdr>
            <w:top w:val="none" w:sz="0" w:space="0" w:color="auto"/>
            <w:left w:val="none" w:sz="0" w:space="0" w:color="auto"/>
            <w:bottom w:val="none" w:sz="0" w:space="0" w:color="auto"/>
            <w:right w:val="none" w:sz="0" w:space="0" w:color="auto"/>
          </w:divBdr>
        </w:div>
      </w:divsChild>
    </w:div>
    <w:div w:id="679354865">
      <w:bodyDiv w:val="1"/>
      <w:marLeft w:val="0"/>
      <w:marRight w:val="0"/>
      <w:marTop w:val="0"/>
      <w:marBottom w:val="0"/>
      <w:divBdr>
        <w:top w:val="none" w:sz="0" w:space="0" w:color="auto"/>
        <w:left w:val="none" w:sz="0" w:space="0" w:color="auto"/>
        <w:bottom w:val="none" w:sz="0" w:space="0" w:color="auto"/>
        <w:right w:val="none" w:sz="0" w:space="0" w:color="auto"/>
      </w:divBdr>
      <w:divsChild>
        <w:div w:id="294259457">
          <w:marLeft w:val="0"/>
          <w:marRight w:val="0"/>
          <w:marTop w:val="0"/>
          <w:marBottom w:val="0"/>
          <w:divBdr>
            <w:top w:val="none" w:sz="0" w:space="0" w:color="auto"/>
            <w:left w:val="none" w:sz="0" w:space="0" w:color="auto"/>
            <w:bottom w:val="none" w:sz="0" w:space="0" w:color="auto"/>
            <w:right w:val="none" w:sz="0" w:space="0" w:color="auto"/>
          </w:divBdr>
        </w:div>
      </w:divsChild>
    </w:div>
    <w:div w:id="683289886">
      <w:bodyDiv w:val="1"/>
      <w:marLeft w:val="0"/>
      <w:marRight w:val="0"/>
      <w:marTop w:val="0"/>
      <w:marBottom w:val="0"/>
      <w:divBdr>
        <w:top w:val="none" w:sz="0" w:space="0" w:color="auto"/>
        <w:left w:val="none" w:sz="0" w:space="0" w:color="auto"/>
        <w:bottom w:val="none" w:sz="0" w:space="0" w:color="auto"/>
        <w:right w:val="none" w:sz="0" w:space="0" w:color="auto"/>
      </w:divBdr>
      <w:divsChild>
        <w:div w:id="1123378010">
          <w:marLeft w:val="0"/>
          <w:marRight w:val="0"/>
          <w:marTop w:val="0"/>
          <w:marBottom w:val="0"/>
          <w:divBdr>
            <w:top w:val="none" w:sz="0" w:space="0" w:color="auto"/>
            <w:left w:val="none" w:sz="0" w:space="0" w:color="auto"/>
            <w:bottom w:val="none" w:sz="0" w:space="0" w:color="auto"/>
            <w:right w:val="none" w:sz="0" w:space="0" w:color="auto"/>
          </w:divBdr>
        </w:div>
      </w:divsChild>
    </w:div>
    <w:div w:id="711157178">
      <w:bodyDiv w:val="1"/>
      <w:marLeft w:val="0"/>
      <w:marRight w:val="0"/>
      <w:marTop w:val="0"/>
      <w:marBottom w:val="0"/>
      <w:divBdr>
        <w:top w:val="none" w:sz="0" w:space="0" w:color="auto"/>
        <w:left w:val="none" w:sz="0" w:space="0" w:color="auto"/>
        <w:bottom w:val="none" w:sz="0" w:space="0" w:color="auto"/>
        <w:right w:val="none" w:sz="0" w:space="0" w:color="auto"/>
      </w:divBdr>
      <w:divsChild>
        <w:div w:id="255093775">
          <w:marLeft w:val="0"/>
          <w:marRight w:val="0"/>
          <w:marTop w:val="0"/>
          <w:marBottom w:val="0"/>
          <w:divBdr>
            <w:top w:val="none" w:sz="0" w:space="0" w:color="auto"/>
            <w:left w:val="none" w:sz="0" w:space="0" w:color="auto"/>
            <w:bottom w:val="none" w:sz="0" w:space="0" w:color="auto"/>
            <w:right w:val="none" w:sz="0" w:space="0" w:color="auto"/>
          </w:divBdr>
        </w:div>
      </w:divsChild>
    </w:div>
    <w:div w:id="1060397039">
      <w:bodyDiv w:val="1"/>
      <w:marLeft w:val="0"/>
      <w:marRight w:val="0"/>
      <w:marTop w:val="0"/>
      <w:marBottom w:val="0"/>
      <w:divBdr>
        <w:top w:val="none" w:sz="0" w:space="0" w:color="auto"/>
        <w:left w:val="none" w:sz="0" w:space="0" w:color="auto"/>
        <w:bottom w:val="none" w:sz="0" w:space="0" w:color="auto"/>
        <w:right w:val="none" w:sz="0" w:space="0" w:color="auto"/>
      </w:divBdr>
      <w:divsChild>
        <w:div w:id="831213909">
          <w:marLeft w:val="0"/>
          <w:marRight w:val="0"/>
          <w:marTop w:val="0"/>
          <w:marBottom w:val="0"/>
          <w:divBdr>
            <w:top w:val="none" w:sz="0" w:space="0" w:color="auto"/>
            <w:left w:val="none" w:sz="0" w:space="0" w:color="auto"/>
            <w:bottom w:val="none" w:sz="0" w:space="0" w:color="auto"/>
            <w:right w:val="none" w:sz="0" w:space="0" w:color="auto"/>
          </w:divBdr>
        </w:div>
      </w:divsChild>
    </w:div>
    <w:div w:id="1233590103">
      <w:bodyDiv w:val="1"/>
      <w:marLeft w:val="0"/>
      <w:marRight w:val="0"/>
      <w:marTop w:val="0"/>
      <w:marBottom w:val="0"/>
      <w:divBdr>
        <w:top w:val="none" w:sz="0" w:space="0" w:color="auto"/>
        <w:left w:val="none" w:sz="0" w:space="0" w:color="auto"/>
        <w:bottom w:val="none" w:sz="0" w:space="0" w:color="auto"/>
        <w:right w:val="none" w:sz="0" w:space="0" w:color="auto"/>
      </w:divBdr>
      <w:divsChild>
        <w:div w:id="630524644">
          <w:marLeft w:val="0"/>
          <w:marRight w:val="0"/>
          <w:marTop w:val="0"/>
          <w:marBottom w:val="0"/>
          <w:divBdr>
            <w:top w:val="none" w:sz="0" w:space="0" w:color="auto"/>
            <w:left w:val="none" w:sz="0" w:space="0" w:color="auto"/>
            <w:bottom w:val="none" w:sz="0" w:space="0" w:color="auto"/>
            <w:right w:val="none" w:sz="0" w:space="0" w:color="auto"/>
          </w:divBdr>
        </w:div>
      </w:divsChild>
    </w:div>
    <w:div w:id="1619874966">
      <w:bodyDiv w:val="1"/>
      <w:marLeft w:val="0"/>
      <w:marRight w:val="0"/>
      <w:marTop w:val="0"/>
      <w:marBottom w:val="0"/>
      <w:divBdr>
        <w:top w:val="none" w:sz="0" w:space="0" w:color="auto"/>
        <w:left w:val="none" w:sz="0" w:space="0" w:color="auto"/>
        <w:bottom w:val="none" w:sz="0" w:space="0" w:color="auto"/>
        <w:right w:val="none" w:sz="0" w:space="0" w:color="auto"/>
      </w:divBdr>
      <w:divsChild>
        <w:div w:id="101851704">
          <w:marLeft w:val="0"/>
          <w:marRight w:val="0"/>
          <w:marTop w:val="0"/>
          <w:marBottom w:val="0"/>
          <w:divBdr>
            <w:top w:val="none" w:sz="0" w:space="0" w:color="auto"/>
            <w:left w:val="none" w:sz="0" w:space="0" w:color="auto"/>
            <w:bottom w:val="none" w:sz="0" w:space="0" w:color="auto"/>
            <w:right w:val="none" w:sz="0" w:space="0" w:color="auto"/>
          </w:divBdr>
        </w:div>
      </w:divsChild>
    </w:div>
    <w:div w:id="1762413470">
      <w:bodyDiv w:val="1"/>
      <w:marLeft w:val="0"/>
      <w:marRight w:val="0"/>
      <w:marTop w:val="0"/>
      <w:marBottom w:val="0"/>
      <w:divBdr>
        <w:top w:val="none" w:sz="0" w:space="0" w:color="auto"/>
        <w:left w:val="none" w:sz="0" w:space="0" w:color="auto"/>
        <w:bottom w:val="none" w:sz="0" w:space="0" w:color="auto"/>
        <w:right w:val="none" w:sz="0" w:space="0" w:color="auto"/>
      </w:divBdr>
      <w:divsChild>
        <w:div w:id="385641115">
          <w:marLeft w:val="0"/>
          <w:marRight w:val="0"/>
          <w:marTop w:val="0"/>
          <w:marBottom w:val="0"/>
          <w:divBdr>
            <w:top w:val="none" w:sz="0" w:space="0" w:color="auto"/>
            <w:left w:val="none" w:sz="0" w:space="0" w:color="auto"/>
            <w:bottom w:val="none" w:sz="0" w:space="0" w:color="auto"/>
            <w:right w:val="none" w:sz="0" w:space="0" w:color="auto"/>
          </w:divBdr>
        </w:div>
      </w:divsChild>
    </w:div>
    <w:div w:id="1770616256">
      <w:bodyDiv w:val="1"/>
      <w:marLeft w:val="0"/>
      <w:marRight w:val="0"/>
      <w:marTop w:val="0"/>
      <w:marBottom w:val="0"/>
      <w:divBdr>
        <w:top w:val="none" w:sz="0" w:space="0" w:color="auto"/>
        <w:left w:val="none" w:sz="0" w:space="0" w:color="auto"/>
        <w:bottom w:val="none" w:sz="0" w:space="0" w:color="auto"/>
        <w:right w:val="none" w:sz="0" w:space="0" w:color="auto"/>
      </w:divBdr>
      <w:divsChild>
        <w:div w:id="895431049">
          <w:marLeft w:val="0"/>
          <w:marRight w:val="0"/>
          <w:marTop w:val="0"/>
          <w:marBottom w:val="0"/>
          <w:divBdr>
            <w:top w:val="none" w:sz="0" w:space="0" w:color="auto"/>
            <w:left w:val="none" w:sz="0" w:space="0" w:color="auto"/>
            <w:bottom w:val="none" w:sz="0" w:space="0" w:color="auto"/>
            <w:right w:val="none" w:sz="0" w:space="0" w:color="auto"/>
          </w:divBdr>
        </w:div>
      </w:divsChild>
    </w:div>
    <w:div w:id="2027167559">
      <w:bodyDiv w:val="1"/>
      <w:marLeft w:val="0"/>
      <w:marRight w:val="0"/>
      <w:marTop w:val="0"/>
      <w:marBottom w:val="0"/>
      <w:divBdr>
        <w:top w:val="none" w:sz="0" w:space="0" w:color="auto"/>
        <w:left w:val="none" w:sz="0" w:space="0" w:color="auto"/>
        <w:bottom w:val="none" w:sz="0" w:space="0" w:color="auto"/>
        <w:right w:val="none" w:sz="0" w:space="0" w:color="auto"/>
      </w:divBdr>
      <w:divsChild>
        <w:div w:id="368720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2022-05-08T15:11:00Z</dcterms:created>
  <dcterms:modified xsi:type="dcterms:W3CDTF">2022-05-08T15:46:00Z</dcterms:modified>
</cp:coreProperties>
</file>