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keepNext w:val="0"/>
        <w:keepLines w:val="0"/>
        <w:pageBreakBefore w:val="0"/>
        <w:widowControl w:val="0"/>
        <w:kinsoku/>
        <w:wordWrap/>
        <w:overflowPunct/>
        <w:topLinePunct w:val="0"/>
        <w:autoSpaceDE/>
        <w:autoSpaceDN/>
        <w:bidi w:val="0"/>
        <w:adjustRightInd w:val="0"/>
        <w:snapToGrid w:val="0"/>
        <w:spacing w:line="240" w:lineRule="auto"/>
        <w:ind w:left="0" w:leftChars="0" w:firstLine="0" w:firstLineChars="0"/>
        <w:textAlignment w:val="auto"/>
        <w:rPr>
          <w:rFonts w:hint="default" w:eastAsia="宋体"/>
          <w:sz w:val="72"/>
          <w:szCs w:val="72"/>
        </w:rPr>
      </w:pPr>
      <w:r>
        <w:rPr>
          <w:rFonts w:hint="default" w:eastAsia="宋体"/>
          <w:sz w:val="72"/>
          <w:szCs w:val="72"/>
        </w:rPr>
        <w:t>Earnings</w:t>
      </w:r>
      <w:r>
        <w:rPr>
          <w:rFonts w:hint="default" w:eastAsia="宋体"/>
          <w:sz w:val="72"/>
          <w:szCs w:val="72"/>
        </w:rPr>
        <w:t xml:space="preserve"> </w:t>
      </w:r>
      <w:r>
        <w:rPr>
          <w:rFonts w:hint="default" w:eastAsia="宋体"/>
          <w:sz w:val="72"/>
          <w:szCs w:val="72"/>
        </w:rPr>
        <w:t>Management</w:t>
      </w:r>
    </w:p>
    <w:p>
      <w:pPr>
        <w:keepNext w:val="0"/>
        <w:keepLines w:val="0"/>
        <w:pageBreakBefore w:val="0"/>
        <w:widowControl w:val="0"/>
        <w:kinsoku/>
        <w:wordWrap/>
        <w:overflowPunct/>
        <w:topLinePunct w:val="0"/>
        <w:autoSpaceDE/>
        <w:autoSpaceDN/>
        <w:bidi w:val="0"/>
        <w:adjustRightInd w:val="0"/>
        <w:snapToGrid w:val="0"/>
        <w:spacing w:line="240" w:lineRule="auto"/>
        <w:ind w:left="0" w:leftChars="0" w:firstLine="0" w:firstLineChars="0"/>
        <w:textAlignment w:val="auto"/>
        <w:rPr>
          <w:rFonts w:hint="default" w:eastAsia="宋体"/>
          <w:sz w:val="72"/>
          <w:szCs w:val="72"/>
        </w:rPr>
      </w:pPr>
    </w:p>
    <w:p>
      <w:pPr>
        <w:keepNext w:val="0"/>
        <w:keepLines w:val="0"/>
        <w:pageBreakBefore w:val="0"/>
        <w:widowControl w:val="0"/>
        <w:kinsoku/>
        <w:wordWrap/>
        <w:overflowPunct/>
        <w:topLinePunct w:val="0"/>
        <w:autoSpaceDE/>
        <w:autoSpaceDN/>
        <w:bidi w:val="0"/>
        <w:adjustRightInd w:val="0"/>
        <w:snapToGrid w:val="0"/>
        <w:spacing w:line="240" w:lineRule="auto"/>
        <w:textAlignment w:val="auto"/>
        <w:rPr>
          <w:rFonts w:ascii="Arial" w:hAnsi="Arial" w:cs="Arial"/>
          <w:b/>
          <w:sz w:val="52"/>
          <w:szCs w:val="52"/>
        </w:rPr>
      </w:pPr>
      <w:bookmarkStart w:id="0" w:name="_Toc343429583"/>
      <w:r>
        <w:rPr>
          <w:b/>
          <w:bCs/>
          <w:lang w:eastAsia="en-GB"/>
        </w:rPr>
        <w:drawing>
          <wp:inline distT="0" distB="0" distL="0" distR="0">
            <wp:extent cx="5339080" cy="2139315"/>
            <wp:effectExtent l="0" t="0" r="20320" b="19685"/>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339080" cy="2139315"/>
                    </a:xfrm>
                    <a:prstGeom prst="rect">
                      <a:avLst/>
                    </a:prstGeom>
                    <a:noFill/>
                    <a:ln>
                      <a:noFill/>
                    </a:ln>
                  </pic:spPr>
                </pic:pic>
              </a:graphicData>
            </a:graphic>
          </wp:inline>
        </w:drawing>
      </w:r>
      <w:bookmarkEnd w:id="0"/>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ascii="Arial" w:hAnsi="Arial" w:cs="Arial"/>
          <w:b/>
          <w:sz w:val="52"/>
          <w:szCs w:val="52"/>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b/>
          <w:sz w:val="52"/>
          <w:szCs w:val="52"/>
        </w:rPr>
      </w:pPr>
      <w:r>
        <w:rPr>
          <w:rFonts w:hint="default" w:ascii="Arial" w:hAnsi="Arial" w:cs="Arial"/>
          <w:b/>
          <w:sz w:val="52"/>
          <w:szCs w:val="52"/>
        </w:rPr>
        <w:t xml:space="preserve">    </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b/>
          <w:sz w:val="52"/>
          <w:szCs w:val="52"/>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b/>
          <w:sz w:val="52"/>
          <w:szCs w:val="52"/>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left"/>
        <w:textAlignment w:val="auto"/>
        <w:rPr>
          <w:rFonts w:hint="default" w:ascii="Arial" w:hAnsi="Arial" w:eastAsia="宋体" w:cs="Arial"/>
          <w:sz w:val="44"/>
          <w:szCs w:val="44"/>
          <w:lang w:eastAsia="zh-Hans"/>
        </w:rPr>
      </w:pPr>
      <w:r>
        <w:rPr>
          <w:rFonts w:hint="default" w:ascii="Arial" w:hAnsi="Arial" w:eastAsia="宋体" w:cs="Arial"/>
          <w:sz w:val="44"/>
          <w:szCs w:val="44"/>
          <w:lang w:eastAsia="zh-Hans"/>
        </w:rPr>
        <w:t>MOUDLE</w:t>
      </w:r>
      <w:r>
        <w:rPr>
          <w:rFonts w:hint="default" w:ascii="Arial" w:hAnsi="Arial" w:eastAsia="宋体" w:cs="Arial"/>
          <w:sz w:val="44"/>
          <w:szCs w:val="44"/>
          <w:lang w:eastAsia="zh-Hans"/>
        </w:rPr>
        <w:t xml:space="preserve">  </w:t>
      </w:r>
      <w:r>
        <w:rPr>
          <w:rFonts w:hint="default" w:ascii="Arial" w:hAnsi="Arial" w:eastAsia="宋体" w:cs="Arial"/>
          <w:sz w:val="44"/>
          <w:szCs w:val="44"/>
          <w:lang w:eastAsia="zh-Hans"/>
        </w:rPr>
        <w:t>NAME:</w:t>
      </w:r>
      <w:r>
        <w:rPr>
          <w:rFonts w:hint="default" w:ascii="Arial" w:hAnsi="Arial" w:eastAsia="宋体" w:cs="Arial"/>
          <w:sz w:val="44"/>
          <w:szCs w:val="44"/>
          <w:lang w:eastAsia="zh-Hans"/>
        </w:rPr>
        <w:t xml:space="preserve"> </w:t>
      </w:r>
      <w:r>
        <w:rPr>
          <w:rFonts w:hint="default" w:ascii="Arial" w:hAnsi="Arial" w:eastAsia="宋体" w:cs="Arial"/>
          <w:sz w:val="44"/>
          <w:szCs w:val="44"/>
          <w:lang w:eastAsia="zh-Hans"/>
        </w:rPr>
        <w:t>Corporate Governance</w:t>
      </w:r>
      <w:r>
        <w:rPr>
          <w:rFonts w:hint="default" w:ascii="Arial" w:hAnsi="Arial" w:eastAsia="宋体" w:cs="Arial"/>
          <w:sz w:val="44"/>
          <w:szCs w:val="44"/>
          <w:lang w:eastAsia="zh-Hans"/>
        </w:rPr>
        <w:t xml:space="preserve"> </w:t>
      </w:r>
      <w:r>
        <w:rPr>
          <w:rFonts w:hint="default" w:ascii="Arial" w:hAnsi="Arial" w:eastAsia="宋体" w:cs="Arial"/>
          <w:sz w:val="44"/>
          <w:szCs w:val="44"/>
          <w:lang w:eastAsia="en-GB"/>
        </w:rPr>
        <w:t>BMMB7018</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center"/>
        <w:textAlignment w:val="auto"/>
        <w:rPr>
          <w:rFonts w:hint="default" w:ascii="Arial" w:hAnsi="Arial" w:cs="Arial"/>
          <w:sz w:val="44"/>
          <w:szCs w:val="44"/>
          <w:lang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sz w:val="44"/>
          <w:szCs w:val="44"/>
          <w:lang w:eastAsia="zh-Hans"/>
        </w:rPr>
      </w:pPr>
      <w:r>
        <w:rPr>
          <w:rFonts w:hint="default" w:ascii="Arial" w:hAnsi="Arial" w:cs="Arial"/>
          <w:sz w:val="44"/>
          <w:szCs w:val="44"/>
          <w:lang w:eastAsia="zh-Hans"/>
        </w:rPr>
        <w:t>DATE ：2023.D</w:t>
      </w:r>
      <w:r>
        <w:rPr>
          <w:rFonts w:hint="eastAsia" w:ascii="Arial" w:hAnsi="Arial" w:cs="Arial"/>
          <w:sz w:val="44"/>
          <w:szCs w:val="44"/>
          <w:lang w:val="en-US" w:eastAsia="zh-Hans"/>
        </w:rPr>
        <w:t>ecember</w:t>
      </w:r>
      <w:r>
        <w:rPr>
          <w:rFonts w:hint="default" w:ascii="Arial" w:hAnsi="Arial" w:cs="Arial"/>
          <w:sz w:val="44"/>
          <w:szCs w:val="44"/>
          <w:lang w:eastAsia="zh-Hans"/>
        </w:rPr>
        <w:t xml:space="preserve"> 29TH</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sz w:val="44"/>
          <w:szCs w:val="44"/>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firstLine="440" w:firstLineChars="100"/>
        <w:jc w:val="both"/>
        <w:textAlignment w:val="auto"/>
        <w:rPr>
          <w:rFonts w:hint="default" w:ascii="Arial" w:hAnsi="Arial" w:cs="Arial"/>
          <w:sz w:val="44"/>
          <w:szCs w:val="44"/>
          <w:lang w:eastAsia="zh-Hans"/>
        </w:rPr>
      </w:pPr>
      <w:r>
        <w:rPr>
          <w:rFonts w:hint="default" w:ascii="Arial" w:hAnsi="Arial" w:cs="Arial"/>
          <w:sz w:val="44"/>
          <w:szCs w:val="44"/>
          <w:lang w:eastAsia="zh-Hans"/>
        </w:rPr>
        <w:t>NAME:Hongfu Yu</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center"/>
        <w:textAlignment w:val="auto"/>
        <w:rPr>
          <w:rFonts w:hint="default" w:ascii="Arial" w:hAnsi="Arial" w:cs="Arial"/>
          <w:sz w:val="44"/>
          <w:szCs w:val="44"/>
          <w:lang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sz w:val="44"/>
          <w:szCs w:val="44"/>
          <w:lang w:eastAsia="zh-Hans"/>
        </w:rPr>
      </w:pPr>
      <w:r>
        <w:rPr>
          <w:rFonts w:hint="default" w:ascii="Arial" w:hAnsi="Arial" w:cs="Arial"/>
          <w:sz w:val="44"/>
          <w:szCs w:val="44"/>
          <w:lang w:eastAsia="zh-Hans"/>
        </w:rPr>
        <w:t>STUDENT NUMBER:2203860</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lang w:val="en-US" w:eastAsia="zh-Hans"/>
        </w:rPr>
      </w:pPr>
      <w:r>
        <w:rPr>
          <w:rFonts w:hint="default" w:ascii="Arial" w:hAnsi="Arial" w:cs="Arial"/>
          <w:sz w:val="44"/>
          <w:szCs w:val="44"/>
          <w:lang w:eastAsia="zh-Hans"/>
        </w:rPr>
        <w:t>Part 1 TOTAL NUMBER:</w:t>
      </w:r>
    </w:p>
    <w:p>
      <w:pPr>
        <w:pStyle w:val="2"/>
        <w:bidi w:val="0"/>
        <w:rPr>
          <w:rFonts w:hint="eastAsia"/>
          <w:lang w:val="en-US" w:eastAsia="zh-Hans"/>
        </w:rPr>
      </w:pPr>
      <w:r>
        <w:rPr>
          <w:rFonts w:hint="default"/>
          <w:lang w:eastAsia="zh-Hans"/>
        </w:rPr>
        <w:t>1</w:t>
      </w:r>
      <w:r>
        <w:rPr>
          <w:rFonts w:hint="eastAsia"/>
          <w:lang w:val="en-US" w:eastAsia="zh-Hans"/>
        </w:rPr>
        <w:t>.The implications of earnings management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default" w:eastAsia="宋体"/>
          <w:lang w:eastAsia="zh-Hans"/>
        </w:rPr>
        <w:t>Firstly, the connotation of earnings management is discussed from the perspective of foreign countries. Along with the continuous deepening of accounting information disclosure, there are great differences in the understanding of accounting information disclosure. Heep (1989) believes that profit management in listed companies is a major way for executives to pursue their own profits. Without touching the bottom line of corporate rules, corporate managers can vary their purposes, and Scott (1997) points out that excess management derives from a variety of selectivities for financially advantageous policies, which imply that managers are better able to maximize shareholder profits or corporate value through their choice of accounting policies, which is in accordance with the law. According to Paul Healy and James Wahlen (1999), profit management is the decision of a business to deceive investors by whitewashing data revisions in the preparation of its accounting reports.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bookmarkStart w:id="1" w:name="_GoBack"/>
      <w:bookmarkEnd w:id="1"/>
      <w:r>
        <w:rPr>
          <w:rFonts w:hint="default" w:eastAsia="宋体"/>
          <w:lang w:eastAsia="zh-Hans"/>
        </w:rPr>
        <w:t>Secondly, the theory of China also began to pay attention to the issue of revenue management. Like Spur (1999), Lujianqiao (1999) sees “earnings management” as a means of regulating the benefits that companies are entitled to and controlling their cash flows. Qin Rongsheng's views on earnings management (2001) are basically the same as Scott's. In his view, profit management refers to the company's managers in order to obtain satisfactory accounting information, selectively adjust the income, costs and expenses. Yao Jianchun (2016) also believes that the control of profits by enterprises is a formalized means, a superficial means for the financial status of enterprises and incapable of responding to actual problems. He pointed out that although the company can adjust profits, but essentially just changed the profit distribution cycle, does not change the real profits of enterprises. Although there are different views on the concept of profit management, according to the induction and induction, it can be found that profit management refers to a kind of management activity in which a company adjusts the accounting data of the company by using the accounting policy and accounting estimation method under the conditions prescribed by the Standards, which is conducive to maximize the interests of the company.</w:t>
      </w:r>
    </w:p>
    <w:p>
      <w:pPr>
        <w:rPr>
          <w:rFonts w:hint="default"/>
          <w:lang w:val="en-US" w:eastAsia="zh-Hans"/>
        </w:rPr>
      </w:pPr>
    </w:p>
    <w:p>
      <w:pPr>
        <w:rPr>
          <w:rFonts w:hint="default"/>
          <w:lang w:val="en-US" w:eastAsia="zh-Hans"/>
        </w:rPr>
      </w:pPr>
    </w:p>
    <w:p>
      <w:pPr>
        <w:pStyle w:val="2"/>
        <w:bidi w:val="0"/>
      </w:pPr>
      <w:r>
        <w:rPr>
          <w:rFonts w:hint="default"/>
          <w:lang w:eastAsia="zh-Hans"/>
        </w:rPr>
        <w:t>2</w:t>
      </w:r>
      <w:r>
        <w:rPr>
          <w:rFonts w:hint="eastAsia"/>
          <w:lang w:val="en-US" w:eastAsia="zh-Hans"/>
        </w:rPr>
        <w:t>.Critically evaluate earnings management motivations</w:t>
      </w:r>
    </w:p>
    <w:p>
      <w:pPr>
        <w:rPr>
          <w:rFonts w:hint="default"/>
          <w:lang w:val="en-US" w:eastAsia="zh-Hans"/>
        </w:rPr>
      </w:pPr>
    </w:p>
    <w:p>
      <w:pPr>
        <w:rPr>
          <w:rFonts w:hint="default"/>
          <w:lang w:val="en-US" w:eastAsia="zh-Hans"/>
        </w:rPr>
      </w:pPr>
    </w:p>
    <w:p>
      <w:pPr>
        <w:pStyle w:val="3"/>
        <w:bidi w:val="0"/>
        <w:rPr>
          <w:rFonts w:hint="default"/>
          <w:lang w:val="en-US" w:eastAsia="zh-Hans"/>
        </w:rPr>
      </w:pPr>
      <w:r>
        <w:rPr>
          <w:rFonts w:hint="default"/>
          <w:lang w:eastAsia="zh-Hans"/>
        </w:rPr>
        <w:t>2</w:t>
      </w:r>
      <w:r>
        <w:rPr>
          <w:rFonts w:hint="eastAsia"/>
          <w:lang w:val="en-US" w:eastAsia="zh-Hans"/>
        </w:rPr>
        <w:t>.</w:t>
      </w:r>
      <w:r>
        <w:rPr>
          <w:rFonts w:hint="default"/>
          <w:lang w:eastAsia="zh-Hans"/>
        </w:rPr>
        <w:t>1</w:t>
      </w:r>
      <w:r>
        <w:rPr>
          <w:rFonts w:hint="eastAsia"/>
          <w:lang w:val="en-US" w:eastAsia="zh-Hans"/>
        </w:rPr>
        <w:t>motivation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First, the analysis of contract motivation Healy (1985) pointed out that when the upper and lower limits of managers' rewards were set, managers were more inclined to reduce income through accruals.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Second, capital market motivation. Petroni (1992) showed through empirical investigation that, for insurance companies with weak financial strength and high operating risks, earnings management by reducing loss claims or the amount of withdrawal was also in line with industry management regulations. When an enterprise goes public successfully, in order to seek a better stock price, the enterprise will take some measures to achieve the goal. Zhou Rui (2015), a Chinese scholar, found that during the implementation of rights offering, the operations of enterprises and their related parties would increase significantly. In addition, listed companies may also achieve earnings management because of investment needs.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default" w:eastAsia="宋体"/>
          <w:lang w:val="en-US" w:eastAsia="zh-Hans"/>
        </w:rPr>
        <w:t>Third, political motivation, management in order to achieve the requirements of cooperation with the government, government subsidies</w:t>
      </w:r>
    </w:p>
    <w:p>
      <w:pPr>
        <w:pStyle w:val="3"/>
        <w:bidi w:val="0"/>
        <w:rPr>
          <w:rFonts w:hint="eastAsia"/>
          <w:lang w:val="en-US" w:eastAsia="zh-Hans"/>
        </w:rPr>
      </w:pPr>
      <w:r>
        <w:rPr>
          <w:rFonts w:hint="default"/>
          <w:lang w:eastAsia="zh-Hans"/>
        </w:rPr>
        <w:t>2</w:t>
      </w:r>
      <w:r>
        <w:rPr>
          <w:rFonts w:hint="eastAsia"/>
          <w:lang w:val="en-US" w:eastAsia="zh-Hans"/>
        </w:rPr>
        <w:t>.</w:t>
      </w:r>
      <w:r>
        <w:rPr>
          <w:rFonts w:hint="default"/>
          <w:lang w:eastAsia="zh-Hans"/>
        </w:rPr>
        <w:t>2</w:t>
      </w:r>
      <w:r>
        <w:rPr>
          <w:rFonts w:hint="eastAsia"/>
          <w:lang w:val="en-US" w:eastAsia="zh-Hans"/>
        </w:rPr>
        <w:t>Pressure motive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First, the agent of contract. According to the research results of Gu Zhenwei (2018), the theoretical basis of earnings management behaviors influenced by debt contracts is limited, and only some empirical research results have confirmed the emergence of such earnings management motivation. Zhang Ling, Liu Qiming et al. (2019) found that the company would implement earnings management when the debt burden was too heavy. Although each motivation may cause the appearance of earnings management behavior, the earnings management behavior caused by compensation contract motivation accounts for the majority.</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Second, capital market motive. CAI Chun (2021) believes that under the ST system, if an enterprise cannot substantially change its financial situation in the short term due to the pressure of continuous losses, it will form a strong motivation of earnings management and choose to use earnings management to control profits so as to turn losses into profits and avoid delisting risks.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Third, political cost control motivation. The so-called political cost control means that if the key financial indicators of an enterprise are strictly supervised by the relevant government policies, if the indicators exceed or do not fall within the scope of the relevant government standards, they will be strictly restricted, thus affecting the normal operation of the enterprise. Therefore, managers of small and medium-sized enterprises usually implement earnings management for the purpose of political cost control, so as to reduce tax revenue and meet the purpose of industry management norms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Political motivation to reduce costs. Political cost reduction is mainly manifested in tax planning and industry regulation. Wu Dejun (2016) studied the power industry and believed that the political cost faced by the company would further rise due to the decline of coal price, so the company was more inclined to adopt earnings management to adjust. However, the empirical research of Li Zengfu (2019) is more universal. He said the planned changes to the tax could hamper the adjustment of corporate accounting items to allow earnings management in different scenarios and reduce the burden on the company. The investigation of Hu Zhiying and Sun Li (2021) also makes it clear that listed companies implement negative earnings management based on tax burden risk.</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eastAsia" w:eastAsia="宋体"/>
          <w:lang w:val="en-US" w:eastAsia="zh-Hans"/>
        </w:rPr>
        <w:t>In general, contract factors, capital market factors and political factors can be both incentive motives and pressure motives for earnings management. This paper makes a specific analysis on the case of excessive earnings management of Kangmei Pharmaceutical Co., LTD.</w:t>
      </w:r>
    </w:p>
    <w:p>
      <w:pPr>
        <w:pStyle w:val="2"/>
        <w:bidi w:val="0"/>
        <w:ind w:left="0" w:leftChars="0" w:firstLine="0" w:firstLineChars="0"/>
        <w:rPr>
          <w:rFonts w:hint="default"/>
          <w:lang w:val="en-US" w:eastAsia="zh-Hans"/>
        </w:rPr>
      </w:pPr>
      <w:r>
        <w:rPr>
          <w:rFonts w:hint="default"/>
          <w:lang w:eastAsia="zh-Hans"/>
        </w:rPr>
        <w:t>3</w:t>
      </w:r>
      <w:r>
        <w:rPr>
          <w:rFonts w:hint="eastAsia"/>
          <w:lang w:val="en-US" w:eastAsia="zh-Hans"/>
        </w:rPr>
        <w:t>Case study</w:t>
      </w:r>
    </w:p>
    <w:p>
      <w:pPr>
        <w:pStyle w:val="3"/>
        <w:bidi w:val="0"/>
        <w:ind w:left="0" w:leftChars="0" w:firstLine="0" w:firstLineChars="0"/>
        <w:rPr>
          <w:rFonts w:hint="eastAsia" w:eastAsia="黑体"/>
          <w:lang w:val="en-US" w:eastAsia="zh-Hans"/>
        </w:rPr>
      </w:pPr>
      <w:r>
        <w:rPr>
          <w:rFonts w:hint="default"/>
          <w:lang w:eastAsia="zh-Hans"/>
        </w:rPr>
        <w:t>3</w:t>
      </w:r>
      <w:r>
        <w:rPr>
          <w:rFonts w:hint="eastAsia"/>
          <w:lang w:val="en-US" w:eastAsia="zh-Hans"/>
        </w:rPr>
        <w:t>.</w:t>
      </w:r>
      <w:r>
        <w:rPr>
          <w:rFonts w:hint="default"/>
          <w:lang w:eastAsia="zh-Hans"/>
        </w:rPr>
        <w:t>1</w:t>
      </w:r>
      <w:r>
        <w:rPr>
          <w:rFonts w:hint="eastAsia"/>
          <w:lang w:val="en-US" w:eastAsia="zh-Hans"/>
        </w:rPr>
        <w:t>Company profile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Kangmei Pharmaceutical Co., LTD. (600518) (" Kangmei Pharmaceutical "for short) was founded by Ma Xingtian in 1997 and listed in Shanghai Stock Exchange in 2001. Kangmei Pharmaceutical is a large modern state-level key high-tech pharmaceutical enterprise integrating drug research and development, production and sales. It is located in the pharmaceutical and biological industry, which is an emerging industry in the current society. The main business scope of Kangmei Pharmaceutical belongs to the pharmaceutical industry. It mainly studies TCM decoction pieces and other TCM drugs to achieve the coverage of the whole industrial chain, so as to improve its industrial competitiveness.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October 15, 2018, the media questioned that the financial data published by Kangmei Pharmaceutical was abnormal, and the stock price fell.</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December 28, 2018, China Securities Regulatory Commission issued a Notice of Investigation to Kangmei Pharmaceutical on the grounds that it was suspected of violating laws and regulations in information disclosure, and started the investigation.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May 17, 2019, China Securities Regulatory Commission published the investigation results of Kangmei Pharmaceutical, indicating that the enterprise in the first three financial information disclosure in 2019, information distortion behavior, through the inflated monetary funds, fictitious business vouchers, related parties to manipulate the stock and other ways to beautification corporate financial data, deceive the public, attract investment. Greatly disturbed the normal order of the securities market.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May 21, 2019, the company was issued a risk warning by the CSRC, and was prefixed with "ST".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August 16, 2019, China Securities Regulatory Commission issued the Notice of Administrative Punishment in advance, issued a maximum fine of 600,000 yuan to the enterprise, at the same time to participate in the event of the enterprise related personnel made administrative penalties, and prohibited their participation in the capital market activities.</w:t>
      </w:r>
    </w:p>
    <w:p>
      <w:pPr>
        <w:rPr>
          <w:rFonts w:hint="default"/>
        </w:rPr>
      </w:pPr>
    </w:p>
    <w:p>
      <w:pPr>
        <w:pStyle w:val="3"/>
        <w:bidi w:val="0"/>
        <w:ind w:left="0" w:leftChars="0" w:firstLine="0" w:firstLineChars="0"/>
        <w:rPr>
          <w:rFonts w:hint="default" w:eastAsia="宋体"/>
          <w:lang w:val="en-US" w:eastAsia="zh-Hans"/>
        </w:rPr>
      </w:pPr>
      <w:r>
        <w:rPr>
          <w:rFonts w:hint="default"/>
          <w:lang w:eastAsia="zh-Hans"/>
        </w:rPr>
        <w:t>3</w:t>
      </w:r>
      <w:r>
        <w:rPr>
          <w:rFonts w:hint="eastAsia"/>
          <w:lang w:val="en-US" w:eastAsia="zh-Hans"/>
        </w:rPr>
        <w:t>.</w:t>
      </w:r>
      <w:r>
        <w:rPr>
          <w:rFonts w:hint="default"/>
          <w:lang w:eastAsia="zh-Hans"/>
        </w:rPr>
        <w:t>2</w:t>
      </w:r>
      <w:r>
        <w:rPr>
          <w:rFonts w:hint="eastAsia"/>
          <w:lang w:val="en-US" w:eastAsia="zh-Hans"/>
        </w:rPr>
        <w:t>Capital Markets - Financing incentives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Financing has become easier for successful listings, but for most investors, the decision depends largely on the value of the company and whether it is profitable. Therefore, if a listed company wants to improve its competitiveness in front of investors, it must release good information to the outside world to show that its shares have higher investment value. When investors judge the value of a company's shares, they usually make a judgment based on the company's financial statements in recent years. If a company has been doing well in recent years and financial indices are steadily increasing, its shares have great investment potential and investors are more willing to put their money into the company. In this case, many do not meet the above requirements of enterprises often manipulate profits, using excess profits to cheat investors to obtain higher profits. It is under this objective that Kangmei Pharmaceutical Company appears the phenomenon of excess profit management. From the development of Kangmei in 2016, at that time, the company's funds are very tight. As can be seen from the table, since 2015, Kangmei Pharmaceutical has been living beyond its means, and its net profit is declining. This situation shows that Kangmei Pharmaceutical is very short of funds.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r>
        <w:drawing>
          <wp:inline distT="0" distB="0" distL="114300" distR="114300">
            <wp:extent cx="5271135" cy="1975485"/>
            <wp:effectExtent l="0" t="0" r="12065"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5271135" cy="197548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2016, in order to overcome the shortage of internal cash flow, Kangmei Pharmaceutical hoped to raise funds by issuing additional shares to survive the crisis. For this reason, Kangmei Pharmaceutical issued additional shares twice in a short period of 2 months. On April 29, 2016, 1,969 million shares were issued at a price of 7.08 yuan per share, and on June 30 of the same year, 530.1 million shares were issued at a price of 15.28 yuan per share, raising a total of 823,9333,200 yuan in two times, an extremely large amount. In addition, in order to raise more funds, Kangmei Pharmaceutical issued 9 short-term financing bonds, 7 medium-term financing bonds and two corporate bonds in 2017 and 2018, raising a total of about 80.4 billion yuan. Such repeated issuance of bonds and additional issuance of stocks not only alleviates the financial pressure, but also strengthens the debt repayment burden of enterprises. However, a high proportion of liabilities greatly affects the development of enterprises and the stability of stock prices. In the face of excessive debt repayment pressure and declining profitability, Kangmei Pharmaceutical can only ensure the perfection of corporate disclosure data and maintain the stability of stock price through excessive earnings management.</w:t>
      </w:r>
    </w:p>
    <w:p>
      <w:pPr>
        <w:pStyle w:val="3"/>
        <w:bidi w:val="0"/>
        <w:ind w:left="0" w:leftChars="0" w:firstLine="0" w:firstLineChars="0"/>
        <w:rPr>
          <w:rFonts w:hint="eastAsia"/>
        </w:rPr>
      </w:pPr>
      <w:r>
        <w:rPr>
          <w:rFonts w:hint="default"/>
          <w:lang w:eastAsia="zh-Hans"/>
        </w:rPr>
        <w:t>3</w:t>
      </w:r>
      <w:r>
        <w:rPr>
          <w:rFonts w:hint="eastAsia"/>
          <w:lang w:val="en-US" w:eastAsia="zh-Hans"/>
        </w:rPr>
        <w:t>.</w:t>
      </w:r>
      <w:r>
        <w:rPr>
          <w:rFonts w:hint="default"/>
          <w:lang w:eastAsia="zh-Hans"/>
        </w:rPr>
        <w:t>3</w:t>
      </w:r>
      <w:r>
        <w:rPr>
          <w:rFonts w:hint="eastAsia"/>
        </w:rPr>
        <w:t>Capital Markets - Avoid "ST" or delisting incentives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domestic stock trading, enterprises must meet certain requirements, must meet certain requirements, after examination, enterprises can successfully carry out stock trading. By going public, enterprises can reduce the cost of financing through public offering, and have favorable conditions to attract outstanding talents. However, when a company is under the supervision of the China Securities Regulatory Commission, if a company has two consecutive years of losses or crimes, it will be marked with an "ST". If it is marked with an "ST", it will be forced to delist by the China Securities Regulatory Commission. And those poor performance, within a short period of time difficult to reverse the loss situation of enterprises, have the opportunity to take a risk, the use of excessive earnings management adjustment, so as to avoid the risk of being "ST", exit the market. As can be seen from the table, from 2015 to 2018, Kangmei Pharmaceutical's gross profit rate has been increasing every year, and its performance is also very good. However, from the perspective of net profit, return on equity and return on assets, the three indexes are constantly declining. In 2018, the return on equity and return on assets are even lower than 1%. Kangmei Pharmaceutical is very likely to have losses, then it will be "ST", so Kangmei Pharmaceutical will appear this situation, so Kangmei Pharmaceutical excessive earnings management to manipulate the company's performance, resulting in Kangmei Pharmaceutical's excess profits.</w:t>
      </w:r>
    </w:p>
    <w:p>
      <w:pPr>
        <w:rPr>
          <w:rFonts w:hint="eastAsia" w:eastAsia="宋体"/>
          <w:lang w:val="en-US" w:eastAsia="zh-Hans"/>
        </w:rPr>
      </w:pPr>
    </w:p>
    <w:p>
      <w:pPr>
        <w:rPr>
          <w:rFonts w:hint="eastAsia"/>
        </w:rPr>
      </w:pPr>
      <w:r>
        <w:drawing>
          <wp:inline distT="0" distB="0" distL="114300" distR="114300">
            <wp:extent cx="5271770" cy="1778000"/>
            <wp:effectExtent l="0" t="0" r="1143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8"/>
                    <a:stretch>
                      <a:fillRect/>
                    </a:stretch>
                  </pic:blipFill>
                  <pic:spPr>
                    <a:xfrm>
                      <a:off x="0" y="0"/>
                      <a:ext cx="5271770" cy="1778000"/>
                    </a:xfrm>
                    <a:prstGeom prst="rect">
                      <a:avLst/>
                    </a:prstGeom>
                    <a:noFill/>
                    <a:ln>
                      <a:noFill/>
                    </a:ln>
                  </pic:spPr>
                </pic:pic>
              </a:graphicData>
            </a:graphic>
          </wp:inline>
        </w:drawing>
      </w:r>
    </w:p>
    <w:p/>
    <w:p/>
    <w:p>
      <w:pPr>
        <w:pStyle w:val="3"/>
        <w:bidi w:val="0"/>
        <w:rPr>
          <w:rFonts w:hint="default"/>
          <w:lang w:val="en-US" w:eastAsia="zh-Hans"/>
        </w:rPr>
      </w:pPr>
      <w:r>
        <w:rPr>
          <w:rFonts w:hint="default"/>
          <w:lang w:eastAsia="zh-Hans"/>
        </w:rPr>
        <w:t>3</w:t>
      </w:r>
      <w:r>
        <w:rPr>
          <w:rFonts w:hint="eastAsia"/>
          <w:lang w:val="en-US" w:eastAsia="zh-Hans"/>
        </w:rPr>
        <w:t>.</w:t>
      </w:r>
      <w:r>
        <w:rPr>
          <w:rFonts w:hint="default"/>
          <w:lang w:eastAsia="zh-Hans"/>
        </w:rPr>
        <w:t>4</w:t>
      </w:r>
      <w:r>
        <w:rPr>
          <w:rFonts w:hint="eastAsia"/>
          <w:lang w:val="en-US" w:eastAsia="zh-Hans"/>
        </w:rPr>
        <w:t>Analysis of earnings management using an ethical framework</w:t>
      </w:r>
    </w:p>
    <w:p>
      <w:pPr>
        <w:pStyle w:val="4"/>
        <w:bidi w:val="0"/>
        <w:rPr>
          <w:rFonts w:hint="eastAsia"/>
          <w:lang w:val="en-US" w:eastAsia="zh-Hans"/>
        </w:rPr>
      </w:pPr>
      <w:r>
        <w:rPr>
          <w:rFonts w:hint="default"/>
          <w:lang w:eastAsia="zh-Hans"/>
        </w:rPr>
        <w:t>3</w:t>
      </w:r>
      <w:r>
        <w:rPr>
          <w:rFonts w:hint="eastAsia"/>
          <w:lang w:val="en-US" w:eastAsia="zh-Hans"/>
        </w:rPr>
        <w:t>.</w:t>
      </w:r>
      <w:r>
        <w:rPr>
          <w:rFonts w:hint="default"/>
          <w:lang w:eastAsia="zh-Hans"/>
        </w:rPr>
        <w:t>4</w:t>
      </w:r>
      <w:r>
        <w:rPr>
          <w:rFonts w:hint="eastAsia"/>
          <w:lang w:val="en-US" w:eastAsia="zh-Hans"/>
        </w:rPr>
        <w:t>.</w:t>
      </w:r>
      <w:r>
        <w:rPr>
          <w:rFonts w:hint="default"/>
          <w:lang w:eastAsia="zh-Hans"/>
        </w:rPr>
        <w:t>1</w:t>
      </w:r>
      <w:r>
        <w:rPr>
          <w:rFonts w:hint="eastAsia"/>
          <w:lang w:val="en-US" w:eastAsia="zh-Hans"/>
        </w:rPr>
        <w:t>Utilitarian framework</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One moral theoretical ethical framework that can be used to evaluate this example is the utilitarian approach. This ethical theory holds that an action is morally right if it maximizes overall happiness or pleasure and minimizes overall pain or suffering for the greatest number of people affected by the action.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the context of earnings management, a utilitarian approach will consider the impact of practices on various stakeholders, such as shareholders, employees, customers, suppliers and society. While earnings management may benefit shareholders and executives by exaggerating earnings, it may harm other stakeholders who rely on accurate financial information to make investment decisions or negotiate contracts. In addition, earnings management could erode trust and integrity in the financial system, which could have long-term adverse effects on the economy as a whole.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Therefore, the author analyzes the excessive earnings management of Kangmei Company in combination with the utilitarian moral and ethical framework. According to the utilitarian view, the excessive earnings management of Kangmei Company violates the principles of transparency, fairness and accountability of financial reports. In order to help the company overcome difficulties, it fabricates false information to coax public investors into investing and raises funds by immoral means. It undermines the rights of the majority of stakeholders, so earnings management should not be encouraged or even prohibited. Instead, the company should strive to provide accurate, reliable and timely financial information to all stakeholders, even if this means that the company reports lower earnings or losses in the short term. But in the end, the long-term benefits of maintaining credibility and credibility outweigh the short-term benefits of manipulating gains. Just like the case, the company will face more severe punishment and crisis when it is discovered. Kangmei's excessive earnings management is like drinking poison to quench thirst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pStyle w:val="4"/>
        <w:bidi w:val="0"/>
        <w:rPr>
          <w:rFonts w:hint="default"/>
          <w:lang w:val="en-US" w:eastAsia="zh-Hans"/>
        </w:rPr>
      </w:pPr>
      <w:r>
        <w:rPr>
          <w:rFonts w:hint="default"/>
        </w:rPr>
        <w:t>3</w:t>
      </w:r>
      <w:r>
        <w:rPr>
          <w:rFonts w:hint="eastAsia"/>
          <w:lang w:val="en-US" w:eastAsia="zh-Hans"/>
        </w:rPr>
        <w:t>.</w:t>
      </w:r>
      <w:r>
        <w:rPr>
          <w:rFonts w:hint="default"/>
        </w:rPr>
        <w:t>4</w:t>
      </w:r>
      <w:r>
        <w:rPr>
          <w:rFonts w:hint="eastAsia"/>
          <w:lang w:val="en-US" w:eastAsia="zh-Hans"/>
        </w:rPr>
        <w:t>.</w:t>
      </w:r>
      <w:r>
        <w:rPr>
          <w:rFonts w:hint="default"/>
          <w:lang w:eastAsia="zh-Hans"/>
        </w:rPr>
        <w:t>2</w:t>
      </w:r>
      <w:r>
        <w:rPr>
          <w:rFonts w:hint="eastAsia"/>
          <w:lang w:val="en-US" w:eastAsia="zh-Hans"/>
        </w:rPr>
        <w:t>Consequentialist framework</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Another theoretical ethical framework that can be applied to this example is consequentialism. Consequentialism evaluates the morality of an action in terms of its consequences or consequences.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this case, the appropriateness of the corporate code of ethics depends on whether the code of ethics encourages compliance with these regulatory standards. A code of ethics would be considered appropriate if it emphasized the importance of accurate financial reporting and compliance with accounting regulations. However, if the code of ethics fails to mention or downplays the importance of regulatory compliance, it will be considered inappropriate from an ethical perspective.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Applying this framework to the case of Kangmei Pharmaceutical Co., LTD., it is clear that the company acted unethically. By falsifying financial statements and creating a false impression that the company was operating well, it misled investors and violated accounting standards and regulations. The consequences of this action were severe, causing the company's share price to fall and damaging the reputation of the entire Chinese pharmaceutical industry. The company's actions also damaged public trust in the financial reporting process and raised concerns about the effectiveness of regulation.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From a consequentialist perspective, the actions of Kangmei Pharmaceutical Co., Ltd. are unethical because they have harmful consequences for society and stakeholders. The company failed to comply with accounting standards and regulations, resulting in negative consequences for investors, employees and the industry as a whole. By contrast, compliance with these standards will ensure accurate and transparent financial reporting and promote trust and confidence in financial markets.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terms of the appropriateness of Kangmei's corporate code of ethics, the company's code is clearly inadequate. The code fails to establish policies and procedures to ensure compliance with accounting standards and regulations, and lacks enforcement mechanisms to hold employees accountable for unethical behavior. As a result, the company's employees can engage in fraudulent activity without fear of consequences.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eastAsia" w:eastAsia="宋体"/>
          <w:lang w:val="en-US" w:eastAsia="zh-Hans"/>
        </w:rPr>
        <w:t>In conclusion, Kangmei's case highlights the importance of an ethical framework that uses consequentialism and utilitarianism in evaluating business practices. Companies that prioritize compliance with accounting standards and regulations and establish strong corporate ethics are more likely to promote overall social welfare and minimize harm. On the other hand, companies that engage in unethical behavior, such as falsifying financial statements, can undermine public trust and cause negative consequences for society and stakeholders.</w:t>
      </w:r>
      <w:r>
        <w:rPr>
          <w:rFonts w:hint="default" w:eastAsia="宋体"/>
          <w:lang w:val="en-US" w:eastAsia="zh-Hans"/>
        </w:rPr>
        <w: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rPr>
          <w:rFonts w:hint="default"/>
        </w:rPr>
      </w:pPr>
    </w:p>
    <w:p>
      <w:pPr>
        <w:pStyle w:val="2"/>
        <w:numPr>
          <w:ilvl w:val="0"/>
          <w:numId w:val="1"/>
        </w:numPr>
        <w:bidi w:val="0"/>
        <w:rPr>
          <w:rFonts w:hint="eastAsia"/>
          <w:lang w:val="en-US" w:eastAsia="zh-Hans"/>
        </w:rPr>
      </w:pPr>
      <w:r>
        <w:rPr>
          <w:rFonts w:hint="eastAsia"/>
          <w:lang w:val="en-US" w:eastAsia="zh-Hans"/>
        </w:rPr>
        <w:t>Evaluation and suggestions</w:t>
      </w:r>
    </w:p>
    <w:p>
      <w:pPr>
        <w:pStyle w:val="3"/>
        <w:bidi w:val="0"/>
        <w:rPr>
          <w:rFonts w:hint="default"/>
          <w:lang w:val="en-US" w:eastAsia="zh-Hans"/>
        </w:rPr>
      </w:pPr>
      <w:r>
        <w:rPr>
          <w:rFonts w:hint="default"/>
          <w:lang w:eastAsia="zh-Hans"/>
        </w:rPr>
        <w:t>4</w:t>
      </w:r>
      <w:r>
        <w:rPr>
          <w:rFonts w:hint="eastAsia"/>
          <w:lang w:val="en-US" w:eastAsia="zh-Hans"/>
        </w:rPr>
        <w:t>.</w:t>
      </w:r>
      <w:r>
        <w:rPr>
          <w:rFonts w:hint="default"/>
          <w:lang w:eastAsia="zh-Hans"/>
        </w:rPr>
        <w:t>1</w:t>
      </w:r>
      <w:r>
        <w:rPr>
          <w:rFonts w:hint="eastAsia"/>
          <w:lang w:val="en-US" w:eastAsia="zh-Hans"/>
        </w:rPr>
        <w:t>Evaluation</w:t>
      </w:r>
    </w:p>
    <w:p>
      <w:pPr>
        <w:rPr>
          <w:rFonts w:hint="default"/>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From the impact of earnings management of corporate governance mechanism, Britain has established a sound corporate governance mechanism to improve the transparency, credibility and interests of the company. In this system, boards of directors, audit committees, external auditors, institutional investors, and regulators such as FRCS, Fcas, etc., make up the system. All parties should monitor and balance each other to ensure compliance with relevant laws and ethics. For example, in order to safeguard the maximum rights and interests of shareholders, trust the company's operation and supervise the company's operation; External auditors independently guarantee the accuracy and completeness of accounting reports, and the company has the right to participate in the management of the company.</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The internal framework of British corporate governance structure consists of the general meeting of shareholders, the board of directors and the manager. Among them, the general meeting of shareholders is the highest authority of the company, the board of directors is the highest decision-making body of the company, and the manager is the daily operation and management body of the company. No separate board of supervisors shall be established, and its supervision function shall be undertaken by the internal audit Committee under the board of directors, which shall be composed of independent external directors.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This model sets the main purpose of the company as shareholder value and emphasizes the maintenance of the company. In the corporate governance structure, the shareholding structure of the company is too loose, which makes the holding status of the company low. Therefore, the mentality of "free rider" prevails in the company. With the development of the company, the degree of stock flow increases, and the instability of the stock is enhanced. The alliance between the stock holders plays a certain role in the management of the company. The final result is that the management is in the central position in the listed company and becomes the actual controller of the company, which leads to the infringement of the rights and interests of shareholders and other stakeholders and the improper use of the management. However, institutional investors with a higher shareholding share are not the ultimate owners, so they pay more attention to the short-term returns of the shareholding structure and pay less attention to the operational performance of the enterprise. Therefore, usually, institutional investors do not directly intervene in the operation decisions of enterprises, but more often "vote with their feet", thus exerting a certain influence on the operation of corporate executives, which makes it difficult for them to have a positive impact on the operation of enterprises, resulting in a negative impact on earnings management.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eastAsia" w:eastAsia="宋体"/>
          <w:lang w:val="en-US" w:eastAsia="zh-Hans"/>
        </w:rPr>
        <w:t>But there are advantages to this model of corporate governance.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The British way of corporate management is characterized by the unification of principles and elasticity, the unification of formal standards and reality. Compliance is no longer just propaganda, but enforcement. Enterprise managers must deeply understand the essence of enterprise management norms, and relate to their own reality, rather than apply them to enterprise management activities. Investors, regulators and other stakeholders can get more useful information. In this model, corporate governance leaves some room for autonomy. Companies can manage themselves, and regulators, other stakeholders and the market will respond to the management until all stakeholders are satisfied. Finally, the company's operating conditions, risk control capacity and market-oriented index will be improved. This kind of management will be reflected in the change of company management rules in the future. In fact, the British business management norms did not see any of the formulation of business management questions "authoritative answer." Chairman Cadbury himself pointed out on many occasions that corporate governance standards should be based on reality, national corporate governance standards should be linked to specific policies, policies and policies of local governments, and the internal corporate governance system of enterprises should be related to the operation characteristics and needs of enterprises, so as to enable enterprises to better carry out profit management and prevent excess profits as much as possible.</w:t>
      </w:r>
    </w:p>
    <w:p>
      <w:pPr>
        <w:pStyle w:val="3"/>
        <w:bidi w:val="0"/>
        <w:rPr>
          <w:rFonts w:hint="eastAsia"/>
          <w:lang w:val="en-US" w:eastAsia="zh-Hans"/>
        </w:rPr>
      </w:pPr>
      <w:r>
        <w:rPr>
          <w:rFonts w:hint="default"/>
          <w:lang w:eastAsia="zh-Hans"/>
        </w:rPr>
        <w:t>4</w:t>
      </w:r>
      <w:r>
        <w:rPr>
          <w:rFonts w:hint="eastAsia"/>
          <w:lang w:val="en-US" w:eastAsia="zh-Hans"/>
        </w:rPr>
        <w:t>.</w:t>
      </w:r>
      <w:r>
        <w:rPr>
          <w:rFonts w:hint="default"/>
          <w:lang w:eastAsia="zh-Hans"/>
        </w:rPr>
        <w:t>2 S</w:t>
      </w:r>
      <w:r>
        <w:rPr>
          <w:rFonts w:hint="eastAsia"/>
          <w:lang w:val="en-US" w:eastAsia="zh-Hans"/>
        </w:rPr>
        <w:t>uggestions</w:t>
      </w:r>
    </w:p>
    <w:p>
      <w:pPr>
        <w:rPr>
          <w:rFonts w:hint="default"/>
          <w:lang w:val="en-US" w:eastAsia="zh-Hans"/>
        </w:rPr>
      </w:pPr>
    </w:p>
    <w:p>
      <w:pPr>
        <w:pStyle w:val="4"/>
        <w:bidi w:val="0"/>
        <w:rPr>
          <w:rFonts w:hint="eastAsia"/>
        </w:rPr>
      </w:pPr>
      <w:r>
        <w:rPr>
          <w:rFonts w:hint="eastAsia"/>
        </w:rPr>
        <w:t xml:space="preserve"> </w:t>
      </w:r>
      <w:r>
        <w:rPr>
          <w:rFonts w:hint="default"/>
        </w:rPr>
        <w:t>4</w:t>
      </w:r>
      <w:r>
        <w:rPr>
          <w:rFonts w:hint="eastAsia"/>
          <w:lang w:val="en-US" w:eastAsia="zh-Hans"/>
        </w:rPr>
        <w:t>.</w:t>
      </w:r>
      <w:r>
        <w:rPr>
          <w:rFonts w:hint="default"/>
          <w:lang w:eastAsia="zh-Hans"/>
        </w:rPr>
        <w:t>2.</w:t>
      </w:r>
      <w:r>
        <w:rPr>
          <w:rFonts w:hint="default"/>
        </w:rPr>
        <w:t>1</w:t>
      </w:r>
      <w:r>
        <w:rPr>
          <w:rFonts w:hint="eastAsia"/>
          <w:lang w:val="en-US" w:eastAsia="zh-Hans"/>
        </w:rPr>
        <w:t>.</w:t>
      </w:r>
      <w:r>
        <w:rPr>
          <w:rFonts w:hint="eastAsia"/>
        </w:rPr>
        <w:t>Optimize the company management system</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the process of the company's management decision, we should actively play the role of small shareholders, gather the advantages of the owners to make up for the disadvantages of the minority, so as to make the management decision more reasonable; introduce investment from professional institutions to realize the diversification of the capital market; further improve the functions of the company's directors, carry out effective supervision of the company's operators, and prevent the company from "one-person decision-making" phenomenon. Perfecting the related director supervision system and the related salary system, fully arousing the enthusiasm of supervision, making the management of the company centralized, thus effectively preventing the situation of "one-size-fits-all" in the operation of the company, strengthening the internal control system of the company, making the management of the company more scientific, reducing the pressure of external supervision, and canvassing more capital, thus alleviating the financing predicament of the company, expanding the business scope of the company and enhancing the competitiveness of the company. Secondly, companies should strengthen the construction of post restraint system. In practice, companies should operate in accordance with the principle of "principal-agent", especially for a listed company, there should be a strict distinction between ownership and management rights, and even allowing shareholders to hold company positions should be limited.</w:t>
      </w:r>
    </w:p>
    <w:p>
      <w:pPr>
        <w:pStyle w:val="4"/>
        <w:bidi w:val="0"/>
        <w:rPr>
          <w:rFonts w:hint="eastAsia"/>
        </w:rPr>
      </w:pPr>
      <w:r>
        <w:rPr>
          <w:rFonts w:hint="default"/>
        </w:rPr>
        <w:t>4</w:t>
      </w:r>
      <w:r>
        <w:rPr>
          <w:rFonts w:hint="eastAsia"/>
          <w:lang w:val="en-US" w:eastAsia="zh-Hans"/>
        </w:rPr>
        <w:t>.</w:t>
      </w:r>
      <w:r>
        <w:rPr>
          <w:rFonts w:hint="default"/>
          <w:lang w:eastAsia="zh-Hans"/>
        </w:rPr>
        <w:t>2</w:t>
      </w:r>
      <w:r>
        <w:rPr>
          <w:rFonts w:hint="eastAsia"/>
        </w:rPr>
        <w:t>.2 Improve the internal supervision system of enterprises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The failure of external supervision mechanism is the main cause of excessive earnings management, and the audit committee is the most important part of corporate governance supervision mechanism. Their transparency and accountability has been enhanced through, for example, more detailed disclosure of their work and performance and increased independence from management. First of all, we should strengthen the professional quality of the members of the board of directors in the process of participating in the management of the company, and ensure that the members of the board of directors can criticize the misconduct of the management of the company. Alternatively, the appointment of independent directors could be rotated, or appointed by more than one person, in order to prevent the erosion of independence resulting from the exercise of that power by one person; and, secondly, to enhance the voting power of minority shareholders by allowing them to participate more in the management of the company and thus better facilitate its decision-making. Fourthly, strengthen professional ethics training for the board of directors, raise its business level, ensure effective implementation of its supervision function, establish a stringent admission system, and promptly dismiss and replace personnel who do not have regulatory capacity. To improve the company's internal and external regulatory system, we should strengthen the independent status of the board of directors, but also fully mobilize the enthusiasm of the masses of workers, and at the same time to build a regulatory organization involving employees. To achieve this, we must set up a special auditing body to conduct self-censorship and self-censorship of the company's financial work. Before the company starts to conduct external audit, check the company's financial data in advance and strengthen the supervision of daily financial activities. Secondly, the establishment of anonymous reporting channels for all staff, so that the majority of workers involved. In the company, the bottom staff is the most one group, they played a very significant role. Therefore, the establishment of an anonymous reporting channel for employees, the collection of such information and its submission to the Board of Directors and the Audit Committee for review would prevent further problems from arising by allowing excessive earnings management to be stopped and corrected in a timely manner. Fourth, improve the punishment system for violations of the law and discipline, so that the mistakes of managers and ordinary workers are punished. When there is excessive earnings management, it usually involves senior executives. Therefore, it is necessary to strengthen the supervision and punishment of executives to prevent the situation of "Beiguo Xia", so as to better promote the action of executives and reduce the probability of excessive earnings management.</w:t>
      </w:r>
    </w:p>
    <w:p>
      <w:pPr>
        <w:pStyle w:val="4"/>
        <w:bidi w:val="0"/>
        <w:rPr>
          <w:rFonts w:hint="eastAsia" w:eastAsia="Helvetica Neue"/>
          <w:lang w:val="en-US" w:eastAsia="zh-Hans"/>
        </w:rPr>
      </w:pPr>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rPr>
        <w:t>3.</w:t>
      </w:r>
      <w:r>
        <w:rPr>
          <w:rFonts w:hint="eastAsia"/>
          <w:lang w:val="en-US" w:eastAsia="zh-Hans"/>
        </w:rPr>
        <w:t>External supervisory body level</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Before all listed companies publish their annual report data, each listed company needs to be reviewed by a special audit company to ensure that the accounting information it discloses is correct and legal. Only in this way can outside investors conduct relevant research based on these information, and thus pick out the securities they want to invest in, so as to protect their rights and interests. However, in the current market, excessive earnings management is also increasing, and in the process, the staff of external agencies and the staff of companies collude with each other to produce false audit reports have repeatedly occurred, therefore, the attention of external regulators has gradually increased. In some cases of excessive earnings management, the audit reports obtained from many unqualified and untrue accounting statements are standard without reservation, which has a great misleading effect on the information users, has a bad effect on the whole society, and makes the investors doubt the annual report after auditing and the professionalism of the auditing company. Due to the ineffectiveness of the audit report and the continuous suspicion of investors, we should not only improve the internal system of the company, but also strengthen the optimization of the external audit organization.</w:t>
      </w:r>
    </w:p>
    <w:p>
      <w:pPr>
        <w:pStyle w:val="4"/>
        <w:bidi w:val="0"/>
        <w:rPr>
          <w:rFonts w:hint="eastAsia"/>
        </w:rPr>
      </w:pPr>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4</w:t>
      </w:r>
      <w:r>
        <w:rPr>
          <w:rFonts w:hint="default"/>
        </w:rPr>
        <w:t>.</w:t>
      </w:r>
      <w:r>
        <w:rPr>
          <w:rFonts w:hint="eastAsia"/>
        </w:rPr>
        <w:t xml:space="preserve"> We will improve the independence of audit institutions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Due to its own lack, it is likely to cause firms and listed companies to collude to adjust by manipulating excess profits. Therefore, in order to effectively play a supervisory role and reduce the company's excess profits, it is necessary to strengthen its independence. Auditors participate in the audit of statements, and they are the most direct observers of audit reports. If they have a certain interest relationship or close relationship with the audited institutions, the authenticity and credibility of their audit reports will be affected.</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eastAsia" w:eastAsia="宋体"/>
          <w:lang w:val="en-US" w:eastAsia="zh-Hans"/>
        </w:rPr>
        <w:t>Therefore, the audit must be well informed about the selection system. We need to ensure that the reporting team is well divided. In order to avoid being rounded up from the perspective of people and subjects, we need to ensure that the audit results are not accurate due to "relevant interests". Close personnel avoidance system, in addition to the pro should not only pay attention to its blood line meter personnel need division must, to some also try to avoid and have a direct correlation, close personnel to avoid; Also pay attention to, avoid the teacher scientific screening through to prevent the occurrence of "collusion" phenomenon to set up the audit personnel to set the limit time of the staff on a special account with a solid teacher limit working time for connection to prevent due to the auditor's reduction of audit and weaken the independent teacher, resulting in false reports; . At the end of the day, periodically changing the composition of the compositor hours during the audit process, the composition of the project groups is fixed, invariable to confirm the evidence between people, but the coordination leads to mutual protection. Ther</w:t>
      </w:r>
      <w:r>
        <w:rPr>
          <w:rFonts w:hint="default" w:eastAsia="宋体"/>
          <w:lang w:eastAsia="zh-Hans"/>
        </w:rPr>
        <w:t>e</w:t>
      </w:r>
      <w:r>
        <w:rPr>
          <w:rFonts w:hint="eastAsia" w:eastAsia="宋体"/>
          <w:lang w:val="en-US" w:eastAsia="zh-Hans"/>
        </w:rPr>
        <w:t>fore, the auditors can be reasonably adjusted while changing and strengthening the compositor, Promote and strengthen the auditors to link up</w:t>
      </w:r>
      <w:r>
        <w:rPr>
          <w:rFonts w:hint="default" w:eastAsia="宋体"/>
          <w:lang w:eastAsia="zh-Hans"/>
        </w:rPr>
        <w:t>.</w:t>
      </w:r>
    </w:p>
    <w:p>
      <w:pPr>
        <w:pStyle w:val="4"/>
        <w:bidi w:val="0"/>
        <w:rPr>
          <w:rFonts w:hint="default"/>
          <w:lang w:val="en-US" w:eastAsia="zh-Hans"/>
        </w:rPr>
      </w:pPr>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 xml:space="preserve">5 </w:t>
      </w:r>
      <w:r>
        <w:rPr>
          <w:rFonts w:hint="eastAsia"/>
          <w:lang w:val="en-US" w:eastAsia="zh-Hans"/>
        </w:rPr>
        <w:t>Improve accounting laws and regulations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To ensure the effective implementation of the relevant provisions, the "excessive regulation and control" of our enterprises has a deterrent effect, but it is also necessary to regulate the profit management. From the past cases of excessive earnings management, we can see that earnings management is not illegal. All the violations of laws and regulations are the result of listed companies' excessive use of earnings management. In fact, in real life, there is no lack of a large number of companies, they can use the appropriate use of earnings management to make adjustments to achieve the goal of capping or evading delisting. Therefore, regulating the behavior of profit management can effectively reduce the excessive adjustment of profit. As a social supervision department, the state should fully perform its duties and use the established adjustment standards of business management to restrain listed companies from using earnings management. Therefore, it is necessary to analyze and sort out the current situation of earnings management of enterprises, and make clear the definition of "excessive"; secondly, establish corresponding accounting standards, limit the accounting standards in the accounting standards, and make the accounting standards applicable to different accounting standards, and make corresponding amendments and improvements with the formulation of the accounting standards; finally, for the formulated standards, we can try out the relevant standards for a period of time to ensure the reasonableness of the relevant standards, and guarantee the legitimate rights and interests of listed companies in the implementation of supervision.</w:t>
      </w:r>
    </w:p>
    <w:p>
      <w:pPr>
        <w:pStyle w:val="4"/>
        <w:bidi w:val="0"/>
        <w:rPr>
          <w:rFonts w:hint="default"/>
          <w:lang w:eastAsia="zh-Hans"/>
        </w:rPr>
      </w:pPr>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6We will strengthen government oversight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Under the market economy environment, an accounting firm shall audit a company's annual statements, and if the company's financial status is not good, it may cause the company to make too many adjustments. Therefore, only by strengthening the supervision of the relevant departments on the company and making the company's annual statements more accurate, can the false audit results be prevented from recurring. To do this, the government must reeducate auditors and, once they have qualified, train them intensively and regularly to understand recent laws and regulations. If you encounter some excessive earnings management cases, to sum up the experience of sub-sharing exchanges, so that their professional quality has been improved. Secondly, it is necessary to strengthen the supervision of the work of auditors. For those companies that are among the best in the industry, it is necessary to strictly standardize the work of auditors by means of work sampling, and conduct a comprehensive audit of the work of the past few years to ensure the correctness of the audit work. Finally, it is necessary to improve the entrustment of audit units by adding a third-party entrustment mechanism so that a third party can select accounting firms for the company, so as to avoid direct contact with the company and ensure that the audit of auditors is not subject to any interference. In addition, there is a need to set a fixed fee rate for auditors' audits to prevent irregular audit practices due to fees. In addition, due to lax law enforcement and too light punishment will lead to excessive earnings management, so we can take to strengthen the punishment to enhance their level of supervision. First, we should resolutely crack down on crimes and severely crack down on crimes. Especially, some companies that have made great contributions to the development of local economy cannot cover up or be lenient with others, and must be punished in accordance with the law, and the impunity for crimes shall be eradicated. Second, we should increase the punishment on accounting firms. In the event that accounting firms find any excess profits, we should punish not only accounting firms but also accounting firms that have issued false profits, so as to promote the self-examination and self-correction of accounting firms, so as to prevent the damage caused by improper profits to the society by accounting firms, and at the same time, avoid the occurrence of excessive surplus management and adjustment by listed companies in collusion with audit institutions.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Overall, improving the UK's corporate governance system is a complex and ongoing challenge that requires collaboration and coordination among multiple stakeholders. However, by implementing these recommendations and other best practices, it is possible to reduce the risks of earnings management and improve the integrity and reputation of the UK's financial markets.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pStyle w:val="8"/>
        <w:keepNext w:val="0"/>
        <w:keepLines w:val="0"/>
        <w:widowControl/>
        <w:suppressLineNumbers w:val="0"/>
      </w:pPr>
    </w:p>
    <w:p>
      <w:pPr>
        <w:rPr>
          <w:rFonts w:hint="eastAsia"/>
          <w:lang w:val="en-US" w:eastAsia="zh-Hans"/>
        </w:rPr>
      </w:pPr>
      <w:r>
        <w:rPr>
          <w:rFonts w:hint="eastAsia"/>
          <w:lang w:val="en-US" w:eastAsia="zh-Hans"/>
        </w:rPr>
        <w:br w:type="page"/>
      </w:r>
    </w:p>
    <w:p>
      <w:pPr>
        <w:pStyle w:val="3"/>
        <w:bidi w:val="0"/>
        <w:jc w:val="center"/>
        <w:rPr>
          <w:rFonts w:hint="default"/>
          <w:lang w:val="en-US" w:eastAsia="zh-Hans"/>
        </w:rPr>
      </w:pPr>
      <w:r>
        <w:rPr>
          <w:rFonts w:hint="eastAsia"/>
          <w:lang w:val="en-US" w:eastAsia="zh-Hans"/>
        </w:rPr>
        <w:t>References</w:t>
      </w:r>
      <w:r>
        <w:rPr>
          <w:rFonts w:hint="default"/>
          <w:lang w:eastAsia="zh-Hans"/>
        </w:rPr>
        <w:t xml:space="preserve"> </w:t>
      </w:r>
      <w:r>
        <w:rPr>
          <w:rFonts w:hint="eastAsia"/>
          <w:lang w:val="en-US" w:eastAsia="zh-Hans"/>
        </w:rPr>
        <w:t>list</w:t>
      </w:r>
    </w:p>
    <w:p>
      <w:pPr>
        <w:rPr>
          <w:rFonts w:hint="eastAsia"/>
          <w:lang w:val="en-US" w:eastAsia="zh-Hans"/>
        </w:rPr>
      </w:pPr>
      <w:r>
        <w:rPr>
          <w:rFonts w:hint="eastAsia"/>
          <w:lang w:val="en-US" w:eastAsia="zh-Hans"/>
        </w:rPr>
        <w:t>[1] Fan Yaoyao et al. From watchdog to watchman: Do independent directors monitor a CEO of</w:t>
      </w:r>
      <w:r>
        <w:rPr>
          <w:rFonts w:hint="default"/>
          <w:lang w:eastAsia="zh-Hans"/>
        </w:rPr>
        <w:t xml:space="preserve"> </w:t>
      </w:r>
      <w:r>
        <w:rPr>
          <w:rFonts w:hint="eastAsia"/>
          <w:lang w:val="en-US" w:eastAsia="zh-Hans"/>
        </w:rPr>
        <w:t>their own age?[J]. Journal of Empirical Finance, 2021, 61 : 206-229.</w:t>
      </w:r>
    </w:p>
    <w:p>
      <w:pPr>
        <w:rPr>
          <w:rFonts w:hint="eastAsia"/>
          <w:lang w:val="en-US" w:eastAsia="zh-Hans"/>
        </w:rPr>
      </w:pPr>
      <w:r>
        <w:rPr>
          <w:rFonts w:hint="eastAsia"/>
          <w:lang w:val="en-US" w:eastAsia="zh-Hans"/>
        </w:rPr>
        <w:t>[2] Griffin Paul A. et al. The dark side of CEO social capital: Evidence from real earnings</w:t>
      </w:r>
      <w:r>
        <w:rPr>
          <w:rFonts w:hint="default"/>
          <w:lang w:eastAsia="zh-Hans"/>
        </w:rPr>
        <w:t xml:space="preserve"> </w:t>
      </w:r>
      <w:r>
        <w:rPr>
          <w:rFonts w:hint="eastAsia"/>
          <w:lang w:val="en-US" w:eastAsia="zh-Hans"/>
        </w:rPr>
        <w:t>management and future operating performance[J]. Journal of Corporate Finance, 2021, :68.</w:t>
      </w:r>
    </w:p>
    <w:p>
      <w:pPr>
        <w:rPr>
          <w:rFonts w:hint="eastAsia"/>
          <w:lang w:val="en-US" w:eastAsia="zh-Hans"/>
        </w:rPr>
      </w:pPr>
      <w:r>
        <w:rPr>
          <w:rFonts w:hint="eastAsia"/>
          <w:lang w:val="en-US" w:eastAsia="zh-Hans"/>
        </w:rPr>
        <w:t>[3] Ismail Ghada M et al. Brand Equity, Earnings Management, and Financial Reporting</w:t>
      </w:r>
      <w:r>
        <w:rPr>
          <w:rFonts w:hint="default"/>
          <w:lang w:eastAsia="zh-Hans"/>
        </w:rPr>
        <w:t xml:space="preserve"> </w:t>
      </w:r>
      <w:r>
        <w:rPr>
          <w:rFonts w:hint="eastAsia"/>
          <w:lang w:val="en-US" w:eastAsia="zh-Hans"/>
        </w:rPr>
        <w:t>Irregularities[J]. The Review of Corporate Finance Studies, 2021, 10(2) : 402-435.</w:t>
      </w:r>
    </w:p>
    <w:p>
      <w:pPr>
        <w:rPr>
          <w:rFonts w:hint="eastAsia"/>
          <w:lang w:val="en-US" w:eastAsia="zh-Hans"/>
        </w:rPr>
      </w:pPr>
      <w:r>
        <w:rPr>
          <w:rFonts w:hint="eastAsia"/>
          <w:lang w:val="en-US" w:eastAsia="zh-Hans"/>
        </w:rPr>
        <w:t>[4] Lin TsaiYin and Yu Jerry and Lin ChiaYi. IPO’s Long-Run Performance: Hot Market versus</w:t>
      </w:r>
      <w:r>
        <w:rPr>
          <w:rFonts w:hint="default"/>
          <w:lang w:eastAsia="zh-Hans"/>
        </w:rPr>
        <w:t xml:space="preserve"> </w:t>
      </w:r>
      <w:r>
        <w:rPr>
          <w:rFonts w:hint="eastAsia"/>
          <w:lang w:val="en-US" w:eastAsia="zh-Hans"/>
        </w:rPr>
        <w:t>Earnings Management[J]. Journal of Risk and Financial Management, 2021, 14(3) :132-132.</w:t>
      </w:r>
    </w:p>
    <w:p>
      <w:pPr>
        <w:rPr>
          <w:rFonts w:hint="eastAsia"/>
          <w:lang w:val="en-US" w:eastAsia="zh-Hans"/>
        </w:rPr>
      </w:pPr>
      <w:r>
        <w:rPr>
          <w:rFonts w:hint="eastAsia"/>
          <w:lang w:val="en-US" w:eastAsia="zh-Hans"/>
        </w:rPr>
        <w:t>[5] Mohammad Azzam. The association between corporate governance reform and earnings</w:t>
      </w:r>
      <w:r>
        <w:rPr>
          <w:rFonts w:hint="default"/>
          <w:lang w:eastAsia="zh-Hans"/>
        </w:rPr>
        <w:t xml:space="preserve"> </w:t>
      </w:r>
      <w:r>
        <w:rPr>
          <w:rFonts w:hint="eastAsia"/>
          <w:lang w:val="en-US" w:eastAsia="zh-Hans"/>
        </w:rPr>
        <w:t>management: empirical evidence from a unique regulatory environment[J]. International</w:t>
      </w:r>
      <w:r>
        <w:rPr>
          <w:rFonts w:hint="default"/>
          <w:lang w:eastAsia="zh-Hans"/>
        </w:rPr>
        <w:t xml:space="preserve"> </w:t>
      </w:r>
      <w:r>
        <w:rPr>
          <w:rFonts w:hint="eastAsia"/>
          <w:lang w:val="en-US" w:eastAsia="zh-Hans"/>
        </w:rPr>
        <w:t>Journal of Accounting, Auditing and Performance Evaluation, 2021, 16(2-3) : 156.</w:t>
      </w:r>
    </w:p>
    <w:p>
      <w:pPr>
        <w:rPr>
          <w:rFonts w:hint="eastAsia"/>
          <w:lang w:val="en-US" w:eastAsia="zh-Hans"/>
        </w:rPr>
      </w:pPr>
      <w:r>
        <w:rPr>
          <w:rFonts w:hint="eastAsia"/>
          <w:lang w:val="en-US" w:eastAsia="zh-Hans"/>
        </w:rPr>
        <w:t>[6] Norazida Mohameda, Moorison Handley-Schachelor.Financial statement fraud risk mechanisms and strategies:the case studies of Malaysian commercial companies[J].Science</w:t>
      </w:r>
      <w:r>
        <w:rPr>
          <w:rFonts w:hint="default"/>
          <w:lang w:eastAsia="zh-Hans"/>
        </w:rPr>
        <w:t xml:space="preserve"> </w:t>
      </w:r>
      <w:r>
        <w:rPr>
          <w:rFonts w:hint="eastAsia"/>
          <w:lang w:val="en-US" w:eastAsia="zh-Hans"/>
        </w:rPr>
        <w:t>Direct, 2014(145):321-329.</w:t>
      </w:r>
    </w:p>
    <w:p>
      <w:pPr>
        <w:rPr>
          <w:rFonts w:hint="eastAsia"/>
          <w:lang w:val="en-US" w:eastAsia="zh-Hans"/>
        </w:rPr>
      </w:pPr>
      <w:r>
        <w:rPr>
          <w:rFonts w:hint="eastAsia"/>
          <w:lang w:val="en-US" w:eastAsia="zh-Hans"/>
        </w:rPr>
        <w:t>[7] Paul M. Healy. Discussion of earnings-based bonus plans and earnings management by</w:t>
      </w:r>
      <w:r>
        <w:rPr>
          <w:rFonts w:hint="default"/>
          <w:lang w:eastAsia="zh-Hans"/>
        </w:rPr>
        <w:t xml:space="preserve"> </w:t>
      </w:r>
      <w:r>
        <w:rPr>
          <w:rFonts w:hint="eastAsia"/>
          <w:lang w:val="en-US" w:eastAsia="zh-Hans"/>
        </w:rPr>
        <w:t>business unit managers[J]. Journal of Accounting and Economics, 1999, 26(1).</w:t>
      </w:r>
    </w:p>
    <w:p>
      <w:pPr>
        <w:rPr>
          <w:rFonts w:hint="eastAsia"/>
          <w:lang w:val="en-US" w:eastAsia="zh-Hans"/>
        </w:rPr>
      </w:pPr>
      <w:r>
        <w:rPr>
          <w:rFonts w:hint="eastAsia"/>
          <w:lang w:val="en-US" w:eastAsia="zh-Hans"/>
        </w:rPr>
        <w:t>[8] Quan Yi and Zhang Wenlan. Geographic distance and board monitoring: Evidence from the</w:t>
      </w:r>
      <w:r>
        <w:rPr>
          <w:rFonts w:hint="default"/>
          <w:lang w:eastAsia="zh-Hans"/>
        </w:rPr>
        <w:t xml:space="preserve"> </w:t>
      </w:r>
      <w:r>
        <w:rPr>
          <w:rFonts w:hint="eastAsia"/>
          <w:lang w:val="en-US" w:eastAsia="zh-Hans"/>
        </w:rPr>
        <w:t>relocation of independent directors[J]. Journal of Corporate Finance, 2021, 66 : 101802.</w:t>
      </w:r>
    </w:p>
    <w:p>
      <w:pPr>
        <w:rPr>
          <w:rFonts w:hint="eastAsia"/>
          <w:lang w:val="en-US" w:eastAsia="zh-Hans"/>
        </w:rPr>
      </w:pPr>
      <w:r>
        <w:rPr>
          <w:rFonts w:hint="eastAsia"/>
          <w:lang w:val="en-US" w:eastAsia="zh-Hans"/>
        </w:rPr>
        <w:t>[9] Schipper.K.Commentry on earnings management[J].Accounting Horizons, 1989(12):91-102.</w:t>
      </w:r>
    </w:p>
    <w:p>
      <w:pPr>
        <w:rPr>
          <w:rFonts w:hint="eastAsia"/>
          <w:lang w:val="en-US" w:eastAsia="zh-Hans"/>
        </w:rPr>
      </w:pPr>
      <w:r>
        <w:rPr>
          <w:rFonts w:hint="eastAsia"/>
          <w:lang w:val="en-US" w:eastAsia="zh-Hans"/>
        </w:rPr>
        <w:t>[10]Sonali Hazarika, Jonathan M. Karpoff, Rajarishi Nahata. Internal corporate governance, CEO</w:t>
      </w:r>
      <w:r>
        <w:rPr>
          <w:rFonts w:hint="default"/>
          <w:lang w:eastAsia="zh-Hans"/>
        </w:rPr>
        <w:t xml:space="preserve"> </w:t>
      </w:r>
      <w:r>
        <w:rPr>
          <w:rFonts w:hint="eastAsia"/>
          <w:lang w:val="en-US" w:eastAsia="zh-Hans"/>
        </w:rPr>
        <w:t>turnover and earnings management[J]. Journal of Financial Economics, 2012, 104.</w:t>
      </w:r>
    </w:p>
    <w:p>
      <w:pPr>
        <w:rPr>
          <w:rFonts w:hint="eastAsia"/>
          <w:lang w:val="en-US" w:eastAsia="zh-Hans"/>
        </w:rPr>
      </w:pPr>
      <w:r>
        <w:rPr>
          <w:rFonts w:hint="eastAsia"/>
          <w:lang w:val="en-US" w:eastAsia="zh-Hans"/>
        </w:rPr>
        <w:t>[11]Tao-Hsien Dolly King and Charles E. Teague. Accelerated share repurchases: value creation</w:t>
      </w:r>
      <w:r>
        <w:rPr>
          <w:rFonts w:hint="default"/>
          <w:lang w:eastAsia="zh-Hans"/>
        </w:rPr>
        <w:t xml:space="preserve"> </w:t>
      </w:r>
      <w:r>
        <w:rPr>
          <w:rFonts w:hint="eastAsia"/>
          <w:lang w:val="en-US" w:eastAsia="zh-Hans"/>
        </w:rPr>
        <w:t>or extraction[J]. Review of Quantitative Finance and Accounting, 2021 : 1-46.</w:t>
      </w:r>
    </w:p>
    <w:p>
      <w:pPr>
        <w:rPr>
          <w:rFonts w:hint="eastAsia"/>
          <w:lang w:val="en-US" w:eastAsia="zh-Hans"/>
        </w:rPr>
      </w:pPr>
      <w:r>
        <w:rPr>
          <w:rFonts w:hint="eastAsia"/>
          <w:lang w:val="en-US" w:eastAsia="zh-Hans"/>
        </w:rPr>
        <w:t>[12]Yuehua XU, Lin Zhang, Honghui Chen.Board age and corporate financial fraud: An</w:t>
      </w:r>
      <w:r>
        <w:rPr>
          <w:rFonts w:hint="default"/>
          <w:lang w:eastAsia="zh-Hans"/>
        </w:rPr>
        <w:t xml:space="preserve"> </w:t>
      </w:r>
      <w:r>
        <w:rPr>
          <w:rFonts w:hint="eastAsia"/>
          <w:lang w:val="en-US" w:eastAsia="zh-Hans"/>
        </w:rPr>
        <w:t>interactionist view[J].Long Range Planning, 2017(6):1-16.</w:t>
      </w:r>
    </w:p>
    <w:p>
      <w:pPr>
        <w:rPr>
          <w:rFonts w:hint="eastAsia"/>
          <w:lang w:val="en-US" w:eastAsia="zh-Hans"/>
        </w:rPr>
      </w:pPr>
      <w:r>
        <w:rPr>
          <w:rFonts w:hint="eastAsia"/>
          <w:lang w:val="en-US" w:eastAsia="zh-Hans"/>
        </w:rPr>
        <w:t>[13]Zhibo Wang and Hongming Xu and Kai Zhang. Is Available-For-Sale Financial Assets an</w:t>
      </w:r>
      <w:r>
        <w:rPr>
          <w:rFonts w:hint="default"/>
          <w:lang w:eastAsia="zh-Hans"/>
        </w:rPr>
        <w:t xml:space="preserve"> </w:t>
      </w:r>
      <w:r>
        <w:rPr>
          <w:rFonts w:hint="eastAsia"/>
          <w:lang w:val="en-US" w:eastAsia="zh-Hans"/>
        </w:rPr>
        <w:t>Instrument for Earnings Management? Evidence from China’s A-Share Listed Companies[J].Journal of Social Science and Humanities, 2021, 3(2): 131.</w:t>
      </w:r>
    </w:p>
    <w:p>
      <w:pPr>
        <w:rPr>
          <w:rFonts w:hint="eastAsia"/>
          <w:lang w:val="en-US" w:eastAsia="zh-Hans"/>
        </w:rPr>
      </w:pPr>
      <w:r>
        <w:rPr>
          <w:rFonts w:hint="eastAsia"/>
          <w:lang w:val="en-US" w:eastAsia="zh-Hans"/>
        </w:rPr>
        <w:t>[14] Chen Bin, Tan Jiahui. Research on the Impact of Executive Team Internal Governance on Audit expenses [J]. Friends of Accounting,2021(22):120-128.</w:t>
      </w:r>
    </w:p>
    <w:p>
      <w:pPr>
        <w:rPr>
          <w:rFonts w:hint="eastAsia"/>
          <w:lang w:val="en-US" w:eastAsia="zh-Hans"/>
        </w:rPr>
      </w:pPr>
      <w:r>
        <w:rPr>
          <w:rFonts w:hint="eastAsia"/>
          <w:lang w:val="en-US" w:eastAsia="zh-Hans"/>
        </w:rPr>
        <w:t>[15] Cheng Zhigang. Tax collection, Related Transaction and real earnings Management [J]. Finance and Accounting Communication,2021(19):71-75. (in Chinese)</w:t>
      </w:r>
    </w:p>
    <w:p>
      <w:pPr>
        <w:rPr>
          <w:rFonts w:hint="eastAsia"/>
          <w:lang w:val="en-US" w:eastAsia="zh-Hans"/>
        </w:rPr>
      </w:pPr>
      <w:r>
        <w:rPr>
          <w:rFonts w:hint="eastAsia"/>
          <w:lang w:val="en-US" w:eastAsia="zh-Hans"/>
        </w:rPr>
        <w:t>[16] Cao Zhipeng, Zhang Kaili, Zhao Bingda. Environmental Uncertainty, Internal Control and Auditor Decision: from the perspective of Audit Cost and Audit Opinion [J]. Friends of Accounting,2022(02):144-151.</w:t>
      </w:r>
    </w:p>
    <w:p>
      <w:pPr>
        <w:rPr>
          <w:rFonts w:hint="eastAsia"/>
          <w:lang w:val="en-US" w:eastAsia="zh-Hans"/>
        </w:rPr>
      </w:pPr>
      <w:r>
        <w:rPr>
          <w:rFonts w:hint="eastAsia"/>
          <w:lang w:val="en-US" w:eastAsia="zh-Hans"/>
        </w:rPr>
        <w:t>[17] Ding Fangfei, Chen Zhiyu, Li Su, et al. Disclosure of key audit items and non-opportunistic earnings Management: Based on the perspective of two earnings management methods [J]. Audit &amp; Economic Research, 201,36(05):35-46.</w:t>
      </w:r>
    </w:p>
    <w:p>
      <w:pPr>
        <w:rPr>
          <w:rFonts w:hint="eastAsia"/>
          <w:lang w:val="en-US" w:eastAsia="zh-Hans"/>
        </w:rPr>
      </w:pPr>
      <w:r>
        <w:rPr>
          <w:rFonts w:hint="eastAsia"/>
          <w:lang w:val="en-US" w:eastAsia="zh-Hans"/>
        </w:rPr>
        <w:t>[18] Ge Ge, Xiao Xiang, Liao Tiantu. The Influence of Internal Control Quality on Earnings Management: The Mediating Effect Based on Corporate Social Responsibility [J]. Journal of Finance and Accounting,2021(23):50-57.</w:t>
      </w:r>
    </w:p>
    <w:p>
      <w:pPr>
        <w:rPr>
          <w:rFonts w:hint="eastAsia"/>
          <w:lang w:val="en-US" w:eastAsia="zh-Hans"/>
        </w:rPr>
      </w:pPr>
      <w:r>
        <w:rPr>
          <w:rFonts w:hint="eastAsia"/>
          <w:lang w:val="en-US" w:eastAsia="zh-Hans"/>
        </w:rPr>
        <w:t>[19] GAO Liu. Research on Financial Fraud in overseas business of Domestic Listed companies -- Based on the case of Yabite [J]. China Certified Public Accountants,2020(10):122-125.</w:t>
      </w:r>
    </w:p>
    <w:p>
      <w:pPr>
        <w:rPr>
          <w:rFonts w:hint="eastAsia"/>
          <w:lang w:val="en-US" w:eastAsia="zh-Hans"/>
        </w:rPr>
      </w:pPr>
      <w:r>
        <w:rPr>
          <w:rFonts w:hint="eastAsia"/>
          <w:lang w:val="en-US" w:eastAsia="zh-Hans"/>
        </w:rPr>
        <w:t>[20] GUI Ping, Wang Ting. Executive change, Internal control quality and corporate financial fraud [J]. Finance and Accounting Monthly,2018(10):62-68.</w:t>
      </w:r>
    </w:p>
    <w:p>
      <w:pPr>
        <w:rPr>
          <w:rFonts w:hint="eastAsia"/>
          <w:lang w:val="en-US" w:eastAsia="zh-Hans"/>
        </w:rPr>
      </w:pPr>
      <w:r>
        <w:rPr>
          <w:rFonts w:hint="eastAsia"/>
          <w:lang w:val="en-US" w:eastAsia="zh-Hans"/>
        </w:rPr>
        <w:t>[21] Huang Shizhong. Analysis on the extended problem of financial fraud in Kangmei Pharmaceutical [J]. Finance and Accounting Monthly,2019(17):3-6+178.</w:t>
      </w:r>
    </w:p>
    <w:p>
      <w:pPr>
        <w:rPr>
          <w:rFonts w:hint="eastAsia"/>
          <w:lang w:val="en-US" w:eastAsia="zh-Hans"/>
        </w:rPr>
      </w:pPr>
      <w:r>
        <w:rPr>
          <w:rFonts w:hint="eastAsia"/>
          <w:lang w:val="en-US" w:eastAsia="zh-Hans"/>
        </w:rPr>
        <w:t>[22] Huang Shizhong, Ye Qinhua, Xu Shan et al. Analysis of Financial Fraud in Chinese Listed Companies from 2010 to 2019 [J]. Journal of Finance and Accounting,2020(14):153-160.</w:t>
      </w:r>
    </w:p>
    <w:p>
      <w:pPr>
        <w:rPr>
          <w:rFonts w:hint="eastAsia"/>
          <w:lang w:val="en-US" w:eastAsia="zh-Hans"/>
        </w:rPr>
      </w:pPr>
      <w:r>
        <w:rPr>
          <w:rFonts w:hint="eastAsia"/>
          <w:lang w:val="en-US" w:eastAsia="zh-Hans"/>
        </w:rPr>
        <w:t>[23] Li Ye. Earnings Management Motivation and prevention Strategy [J]. Marketing,2021(18):149-150.</w:t>
      </w:r>
    </w:p>
    <w:p>
      <w:pPr>
        <w:rPr>
          <w:rFonts w:hint="eastAsia"/>
          <w:lang w:val="en-US" w:eastAsia="zh-Hans"/>
        </w:rPr>
      </w:pPr>
      <w:r>
        <w:rPr>
          <w:rFonts w:hint="eastAsia"/>
          <w:lang w:val="en-US" w:eastAsia="zh-Hans"/>
        </w:rPr>
        <w:t>[24] Liu Youmeng. Internal control defects and corporate financial crisis [J]. Finance and Accounting Communication,2021(04):142-145.</w:t>
      </w:r>
    </w:p>
    <w:p>
      <w:pPr>
        <w:rPr>
          <w:rFonts w:hint="eastAsia"/>
          <w:lang w:val="en-US" w:eastAsia="zh-Hans"/>
        </w:rPr>
      </w:pPr>
      <w:r>
        <w:rPr>
          <w:rFonts w:hint="eastAsia"/>
          <w:lang w:val="en-US" w:eastAsia="zh-Hans"/>
        </w:rPr>
        <w:t>[25] Meng Yan, Zhang Xiumei. Research on the relationship between earnings management of Related party Transactions and interest transfer of Related Party of Listed Companies [J]. Accounting Research,2006(04):37-43+94.</w:t>
      </w:r>
    </w:p>
    <w:p>
      <w:pPr>
        <w:rPr>
          <w:rFonts w:hint="eastAsia"/>
          <w:lang w:val="en-US" w:eastAsia="zh-Hans"/>
        </w:rPr>
      </w:pPr>
      <w:r>
        <w:rPr>
          <w:rFonts w:hint="eastAsia"/>
          <w:lang w:val="en-US" w:eastAsia="zh-Hans"/>
        </w:rPr>
        <w:t>[26] Nan Xingheng, Tian Jing. Can CEO Academic Experience inhibit real earnings management? [J]. Caihui Communications,2022(06):29-33+61.</w:t>
      </w:r>
    </w:p>
    <w:p>
      <w:pPr>
        <w:rPr>
          <w:rFonts w:hint="eastAsia"/>
          <w:lang w:val="en-US" w:eastAsia="zh-Hans"/>
        </w:rPr>
      </w:pPr>
      <w:r>
        <w:rPr>
          <w:rFonts w:hint="eastAsia"/>
          <w:lang w:val="en-US" w:eastAsia="zh-Hans"/>
        </w:rPr>
        <w:t>[29] Niu Y X, Gong Z X. Research on the exposed problems and countermeasures of Yabet's financial fraud [J]. Finance and Accounting,2019(04):36-39.</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480"/>
      </w:pPr>
      <w:r>
        <w:separator/>
      </w:r>
    </w:p>
  </w:endnote>
  <w:endnote w:type="continuationSeparator" w:id="1">
    <w:p>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906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ind w:firstLine="480"/>
      </w:pPr>
      <w:r>
        <w:separator/>
      </w:r>
    </w:p>
  </w:footnote>
  <w:footnote w:type="continuationSeparator" w:id="1">
    <w:p>
      <w:pPr>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FF7D9E"/>
    <w:multiLevelType w:val="singleLevel"/>
    <w:tmpl w:val="E7FF7D9E"/>
    <w:lvl w:ilvl="0" w:tentative="0">
      <w:start w:val="4"/>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EEAE116"/>
    <w:rsid w:val="7FFF6CED"/>
    <w:rsid w:val="CEEAE116"/>
    <w:rsid w:val="E7BFA497"/>
    <w:rsid w:val="F8CF6BB7"/>
    <w:rsid w:val="FAF67603"/>
    <w:rsid w:val="FFAD414F"/>
    <w:rsid w:val="FFFD79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djustRightInd w:val="0"/>
      <w:snapToGrid w:val="0"/>
      <w:ind w:firstLine="880" w:firstLineChars="200"/>
      <w:jc w:val="both"/>
    </w:pPr>
    <w:rPr>
      <w:rFonts w:eastAsia="宋体" w:asciiTheme="minorAscii" w:hAnsi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8">
    <w:name w:val="p2"/>
    <w:basedOn w:val="1"/>
    <w:uiPriority w:val="0"/>
    <w:pPr>
      <w:spacing w:before="0" w:beforeAutospacing="0" w:after="0" w:afterAutospacing="0"/>
      <w:ind w:left="0" w:right="0"/>
      <w:jc w:val="left"/>
    </w:pPr>
    <w:rPr>
      <w:rFonts w:ascii="pingfang sc" w:hAnsi="pingfang sc" w:eastAsia="pingfang sc" w:cs="pingfang sc"/>
      <w:kern w:val="0"/>
      <w:sz w:val="26"/>
      <w:szCs w:val="26"/>
      <w:lang w:val="en-US" w:eastAsia="zh-CN" w:bidi="ar"/>
    </w:rPr>
  </w:style>
  <w:style w:type="paragraph" w:customStyle="1" w:styleId="9">
    <w:name w:val="p1"/>
    <w:basedOn w:val="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2023-03-21T04:14:00Z</dcterms:created>
  <dc:creator>WPS_1644924148</dc:creator>
  <cp:lastModifiedBy>WPS_1644924148</cp:lastModifiedBy>
  <dcterms:modified xsi:type="dcterms:W3CDTF">2023-03-30T01:11:48Z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82E5D5683DB73E66547124641FD93F3F_43</vt:lpwstr>
  </property>
</Properties>
</file>