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F714B" w14:textId="77777777" w:rsidR="00573D1F" w:rsidRDefault="00573D1F" w:rsidP="00573D1F">
      <w:pPr>
        <w:spacing w:line="360" w:lineRule="auto"/>
        <w:jc w:val="center"/>
        <w:rPr>
          <w:rFonts w:ascii="Arial" w:eastAsia="Times New Roman" w:hAnsi="Arial" w:cs="Arial"/>
          <w:b/>
          <w:bCs/>
          <w:i/>
          <w:iCs/>
          <w:kern w:val="0"/>
          <w:sz w:val="28"/>
          <w:szCs w:val="28"/>
          <w14:ligatures w14:val="none"/>
        </w:rPr>
      </w:pPr>
    </w:p>
    <w:p w14:paraId="22C7A1D1" w14:textId="4424D167" w:rsidR="00573D1F" w:rsidRDefault="00573D1F" w:rsidP="00573D1F">
      <w:pPr>
        <w:spacing w:line="360" w:lineRule="auto"/>
        <w:jc w:val="center"/>
        <w:rPr>
          <w:rFonts w:ascii="Arial" w:eastAsia="Times New Roman" w:hAnsi="Arial" w:cs="Arial"/>
          <w:b/>
          <w:bCs/>
          <w:i/>
          <w:iCs/>
          <w:kern w:val="0"/>
          <w:sz w:val="28"/>
          <w:szCs w:val="28"/>
          <w14:ligatures w14:val="none"/>
        </w:rPr>
      </w:pPr>
    </w:p>
    <w:p w14:paraId="53824325" w14:textId="77777777" w:rsidR="000716AE" w:rsidRDefault="000716AE" w:rsidP="00573D1F">
      <w:pPr>
        <w:spacing w:line="360" w:lineRule="auto"/>
        <w:jc w:val="center"/>
        <w:rPr>
          <w:rFonts w:ascii="Arial" w:eastAsia="Times New Roman" w:hAnsi="Arial" w:cs="Arial"/>
          <w:b/>
          <w:bCs/>
          <w:i/>
          <w:iCs/>
          <w:kern w:val="0"/>
          <w:sz w:val="28"/>
          <w:szCs w:val="28"/>
          <w14:ligatures w14:val="none"/>
        </w:rPr>
      </w:pPr>
    </w:p>
    <w:p w14:paraId="0B71E0ED" w14:textId="77777777" w:rsidR="00573D1F" w:rsidRDefault="00573D1F" w:rsidP="00573D1F">
      <w:pPr>
        <w:spacing w:line="360" w:lineRule="auto"/>
        <w:jc w:val="center"/>
        <w:rPr>
          <w:rFonts w:ascii="Arial" w:eastAsia="Times New Roman" w:hAnsi="Arial" w:cs="Arial"/>
          <w:b/>
          <w:bCs/>
          <w:i/>
          <w:iCs/>
          <w:kern w:val="0"/>
          <w:sz w:val="28"/>
          <w:szCs w:val="28"/>
          <w14:ligatures w14:val="none"/>
        </w:rPr>
      </w:pPr>
    </w:p>
    <w:p w14:paraId="56F3273B" w14:textId="77777777" w:rsidR="00573D1F" w:rsidRPr="000716AE" w:rsidRDefault="00573D1F" w:rsidP="00573D1F">
      <w:pPr>
        <w:spacing w:line="360" w:lineRule="auto"/>
        <w:jc w:val="center"/>
        <w:rPr>
          <w:rFonts w:ascii="Arial" w:eastAsia="Times New Roman" w:hAnsi="Arial" w:cs="Arial"/>
          <w:b/>
          <w:bCs/>
          <w:i/>
          <w:iCs/>
          <w:kern w:val="0"/>
          <w:sz w:val="36"/>
          <w:szCs w:val="36"/>
          <w14:ligatures w14:val="none"/>
        </w:rPr>
      </w:pPr>
    </w:p>
    <w:p w14:paraId="66433260" w14:textId="5F97A072" w:rsidR="00573D1F" w:rsidRPr="000716AE" w:rsidRDefault="00573D1F" w:rsidP="00573D1F">
      <w:pPr>
        <w:spacing w:line="360" w:lineRule="auto"/>
        <w:jc w:val="center"/>
        <w:rPr>
          <w:rFonts w:ascii="Arial" w:eastAsia="Times New Roman" w:hAnsi="Arial" w:cs="Arial"/>
          <w:b/>
          <w:bCs/>
          <w:i/>
          <w:iCs/>
          <w:kern w:val="0"/>
          <w:sz w:val="36"/>
          <w:szCs w:val="36"/>
          <w14:ligatures w14:val="none"/>
        </w:rPr>
      </w:pPr>
      <w:r w:rsidRPr="000716AE">
        <w:rPr>
          <w:rFonts w:ascii="Arial" w:eastAsia="Times New Roman" w:hAnsi="Arial" w:cs="Arial"/>
          <w:b/>
          <w:bCs/>
          <w:i/>
          <w:iCs/>
          <w:kern w:val="0"/>
          <w:sz w:val="36"/>
          <w:szCs w:val="36"/>
          <w14:ligatures w14:val="none"/>
        </w:rPr>
        <w:t>Name : Rizwana Begum</w:t>
      </w:r>
    </w:p>
    <w:p w14:paraId="3AF06F8E" w14:textId="77777777" w:rsidR="00573D1F" w:rsidRPr="000716AE" w:rsidRDefault="00573D1F" w:rsidP="00573D1F">
      <w:pPr>
        <w:spacing w:line="360" w:lineRule="auto"/>
        <w:jc w:val="center"/>
        <w:rPr>
          <w:rFonts w:ascii="Arial" w:eastAsia="Times New Roman" w:hAnsi="Arial" w:cs="Arial"/>
          <w:b/>
          <w:bCs/>
          <w:i/>
          <w:iCs/>
          <w:kern w:val="0"/>
          <w:sz w:val="36"/>
          <w:szCs w:val="36"/>
          <w14:ligatures w14:val="none"/>
        </w:rPr>
      </w:pPr>
      <w:r w:rsidRPr="000716AE">
        <w:rPr>
          <w:rFonts w:ascii="Arial" w:eastAsia="Times New Roman" w:hAnsi="Arial" w:cs="Arial"/>
          <w:b/>
          <w:bCs/>
          <w:i/>
          <w:iCs/>
          <w:kern w:val="0"/>
          <w:sz w:val="36"/>
          <w:szCs w:val="36"/>
          <w14:ligatures w14:val="none"/>
        </w:rPr>
        <w:t>Student Number : 2212659</w:t>
      </w:r>
    </w:p>
    <w:p w14:paraId="34F47CE5" w14:textId="77777777" w:rsidR="00573D1F" w:rsidRPr="000716AE" w:rsidRDefault="00573D1F" w:rsidP="00573D1F">
      <w:pPr>
        <w:spacing w:line="360" w:lineRule="auto"/>
        <w:jc w:val="center"/>
        <w:rPr>
          <w:rFonts w:ascii="Arial" w:eastAsia="Times New Roman" w:hAnsi="Arial" w:cs="Arial"/>
          <w:b/>
          <w:bCs/>
          <w:i/>
          <w:iCs/>
          <w:kern w:val="0"/>
          <w:sz w:val="36"/>
          <w:szCs w:val="36"/>
          <w14:ligatures w14:val="none"/>
        </w:rPr>
      </w:pPr>
      <w:r w:rsidRPr="000716AE">
        <w:rPr>
          <w:rFonts w:ascii="Arial" w:eastAsia="Times New Roman" w:hAnsi="Arial" w:cs="Arial"/>
          <w:b/>
          <w:bCs/>
          <w:i/>
          <w:iCs/>
          <w:kern w:val="0"/>
          <w:sz w:val="36"/>
          <w:szCs w:val="36"/>
          <w14:ligatures w14:val="none"/>
        </w:rPr>
        <w:t>Module code : BMHP6030</w:t>
      </w:r>
    </w:p>
    <w:p w14:paraId="7268A5A9" w14:textId="51941FD8" w:rsidR="0070387C" w:rsidRPr="000716AE" w:rsidRDefault="00573D1F" w:rsidP="00573D1F">
      <w:pPr>
        <w:spacing w:line="360" w:lineRule="auto"/>
        <w:jc w:val="center"/>
        <w:rPr>
          <w:rFonts w:ascii="Arial" w:eastAsia="Times New Roman" w:hAnsi="Arial" w:cs="Arial"/>
          <w:b/>
          <w:bCs/>
          <w:i/>
          <w:iCs/>
          <w:kern w:val="0"/>
          <w:sz w:val="36"/>
          <w:szCs w:val="36"/>
          <w14:ligatures w14:val="none"/>
        </w:rPr>
      </w:pPr>
      <w:r w:rsidRPr="000716AE">
        <w:rPr>
          <w:rFonts w:ascii="Arial" w:eastAsia="Times New Roman" w:hAnsi="Arial" w:cs="Arial"/>
          <w:b/>
          <w:bCs/>
          <w:i/>
          <w:iCs/>
          <w:kern w:val="0"/>
          <w:sz w:val="36"/>
          <w:szCs w:val="36"/>
          <w14:ligatures w14:val="none"/>
        </w:rPr>
        <w:t xml:space="preserve">Lecturer name : </w:t>
      </w:r>
      <w:r w:rsidRPr="000716AE">
        <w:rPr>
          <w:rFonts w:ascii="Arial" w:eastAsia="Times New Roman" w:hAnsi="Arial" w:cs="Arial"/>
          <w:b/>
          <w:bCs/>
          <w:i/>
          <w:iCs/>
          <w:kern w:val="0"/>
          <w:sz w:val="36"/>
          <w:szCs w:val="36"/>
          <w:lang w:val="en-US"/>
          <w14:ligatures w14:val="none"/>
        </w:rPr>
        <w:t>P</w:t>
      </w:r>
      <w:r w:rsidRPr="000716AE">
        <w:rPr>
          <w:rFonts w:ascii="Arial" w:eastAsia="Times New Roman" w:hAnsi="Arial" w:cs="Arial"/>
          <w:b/>
          <w:bCs/>
          <w:i/>
          <w:iCs/>
          <w:kern w:val="0"/>
          <w:sz w:val="36"/>
          <w:szCs w:val="36"/>
          <w14:ligatures w14:val="none"/>
        </w:rPr>
        <w:t>arese Ahmed</w:t>
      </w:r>
    </w:p>
    <w:p w14:paraId="1FDE4763" w14:textId="2D655258" w:rsidR="00573D1F" w:rsidRPr="00573D1F" w:rsidRDefault="00573D1F" w:rsidP="00573D1F">
      <w:pPr>
        <w:spacing w:line="360" w:lineRule="auto"/>
        <w:jc w:val="center"/>
        <w:rPr>
          <w:rFonts w:ascii="Arial" w:eastAsia="Times New Roman" w:hAnsi="Arial" w:cs="Arial"/>
          <w:b/>
          <w:bCs/>
          <w:i/>
          <w:iCs/>
          <w:kern w:val="0"/>
          <w:sz w:val="28"/>
          <w:szCs w:val="28"/>
          <w14:ligatures w14:val="none"/>
        </w:rPr>
      </w:pPr>
    </w:p>
    <w:p w14:paraId="2314C859" w14:textId="6F56B1A8" w:rsidR="00573D1F" w:rsidRDefault="00573D1F" w:rsidP="00573D1F">
      <w:pPr>
        <w:spacing w:line="360" w:lineRule="auto"/>
        <w:jc w:val="both"/>
        <w:rPr>
          <w:rFonts w:ascii="Arial" w:eastAsia="Times New Roman" w:hAnsi="Arial" w:cs="Arial"/>
          <w:b/>
          <w:bCs/>
          <w:i/>
          <w:iCs/>
          <w:kern w:val="0"/>
          <w14:ligatures w14:val="none"/>
        </w:rPr>
      </w:pPr>
    </w:p>
    <w:p w14:paraId="6BEA6421" w14:textId="1A10279F" w:rsidR="00573D1F" w:rsidRDefault="00573D1F" w:rsidP="00573D1F">
      <w:pPr>
        <w:spacing w:line="360" w:lineRule="auto"/>
        <w:jc w:val="both"/>
        <w:rPr>
          <w:rFonts w:ascii="Arial" w:eastAsia="Times New Roman" w:hAnsi="Arial" w:cs="Arial"/>
          <w:b/>
          <w:bCs/>
          <w:i/>
          <w:iCs/>
          <w:kern w:val="0"/>
          <w14:ligatures w14:val="none"/>
        </w:rPr>
      </w:pPr>
    </w:p>
    <w:p w14:paraId="78CCCC4F" w14:textId="63C6F2D3" w:rsidR="00573D1F" w:rsidRDefault="00573D1F" w:rsidP="00573D1F">
      <w:pPr>
        <w:spacing w:line="360" w:lineRule="auto"/>
        <w:jc w:val="both"/>
        <w:rPr>
          <w:rFonts w:ascii="Arial" w:eastAsia="Times New Roman" w:hAnsi="Arial" w:cs="Arial"/>
          <w:b/>
          <w:bCs/>
          <w:i/>
          <w:iCs/>
          <w:kern w:val="0"/>
          <w14:ligatures w14:val="none"/>
        </w:rPr>
      </w:pPr>
    </w:p>
    <w:p w14:paraId="625E79DE" w14:textId="5D762518" w:rsidR="00573D1F" w:rsidRDefault="00573D1F" w:rsidP="00573D1F">
      <w:pPr>
        <w:spacing w:line="360" w:lineRule="auto"/>
        <w:jc w:val="both"/>
        <w:rPr>
          <w:rFonts w:ascii="Arial" w:eastAsia="Times New Roman" w:hAnsi="Arial" w:cs="Arial"/>
          <w:b/>
          <w:bCs/>
          <w:i/>
          <w:iCs/>
          <w:kern w:val="0"/>
          <w14:ligatures w14:val="none"/>
        </w:rPr>
      </w:pPr>
    </w:p>
    <w:p w14:paraId="1879F5B1" w14:textId="601D84C0" w:rsidR="00573D1F" w:rsidRDefault="00573D1F" w:rsidP="00573D1F">
      <w:pPr>
        <w:spacing w:line="360" w:lineRule="auto"/>
        <w:jc w:val="both"/>
        <w:rPr>
          <w:rFonts w:ascii="Arial" w:eastAsia="Times New Roman" w:hAnsi="Arial" w:cs="Arial"/>
          <w:b/>
          <w:bCs/>
          <w:i/>
          <w:iCs/>
          <w:kern w:val="0"/>
          <w14:ligatures w14:val="none"/>
        </w:rPr>
      </w:pPr>
    </w:p>
    <w:p w14:paraId="677AB2FB" w14:textId="69314356" w:rsidR="000716AE" w:rsidRDefault="000716AE" w:rsidP="00573D1F">
      <w:pPr>
        <w:spacing w:line="360" w:lineRule="auto"/>
        <w:jc w:val="both"/>
        <w:rPr>
          <w:rFonts w:ascii="Arial" w:eastAsia="Times New Roman" w:hAnsi="Arial" w:cs="Arial"/>
          <w:b/>
          <w:bCs/>
          <w:i/>
          <w:iCs/>
          <w:kern w:val="0"/>
          <w14:ligatures w14:val="none"/>
        </w:rPr>
      </w:pPr>
    </w:p>
    <w:p w14:paraId="21F1399F" w14:textId="3E3C5A82" w:rsidR="000716AE" w:rsidRDefault="000716AE" w:rsidP="00573D1F">
      <w:pPr>
        <w:spacing w:line="360" w:lineRule="auto"/>
        <w:jc w:val="both"/>
        <w:rPr>
          <w:rFonts w:ascii="Arial" w:eastAsia="Times New Roman" w:hAnsi="Arial" w:cs="Arial"/>
          <w:b/>
          <w:bCs/>
          <w:i/>
          <w:iCs/>
          <w:kern w:val="0"/>
          <w14:ligatures w14:val="none"/>
        </w:rPr>
      </w:pPr>
    </w:p>
    <w:p w14:paraId="2C690D96" w14:textId="553AFD98" w:rsidR="000716AE" w:rsidRDefault="000716AE" w:rsidP="00573D1F">
      <w:pPr>
        <w:spacing w:line="360" w:lineRule="auto"/>
        <w:jc w:val="both"/>
        <w:rPr>
          <w:rFonts w:ascii="Arial" w:eastAsia="Times New Roman" w:hAnsi="Arial" w:cs="Arial"/>
          <w:b/>
          <w:bCs/>
          <w:i/>
          <w:iCs/>
          <w:kern w:val="0"/>
          <w14:ligatures w14:val="none"/>
        </w:rPr>
      </w:pPr>
    </w:p>
    <w:p w14:paraId="531FA2B5" w14:textId="7FB1E892" w:rsidR="000716AE" w:rsidRDefault="000716AE" w:rsidP="00573D1F">
      <w:pPr>
        <w:spacing w:line="360" w:lineRule="auto"/>
        <w:jc w:val="both"/>
        <w:rPr>
          <w:rFonts w:ascii="Arial" w:eastAsia="Times New Roman" w:hAnsi="Arial" w:cs="Arial"/>
          <w:b/>
          <w:bCs/>
          <w:i/>
          <w:iCs/>
          <w:kern w:val="0"/>
          <w14:ligatures w14:val="none"/>
        </w:rPr>
      </w:pPr>
    </w:p>
    <w:p w14:paraId="67341BAD" w14:textId="5516B8C1" w:rsidR="000716AE" w:rsidRDefault="000716AE" w:rsidP="00573D1F">
      <w:pPr>
        <w:spacing w:line="360" w:lineRule="auto"/>
        <w:jc w:val="both"/>
        <w:rPr>
          <w:rFonts w:ascii="Arial" w:eastAsia="Times New Roman" w:hAnsi="Arial" w:cs="Arial"/>
          <w:b/>
          <w:bCs/>
          <w:i/>
          <w:iCs/>
          <w:kern w:val="0"/>
          <w14:ligatures w14:val="none"/>
        </w:rPr>
      </w:pPr>
    </w:p>
    <w:p w14:paraId="63BA9615" w14:textId="081C98E5" w:rsidR="000716AE" w:rsidRDefault="000716AE" w:rsidP="00573D1F">
      <w:pPr>
        <w:spacing w:line="360" w:lineRule="auto"/>
        <w:jc w:val="both"/>
        <w:rPr>
          <w:rFonts w:ascii="Arial" w:eastAsia="Times New Roman" w:hAnsi="Arial" w:cs="Arial"/>
          <w:b/>
          <w:bCs/>
          <w:i/>
          <w:iCs/>
          <w:kern w:val="0"/>
          <w14:ligatures w14:val="none"/>
        </w:rPr>
      </w:pPr>
    </w:p>
    <w:p w14:paraId="4C2246EF" w14:textId="5A080C13" w:rsidR="000716AE" w:rsidRDefault="000716AE" w:rsidP="00573D1F">
      <w:pPr>
        <w:spacing w:line="360" w:lineRule="auto"/>
        <w:jc w:val="both"/>
        <w:rPr>
          <w:rFonts w:ascii="Arial" w:eastAsia="Times New Roman" w:hAnsi="Arial" w:cs="Arial"/>
          <w:b/>
          <w:bCs/>
          <w:i/>
          <w:iCs/>
          <w:kern w:val="0"/>
          <w14:ligatures w14:val="none"/>
        </w:rPr>
      </w:pPr>
    </w:p>
    <w:p w14:paraId="01C41929" w14:textId="5B05EEB8" w:rsidR="000716AE" w:rsidRDefault="000716AE" w:rsidP="00573D1F">
      <w:pPr>
        <w:spacing w:line="360" w:lineRule="auto"/>
        <w:jc w:val="both"/>
        <w:rPr>
          <w:rFonts w:ascii="Arial" w:eastAsia="Times New Roman" w:hAnsi="Arial" w:cs="Arial"/>
          <w:b/>
          <w:bCs/>
          <w:i/>
          <w:iCs/>
          <w:kern w:val="0"/>
          <w14:ligatures w14:val="none"/>
        </w:rPr>
      </w:pPr>
    </w:p>
    <w:p w14:paraId="0DA3E4DD" w14:textId="638F987F" w:rsidR="000716AE" w:rsidRPr="000716AE" w:rsidRDefault="000716AE" w:rsidP="000716AE">
      <w:pPr>
        <w:spacing w:line="360" w:lineRule="auto"/>
        <w:jc w:val="center"/>
        <w:rPr>
          <w:rFonts w:ascii="Arial" w:eastAsia="Times New Roman" w:hAnsi="Arial" w:cs="Arial"/>
          <w:b/>
          <w:bCs/>
          <w:kern w:val="0"/>
          <w:sz w:val="32"/>
          <w:szCs w:val="32"/>
          <w14:ligatures w14:val="none"/>
        </w:rPr>
      </w:pPr>
    </w:p>
    <w:p w14:paraId="774FF753" w14:textId="77777777" w:rsidR="000716AE" w:rsidRPr="000716AE" w:rsidRDefault="000716AE" w:rsidP="000716AE">
      <w:pPr>
        <w:spacing w:line="240" w:lineRule="auto"/>
        <w:jc w:val="center"/>
        <w:rPr>
          <w:rFonts w:ascii="Arial" w:eastAsia="Times New Roman" w:hAnsi="Arial" w:cs="Arial"/>
          <w:b/>
          <w:bCs/>
          <w:kern w:val="0"/>
          <w:sz w:val="32"/>
          <w:szCs w:val="32"/>
          <w14:ligatures w14:val="none"/>
        </w:rPr>
      </w:pPr>
      <w:r w:rsidRPr="000716AE">
        <w:rPr>
          <w:rFonts w:ascii="Arial" w:eastAsia="Times New Roman" w:hAnsi="Arial" w:cs="Arial"/>
          <w:b/>
          <w:bCs/>
          <w:kern w:val="0"/>
          <w:sz w:val="32"/>
          <w:szCs w:val="32"/>
          <w14:ligatures w14:val="none"/>
        </w:rPr>
        <w:t>HEALTH, WELLBEING AND SUSTAINABILITY REPORT</w:t>
      </w:r>
    </w:p>
    <w:p w14:paraId="16DA3268" w14:textId="51D01267" w:rsidR="000716AE" w:rsidRPr="000716AE" w:rsidRDefault="000716AE" w:rsidP="000716AE">
      <w:pPr>
        <w:spacing w:line="360" w:lineRule="auto"/>
        <w:jc w:val="center"/>
        <w:rPr>
          <w:rFonts w:ascii="Arial" w:eastAsia="Times New Roman" w:hAnsi="Arial" w:cs="Arial"/>
          <w:b/>
          <w:bCs/>
          <w:kern w:val="0"/>
          <w:sz w:val="32"/>
          <w:szCs w:val="32"/>
          <w14:ligatures w14:val="none"/>
        </w:rPr>
      </w:pPr>
      <w:r w:rsidRPr="000716AE">
        <w:rPr>
          <w:rFonts w:ascii="Arial" w:eastAsia="Times New Roman" w:hAnsi="Arial" w:cs="Arial"/>
          <w:b/>
          <w:bCs/>
          <w:kern w:val="0"/>
          <w:sz w:val="32"/>
          <w:szCs w:val="32"/>
          <w14:ligatures w14:val="none"/>
        </w:rPr>
        <w:t>A CRITICAL EXAMINATION OF GLOBAL, NATIONAL AND LOCAL POLICIES AND INITIATIVES (UK AND BIRMINGHAM)</w:t>
      </w:r>
    </w:p>
    <w:p w14:paraId="7D715C84" w14:textId="00F72F97" w:rsidR="000716AE" w:rsidRDefault="000716AE" w:rsidP="00573D1F">
      <w:pPr>
        <w:spacing w:line="360" w:lineRule="auto"/>
        <w:jc w:val="both"/>
        <w:rPr>
          <w:rFonts w:ascii="Arial" w:eastAsia="Times New Roman" w:hAnsi="Arial" w:cs="Arial"/>
          <w:b/>
          <w:bCs/>
          <w:i/>
          <w:iCs/>
          <w:kern w:val="0"/>
          <w14:ligatures w14:val="none"/>
        </w:rPr>
      </w:pPr>
    </w:p>
    <w:p w14:paraId="25E95C3E" w14:textId="77777777" w:rsidR="000716AE" w:rsidRDefault="000716AE" w:rsidP="00573D1F">
      <w:pPr>
        <w:spacing w:line="360" w:lineRule="auto"/>
        <w:jc w:val="both"/>
        <w:rPr>
          <w:rFonts w:ascii="Arial" w:eastAsia="Times New Roman" w:hAnsi="Arial" w:cs="Arial"/>
          <w:b/>
          <w:bCs/>
          <w:i/>
          <w:iCs/>
          <w:kern w:val="0"/>
          <w14:ligatures w14:val="none"/>
        </w:rPr>
      </w:pPr>
    </w:p>
    <w:p w14:paraId="5BC9E4B1" w14:textId="63F6B210" w:rsidR="00573D1F" w:rsidRDefault="00573D1F" w:rsidP="00573D1F">
      <w:pPr>
        <w:spacing w:line="360" w:lineRule="auto"/>
        <w:jc w:val="both"/>
        <w:rPr>
          <w:rFonts w:ascii="Arial" w:eastAsia="Times New Roman" w:hAnsi="Arial" w:cs="Arial"/>
          <w:b/>
          <w:bCs/>
          <w:i/>
          <w:iCs/>
          <w:kern w:val="0"/>
          <w14:ligatures w14:val="none"/>
        </w:rPr>
      </w:pPr>
    </w:p>
    <w:p w14:paraId="0A19F711" w14:textId="21280631" w:rsidR="000716AE" w:rsidRDefault="000716AE" w:rsidP="00573D1F">
      <w:pPr>
        <w:spacing w:line="360" w:lineRule="auto"/>
        <w:jc w:val="both"/>
        <w:rPr>
          <w:rFonts w:ascii="Arial" w:eastAsia="Times New Roman" w:hAnsi="Arial" w:cs="Arial"/>
          <w:b/>
          <w:bCs/>
          <w:i/>
          <w:iCs/>
          <w:kern w:val="0"/>
          <w14:ligatures w14:val="none"/>
        </w:rPr>
      </w:pPr>
    </w:p>
    <w:p w14:paraId="1782566D" w14:textId="7E3A5827" w:rsidR="000716AE" w:rsidRDefault="000716AE" w:rsidP="00573D1F">
      <w:pPr>
        <w:spacing w:line="360" w:lineRule="auto"/>
        <w:jc w:val="both"/>
        <w:rPr>
          <w:rFonts w:ascii="Arial" w:eastAsia="Times New Roman" w:hAnsi="Arial" w:cs="Arial"/>
          <w:b/>
          <w:bCs/>
          <w:i/>
          <w:iCs/>
          <w:kern w:val="0"/>
          <w14:ligatures w14:val="none"/>
        </w:rPr>
      </w:pPr>
    </w:p>
    <w:p w14:paraId="1F54D817" w14:textId="14F2B104" w:rsidR="000716AE" w:rsidRDefault="000716AE" w:rsidP="00573D1F">
      <w:pPr>
        <w:spacing w:line="360" w:lineRule="auto"/>
        <w:jc w:val="both"/>
        <w:rPr>
          <w:rFonts w:ascii="Arial" w:eastAsia="Times New Roman" w:hAnsi="Arial" w:cs="Arial"/>
          <w:b/>
          <w:bCs/>
          <w:i/>
          <w:iCs/>
          <w:kern w:val="0"/>
          <w14:ligatures w14:val="none"/>
        </w:rPr>
      </w:pPr>
    </w:p>
    <w:p w14:paraId="3D7DA4F2" w14:textId="182D9E20" w:rsidR="000716AE" w:rsidRDefault="000716AE" w:rsidP="00573D1F">
      <w:pPr>
        <w:spacing w:line="360" w:lineRule="auto"/>
        <w:jc w:val="both"/>
        <w:rPr>
          <w:rFonts w:ascii="Arial" w:eastAsia="Times New Roman" w:hAnsi="Arial" w:cs="Arial"/>
          <w:b/>
          <w:bCs/>
          <w:i/>
          <w:iCs/>
          <w:kern w:val="0"/>
          <w14:ligatures w14:val="none"/>
        </w:rPr>
      </w:pPr>
    </w:p>
    <w:p w14:paraId="2917ECAC" w14:textId="15DF3B0F" w:rsidR="000716AE" w:rsidRDefault="000716AE" w:rsidP="00573D1F">
      <w:pPr>
        <w:spacing w:line="360" w:lineRule="auto"/>
        <w:jc w:val="both"/>
        <w:rPr>
          <w:rFonts w:ascii="Arial" w:eastAsia="Times New Roman" w:hAnsi="Arial" w:cs="Arial"/>
          <w:b/>
          <w:bCs/>
          <w:i/>
          <w:iCs/>
          <w:kern w:val="0"/>
          <w14:ligatures w14:val="none"/>
        </w:rPr>
      </w:pPr>
    </w:p>
    <w:p w14:paraId="2FE9673F" w14:textId="282AA997" w:rsidR="000716AE" w:rsidRDefault="000716AE" w:rsidP="00573D1F">
      <w:pPr>
        <w:spacing w:line="360" w:lineRule="auto"/>
        <w:jc w:val="both"/>
        <w:rPr>
          <w:rFonts w:ascii="Arial" w:eastAsia="Times New Roman" w:hAnsi="Arial" w:cs="Arial"/>
          <w:b/>
          <w:bCs/>
          <w:i/>
          <w:iCs/>
          <w:kern w:val="0"/>
          <w14:ligatures w14:val="none"/>
        </w:rPr>
      </w:pPr>
    </w:p>
    <w:p w14:paraId="07B8C732" w14:textId="56BE8BA0" w:rsidR="000716AE" w:rsidRDefault="000716AE" w:rsidP="00573D1F">
      <w:pPr>
        <w:spacing w:line="360" w:lineRule="auto"/>
        <w:jc w:val="both"/>
        <w:rPr>
          <w:rFonts w:ascii="Arial" w:eastAsia="Times New Roman" w:hAnsi="Arial" w:cs="Arial"/>
          <w:b/>
          <w:bCs/>
          <w:i/>
          <w:iCs/>
          <w:kern w:val="0"/>
          <w14:ligatures w14:val="none"/>
        </w:rPr>
      </w:pPr>
    </w:p>
    <w:p w14:paraId="66FF5762" w14:textId="6CC837C5" w:rsidR="000716AE" w:rsidRDefault="000716AE" w:rsidP="00573D1F">
      <w:pPr>
        <w:spacing w:line="360" w:lineRule="auto"/>
        <w:jc w:val="both"/>
        <w:rPr>
          <w:rFonts w:ascii="Arial" w:eastAsia="Times New Roman" w:hAnsi="Arial" w:cs="Arial"/>
          <w:b/>
          <w:bCs/>
          <w:i/>
          <w:iCs/>
          <w:kern w:val="0"/>
          <w14:ligatures w14:val="none"/>
        </w:rPr>
      </w:pPr>
    </w:p>
    <w:p w14:paraId="5810735B" w14:textId="0A264E64" w:rsidR="000716AE" w:rsidRDefault="000716AE" w:rsidP="00573D1F">
      <w:pPr>
        <w:spacing w:line="360" w:lineRule="auto"/>
        <w:jc w:val="both"/>
        <w:rPr>
          <w:rFonts w:ascii="Arial" w:eastAsia="Times New Roman" w:hAnsi="Arial" w:cs="Arial"/>
          <w:b/>
          <w:bCs/>
          <w:i/>
          <w:iCs/>
          <w:kern w:val="0"/>
          <w14:ligatures w14:val="none"/>
        </w:rPr>
      </w:pPr>
    </w:p>
    <w:p w14:paraId="7A9A0E1E" w14:textId="031C9328" w:rsidR="000716AE" w:rsidRDefault="000716AE" w:rsidP="00573D1F">
      <w:pPr>
        <w:spacing w:line="360" w:lineRule="auto"/>
        <w:jc w:val="both"/>
        <w:rPr>
          <w:rFonts w:ascii="Arial" w:eastAsia="Times New Roman" w:hAnsi="Arial" w:cs="Arial"/>
          <w:b/>
          <w:bCs/>
          <w:i/>
          <w:iCs/>
          <w:kern w:val="0"/>
          <w14:ligatures w14:val="none"/>
        </w:rPr>
      </w:pPr>
    </w:p>
    <w:p w14:paraId="69DF2788" w14:textId="30FC89D6" w:rsidR="000716AE" w:rsidRDefault="000716AE" w:rsidP="00573D1F">
      <w:pPr>
        <w:spacing w:line="360" w:lineRule="auto"/>
        <w:jc w:val="both"/>
        <w:rPr>
          <w:rFonts w:ascii="Arial" w:eastAsia="Times New Roman" w:hAnsi="Arial" w:cs="Arial"/>
          <w:b/>
          <w:bCs/>
          <w:i/>
          <w:iCs/>
          <w:kern w:val="0"/>
          <w14:ligatures w14:val="none"/>
        </w:rPr>
      </w:pPr>
    </w:p>
    <w:p w14:paraId="6340B320" w14:textId="77777777" w:rsidR="000716AE" w:rsidRDefault="000716AE" w:rsidP="00573D1F">
      <w:pPr>
        <w:spacing w:line="360" w:lineRule="auto"/>
        <w:jc w:val="both"/>
        <w:rPr>
          <w:rFonts w:ascii="Arial" w:eastAsia="Times New Roman" w:hAnsi="Arial" w:cs="Arial"/>
          <w:b/>
          <w:bCs/>
          <w:i/>
          <w:iCs/>
          <w:kern w:val="0"/>
          <w14:ligatures w14:val="none"/>
        </w:rPr>
      </w:pPr>
    </w:p>
    <w:p w14:paraId="0BD136BF" w14:textId="742DE3D2" w:rsidR="00573D1F" w:rsidRDefault="00573D1F" w:rsidP="00573D1F">
      <w:pPr>
        <w:spacing w:line="360" w:lineRule="auto"/>
        <w:jc w:val="both"/>
        <w:rPr>
          <w:rFonts w:ascii="Arial" w:eastAsia="Times New Roman" w:hAnsi="Arial" w:cs="Arial"/>
          <w:b/>
          <w:bCs/>
          <w:i/>
          <w:iCs/>
          <w:kern w:val="0"/>
          <w14:ligatures w14:val="none"/>
        </w:rPr>
      </w:pPr>
    </w:p>
    <w:p w14:paraId="1F89F676" w14:textId="0AC0DA6C" w:rsidR="00573D1F" w:rsidRDefault="00573D1F" w:rsidP="00573D1F">
      <w:pPr>
        <w:spacing w:line="360" w:lineRule="auto"/>
        <w:jc w:val="both"/>
        <w:rPr>
          <w:rFonts w:ascii="Arial" w:eastAsia="Times New Roman" w:hAnsi="Arial" w:cs="Arial"/>
          <w:b/>
          <w:bCs/>
          <w:i/>
          <w:iCs/>
          <w:kern w:val="0"/>
          <w14:ligatures w14:val="none"/>
        </w:rPr>
      </w:pPr>
    </w:p>
    <w:p w14:paraId="1A72C636" w14:textId="402AB92B" w:rsidR="00573D1F" w:rsidRPr="00573D1F" w:rsidRDefault="00573D1F" w:rsidP="00573D1F">
      <w:pPr>
        <w:spacing w:line="360" w:lineRule="auto"/>
        <w:jc w:val="both"/>
        <w:rPr>
          <w:rFonts w:ascii="Arial" w:eastAsia="Times New Roman" w:hAnsi="Arial" w:cs="Arial"/>
          <w:b/>
          <w:bCs/>
          <w:i/>
          <w:iCs/>
          <w:kern w:val="0"/>
          <w:lang w:val="en-US"/>
          <w14:ligatures w14:val="none"/>
        </w:rPr>
      </w:pPr>
    </w:p>
    <w:p w14:paraId="538D3321" w14:textId="77777777" w:rsidR="00573D1F" w:rsidRPr="0070387C" w:rsidRDefault="00573D1F" w:rsidP="00573D1F">
      <w:pPr>
        <w:spacing w:line="360" w:lineRule="auto"/>
        <w:jc w:val="both"/>
        <w:rPr>
          <w:rFonts w:ascii="Arial" w:eastAsia="Times New Roman" w:hAnsi="Arial" w:cs="Arial"/>
          <w:b/>
          <w:bCs/>
          <w:i/>
          <w:iCs/>
          <w:kern w:val="0"/>
          <w14:ligatures w14:val="none"/>
        </w:rPr>
      </w:pPr>
    </w:p>
    <w:sdt>
      <w:sdtPr>
        <w:rPr>
          <w:rFonts w:ascii="Arial" w:eastAsiaTheme="minorHAnsi" w:hAnsi="Arial" w:cs="Arial"/>
          <w:color w:val="auto"/>
          <w:kern w:val="2"/>
          <w:sz w:val="22"/>
          <w:szCs w:val="22"/>
          <w:lang w:val="en-GB"/>
          <w14:ligatures w14:val="standardContextual"/>
        </w:rPr>
        <w:id w:val="1045261729"/>
        <w:docPartObj>
          <w:docPartGallery w:val="Table of Contents"/>
          <w:docPartUnique/>
        </w:docPartObj>
      </w:sdtPr>
      <w:sdtEndPr>
        <w:rPr>
          <w:b/>
          <w:bCs/>
          <w:noProof/>
        </w:rPr>
      </w:sdtEndPr>
      <w:sdtContent>
        <w:p w14:paraId="4285A8CF" w14:textId="39AF8FA8" w:rsidR="0070387C" w:rsidRPr="0070387C" w:rsidRDefault="0070387C" w:rsidP="0070387C">
          <w:pPr>
            <w:pStyle w:val="TOCHeading"/>
            <w:spacing w:line="360" w:lineRule="auto"/>
            <w:jc w:val="both"/>
            <w:rPr>
              <w:rFonts w:ascii="Arial" w:hAnsi="Arial" w:cs="Arial"/>
              <w:sz w:val="22"/>
              <w:szCs w:val="22"/>
            </w:rPr>
          </w:pPr>
          <w:r w:rsidRPr="0070387C">
            <w:rPr>
              <w:rFonts w:ascii="Arial" w:hAnsi="Arial" w:cs="Arial"/>
              <w:sz w:val="22"/>
              <w:szCs w:val="22"/>
            </w:rPr>
            <w:t>Contents</w:t>
          </w:r>
        </w:p>
        <w:p w14:paraId="2C6B17B5" w14:textId="39C99EE6" w:rsidR="0070387C" w:rsidRPr="0070387C" w:rsidRDefault="0070387C" w:rsidP="0070387C">
          <w:pPr>
            <w:pStyle w:val="TOC1"/>
            <w:tabs>
              <w:tab w:val="right" w:leader="dot" w:pos="9350"/>
            </w:tabs>
            <w:spacing w:line="360" w:lineRule="auto"/>
            <w:jc w:val="both"/>
            <w:rPr>
              <w:rFonts w:ascii="Arial" w:eastAsiaTheme="minorEastAsia" w:hAnsi="Arial" w:cs="Arial"/>
              <w:noProof/>
              <w:kern w:val="0"/>
              <w14:ligatures w14:val="none"/>
            </w:rPr>
          </w:pPr>
          <w:r w:rsidRPr="0070387C">
            <w:rPr>
              <w:rFonts w:ascii="Arial" w:hAnsi="Arial" w:cs="Arial"/>
            </w:rPr>
            <w:fldChar w:fldCharType="begin"/>
          </w:r>
          <w:r w:rsidRPr="0070387C">
            <w:rPr>
              <w:rFonts w:ascii="Arial" w:hAnsi="Arial" w:cs="Arial"/>
            </w:rPr>
            <w:instrText xml:space="preserve"> TOC \o "1-3" \h \z \u </w:instrText>
          </w:r>
          <w:r w:rsidRPr="0070387C">
            <w:rPr>
              <w:rFonts w:ascii="Arial" w:hAnsi="Arial" w:cs="Arial"/>
            </w:rPr>
            <w:fldChar w:fldCharType="separate"/>
          </w:r>
          <w:hyperlink w:anchor="_Toc214149577" w:history="1">
            <w:r w:rsidRPr="0070387C">
              <w:rPr>
                <w:rStyle w:val="Hyperlink"/>
                <w:rFonts w:ascii="Arial" w:hAnsi="Arial" w:cs="Arial"/>
                <w:noProof/>
              </w:rPr>
              <w:t>1. Introduction</w:t>
            </w:r>
            <w:r w:rsidRPr="0070387C">
              <w:rPr>
                <w:rFonts w:ascii="Arial" w:hAnsi="Arial" w:cs="Arial"/>
                <w:noProof/>
                <w:webHidden/>
              </w:rPr>
              <w:tab/>
            </w:r>
            <w:r w:rsidRPr="0070387C">
              <w:rPr>
                <w:rFonts w:ascii="Arial" w:hAnsi="Arial" w:cs="Arial"/>
                <w:noProof/>
                <w:webHidden/>
              </w:rPr>
              <w:fldChar w:fldCharType="begin"/>
            </w:r>
            <w:r w:rsidRPr="0070387C">
              <w:rPr>
                <w:rFonts w:ascii="Arial" w:hAnsi="Arial" w:cs="Arial"/>
                <w:noProof/>
                <w:webHidden/>
              </w:rPr>
              <w:instrText xml:space="preserve"> PAGEREF _Toc214149577 \h </w:instrText>
            </w:r>
            <w:r w:rsidRPr="0070387C">
              <w:rPr>
                <w:rFonts w:ascii="Arial" w:hAnsi="Arial" w:cs="Arial"/>
                <w:noProof/>
                <w:webHidden/>
              </w:rPr>
            </w:r>
            <w:r w:rsidRPr="0070387C">
              <w:rPr>
                <w:rFonts w:ascii="Arial" w:hAnsi="Arial" w:cs="Arial"/>
                <w:noProof/>
                <w:webHidden/>
              </w:rPr>
              <w:fldChar w:fldCharType="separate"/>
            </w:r>
            <w:r w:rsidRPr="0070387C">
              <w:rPr>
                <w:rFonts w:ascii="Arial" w:hAnsi="Arial" w:cs="Arial"/>
                <w:noProof/>
                <w:webHidden/>
              </w:rPr>
              <w:t>3</w:t>
            </w:r>
            <w:r w:rsidRPr="0070387C">
              <w:rPr>
                <w:rFonts w:ascii="Arial" w:hAnsi="Arial" w:cs="Arial"/>
                <w:noProof/>
                <w:webHidden/>
              </w:rPr>
              <w:fldChar w:fldCharType="end"/>
            </w:r>
          </w:hyperlink>
        </w:p>
        <w:p w14:paraId="23794935" w14:textId="60690FDE" w:rsidR="0070387C" w:rsidRPr="0070387C" w:rsidRDefault="005119DA" w:rsidP="0070387C">
          <w:pPr>
            <w:pStyle w:val="TOC1"/>
            <w:tabs>
              <w:tab w:val="right" w:leader="dot" w:pos="9350"/>
            </w:tabs>
            <w:spacing w:line="360" w:lineRule="auto"/>
            <w:jc w:val="both"/>
            <w:rPr>
              <w:rFonts w:ascii="Arial" w:eastAsiaTheme="minorEastAsia" w:hAnsi="Arial" w:cs="Arial"/>
              <w:noProof/>
              <w:kern w:val="0"/>
              <w14:ligatures w14:val="none"/>
            </w:rPr>
          </w:pPr>
          <w:hyperlink w:anchor="_Toc214149578" w:history="1">
            <w:r w:rsidR="0070387C" w:rsidRPr="0070387C">
              <w:rPr>
                <w:rStyle w:val="Hyperlink"/>
                <w:rFonts w:ascii="Arial" w:hAnsi="Arial" w:cs="Arial"/>
                <w:noProof/>
              </w:rPr>
              <w:t>2. SDG 3 and SDG 13: Global Impact on Health and Wellbeing</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_Toc214149578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3</w:t>
            </w:r>
            <w:r w:rsidR="0070387C" w:rsidRPr="0070387C">
              <w:rPr>
                <w:rFonts w:ascii="Arial" w:hAnsi="Arial" w:cs="Arial"/>
                <w:noProof/>
                <w:webHidden/>
              </w:rPr>
              <w:fldChar w:fldCharType="end"/>
            </w:r>
          </w:hyperlink>
        </w:p>
        <w:p w14:paraId="7EFA308B" w14:textId="3CD8BAFA"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79" w:history="1">
            <w:r w:rsidR="0070387C" w:rsidRPr="0070387C">
              <w:rPr>
                <w:rStyle w:val="Hyperlink"/>
                <w:rFonts w:ascii="Arial" w:eastAsia="Times New Roman" w:hAnsi="Arial" w:cs="Arial"/>
                <w:noProof/>
              </w:rPr>
              <w:t>2.1 SDG3 and SDG13 interrelationship</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_Toc214149579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3</w:t>
            </w:r>
            <w:r w:rsidR="0070387C" w:rsidRPr="0070387C">
              <w:rPr>
                <w:rFonts w:ascii="Arial" w:hAnsi="Arial" w:cs="Arial"/>
                <w:noProof/>
                <w:webHidden/>
              </w:rPr>
              <w:fldChar w:fldCharType="end"/>
            </w:r>
          </w:hyperlink>
        </w:p>
        <w:p w14:paraId="5F2550D6" w14:textId="3CD6CE5E"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80" w:history="1">
            <w:r w:rsidR="0070387C" w:rsidRPr="0070387C">
              <w:rPr>
                <w:rStyle w:val="Hyperlink"/>
                <w:rFonts w:ascii="Arial" w:eastAsia="Times New Roman" w:hAnsi="Arial" w:cs="Arial"/>
                <w:noProof/>
              </w:rPr>
              <w:t>2.2 International Development and Problems</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_Toc214149580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4</w:t>
            </w:r>
            <w:r w:rsidR="0070387C" w:rsidRPr="0070387C">
              <w:rPr>
                <w:rFonts w:ascii="Arial" w:hAnsi="Arial" w:cs="Arial"/>
                <w:noProof/>
                <w:webHidden/>
              </w:rPr>
              <w:fldChar w:fldCharType="end"/>
            </w:r>
          </w:hyperlink>
        </w:p>
        <w:p w14:paraId="359B03D3" w14:textId="371252E0" w:rsidR="0070387C" w:rsidRPr="0070387C" w:rsidRDefault="005119DA" w:rsidP="0070387C">
          <w:pPr>
            <w:pStyle w:val="TOC1"/>
            <w:tabs>
              <w:tab w:val="right" w:leader="dot" w:pos="9350"/>
            </w:tabs>
            <w:spacing w:line="360" w:lineRule="auto"/>
            <w:jc w:val="both"/>
            <w:rPr>
              <w:rFonts w:ascii="Arial" w:eastAsiaTheme="minorEastAsia" w:hAnsi="Arial" w:cs="Arial"/>
              <w:noProof/>
              <w:kern w:val="0"/>
              <w14:ligatures w14:val="none"/>
            </w:rPr>
          </w:pPr>
          <w:hyperlink w:anchor="_Toc214149581" w:history="1">
            <w:r w:rsidR="0070387C" w:rsidRPr="0070387C">
              <w:rPr>
                <w:rStyle w:val="Hyperlink"/>
                <w:rFonts w:ascii="Arial" w:hAnsi="Arial" w:cs="Arial"/>
                <w:noProof/>
              </w:rPr>
              <w:t>3. The United Kingdom on SDG 3 and SDG 13</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_Toc214149581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4</w:t>
            </w:r>
            <w:r w:rsidR="0070387C" w:rsidRPr="0070387C">
              <w:rPr>
                <w:rFonts w:ascii="Arial" w:hAnsi="Arial" w:cs="Arial"/>
                <w:noProof/>
                <w:webHidden/>
              </w:rPr>
              <w:fldChar w:fldCharType="end"/>
            </w:r>
          </w:hyperlink>
        </w:p>
        <w:p w14:paraId="16EE8694" w14:textId="6C0BD8F4"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82" w:history="1">
            <w:r w:rsidR="0070387C" w:rsidRPr="0070387C">
              <w:rPr>
                <w:rStyle w:val="Hyperlink"/>
                <w:rFonts w:ascii="Arial" w:eastAsia="Times New Roman" w:hAnsi="Arial" w:cs="Arial"/>
                <w:noProof/>
              </w:rPr>
              <w:t>3.1 National Health and Sustainability Landscape</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_Toc214149582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4</w:t>
            </w:r>
            <w:r w:rsidR="0070387C" w:rsidRPr="0070387C">
              <w:rPr>
                <w:rFonts w:ascii="Arial" w:hAnsi="Arial" w:cs="Arial"/>
                <w:noProof/>
                <w:webHidden/>
              </w:rPr>
              <w:fldChar w:fldCharType="end"/>
            </w:r>
          </w:hyperlink>
        </w:p>
        <w:p w14:paraId="57AD95D5" w14:textId="13289FA7"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83" w:history="1">
            <w:r w:rsidR="0070387C" w:rsidRPr="0070387C">
              <w:rPr>
                <w:rStyle w:val="Hyperlink"/>
                <w:rFonts w:ascii="Arial" w:eastAsia="Times New Roman" w:hAnsi="Arial" w:cs="Arial"/>
                <w:noProof/>
              </w:rPr>
              <w:t>3.2 Effect of SDGs on National Health and Wellbeing</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_Toc214149583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4</w:t>
            </w:r>
            <w:r w:rsidR="0070387C" w:rsidRPr="0070387C">
              <w:rPr>
                <w:rFonts w:ascii="Arial" w:hAnsi="Arial" w:cs="Arial"/>
                <w:noProof/>
                <w:webHidden/>
              </w:rPr>
              <w:fldChar w:fldCharType="end"/>
            </w:r>
          </w:hyperlink>
        </w:p>
        <w:p w14:paraId="395A03D1" w14:textId="2F01BF9B"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84" w:history="1">
            <w:r w:rsidR="0070387C" w:rsidRPr="0070387C">
              <w:rPr>
                <w:rStyle w:val="Hyperlink"/>
                <w:rFonts w:ascii="Arial" w:eastAsia="Times New Roman" w:hAnsi="Arial" w:cs="Arial"/>
                <w:noProof/>
              </w:rPr>
              <w:t>3.3 National Policy Evaluation</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_Toc214149584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5</w:t>
            </w:r>
            <w:r w:rsidR="0070387C" w:rsidRPr="0070387C">
              <w:rPr>
                <w:rFonts w:ascii="Arial" w:hAnsi="Arial" w:cs="Arial"/>
                <w:noProof/>
                <w:webHidden/>
              </w:rPr>
              <w:fldChar w:fldCharType="end"/>
            </w:r>
          </w:hyperlink>
        </w:p>
        <w:p w14:paraId="4D5130EE" w14:textId="74D78742" w:rsidR="0070387C" w:rsidRPr="0070387C" w:rsidRDefault="005119DA" w:rsidP="0070387C">
          <w:pPr>
            <w:pStyle w:val="TOC1"/>
            <w:tabs>
              <w:tab w:val="right" w:leader="dot" w:pos="9350"/>
            </w:tabs>
            <w:spacing w:line="360" w:lineRule="auto"/>
            <w:jc w:val="both"/>
            <w:rPr>
              <w:rFonts w:ascii="Arial" w:eastAsiaTheme="minorEastAsia" w:hAnsi="Arial" w:cs="Arial"/>
              <w:noProof/>
              <w:kern w:val="0"/>
              <w14:ligatures w14:val="none"/>
            </w:rPr>
          </w:pPr>
          <w:hyperlink w:anchor="_Toc214149585" w:history="1">
            <w:r w:rsidR="0070387C" w:rsidRPr="0070387C">
              <w:rPr>
                <w:rStyle w:val="Hyperlink"/>
                <w:rFonts w:ascii="Arial" w:hAnsi="Arial" w:cs="Arial"/>
                <w:noProof/>
              </w:rPr>
              <w:t>4. Birmingham Local Analysis: Health and Sustainability</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_Toc214149585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5</w:t>
            </w:r>
            <w:r w:rsidR="0070387C" w:rsidRPr="0070387C">
              <w:rPr>
                <w:rFonts w:ascii="Arial" w:hAnsi="Arial" w:cs="Arial"/>
                <w:noProof/>
                <w:webHidden/>
              </w:rPr>
              <w:fldChar w:fldCharType="end"/>
            </w:r>
          </w:hyperlink>
        </w:p>
        <w:p w14:paraId="3ECF09A8" w14:textId="539E375B"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86" w:history="1">
            <w:r w:rsidR="0070387C" w:rsidRPr="0070387C">
              <w:rPr>
                <w:rStyle w:val="Hyperlink"/>
                <w:rFonts w:ascii="Arial" w:eastAsia="Times New Roman" w:hAnsi="Arial" w:cs="Arial"/>
                <w:noProof/>
              </w:rPr>
              <w:t>4.1 Local Health Context</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_Toc214149586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5</w:t>
            </w:r>
            <w:r w:rsidR="0070387C" w:rsidRPr="0070387C">
              <w:rPr>
                <w:rFonts w:ascii="Arial" w:hAnsi="Arial" w:cs="Arial"/>
                <w:noProof/>
                <w:webHidden/>
              </w:rPr>
              <w:fldChar w:fldCharType="end"/>
            </w:r>
          </w:hyperlink>
        </w:p>
        <w:p w14:paraId="27B23ACA" w14:textId="4AC961BD"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87" w:history="1">
            <w:r w:rsidR="0070387C" w:rsidRPr="0070387C">
              <w:rPr>
                <w:rStyle w:val="Hyperlink"/>
                <w:rFonts w:ascii="Arial" w:eastAsia="Times New Roman" w:hAnsi="Arial" w:cs="Arial"/>
                <w:noProof/>
              </w:rPr>
              <w:t>4.2 Local Sustainability and SDG 13 Implications</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_Toc214149587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5</w:t>
            </w:r>
            <w:r w:rsidR="0070387C" w:rsidRPr="0070387C">
              <w:rPr>
                <w:rFonts w:ascii="Arial" w:hAnsi="Arial" w:cs="Arial"/>
                <w:noProof/>
                <w:webHidden/>
              </w:rPr>
              <w:fldChar w:fldCharType="end"/>
            </w:r>
          </w:hyperlink>
        </w:p>
        <w:p w14:paraId="7B86192B" w14:textId="017B969E"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88" w:history="1">
            <w:r w:rsidR="0070387C" w:rsidRPr="0070387C">
              <w:rPr>
                <w:rStyle w:val="Hyperlink"/>
                <w:rFonts w:ascii="Arial" w:eastAsia="Times New Roman" w:hAnsi="Arial" w:cs="Arial"/>
                <w:noProof/>
              </w:rPr>
              <w:t>4.3. Evaluation of Local Policies.</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_Toc214149588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6</w:t>
            </w:r>
            <w:r w:rsidR="0070387C" w:rsidRPr="0070387C">
              <w:rPr>
                <w:rFonts w:ascii="Arial" w:hAnsi="Arial" w:cs="Arial"/>
                <w:noProof/>
                <w:webHidden/>
              </w:rPr>
              <w:fldChar w:fldCharType="end"/>
            </w:r>
          </w:hyperlink>
        </w:p>
        <w:p w14:paraId="628072E4" w14:textId="6268CA28" w:rsidR="0070387C" w:rsidRPr="0070387C" w:rsidRDefault="005119DA" w:rsidP="0070387C">
          <w:pPr>
            <w:pStyle w:val="TOC1"/>
            <w:tabs>
              <w:tab w:val="right" w:leader="dot" w:pos="9350"/>
            </w:tabs>
            <w:spacing w:line="360" w:lineRule="auto"/>
            <w:jc w:val="both"/>
            <w:rPr>
              <w:rFonts w:ascii="Arial" w:eastAsiaTheme="minorEastAsia" w:hAnsi="Arial" w:cs="Arial"/>
              <w:noProof/>
              <w:kern w:val="0"/>
              <w14:ligatures w14:val="none"/>
            </w:rPr>
          </w:pPr>
          <w:hyperlink w:anchor="_Toc214149589" w:history="1">
            <w:r w:rsidR="0070387C" w:rsidRPr="0070387C">
              <w:rPr>
                <w:rStyle w:val="Hyperlink"/>
                <w:rFonts w:ascii="Arial" w:hAnsi="Arial" w:cs="Arial"/>
                <w:noProof/>
              </w:rPr>
              <w:t>5. Critical Analysis with Public Health and Sustainability Theories</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_Toc214149589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6</w:t>
            </w:r>
            <w:r w:rsidR="0070387C" w:rsidRPr="0070387C">
              <w:rPr>
                <w:rFonts w:ascii="Arial" w:hAnsi="Arial" w:cs="Arial"/>
                <w:noProof/>
                <w:webHidden/>
              </w:rPr>
              <w:fldChar w:fldCharType="end"/>
            </w:r>
          </w:hyperlink>
        </w:p>
        <w:p w14:paraId="74C480CC" w14:textId="0596EE34"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90" w:history="1">
            <w:r w:rsidR="0070387C" w:rsidRPr="0070387C">
              <w:rPr>
                <w:rStyle w:val="Hyperlink"/>
                <w:rFonts w:ascii="Arial" w:eastAsia="Times New Roman" w:hAnsi="Arial" w:cs="Arial"/>
                <w:noProof/>
              </w:rPr>
              <w:t>5.1 Social Determinants of Health (SDH)</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_Toc214149590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6</w:t>
            </w:r>
            <w:r w:rsidR="0070387C" w:rsidRPr="0070387C">
              <w:rPr>
                <w:rFonts w:ascii="Arial" w:hAnsi="Arial" w:cs="Arial"/>
                <w:noProof/>
                <w:webHidden/>
              </w:rPr>
              <w:fldChar w:fldCharType="end"/>
            </w:r>
          </w:hyperlink>
        </w:p>
        <w:p w14:paraId="318E087F" w14:textId="0B6673D6"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91" w:history="1">
            <w:r w:rsidR="0070387C" w:rsidRPr="0070387C">
              <w:rPr>
                <w:rStyle w:val="Hyperlink"/>
                <w:rFonts w:ascii="Arial" w:eastAsia="Times New Roman" w:hAnsi="Arial" w:cs="Arial"/>
                <w:noProof/>
              </w:rPr>
              <w:t>5.2 Health in All Policies (HiAP)</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_Toc214149591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7</w:t>
            </w:r>
            <w:r w:rsidR="0070387C" w:rsidRPr="0070387C">
              <w:rPr>
                <w:rFonts w:ascii="Arial" w:hAnsi="Arial" w:cs="Arial"/>
                <w:noProof/>
                <w:webHidden/>
              </w:rPr>
              <w:fldChar w:fldCharType="end"/>
            </w:r>
          </w:hyperlink>
        </w:p>
        <w:p w14:paraId="30E8C9AD" w14:textId="777FD36D"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92" w:history="1">
            <w:r w:rsidR="0070387C" w:rsidRPr="0070387C">
              <w:rPr>
                <w:rStyle w:val="Hyperlink"/>
                <w:rFonts w:ascii="Arial" w:eastAsia="Times New Roman" w:hAnsi="Arial" w:cs="Arial"/>
                <w:noProof/>
              </w:rPr>
              <w:t>5.3 Ecological Public Health Model</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_Toc214149592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7</w:t>
            </w:r>
            <w:r w:rsidR="0070387C" w:rsidRPr="0070387C">
              <w:rPr>
                <w:rFonts w:ascii="Arial" w:hAnsi="Arial" w:cs="Arial"/>
                <w:noProof/>
                <w:webHidden/>
              </w:rPr>
              <w:fldChar w:fldCharType="end"/>
            </w:r>
          </w:hyperlink>
        </w:p>
        <w:p w14:paraId="6D8DCE02" w14:textId="09F8EC7C" w:rsidR="0070387C" w:rsidRPr="0070387C" w:rsidRDefault="005119DA" w:rsidP="0070387C">
          <w:pPr>
            <w:pStyle w:val="TOC1"/>
            <w:tabs>
              <w:tab w:val="right" w:leader="dot" w:pos="9350"/>
            </w:tabs>
            <w:spacing w:line="360" w:lineRule="auto"/>
            <w:jc w:val="both"/>
            <w:rPr>
              <w:rFonts w:ascii="Arial" w:eastAsiaTheme="minorEastAsia" w:hAnsi="Arial" w:cs="Arial"/>
              <w:noProof/>
              <w:kern w:val="0"/>
              <w14:ligatures w14:val="none"/>
            </w:rPr>
          </w:pPr>
          <w:hyperlink w:anchor="_Toc214149593" w:history="1">
            <w:r w:rsidR="0070387C" w:rsidRPr="0070387C">
              <w:rPr>
                <w:rStyle w:val="Hyperlink"/>
                <w:rFonts w:ascii="Arial" w:hAnsi="Arial" w:cs="Arial"/>
                <w:noProof/>
              </w:rPr>
              <w:t>6. Recommendations</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_Toc214149593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7</w:t>
            </w:r>
            <w:r w:rsidR="0070387C" w:rsidRPr="0070387C">
              <w:rPr>
                <w:rFonts w:ascii="Arial" w:hAnsi="Arial" w:cs="Arial"/>
                <w:noProof/>
                <w:webHidden/>
              </w:rPr>
              <w:fldChar w:fldCharType="end"/>
            </w:r>
          </w:hyperlink>
        </w:p>
        <w:p w14:paraId="74250C99" w14:textId="56725F81"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94" w:history="1">
            <w:r w:rsidR="0070387C" w:rsidRPr="0070387C">
              <w:rPr>
                <w:rStyle w:val="Hyperlink"/>
                <w:rFonts w:ascii="Arial" w:eastAsia="Times New Roman" w:hAnsi="Arial" w:cs="Arial"/>
                <w:noProof/>
              </w:rPr>
              <w:t>6.1 Global Recommendations</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_Toc214149594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7</w:t>
            </w:r>
            <w:r w:rsidR="0070387C" w:rsidRPr="0070387C">
              <w:rPr>
                <w:rFonts w:ascii="Arial" w:hAnsi="Arial" w:cs="Arial"/>
                <w:noProof/>
                <w:webHidden/>
              </w:rPr>
              <w:fldChar w:fldCharType="end"/>
            </w:r>
          </w:hyperlink>
        </w:p>
        <w:p w14:paraId="4C613CBF" w14:textId="5CAA8792"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95" w:history="1">
            <w:r w:rsidR="0070387C" w:rsidRPr="0070387C">
              <w:rPr>
                <w:rStyle w:val="Hyperlink"/>
                <w:rFonts w:ascii="Arial" w:eastAsia="Times New Roman" w:hAnsi="Arial" w:cs="Arial"/>
                <w:noProof/>
              </w:rPr>
              <w:t>6.2 National (UK) Recommendations</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_Toc214149595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8</w:t>
            </w:r>
            <w:r w:rsidR="0070387C" w:rsidRPr="0070387C">
              <w:rPr>
                <w:rFonts w:ascii="Arial" w:hAnsi="Arial" w:cs="Arial"/>
                <w:noProof/>
                <w:webHidden/>
              </w:rPr>
              <w:fldChar w:fldCharType="end"/>
            </w:r>
          </w:hyperlink>
        </w:p>
        <w:p w14:paraId="49644C45" w14:textId="08582D93" w:rsidR="0070387C" w:rsidRPr="0070387C" w:rsidRDefault="005119DA" w:rsidP="0070387C">
          <w:pPr>
            <w:pStyle w:val="TOC2"/>
            <w:tabs>
              <w:tab w:val="right" w:leader="dot" w:pos="9350"/>
            </w:tabs>
            <w:spacing w:line="360" w:lineRule="auto"/>
            <w:jc w:val="both"/>
            <w:rPr>
              <w:rFonts w:ascii="Arial" w:eastAsiaTheme="minorEastAsia" w:hAnsi="Arial" w:cs="Arial"/>
              <w:noProof/>
              <w:kern w:val="0"/>
              <w14:ligatures w14:val="none"/>
            </w:rPr>
          </w:pPr>
          <w:hyperlink w:anchor="_Toc214149596" w:history="1">
            <w:r w:rsidR="0070387C" w:rsidRPr="0070387C">
              <w:rPr>
                <w:rStyle w:val="Hyperlink"/>
                <w:rFonts w:ascii="Arial" w:eastAsia="Times New Roman" w:hAnsi="Arial" w:cs="Arial"/>
                <w:noProof/>
              </w:rPr>
              <w:t>6.3 Local (Birmingham) Recommendation</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_Toc214149596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8</w:t>
            </w:r>
            <w:r w:rsidR="0070387C" w:rsidRPr="0070387C">
              <w:rPr>
                <w:rFonts w:ascii="Arial" w:hAnsi="Arial" w:cs="Arial"/>
                <w:noProof/>
                <w:webHidden/>
              </w:rPr>
              <w:fldChar w:fldCharType="end"/>
            </w:r>
          </w:hyperlink>
        </w:p>
        <w:p w14:paraId="27CEC796" w14:textId="689347C2" w:rsidR="0070387C" w:rsidRPr="0070387C" w:rsidRDefault="005119DA" w:rsidP="0070387C">
          <w:pPr>
            <w:pStyle w:val="TOC1"/>
            <w:tabs>
              <w:tab w:val="right" w:leader="dot" w:pos="9350"/>
            </w:tabs>
            <w:spacing w:line="360" w:lineRule="auto"/>
            <w:jc w:val="both"/>
            <w:rPr>
              <w:rFonts w:ascii="Arial" w:eastAsiaTheme="minorEastAsia" w:hAnsi="Arial" w:cs="Arial"/>
              <w:noProof/>
              <w:kern w:val="0"/>
              <w14:ligatures w14:val="none"/>
            </w:rPr>
          </w:pPr>
          <w:hyperlink w:anchor="_Toc214149597" w:history="1">
            <w:r w:rsidR="0070387C" w:rsidRPr="0070387C">
              <w:rPr>
                <w:rStyle w:val="Hyperlink"/>
                <w:rFonts w:ascii="Arial" w:hAnsi="Arial" w:cs="Arial"/>
                <w:noProof/>
              </w:rPr>
              <w:t>7. Conclusion</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_Toc214149597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8</w:t>
            </w:r>
            <w:r w:rsidR="0070387C" w:rsidRPr="0070387C">
              <w:rPr>
                <w:rFonts w:ascii="Arial" w:hAnsi="Arial" w:cs="Arial"/>
                <w:noProof/>
                <w:webHidden/>
              </w:rPr>
              <w:fldChar w:fldCharType="end"/>
            </w:r>
          </w:hyperlink>
        </w:p>
        <w:p w14:paraId="42CB9B23" w14:textId="2D4D3348" w:rsidR="0070387C" w:rsidRPr="0070387C" w:rsidRDefault="005119DA" w:rsidP="0070387C">
          <w:pPr>
            <w:pStyle w:val="TOC1"/>
            <w:tabs>
              <w:tab w:val="right" w:leader="dot" w:pos="9350"/>
            </w:tabs>
            <w:spacing w:line="360" w:lineRule="auto"/>
            <w:jc w:val="both"/>
            <w:rPr>
              <w:rFonts w:ascii="Arial" w:eastAsiaTheme="minorEastAsia" w:hAnsi="Arial" w:cs="Arial"/>
              <w:noProof/>
              <w:kern w:val="0"/>
              <w14:ligatures w14:val="none"/>
            </w:rPr>
          </w:pPr>
          <w:hyperlink w:anchor="_Toc214149598" w:history="1">
            <w:r w:rsidR="0070387C" w:rsidRPr="0070387C">
              <w:rPr>
                <w:rStyle w:val="Hyperlink"/>
                <w:rFonts w:ascii="Arial" w:hAnsi="Arial" w:cs="Arial"/>
                <w:noProof/>
              </w:rPr>
              <w:t>References</w:t>
            </w:r>
            <w:r w:rsidR="0070387C" w:rsidRPr="0070387C">
              <w:rPr>
                <w:rFonts w:ascii="Arial" w:hAnsi="Arial" w:cs="Arial"/>
                <w:noProof/>
                <w:webHidden/>
              </w:rPr>
              <w:tab/>
            </w:r>
            <w:r w:rsidR="0070387C" w:rsidRPr="0070387C">
              <w:rPr>
                <w:rFonts w:ascii="Arial" w:hAnsi="Arial" w:cs="Arial"/>
                <w:noProof/>
                <w:webHidden/>
              </w:rPr>
              <w:fldChar w:fldCharType="begin"/>
            </w:r>
            <w:r w:rsidR="0070387C" w:rsidRPr="0070387C">
              <w:rPr>
                <w:rFonts w:ascii="Arial" w:hAnsi="Arial" w:cs="Arial"/>
                <w:noProof/>
                <w:webHidden/>
              </w:rPr>
              <w:instrText xml:space="preserve"> PAGEREF _Toc214149598 \h </w:instrText>
            </w:r>
            <w:r w:rsidR="0070387C" w:rsidRPr="0070387C">
              <w:rPr>
                <w:rFonts w:ascii="Arial" w:hAnsi="Arial" w:cs="Arial"/>
                <w:noProof/>
                <w:webHidden/>
              </w:rPr>
            </w:r>
            <w:r w:rsidR="0070387C" w:rsidRPr="0070387C">
              <w:rPr>
                <w:rFonts w:ascii="Arial" w:hAnsi="Arial" w:cs="Arial"/>
                <w:noProof/>
                <w:webHidden/>
              </w:rPr>
              <w:fldChar w:fldCharType="separate"/>
            </w:r>
            <w:r w:rsidR="0070387C" w:rsidRPr="0070387C">
              <w:rPr>
                <w:rFonts w:ascii="Arial" w:hAnsi="Arial" w:cs="Arial"/>
                <w:noProof/>
                <w:webHidden/>
              </w:rPr>
              <w:t>9</w:t>
            </w:r>
            <w:r w:rsidR="0070387C" w:rsidRPr="0070387C">
              <w:rPr>
                <w:rFonts w:ascii="Arial" w:hAnsi="Arial" w:cs="Arial"/>
                <w:noProof/>
                <w:webHidden/>
              </w:rPr>
              <w:fldChar w:fldCharType="end"/>
            </w:r>
          </w:hyperlink>
        </w:p>
        <w:p w14:paraId="1CA9DF9F" w14:textId="180B58CC" w:rsidR="0070387C" w:rsidRPr="0070387C" w:rsidRDefault="0070387C" w:rsidP="0070387C">
          <w:pPr>
            <w:spacing w:line="360" w:lineRule="auto"/>
            <w:jc w:val="both"/>
            <w:rPr>
              <w:rFonts w:ascii="Arial" w:hAnsi="Arial" w:cs="Arial"/>
            </w:rPr>
          </w:pPr>
          <w:r w:rsidRPr="0070387C">
            <w:rPr>
              <w:rFonts w:ascii="Arial" w:hAnsi="Arial" w:cs="Arial"/>
              <w:b/>
              <w:bCs/>
              <w:noProof/>
            </w:rPr>
            <w:fldChar w:fldCharType="end"/>
          </w:r>
        </w:p>
      </w:sdtContent>
    </w:sdt>
    <w:p w14:paraId="57F8035D" w14:textId="77777777" w:rsidR="0070387C" w:rsidRPr="0070387C" w:rsidRDefault="0070387C" w:rsidP="0070387C">
      <w:pPr>
        <w:spacing w:before="100" w:beforeAutospacing="1" w:after="100" w:afterAutospacing="1" w:line="360" w:lineRule="auto"/>
        <w:jc w:val="both"/>
        <w:outlineLvl w:val="2"/>
        <w:rPr>
          <w:rFonts w:ascii="Arial" w:eastAsia="Times New Roman" w:hAnsi="Arial" w:cs="Arial"/>
          <w:b/>
          <w:bCs/>
          <w:kern w:val="0"/>
          <w14:ligatures w14:val="none"/>
        </w:rPr>
      </w:pPr>
    </w:p>
    <w:p w14:paraId="38BA9590" w14:textId="13DD6E43" w:rsidR="00FF0E37" w:rsidRPr="0070387C" w:rsidRDefault="00FF0E37" w:rsidP="0070387C">
      <w:pPr>
        <w:spacing w:line="360" w:lineRule="auto"/>
        <w:jc w:val="both"/>
        <w:rPr>
          <w:rFonts w:ascii="Arial" w:hAnsi="Arial" w:cs="Arial"/>
        </w:rPr>
      </w:pPr>
      <w:r w:rsidRPr="0070387C">
        <w:rPr>
          <w:rFonts w:ascii="Arial" w:hAnsi="Arial" w:cs="Arial"/>
        </w:rPr>
        <w:br w:type="page"/>
      </w:r>
    </w:p>
    <w:p w14:paraId="14E045D1" w14:textId="77777777" w:rsidR="00FF0E37" w:rsidRPr="0070387C" w:rsidRDefault="00FF0E37" w:rsidP="0070387C">
      <w:pPr>
        <w:pStyle w:val="Heading1"/>
        <w:spacing w:line="360" w:lineRule="auto"/>
        <w:jc w:val="both"/>
        <w:rPr>
          <w:rFonts w:ascii="Arial" w:hAnsi="Arial" w:cs="Arial"/>
          <w:sz w:val="22"/>
          <w:szCs w:val="22"/>
        </w:rPr>
      </w:pPr>
      <w:bookmarkStart w:id="0" w:name="_Toc214149577"/>
      <w:r w:rsidRPr="0070387C">
        <w:rPr>
          <w:rFonts w:ascii="Arial" w:hAnsi="Arial" w:cs="Arial"/>
          <w:sz w:val="22"/>
          <w:szCs w:val="22"/>
        </w:rPr>
        <w:lastRenderedPageBreak/>
        <w:t>1. Introduction</w:t>
      </w:r>
      <w:bookmarkEnd w:id="0"/>
    </w:p>
    <w:p w14:paraId="74C8401F" w14:textId="274B95BE" w:rsidR="00FF0E37" w:rsidRPr="004B5922" w:rsidRDefault="00FF0E37" w:rsidP="004B5922">
      <w:pPr>
        <w:spacing w:line="360" w:lineRule="auto"/>
        <w:jc w:val="both"/>
        <w:rPr>
          <w:rFonts w:ascii="Arial" w:eastAsia="Times New Roman" w:hAnsi="Arial" w:cs="Arial"/>
          <w:kern w:val="0"/>
          <w14:ligatures w14:val="none"/>
        </w:rPr>
      </w:pPr>
      <w:r w:rsidRPr="004B5922">
        <w:rPr>
          <w:rFonts w:ascii="Arial" w:eastAsia="Times New Roman" w:hAnsi="Arial" w:cs="Arial"/>
          <w:kern w:val="0"/>
          <w14:ligatures w14:val="none"/>
        </w:rPr>
        <w:t>The focus on health, wellbeing, and sustainability has taken centre of world development agendas due to the increasing awareness of the interlinkage between social, economic and environmental determinants of health</w:t>
      </w:r>
      <w:r w:rsidR="00EF6D09" w:rsidRPr="004B5922">
        <w:rPr>
          <w:rFonts w:ascii="Arial" w:eastAsia="Times New Roman" w:hAnsi="Arial" w:cs="Arial"/>
          <w:kern w:val="0"/>
          <w:lang w:val="en-US"/>
          <w14:ligatures w14:val="none"/>
        </w:rPr>
        <w:t xml:space="preserve"> </w:t>
      </w:r>
      <w:r w:rsidR="00EF6D09" w:rsidRPr="004B5922">
        <w:rPr>
          <w:rFonts w:ascii="Arial" w:eastAsia="Times New Roman" w:hAnsi="Arial" w:cs="Arial"/>
          <w:kern w:val="0"/>
          <w14:ligatures w14:val="none"/>
        </w:rPr>
        <w:t>(Fet, 2024)</w:t>
      </w:r>
      <w:r w:rsidR="00EF6D09" w:rsidRPr="004B5922">
        <w:rPr>
          <w:rFonts w:ascii="Arial" w:eastAsia="Times New Roman" w:hAnsi="Arial" w:cs="Arial"/>
          <w:kern w:val="0"/>
          <w:lang w:val="en-US"/>
          <w14:ligatures w14:val="none"/>
        </w:rPr>
        <w:t xml:space="preserve">. </w:t>
      </w:r>
      <w:r w:rsidRPr="004B5922">
        <w:rPr>
          <w:rFonts w:ascii="Arial" w:eastAsia="Times New Roman" w:hAnsi="Arial" w:cs="Arial"/>
          <w:kern w:val="0"/>
          <w14:ligatures w14:val="none"/>
        </w:rPr>
        <w:t>Sustainable Development Goals of the United Nations (SDGs) offer a universal policy guideline</w:t>
      </w:r>
      <w:r w:rsidR="00DB17C0" w:rsidRPr="004B5922">
        <w:rPr>
          <w:rFonts w:ascii="Arial" w:eastAsia="Times New Roman" w:hAnsi="Arial" w:cs="Arial"/>
          <w:kern w:val="0"/>
          <w:lang w:val="en-US"/>
          <w14:ligatures w14:val="none"/>
        </w:rPr>
        <w:t xml:space="preserve"> </w:t>
      </w:r>
      <w:r w:rsidR="00DB17C0" w:rsidRPr="004B5922">
        <w:rPr>
          <w:rFonts w:ascii="Arial" w:eastAsia="Times New Roman" w:hAnsi="Arial" w:cs="Arial"/>
          <w:kern w:val="0"/>
          <w14:ligatures w14:val="none"/>
        </w:rPr>
        <w:t>(King, 2025)</w:t>
      </w:r>
      <w:r w:rsidR="00DB17C0" w:rsidRPr="004B5922">
        <w:rPr>
          <w:rFonts w:ascii="Arial" w:eastAsia="Times New Roman" w:hAnsi="Arial" w:cs="Arial"/>
          <w:kern w:val="0"/>
          <w:lang w:val="en-US"/>
          <w14:ligatures w14:val="none"/>
        </w:rPr>
        <w:t xml:space="preserve">. </w:t>
      </w:r>
      <w:r w:rsidRPr="004B5922">
        <w:rPr>
          <w:rFonts w:ascii="Arial" w:eastAsia="Times New Roman" w:hAnsi="Arial" w:cs="Arial"/>
          <w:kern w:val="0"/>
          <w14:ligatures w14:val="none"/>
        </w:rPr>
        <w:t xml:space="preserve">This report provides a critical reflection on the potential impact of SDG 3: Good Health and Well-being and SDG 13: Climate Action on global, national (United Kingdom), and local (Birmingham) health outcomes. </w:t>
      </w:r>
      <w:r w:rsidR="004B5922" w:rsidRPr="004B5922">
        <w:rPr>
          <w:rFonts w:ascii="Arial" w:eastAsia="Times New Roman" w:hAnsi="Arial" w:cs="Arial"/>
          <w:kern w:val="0"/>
          <w14:ligatures w14:val="none"/>
        </w:rPr>
        <w:t>It also evaluates the effectiveness of the associated health and sustainability programs and gives evidence-based recommendations to improve the same.</w:t>
      </w:r>
      <w:r w:rsidR="004B5922" w:rsidRPr="004B5922">
        <w:rPr>
          <w:rFonts w:ascii="Arial" w:eastAsia="Times New Roman" w:hAnsi="Arial" w:cs="Arial"/>
          <w:kern w:val="0"/>
          <w:lang w:val="en-US"/>
          <w14:ligatures w14:val="none"/>
        </w:rPr>
        <w:t xml:space="preserve"> </w:t>
      </w:r>
      <w:r w:rsidRPr="004B5922">
        <w:rPr>
          <w:rFonts w:ascii="Arial" w:eastAsia="Times New Roman" w:hAnsi="Arial" w:cs="Arial"/>
          <w:kern w:val="0"/>
          <w14:ligatures w14:val="none"/>
        </w:rPr>
        <w:t>Based on the academic literature, government reports, policy reviews, and international evidence, the report also presents a systematic view of the multidimensional relationship between health, environmental sustainability, and socioeconomic wellbeing. The multi-level effect of policy interventions is critically interpreted through the concept of the Social Determinants of Health (SDH), Health in All Policies (HiAP) and ecological models of public health.</w:t>
      </w:r>
    </w:p>
    <w:p w14:paraId="0267B04C" w14:textId="2C6E1E21" w:rsidR="00FF0E37" w:rsidRPr="0070387C" w:rsidRDefault="00DB17C0" w:rsidP="0070387C">
      <w:pPr>
        <w:spacing w:after="120" w:line="360" w:lineRule="auto"/>
        <w:jc w:val="center"/>
        <w:rPr>
          <w:rFonts w:ascii="Arial" w:eastAsia="Times New Roman" w:hAnsi="Arial" w:cs="Arial"/>
          <w:kern w:val="0"/>
          <w14:ligatures w14:val="none"/>
        </w:rPr>
      </w:pPr>
      <w:r w:rsidRPr="0070387C">
        <w:rPr>
          <w:rFonts w:ascii="Arial" w:hAnsi="Arial" w:cs="Arial"/>
          <w:noProof/>
        </w:rPr>
        <w:drawing>
          <wp:inline distT="0" distB="0" distL="0" distR="0" wp14:anchorId="20BCD175" wp14:editId="76080328">
            <wp:extent cx="2018581" cy="1519974"/>
            <wp:effectExtent l="0" t="0" r="0" b="4445"/>
            <wp:docPr id="1" name="Picture 1" descr="What are the United Nations Sustainable Developmen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United Nations Sustainable Development Goal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0244" cy="1521226"/>
                    </a:xfrm>
                    <a:prstGeom prst="rect">
                      <a:avLst/>
                    </a:prstGeom>
                    <a:noFill/>
                    <a:ln>
                      <a:noFill/>
                    </a:ln>
                  </pic:spPr>
                </pic:pic>
              </a:graphicData>
            </a:graphic>
          </wp:inline>
        </w:drawing>
      </w:r>
    </w:p>
    <w:p w14:paraId="17869090" w14:textId="1408173B" w:rsidR="00DB17C0" w:rsidRPr="0070387C" w:rsidRDefault="00DB17C0" w:rsidP="0070387C">
      <w:pPr>
        <w:spacing w:line="360" w:lineRule="auto"/>
        <w:jc w:val="center"/>
        <w:rPr>
          <w:rFonts w:ascii="Arial" w:eastAsia="Times New Roman" w:hAnsi="Arial" w:cs="Arial"/>
          <w:kern w:val="0"/>
          <w14:ligatures w14:val="none"/>
        </w:rPr>
      </w:pPr>
      <w:r w:rsidRPr="0070387C">
        <w:rPr>
          <w:rFonts w:ascii="Arial" w:eastAsia="Times New Roman" w:hAnsi="Arial" w:cs="Arial"/>
          <w:kern w:val="0"/>
          <w:lang w:val="en-US"/>
          <w14:ligatures w14:val="none"/>
        </w:rPr>
        <w:t xml:space="preserve">Source: </w:t>
      </w:r>
      <w:r w:rsidRPr="0070387C">
        <w:rPr>
          <w:rFonts w:ascii="Arial" w:eastAsia="Times New Roman" w:hAnsi="Arial" w:cs="Arial"/>
          <w:kern w:val="0"/>
          <w14:ligatures w14:val="none"/>
        </w:rPr>
        <w:t>(King, 2025)</w:t>
      </w:r>
    </w:p>
    <w:p w14:paraId="7286483A" w14:textId="77777777" w:rsidR="00DB17C0" w:rsidRPr="0070387C" w:rsidRDefault="00DB17C0" w:rsidP="0070387C">
      <w:pPr>
        <w:spacing w:after="120" w:line="360" w:lineRule="auto"/>
        <w:jc w:val="both"/>
        <w:rPr>
          <w:rFonts w:ascii="Arial" w:eastAsia="Times New Roman" w:hAnsi="Arial" w:cs="Arial"/>
          <w:kern w:val="0"/>
          <w14:ligatures w14:val="none"/>
        </w:rPr>
      </w:pPr>
    </w:p>
    <w:p w14:paraId="2C2D5755" w14:textId="25CF99CA" w:rsidR="00477F2A" w:rsidRPr="0070387C" w:rsidRDefault="00477F2A" w:rsidP="0070387C">
      <w:pPr>
        <w:pStyle w:val="Heading1"/>
        <w:spacing w:line="360" w:lineRule="auto"/>
        <w:jc w:val="both"/>
        <w:rPr>
          <w:rFonts w:ascii="Arial" w:hAnsi="Arial" w:cs="Arial"/>
          <w:sz w:val="22"/>
          <w:szCs w:val="22"/>
        </w:rPr>
      </w:pPr>
      <w:bookmarkStart w:id="1" w:name="_Toc214149578"/>
      <w:r w:rsidRPr="0070387C">
        <w:rPr>
          <w:rFonts w:ascii="Arial" w:hAnsi="Arial" w:cs="Arial"/>
          <w:sz w:val="22"/>
          <w:szCs w:val="22"/>
        </w:rPr>
        <w:t>2. SDG 3 and SDG 13: Global Impact on Health and Wellbeing</w:t>
      </w:r>
      <w:bookmarkEnd w:id="1"/>
    </w:p>
    <w:p w14:paraId="627C2F18" w14:textId="243F1E00" w:rsidR="00477F2A" w:rsidRPr="0070387C" w:rsidRDefault="00477F2A" w:rsidP="0070387C">
      <w:pPr>
        <w:pStyle w:val="Heading2"/>
        <w:spacing w:line="360" w:lineRule="auto"/>
        <w:jc w:val="both"/>
        <w:rPr>
          <w:rFonts w:ascii="Arial" w:eastAsia="Times New Roman" w:hAnsi="Arial" w:cs="Arial"/>
          <w:sz w:val="22"/>
          <w:szCs w:val="22"/>
        </w:rPr>
      </w:pPr>
      <w:bookmarkStart w:id="2" w:name="_Toc214149579"/>
      <w:r w:rsidRPr="0070387C">
        <w:rPr>
          <w:rFonts w:ascii="Arial" w:eastAsia="Times New Roman" w:hAnsi="Arial" w:cs="Arial"/>
          <w:sz w:val="22"/>
          <w:szCs w:val="22"/>
        </w:rPr>
        <w:t>2.1 SDG3 and SDG13 interrelationship</w:t>
      </w:r>
      <w:bookmarkEnd w:id="2"/>
    </w:p>
    <w:p w14:paraId="5127960B" w14:textId="6E2241BC" w:rsidR="00477F2A" w:rsidRPr="00477F2A" w:rsidRDefault="00477F2A" w:rsidP="0070387C">
      <w:pPr>
        <w:spacing w:line="360" w:lineRule="auto"/>
        <w:jc w:val="both"/>
        <w:rPr>
          <w:rFonts w:ascii="Arial" w:eastAsia="Times New Roman" w:hAnsi="Arial" w:cs="Arial"/>
          <w:kern w:val="0"/>
          <w14:ligatures w14:val="none"/>
        </w:rPr>
      </w:pPr>
      <w:r w:rsidRPr="00477F2A">
        <w:rPr>
          <w:rFonts w:ascii="Arial" w:eastAsia="Times New Roman" w:hAnsi="Arial" w:cs="Arial"/>
          <w:kern w:val="0"/>
          <w14:ligatures w14:val="none"/>
        </w:rPr>
        <w:t>SDG 3 aims to provide healthy lives and wellbeing to all people at all ages, whereas SDG 13 focuses on immediate steps to combat climate change and its consequences</w:t>
      </w:r>
      <w:r w:rsidR="004A2B86" w:rsidRPr="0070387C">
        <w:rPr>
          <w:rFonts w:ascii="Arial" w:eastAsia="Times New Roman" w:hAnsi="Arial" w:cs="Arial"/>
          <w:kern w:val="0"/>
          <w:lang w:val="en-US"/>
          <w14:ligatures w14:val="none"/>
        </w:rPr>
        <w:t xml:space="preserve"> </w:t>
      </w:r>
      <w:r w:rsidR="004A2B86" w:rsidRPr="0070387C">
        <w:rPr>
          <w:rFonts w:ascii="Arial" w:eastAsia="Times New Roman" w:hAnsi="Arial" w:cs="Arial"/>
          <w:kern w:val="0"/>
          <w14:ligatures w14:val="none"/>
        </w:rPr>
        <w:t>(Ferrando et al., 2025)</w:t>
      </w:r>
      <w:r w:rsidR="004A2B86" w:rsidRPr="0070387C">
        <w:rPr>
          <w:rFonts w:ascii="Arial" w:eastAsia="Times New Roman" w:hAnsi="Arial" w:cs="Arial"/>
          <w:kern w:val="0"/>
          <w:lang w:val="en-US"/>
          <w14:ligatures w14:val="none"/>
        </w:rPr>
        <w:t>.</w:t>
      </w:r>
      <w:r w:rsidRPr="00477F2A">
        <w:rPr>
          <w:rFonts w:ascii="Arial" w:eastAsia="Times New Roman" w:hAnsi="Arial" w:cs="Arial"/>
          <w:kern w:val="0"/>
          <w14:ligatures w14:val="none"/>
        </w:rPr>
        <w:t xml:space="preserve"> These two objectives are complementary and highly intertwined with each other. Climate change increases the risk of heatwaves, diseases transmitted by vectors, food insecurity, and air pollution, posing significant challenges to population health </w:t>
      </w:r>
      <w:r w:rsidR="007A3F40" w:rsidRPr="0070387C">
        <w:rPr>
          <w:rFonts w:ascii="Arial" w:eastAsia="Times New Roman" w:hAnsi="Arial" w:cs="Arial"/>
          <w:kern w:val="0"/>
          <w14:ligatures w14:val="none"/>
        </w:rPr>
        <w:t>(UNDP, 2024)</w:t>
      </w:r>
      <w:r w:rsidR="007A3F40" w:rsidRPr="0070387C">
        <w:rPr>
          <w:rFonts w:ascii="Arial" w:eastAsia="Times New Roman" w:hAnsi="Arial" w:cs="Arial"/>
          <w:kern w:val="0"/>
          <w:lang w:val="en-US"/>
          <w14:ligatures w14:val="none"/>
        </w:rPr>
        <w:t xml:space="preserve">. </w:t>
      </w:r>
      <w:r w:rsidRPr="00477F2A">
        <w:rPr>
          <w:rFonts w:ascii="Arial" w:eastAsia="Times New Roman" w:hAnsi="Arial" w:cs="Arial"/>
          <w:kern w:val="0"/>
          <w14:ligatures w14:val="none"/>
        </w:rPr>
        <w:t xml:space="preserve">In this way, the </w:t>
      </w:r>
      <w:r w:rsidRPr="00477F2A">
        <w:rPr>
          <w:rFonts w:ascii="Arial" w:eastAsia="Times New Roman" w:hAnsi="Arial" w:cs="Arial"/>
          <w:kern w:val="0"/>
          <w14:ligatures w14:val="none"/>
        </w:rPr>
        <w:lastRenderedPageBreak/>
        <w:t>development of SDG 3 will strongly depend on the work on the environmental sustainability recorded in SDG 13.</w:t>
      </w:r>
    </w:p>
    <w:p w14:paraId="76B3F42B" w14:textId="7E28C3D0" w:rsidR="00477F2A" w:rsidRPr="00477F2A" w:rsidRDefault="00477F2A" w:rsidP="0070387C">
      <w:pPr>
        <w:spacing w:line="360" w:lineRule="auto"/>
        <w:jc w:val="both"/>
        <w:rPr>
          <w:rFonts w:ascii="Arial" w:eastAsia="Times New Roman" w:hAnsi="Arial" w:cs="Arial"/>
          <w:kern w:val="0"/>
          <w:lang w:val="en-US"/>
          <w14:ligatures w14:val="none"/>
        </w:rPr>
      </w:pPr>
      <w:r w:rsidRPr="00477F2A">
        <w:rPr>
          <w:rFonts w:ascii="Arial" w:eastAsia="Times New Roman" w:hAnsi="Arial" w:cs="Arial"/>
          <w:kern w:val="0"/>
          <w14:ligatures w14:val="none"/>
        </w:rPr>
        <w:t>The ecological model of public health demonstrates this relationship by revealing how the environmental, social, and policy layers of society influence the well-being of individuals and community</w:t>
      </w:r>
      <w:r w:rsidR="00BE00EF" w:rsidRPr="0070387C">
        <w:rPr>
          <w:rFonts w:ascii="Arial" w:eastAsia="Times New Roman" w:hAnsi="Arial" w:cs="Arial"/>
          <w:kern w:val="0"/>
          <w:lang w:val="en-US"/>
          <w14:ligatures w14:val="none"/>
        </w:rPr>
        <w:t xml:space="preserve"> </w:t>
      </w:r>
      <w:r w:rsidR="00BE00EF" w:rsidRPr="0070387C">
        <w:rPr>
          <w:rFonts w:ascii="Arial" w:eastAsia="Times New Roman" w:hAnsi="Arial" w:cs="Arial"/>
          <w:kern w:val="0"/>
          <w14:ligatures w14:val="none"/>
        </w:rPr>
        <w:t>(Eriksson et al., 2025)</w:t>
      </w:r>
      <w:r w:rsidR="00BE00EF" w:rsidRPr="0070387C">
        <w:rPr>
          <w:rFonts w:ascii="Arial" w:eastAsia="Times New Roman" w:hAnsi="Arial" w:cs="Arial"/>
          <w:kern w:val="0"/>
          <w:lang w:val="en-US"/>
          <w14:ligatures w14:val="none"/>
        </w:rPr>
        <w:t>.</w:t>
      </w:r>
      <w:r w:rsidRPr="00477F2A">
        <w:rPr>
          <w:rFonts w:ascii="Arial" w:eastAsia="Times New Roman" w:hAnsi="Arial" w:cs="Arial"/>
          <w:kern w:val="0"/>
          <w14:ligatures w14:val="none"/>
        </w:rPr>
        <w:t xml:space="preserve"> It has been proven that health inequalities caused by climate negatively affect low-income and marginalised people in the world</w:t>
      </w:r>
      <w:r w:rsidR="00BE00EF" w:rsidRPr="0070387C">
        <w:rPr>
          <w:rFonts w:ascii="Arial" w:eastAsia="Times New Roman" w:hAnsi="Arial" w:cs="Arial"/>
          <w:kern w:val="0"/>
          <w:lang w:val="en-US"/>
          <w14:ligatures w14:val="none"/>
        </w:rPr>
        <w:t>.</w:t>
      </w:r>
    </w:p>
    <w:p w14:paraId="59041D07" w14:textId="77777777" w:rsidR="00477F2A" w:rsidRPr="0070387C" w:rsidRDefault="00477F2A" w:rsidP="0070387C">
      <w:pPr>
        <w:spacing w:after="120" w:line="360" w:lineRule="auto"/>
        <w:jc w:val="both"/>
        <w:rPr>
          <w:rFonts w:ascii="Arial" w:eastAsia="Times New Roman" w:hAnsi="Arial" w:cs="Arial"/>
          <w:kern w:val="0"/>
          <w14:ligatures w14:val="none"/>
        </w:rPr>
      </w:pPr>
    </w:p>
    <w:p w14:paraId="70AAFD18" w14:textId="4D6F7DBA" w:rsidR="00477F2A" w:rsidRPr="0070387C" w:rsidRDefault="00477F2A" w:rsidP="0070387C">
      <w:pPr>
        <w:pStyle w:val="Heading2"/>
        <w:spacing w:line="360" w:lineRule="auto"/>
        <w:jc w:val="both"/>
        <w:rPr>
          <w:rFonts w:ascii="Arial" w:eastAsia="Times New Roman" w:hAnsi="Arial" w:cs="Arial"/>
          <w:sz w:val="22"/>
          <w:szCs w:val="22"/>
        </w:rPr>
      </w:pPr>
      <w:bookmarkStart w:id="3" w:name="_Toc214149580"/>
      <w:r w:rsidRPr="0070387C">
        <w:rPr>
          <w:rFonts w:ascii="Arial" w:eastAsia="Times New Roman" w:hAnsi="Arial" w:cs="Arial"/>
          <w:sz w:val="22"/>
          <w:szCs w:val="22"/>
        </w:rPr>
        <w:t>2.2 International Development and Problems</w:t>
      </w:r>
      <w:bookmarkEnd w:id="3"/>
    </w:p>
    <w:p w14:paraId="6ABC7C13" w14:textId="164A5AAB" w:rsidR="00477F2A" w:rsidRPr="00477F2A" w:rsidRDefault="00477F2A" w:rsidP="0070387C">
      <w:pPr>
        <w:spacing w:line="360" w:lineRule="auto"/>
        <w:jc w:val="both"/>
        <w:rPr>
          <w:rFonts w:ascii="Arial" w:eastAsia="Times New Roman" w:hAnsi="Arial" w:cs="Arial"/>
          <w:kern w:val="0"/>
          <w14:ligatures w14:val="none"/>
        </w:rPr>
      </w:pPr>
      <w:r w:rsidRPr="00477F2A">
        <w:rPr>
          <w:rFonts w:ascii="Arial" w:eastAsia="Times New Roman" w:hAnsi="Arial" w:cs="Arial"/>
          <w:kern w:val="0"/>
          <w14:ligatures w14:val="none"/>
        </w:rPr>
        <w:t xml:space="preserve">The progress on SDG 3 has been skewed. The life expectancy has increased globally, but the effects of maternal mortality, non-communicable diseases (NCDs), and mental illnesses persist </w:t>
      </w:r>
      <w:r w:rsidR="00BE00EF" w:rsidRPr="0070387C">
        <w:rPr>
          <w:rFonts w:ascii="Arial" w:eastAsia="Times New Roman" w:hAnsi="Arial" w:cs="Arial"/>
          <w:kern w:val="0"/>
          <w14:ligatures w14:val="none"/>
        </w:rPr>
        <w:t>(Das &amp; Mohanty, 2024)</w:t>
      </w:r>
      <w:r w:rsidR="00BE00EF" w:rsidRPr="0070387C">
        <w:rPr>
          <w:rFonts w:ascii="Arial" w:eastAsia="Times New Roman" w:hAnsi="Arial" w:cs="Arial"/>
          <w:kern w:val="0"/>
          <w:lang w:val="en-US"/>
          <w14:ligatures w14:val="none"/>
        </w:rPr>
        <w:t xml:space="preserve">. </w:t>
      </w:r>
      <w:r w:rsidRPr="00477F2A">
        <w:rPr>
          <w:rFonts w:ascii="Arial" w:eastAsia="Times New Roman" w:hAnsi="Arial" w:cs="Arial"/>
          <w:kern w:val="0"/>
          <w14:ligatures w14:val="none"/>
        </w:rPr>
        <w:t>SDG 13 presents even greater challenges: global warming is intensifying, and an increasing number of countries lack resilience and adaptation planning.</w:t>
      </w:r>
    </w:p>
    <w:p w14:paraId="3AC54D9B" w14:textId="3E3F08A7" w:rsidR="00FB4560" w:rsidRPr="0070387C" w:rsidRDefault="00FB4560" w:rsidP="0070387C">
      <w:pPr>
        <w:spacing w:after="120" w:line="360" w:lineRule="auto"/>
        <w:jc w:val="both"/>
        <w:rPr>
          <w:rFonts w:ascii="Arial" w:eastAsia="Times New Roman" w:hAnsi="Arial" w:cs="Arial"/>
          <w:kern w:val="0"/>
          <w14:ligatures w14:val="none"/>
        </w:rPr>
      </w:pPr>
    </w:p>
    <w:p w14:paraId="4377BBED" w14:textId="637149F0" w:rsidR="00A62ED8" w:rsidRPr="0070387C" w:rsidRDefault="00A62ED8" w:rsidP="0070387C">
      <w:pPr>
        <w:pStyle w:val="Heading1"/>
        <w:spacing w:line="360" w:lineRule="auto"/>
        <w:jc w:val="both"/>
        <w:rPr>
          <w:rFonts w:ascii="Arial" w:hAnsi="Arial" w:cs="Arial"/>
          <w:sz w:val="22"/>
          <w:szCs w:val="22"/>
        </w:rPr>
      </w:pPr>
      <w:bookmarkStart w:id="4" w:name="_Toc214149581"/>
      <w:r w:rsidRPr="0070387C">
        <w:rPr>
          <w:rFonts w:ascii="Arial" w:hAnsi="Arial" w:cs="Arial"/>
          <w:sz w:val="22"/>
          <w:szCs w:val="22"/>
        </w:rPr>
        <w:t>3. The United Kingdom on SDG 3 and SDG 13</w:t>
      </w:r>
      <w:bookmarkEnd w:id="4"/>
    </w:p>
    <w:p w14:paraId="67AFB26D" w14:textId="0C2E6A09" w:rsidR="00A62ED8" w:rsidRPr="0070387C" w:rsidRDefault="00A62ED8" w:rsidP="0070387C">
      <w:pPr>
        <w:pStyle w:val="Heading2"/>
        <w:spacing w:line="360" w:lineRule="auto"/>
        <w:jc w:val="both"/>
        <w:rPr>
          <w:rFonts w:ascii="Arial" w:eastAsia="Times New Roman" w:hAnsi="Arial" w:cs="Arial"/>
          <w:sz w:val="22"/>
          <w:szCs w:val="22"/>
        </w:rPr>
      </w:pPr>
      <w:bookmarkStart w:id="5" w:name="_Toc214149582"/>
      <w:r w:rsidRPr="0070387C">
        <w:rPr>
          <w:rFonts w:ascii="Arial" w:eastAsia="Times New Roman" w:hAnsi="Arial" w:cs="Arial"/>
          <w:sz w:val="22"/>
          <w:szCs w:val="22"/>
        </w:rPr>
        <w:t>3.1 National Health and Sustainability Landscape</w:t>
      </w:r>
      <w:bookmarkEnd w:id="5"/>
    </w:p>
    <w:p w14:paraId="5A5CEBF1" w14:textId="7EA5F0A6" w:rsidR="00A62ED8" w:rsidRPr="00A62ED8" w:rsidRDefault="00A62ED8" w:rsidP="0070387C">
      <w:pPr>
        <w:spacing w:line="360" w:lineRule="auto"/>
        <w:jc w:val="both"/>
        <w:rPr>
          <w:rFonts w:ascii="Arial" w:eastAsia="Times New Roman" w:hAnsi="Arial" w:cs="Arial"/>
          <w:kern w:val="0"/>
          <w:lang w:val="en-US"/>
          <w14:ligatures w14:val="none"/>
        </w:rPr>
      </w:pPr>
      <w:r w:rsidRPr="00A62ED8">
        <w:rPr>
          <w:rFonts w:ascii="Arial" w:eastAsia="Times New Roman" w:hAnsi="Arial" w:cs="Arial"/>
          <w:kern w:val="0"/>
          <w14:ligatures w14:val="none"/>
        </w:rPr>
        <w:t xml:space="preserve">The United Kingdom has a proven goal on the provision of universal healthcare as well as the ambitious climate action, which is in line with SDG 3 (Good Health and Wellbeing) and SDG 13 (Climate Action). </w:t>
      </w:r>
      <w:r w:rsidR="008176B1" w:rsidRPr="0070387C">
        <w:rPr>
          <w:rFonts w:ascii="Arial" w:eastAsia="Times New Roman" w:hAnsi="Arial" w:cs="Arial"/>
          <w:kern w:val="0"/>
          <w14:ligatures w14:val="none"/>
        </w:rPr>
        <w:t>NHS England (2019)</w:t>
      </w:r>
      <w:r w:rsidR="008176B1" w:rsidRPr="0070387C">
        <w:rPr>
          <w:rFonts w:ascii="Arial" w:eastAsia="Times New Roman" w:hAnsi="Arial" w:cs="Arial"/>
          <w:kern w:val="0"/>
          <w:lang w:val="en-US"/>
          <w14:ligatures w14:val="none"/>
        </w:rPr>
        <w:t xml:space="preserve"> </w:t>
      </w:r>
      <w:r w:rsidRPr="00A62ED8">
        <w:rPr>
          <w:rFonts w:ascii="Arial" w:eastAsia="Times New Roman" w:hAnsi="Arial" w:cs="Arial"/>
          <w:kern w:val="0"/>
          <w14:ligatures w14:val="none"/>
        </w:rPr>
        <w:t>establishes a system-wide agenda of transformation that focuses on preventative care, digital innovation and health inequalities reduction. This aligns with the focus of the Sustainable Development Goals, which emphasizes enhancing health systems and population well-being. In line with this, the UK has incorporated climate action into law by establishing Net Zero by 2050 targeting significant cuts in carbon emissions in the transport, housing, industry, and healthcare sectors</w:t>
      </w:r>
      <w:r w:rsidR="00E8138F" w:rsidRPr="0070387C">
        <w:rPr>
          <w:rFonts w:ascii="Arial" w:eastAsia="Times New Roman" w:hAnsi="Arial" w:cs="Arial"/>
          <w:kern w:val="0"/>
          <w:lang w:val="en-US"/>
          <w14:ligatures w14:val="none"/>
        </w:rPr>
        <w:t xml:space="preserve"> </w:t>
      </w:r>
      <w:r w:rsidR="00E8138F" w:rsidRPr="0070387C">
        <w:rPr>
          <w:rFonts w:ascii="Arial" w:eastAsia="Times New Roman" w:hAnsi="Arial" w:cs="Arial"/>
          <w:kern w:val="0"/>
          <w14:ligatures w14:val="none"/>
        </w:rPr>
        <w:t>(European Commission, 2025)</w:t>
      </w:r>
      <w:r w:rsidR="00E8138F" w:rsidRPr="0070387C">
        <w:rPr>
          <w:rFonts w:ascii="Arial" w:eastAsia="Times New Roman" w:hAnsi="Arial" w:cs="Arial"/>
          <w:kern w:val="0"/>
          <w:lang w:val="en-US"/>
          <w14:ligatures w14:val="none"/>
        </w:rPr>
        <w:t>.</w:t>
      </w:r>
      <w:r w:rsidRPr="00A62ED8">
        <w:rPr>
          <w:rFonts w:ascii="Arial" w:eastAsia="Times New Roman" w:hAnsi="Arial" w:cs="Arial"/>
          <w:kern w:val="0"/>
          <w14:ligatures w14:val="none"/>
        </w:rPr>
        <w:t xml:space="preserve"> The Environment Act (2021) and Clean Air Strategy (2019) are among the policies that emphasize the government's role in enhancing environmental conditions that affect health outcomes, given the close interrelationship between climate, sustainability, and health</w:t>
      </w:r>
      <w:r w:rsidR="00E8138F" w:rsidRPr="0070387C">
        <w:rPr>
          <w:rFonts w:ascii="Arial" w:eastAsia="Times New Roman" w:hAnsi="Arial" w:cs="Arial"/>
          <w:kern w:val="0"/>
          <w:lang w:val="en-US"/>
          <w14:ligatures w14:val="none"/>
        </w:rPr>
        <w:t xml:space="preserve"> </w:t>
      </w:r>
      <w:r w:rsidR="00E8138F" w:rsidRPr="0070387C">
        <w:rPr>
          <w:rFonts w:ascii="Arial" w:eastAsia="Times New Roman" w:hAnsi="Arial" w:cs="Arial"/>
          <w:kern w:val="0"/>
          <w14:ligatures w14:val="none"/>
        </w:rPr>
        <w:t>(Feng et al., 2024)</w:t>
      </w:r>
      <w:r w:rsidR="00E8138F" w:rsidRPr="0070387C">
        <w:rPr>
          <w:rFonts w:ascii="Arial" w:eastAsia="Times New Roman" w:hAnsi="Arial" w:cs="Arial"/>
          <w:kern w:val="0"/>
          <w:lang w:val="en-US"/>
          <w14:ligatures w14:val="none"/>
        </w:rPr>
        <w:t>.</w:t>
      </w:r>
    </w:p>
    <w:p w14:paraId="0CE5FB03" w14:textId="77777777" w:rsidR="00A62ED8" w:rsidRPr="0070387C" w:rsidRDefault="00A62ED8" w:rsidP="0070387C">
      <w:pPr>
        <w:spacing w:after="120" w:line="360" w:lineRule="auto"/>
        <w:jc w:val="both"/>
        <w:rPr>
          <w:rFonts w:ascii="Arial" w:eastAsia="Times New Roman" w:hAnsi="Arial" w:cs="Arial"/>
          <w:kern w:val="0"/>
          <w14:ligatures w14:val="none"/>
        </w:rPr>
      </w:pPr>
    </w:p>
    <w:p w14:paraId="39D46F6B" w14:textId="03B579B2" w:rsidR="00A62ED8" w:rsidRPr="0070387C" w:rsidRDefault="00A62ED8" w:rsidP="0070387C">
      <w:pPr>
        <w:pStyle w:val="Heading2"/>
        <w:spacing w:line="360" w:lineRule="auto"/>
        <w:jc w:val="both"/>
        <w:rPr>
          <w:rFonts w:ascii="Arial" w:eastAsia="Times New Roman" w:hAnsi="Arial" w:cs="Arial"/>
          <w:sz w:val="22"/>
          <w:szCs w:val="22"/>
        </w:rPr>
      </w:pPr>
      <w:bookmarkStart w:id="6" w:name="_Toc214149583"/>
      <w:r w:rsidRPr="0070387C">
        <w:rPr>
          <w:rFonts w:ascii="Arial" w:eastAsia="Times New Roman" w:hAnsi="Arial" w:cs="Arial"/>
          <w:sz w:val="22"/>
          <w:szCs w:val="22"/>
        </w:rPr>
        <w:t>3.2 Effect of SDGs on National Health and Wellbeing</w:t>
      </w:r>
      <w:bookmarkEnd w:id="6"/>
    </w:p>
    <w:p w14:paraId="25C320CF" w14:textId="54FC0448" w:rsidR="00A62ED8" w:rsidRPr="0070387C" w:rsidRDefault="00A62ED8" w:rsidP="0070387C">
      <w:pPr>
        <w:spacing w:line="360" w:lineRule="auto"/>
        <w:jc w:val="both"/>
        <w:rPr>
          <w:rFonts w:ascii="Arial" w:eastAsia="Times New Roman" w:hAnsi="Arial" w:cs="Arial"/>
          <w:kern w:val="0"/>
          <w14:ligatures w14:val="none"/>
        </w:rPr>
      </w:pPr>
      <w:r w:rsidRPr="00A62ED8">
        <w:rPr>
          <w:rFonts w:ascii="Arial" w:eastAsia="Times New Roman" w:hAnsi="Arial" w:cs="Arial"/>
          <w:kern w:val="0"/>
          <w14:ligatures w14:val="none"/>
        </w:rPr>
        <w:t xml:space="preserve">The implementation of SDG 3 is reflected in several positive national health trends. The rates of smoking have been on the decline and the cancer detection and survival programmes have been </w:t>
      </w:r>
      <w:r w:rsidRPr="00A62ED8">
        <w:rPr>
          <w:rFonts w:ascii="Arial" w:eastAsia="Times New Roman" w:hAnsi="Arial" w:cs="Arial"/>
          <w:kern w:val="0"/>
          <w14:ligatures w14:val="none"/>
        </w:rPr>
        <w:lastRenderedPageBreak/>
        <w:t xml:space="preserve">reinforced. Nevertheless, the UK faces significant obstacles that prevent it from achieving SDG 3 in full. The broadening of health disparities, increasing numbers of mental health conditions, and dire post-COVID-related system loads have revealed frailties in service capacity and resources distribution </w:t>
      </w:r>
      <w:r w:rsidR="00D26072" w:rsidRPr="0070387C">
        <w:rPr>
          <w:rFonts w:ascii="Arial" w:eastAsia="Times New Roman" w:hAnsi="Arial" w:cs="Arial"/>
          <w:kern w:val="0"/>
          <w14:ligatures w14:val="none"/>
        </w:rPr>
        <w:t>(World Health Organization, 2022)</w:t>
      </w:r>
      <w:r w:rsidR="00D26072" w:rsidRPr="0070387C">
        <w:rPr>
          <w:rFonts w:ascii="Arial" w:eastAsia="Times New Roman" w:hAnsi="Arial" w:cs="Arial"/>
          <w:kern w:val="0"/>
          <w:lang w:val="en-US"/>
          <w14:ligatures w14:val="none"/>
        </w:rPr>
        <w:t xml:space="preserve">. </w:t>
      </w:r>
      <w:r w:rsidRPr="00A62ED8">
        <w:rPr>
          <w:rFonts w:ascii="Arial" w:eastAsia="Times New Roman" w:hAnsi="Arial" w:cs="Arial"/>
          <w:kern w:val="0"/>
          <w14:ligatures w14:val="none"/>
        </w:rPr>
        <w:t>Similarly, the rising effects of climate change pose direct and indirect health risks that are pertinent to SDG 13. Heat-related deaths, increased risk of floods and displacement, and consistently elevated air pollution levels have been on the rise in recent years</w:t>
      </w:r>
      <w:r w:rsidR="002D7D71" w:rsidRPr="0070387C">
        <w:rPr>
          <w:rFonts w:ascii="Arial" w:eastAsia="Times New Roman" w:hAnsi="Arial" w:cs="Arial"/>
          <w:kern w:val="0"/>
          <w:lang w:val="en-US"/>
          <w14:ligatures w14:val="none"/>
        </w:rPr>
        <w:t xml:space="preserve"> </w:t>
      </w:r>
      <w:r w:rsidR="002D7D71" w:rsidRPr="0070387C">
        <w:rPr>
          <w:rFonts w:ascii="Arial" w:eastAsia="Times New Roman" w:hAnsi="Arial" w:cs="Arial"/>
          <w:kern w:val="0"/>
          <w14:ligatures w14:val="none"/>
        </w:rPr>
        <w:t>(EPA, 2024)</w:t>
      </w:r>
      <w:r w:rsidR="002D7D71" w:rsidRPr="0070387C">
        <w:rPr>
          <w:rFonts w:ascii="Arial" w:eastAsia="Times New Roman" w:hAnsi="Arial" w:cs="Arial"/>
          <w:kern w:val="0"/>
          <w:lang w:val="en-US"/>
          <w14:ligatures w14:val="none"/>
        </w:rPr>
        <w:t xml:space="preserve">. </w:t>
      </w:r>
      <w:r w:rsidRPr="00A62ED8">
        <w:rPr>
          <w:rFonts w:ascii="Arial" w:eastAsia="Times New Roman" w:hAnsi="Arial" w:cs="Arial"/>
          <w:kern w:val="0"/>
          <w14:ligatures w14:val="none"/>
        </w:rPr>
        <w:t>Despite the national policies like the Clean Air Strategy and the Heat and Health Plan (2023) being forward-looking, the implementation continues to be irregular.</w:t>
      </w:r>
    </w:p>
    <w:p w14:paraId="7C31AF15" w14:textId="1916B0D1" w:rsidR="00A62ED8" w:rsidRPr="0070387C" w:rsidRDefault="00A62ED8" w:rsidP="0070387C">
      <w:pPr>
        <w:spacing w:after="120" w:line="360" w:lineRule="auto"/>
        <w:jc w:val="both"/>
        <w:rPr>
          <w:rFonts w:ascii="Arial" w:eastAsia="Times New Roman" w:hAnsi="Arial" w:cs="Arial"/>
          <w:kern w:val="0"/>
          <w14:ligatures w14:val="none"/>
        </w:rPr>
      </w:pPr>
    </w:p>
    <w:p w14:paraId="6E2B3176" w14:textId="77777777" w:rsidR="004B4B85" w:rsidRPr="0070387C" w:rsidRDefault="004B4B85" w:rsidP="0070387C">
      <w:pPr>
        <w:pStyle w:val="Heading2"/>
        <w:spacing w:line="360" w:lineRule="auto"/>
        <w:jc w:val="both"/>
        <w:rPr>
          <w:rFonts w:ascii="Arial" w:eastAsia="Times New Roman" w:hAnsi="Arial" w:cs="Arial"/>
          <w:sz w:val="22"/>
          <w:szCs w:val="22"/>
        </w:rPr>
      </w:pPr>
      <w:bookmarkStart w:id="7" w:name="_Toc214149584"/>
      <w:r w:rsidRPr="0070387C">
        <w:rPr>
          <w:rFonts w:ascii="Arial" w:eastAsia="Times New Roman" w:hAnsi="Arial" w:cs="Arial"/>
          <w:sz w:val="22"/>
          <w:szCs w:val="22"/>
        </w:rPr>
        <w:t>3.3 National Policy Evaluation</w:t>
      </w:r>
      <w:bookmarkEnd w:id="7"/>
    </w:p>
    <w:p w14:paraId="0A1572A2" w14:textId="2B9829FC" w:rsidR="004B4B85" w:rsidRPr="0070387C" w:rsidRDefault="004B4B85" w:rsidP="0070387C">
      <w:pPr>
        <w:spacing w:line="360" w:lineRule="auto"/>
        <w:jc w:val="both"/>
        <w:rPr>
          <w:rFonts w:ascii="Arial" w:eastAsia="Times New Roman" w:hAnsi="Arial" w:cs="Arial"/>
          <w:kern w:val="0"/>
          <w14:ligatures w14:val="none"/>
        </w:rPr>
      </w:pPr>
      <w:r w:rsidRPr="004B4B85">
        <w:rPr>
          <w:rFonts w:ascii="Arial" w:eastAsia="Times New Roman" w:hAnsi="Arial" w:cs="Arial"/>
          <w:kern w:val="0"/>
          <w14:ligatures w14:val="none"/>
        </w:rPr>
        <w:t>The policy framework in the UK has several strengths. The Climate Change Act (2008) provides a legally binding framework for reducing emissions, and the NHS is recognized as the first national health service to pledge to reach Net Zero globally</w:t>
      </w:r>
      <w:r w:rsidR="00EC1DD0" w:rsidRPr="0070387C">
        <w:rPr>
          <w:rFonts w:ascii="Arial" w:eastAsia="Times New Roman" w:hAnsi="Arial" w:cs="Arial"/>
          <w:kern w:val="0"/>
          <w:lang w:val="en-US"/>
          <w14:ligatures w14:val="none"/>
        </w:rPr>
        <w:t xml:space="preserve"> </w:t>
      </w:r>
      <w:r w:rsidR="00EC1DD0" w:rsidRPr="0070387C">
        <w:rPr>
          <w:rFonts w:ascii="Arial" w:eastAsia="Times New Roman" w:hAnsi="Arial" w:cs="Arial"/>
          <w:kern w:val="0"/>
          <w14:ligatures w14:val="none"/>
        </w:rPr>
        <w:t>(Richie &amp; Samuel, 2025)</w:t>
      </w:r>
      <w:r w:rsidR="00EC1DD0" w:rsidRPr="0070387C">
        <w:rPr>
          <w:rFonts w:ascii="Arial" w:eastAsia="Times New Roman" w:hAnsi="Arial" w:cs="Arial"/>
          <w:kern w:val="0"/>
          <w:lang w:val="en-US"/>
          <w14:ligatures w14:val="none"/>
        </w:rPr>
        <w:t>.</w:t>
      </w:r>
      <w:r w:rsidRPr="004B4B85">
        <w:rPr>
          <w:rFonts w:ascii="Arial" w:eastAsia="Times New Roman" w:hAnsi="Arial" w:cs="Arial"/>
          <w:kern w:val="0"/>
          <w14:ligatures w14:val="none"/>
        </w:rPr>
        <w:t xml:space="preserve"> The UK enjoys good systems of surveillance of public health as well. Despite this, significant shortcomings still exist. Deep-rooted inequalities are reflected in a postcode lottery in health outcomes. The advancements in lowering transport and housing emissions have been minimal, and preventative services have been undermined by the long-term decrease in funding for public health since 2015. Also, the mental health system is overstretched, and the wait is long. Altogether, these problems demonstrate how structural and socio-economic considerations still limit the successful implementation of SDG, even with a high level of policy ambition.</w:t>
      </w:r>
    </w:p>
    <w:p w14:paraId="7C2C2719" w14:textId="44E4F2D4" w:rsidR="004B4B85" w:rsidRPr="0070387C" w:rsidRDefault="004B4B85" w:rsidP="0070387C">
      <w:pPr>
        <w:spacing w:after="120" w:line="360" w:lineRule="auto"/>
        <w:jc w:val="both"/>
        <w:rPr>
          <w:rFonts w:ascii="Arial" w:eastAsia="Times New Roman" w:hAnsi="Arial" w:cs="Arial"/>
          <w:kern w:val="0"/>
          <w14:ligatures w14:val="none"/>
        </w:rPr>
      </w:pPr>
    </w:p>
    <w:p w14:paraId="7ABE8AD6" w14:textId="77777777" w:rsidR="0023686A" w:rsidRPr="0070387C" w:rsidRDefault="0023686A" w:rsidP="0070387C">
      <w:pPr>
        <w:pStyle w:val="Heading1"/>
        <w:spacing w:line="360" w:lineRule="auto"/>
        <w:jc w:val="both"/>
        <w:rPr>
          <w:rFonts w:ascii="Arial" w:hAnsi="Arial" w:cs="Arial"/>
          <w:sz w:val="22"/>
          <w:szCs w:val="22"/>
        </w:rPr>
      </w:pPr>
      <w:bookmarkStart w:id="8" w:name="_Toc214149585"/>
      <w:r w:rsidRPr="0070387C">
        <w:rPr>
          <w:rFonts w:ascii="Arial" w:hAnsi="Arial" w:cs="Arial"/>
          <w:sz w:val="22"/>
          <w:szCs w:val="22"/>
        </w:rPr>
        <w:t>4. Birmingham Local Analysis: Health and Sustainability</w:t>
      </w:r>
      <w:bookmarkEnd w:id="8"/>
    </w:p>
    <w:p w14:paraId="7AE14028" w14:textId="77777777" w:rsidR="0023686A" w:rsidRPr="0023686A" w:rsidRDefault="0023686A" w:rsidP="0070387C">
      <w:pPr>
        <w:spacing w:after="120" w:line="360" w:lineRule="auto"/>
        <w:jc w:val="both"/>
        <w:rPr>
          <w:rFonts w:ascii="Arial" w:eastAsia="Times New Roman" w:hAnsi="Arial" w:cs="Arial"/>
          <w:kern w:val="0"/>
          <w14:ligatures w14:val="none"/>
        </w:rPr>
      </w:pPr>
      <w:r w:rsidRPr="0023686A">
        <w:rPr>
          <w:rFonts w:ascii="Arial" w:eastAsia="Times New Roman" w:hAnsi="Arial" w:cs="Arial"/>
          <w:kern w:val="0"/>
          <w14:ligatures w14:val="none"/>
        </w:rPr>
        <w:t>Birmingham, which is the second largest and one of the most diverse cities in the UK, is an effective background in the measurement of local SDG 3 (Good Health and Wellbeing) and SDG 13 (Climate Action) implementation. Local conditions are a complex intersection of socio-economic inequality, environmental issues, and communal health priorities.</w:t>
      </w:r>
    </w:p>
    <w:p w14:paraId="2C82B616" w14:textId="77777777" w:rsidR="0023686A" w:rsidRPr="0070387C" w:rsidRDefault="0023686A" w:rsidP="0070387C">
      <w:pPr>
        <w:spacing w:after="120" w:line="360" w:lineRule="auto"/>
        <w:jc w:val="both"/>
        <w:rPr>
          <w:rFonts w:ascii="Arial" w:eastAsia="Times New Roman" w:hAnsi="Arial" w:cs="Arial"/>
          <w:kern w:val="0"/>
          <w14:ligatures w14:val="none"/>
        </w:rPr>
      </w:pPr>
    </w:p>
    <w:p w14:paraId="2E6727A8" w14:textId="0D2A581B" w:rsidR="0023686A" w:rsidRPr="0070387C" w:rsidRDefault="0023686A" w:rsidP="0070387C">
      <w:pPr>
        <w:pStyle w:val="Heading2"/>
        <w:spacing w:line="360" w:lineRule="auto"/>
        <w:jc w:val="both"/>
        <w:rPr>
          <w:rFonts w:ascii="Arial" w:eastAsia="Times New Roman" w:hAnsi="Arial" w:cs="Arial"/>
          <w:sz w:val="22"/>
          <w:szCs w:val="22"/>
        </w:rPr>
      </w:pPr>
      <w:bookmarkStart w:id="9" w:name="_Toc214149586"/>
      <w:r w:rsidRPr="0070387C">
        <w:rPr>
          <w:rFonts w:ascii="Arial" w:eastAsia="Times New Roman" w:hAnsi="Arial" w:cs="Arial"/>
          <w:sz w:val="22"/>
          <w:szCs w:val="22"/>
        </w:rPr>
        <w:t>4.1 Local Health Context</w:t>
      </w:r>
      <w:bookmarkEnd w:id="9"/>
    </w:p>
    <w:p w14:paraId="46692BE0" w14:textId="049B3546" w:rsidR="0023686A" w:rsidRPr="0023686A" w:rsidRDefault="0023686A" w:rsidP="0070387C">
      <w:pPr>
        <w:spacing w:line="360" w:lineRule="auto"/>
        <w:jc w:val="both"/>
        <w:rPr>
          <w:rFonts w:ascii="Arial" w:eastAsia="Times New Roman" w:hAnsi="Arial" w:cs="Arial"/>
          <w:kern w:val="0"/>
          <w14:ligatures w14:val="none"/>
        </w:rPr>
      </w:pPr>
      <w:r w:rsidRPr="0023686A">
        <w:rPr>
          <w:rFonts w:ascii="Arial" w:eastAsia="Times New Roman" w:hAnsi="Arial" w:cs="Arial"/>
          <w:kern w:val="0"/>
          <w14:ligatures w14:val="none"/>
        </w:rPr>
        <w:t>Birmingham has witnessed some of the worst cases of deprivation in England and these socioeconomic issues greatly influence the health outcomes in the city. There is a difference of over 10 years between the richest and the poorest neighbourhoods in life expectancy</w:t>
      </w:r>
      <w:r w:rsidR="00162BE2" w:rsidRPr="0070387C">
        <w:rPr>
          <w:rFonts w:ascii="Arial" w:eastAsia="Times New Roman" w:hAnsi="Arial" w:cs="Arial"/>
          <w:kern w:val="0"/>
          <w:lang w:val="en-US"/>
          <w14:ligatures w14:val="none"/>
        </w:rPr>
        <w:t xml:space="preserve"> </w:t>
      </w:r>
      <w:r w:rsidRPr="0023686A">
        <w:rPr>
          <w:rFonts w:ascii="Arial" w:eastAsia="Times New Roman" w:hAnsi="Arial" w:cs="Arial"/>
          <w:kern w:val="0"/>
          <w14:ligatures w14:val="none"/>
        </w:rPr>
        <w:t xml:space="preserve">and this </w:t>
      </w:r>
      <w:r w:rsidRPr="0023686A">
        <w:rPr>
          <w:rFonts w:ascii="Arial" w:eastAsia="Times New Roman" w:hAnsi="Arial" w:cs="Arial"/>
          <w:kern w:val="0"/>
          <w14:ligatures w14:val="none"/>
        </w:rPr>
        <w:lastRenderedPageBreak/>
        <w:t>fact demonstrates huge geographical health disparities</w:t>
      </w:r>
      <w:r w:rsidR="00162BE2" w:rsidRPr="0070387C">
        <w:rPr>
          <w:rFonts w:ascii="Arial" w:eastAsia="Times New Roman" w:hAnsi="Arial" w:cs="Arial"/>
          <w:kern w:val="0"/>
          <w:lang w:val="en-US"/>
          <w14:ligatures w14:val="none"/>
        </w:rPr>
        <w:t xml:space="preserve"> </w:t>
      </w:r>
      <w:r w:rsidR="00162BE2" w:rsidRPr="0070387C">
        <w:rPr>
          <w:rFonts w:ascii="Arial" w:eastAsia="Times New Roman" w:hAnsi="Arial" w:cs="Arial"/>
          <w:kern w:val="0"/>
          <w14:ligatures w14:val="none"/>
        </w:rPr>
        <w:t>(Lally et al., 2025)</w:t>
      </w:r>
      <w:r w:rsidR="00162BE2" w:rsidRPr="0070387C">
        <w:rPr>
          <w:rFonts w:ascii="Arial" w:eastAsia="Times New Roman" w:hAnsi="Arial" w:cs="Arial"/>
          <w:kern w:val="0"/>
          <w:lang w:val="en-US"/>
          <w14:ligatures w14:val="none"/>
        </w:rPr>
        <w:t>.</w:t>
      </w:r>
      <w:r w:rsidRPr="0023686A">
        <w:rPr>
          <w:rFonts w:ascii="Arial" w:eastAsia="Times New Roman" w:hAnsi="Arial" w:cs="Arial"/>
          <w:kern w:val="0"/>
          <w14:ligatures w14:val="none"/>
        </w:rPr>
        <w:t xml:space="preserve"> Some of the common health issues are obesity, type 2 diabetes, cardiovascular problems, and rising cases of mental ill-health</w:t>
      </w:r>
      <w:r w:rsidR="00162BE2" w:rsidRPr="0070387C">
        <w:rPr>
          <w:rFonts w:ascii="Arial" w:eastAsia="Times New Roman" w:hAnsi="Arial" w:cs="Arial"/>
          <w:kern w:val="0"/>
          <w:lang w:val="en-US"/>
          <w14:ligatures w14:val="none"/>
        </w:rPr>
        <w:t xml:space="preserve"> </w:t>
      </w:r>
      <w:r w:rsidR="00162BE2" w:rsidRPr="0070387C">
        <w:rPr>
          <w:rFonts w:ascii="Arial" w:eastAsia="Times New Roman" w:hAnsi="Arial" w:cs="Arial"/>
          <w:kern w:val="0"/>
          <w14:ligatures w14:val="none"/>
        </w:rPr>
        <w:t>(Yashi &amp; Daley, 2023)</w:t>
      </w:r>
      <w:r w:rsidR="00162BE2" w:rsidRPr="0070387C">
        <w:rPr>
          <w:rFonts w:ascii="Arial" w:eastAsia="Times New Roman" w:hAnsi="Arial" w:cs="Arial"/>
          <w:kern w:val="0"/>
          <w:lang w:val="en-US"/>
          <w14:ligatures w14:val="none"/>
        </w:rPr>
        <w:t xml:space="preserve">. </w:t>
      </w:r>
      <w:r w:rsidRPr="0023686A">
        <w:rPr>
          <w:rFonts w:ascii="Arial" w:eastAsia="Times New Roman" w:hAnsi="Arial" w:cs="Arial"/>
          <w:kern w:val="0"/>
          <w14:ligatures w14:val="none"/>
        </w:rPr>
        <w:t>The trends are highly consistent with the Social Determinants of Health framework, as they demonstrate how income, housing, employment, ethnicity, and environmental exposures influence wellbeing.</w:t>
      </w:r>
    </w:p>
    <w:p w14:paraId="0A5CDA65" w14:textId="77777777" w:rsidR="0023686A" w:rsidRPr="0070387C" w:rsidRDefault="0023686A" w:rsidP="0070387C">
      <w:pPr>
        <w:spacing w:after="120" w:line="360" w:lineRule="auto"/>
        <w:jc w:val="both"/>
        <w:rPr>
          <w:rFonts w:ascii="Arial" w:eastAsia="Times New Roman" w:hAnsi="Arial" w:cs="Arial"/>
          <w:kern w:val="0"/>
          <w14:ligatures w14:val="none"/>
        </w:rPr>
      </w:pPr>
    </w:p>
    <w:p w14:paraId="4BC51407" w14:textId="7BBDEE9F" w:rsidR="0023686A" w:rsidRPr="0070387C" w:rsidRDefault="0023686A" w:rsidP="0070387C">
      <w:pPr>
        <w:pStyle w:val="Heading2"/>
        <w:spacing w:line="360" w:lineRule="auto"/>
        <w:jc w:val="both"/>
        <w:rPr>
          <w:rFonts w:ascii="Arial" w:eastAsia="Times New Roman" w:hAnsi="Arial" w:cs="Arial"/>
          <w:sz w:val="22"/>
          <w:szCs w:val="22"/>
        </w:rPr>
      </w:pPr>
      <w:bookmarkStart w:id="10" w:name="_Toc214149587"/>
      <w:r w:rsidRPr="0070387C">
        <w:rPr>
          <w:rFonts w:ascii="Arial" w:eastAsia="Times New Roman" w:hAnsi="Arial" w:cs="Arial"/>
          <w:sz w:val="22"/>
          <w:szCs w:val="22"/>
        </w:rPr>
        <w:t>4.2 Local Sustainability and SDG 13 Implications</w:t>
      </w:r>
      <w:bookmarkEnd w:id="10"/>
    </w:p>
    <w:p w14:paraId="629E40B5" w14:textId="40A1AFE8" w:rsidR="0023686A" w:rsidRPr="0023686A" w:rsidRDefault="0023686A" w:rsidP="0070387C">
      <w:pPr>
        <w:spacing w:line="360" w:lineRule="auto"/>
        <w:jc w:val="both"/>
        <w:rPr>
          <w:rFonts w:ascii="Arial" w:eastAsia="Times New Roman" w:hAnsi="Arial" w:cs="Arial"/>
          <w:kern w:val="0"/>
          <w14:ligatures w14:val="none"/>
        </w:rPr>
      </w:pPr>
      <w:r w:rsidRPr="0023686A">
        <w:rPr>
          <w:rFonts w:ascii="Arial" w:eastAsia="Times New Roman" w:hAnsi="Arial" w:cs="Arial"/>
          <w:kern w:val="0"/>
          <w14:ligatures w14:val="none"/>
        </w:rPr>
        <w:t>Birmingham is surrounded by environments which add pressure to public health</w:t>
      </w:r>
      <w:r w:rsidR="00212DC2" w:rsidRPr="0070387C">
        <w:rPr>
          <w:rFonts w:ascii="Arial" w:eastAsia="Times New Roman" w:hAnsi="Arial" w:cs="Arial"/>
          <w:kern w:val="0"/>
          <w:lang w:val="en-US"/>
          <w14:ligatures w14:val="none"/>
        </w:rPr>
        <w:t xml:space="preserve"> </w:t>
      </w:r>
      <w:r w:rsidR="00212DC2" w:rsidRPr="0070387C">
        <w:rPr>
          <w:rFonts w:ascii="Arial" w:eastAsia="Times New Roman" w:hAnsi="Arial" w:cs="Arial"/>
          <w:kern w:val="0"/>
          <w14:ligatures w14:val="none"/>
        </w:rPr>
        <w:t>(Bassett et al., 2011)</w:t>
      </w:r>
      <w:r w:rsidR="00212DC2" w:rsidRPr="0070387C">
        <w:rPr>
          <w:rFonts w:ascii="Arial" w:eastAsia="Times New Roman" w:hAnsi="Arial" w:cs="Arial"/>
          <w:kern w:val="0"/>
          <w:lang w:val="en-US"/>
          <w14:ligatures w14:val="none"/>
        </w:rPr>
        <w:t>.</w:t>
      </w:r>
      <w:r w:rsidRPr="0023686A">
        <w:rPr>
          <w:rFonts w:ascii="Arial" w:eastAsia="Times New Roman" w:hAnsi="Arial" w:cs="Arial"/>
          <w:kern w:val="0"/>
          <w14:ligatures w14:val="none"/>
        </w:rPr>
        <w:t xml:space="preserve"> The city has one of the busiest and most polluted road systems in the UK, which contributes to increased levels of nitrogen dioxide. The effects of urban heat islands and uneven availability of quality green areas, especially in the underprivileged wards, place disadvantaged groups at risk of climate-related hazards, including heat stress and respiratory disease. Social disadvantage and climate vulnerability exacerbate local health inequalities and increase the predisposition to environmental risks.</w:t>
      </w:r>
    </w:p>
    <w:p w14:paraId="60EB63C9" w14:textId="77777777" w:rsidR="0023686A" w:rsidRPr="0070387C" w:rsidRDefault="0023686A" w:rsidP="0070387C">
      <w:pPr>
        <w:spacing w:after="120" w:line="360" w:lineRule="auto"/>
        <w:jc w:val="both"/>
        <w:rPr>
          <w:rFonts w:ascii="Arial" w:eastAsia="Times New Roman" w:hAnsi="Arial" w:cs="Arial"/>
          <w:kern w:val="0"/>
          <w14:ligatures w14:val="none"/>
        </w:rPr>
      </w:pPr>
    </w:p>
    <w:p w14:paraId="6C255CBB" w14:textId="09C9D8C8" w:rsidR="0023686A" w:rsidRPr="0070387C" w:rsidRDefault="0023686A" w:rsidP="0070387C">
      <w:pPr>
        <w:pStyle w:val="Heading2"/>
        <w:spacing w:line="360" w:lineRule="auto"/>
        <w:jc w:val="both"/>
        <w:rPr>
          <w:rFonts w:ascii="Arial" w:eastAsia="Times New Roman" w:hAnsi="Arial" w:cs="Arial"/>
          <w:sz w:val="22"/>
          <w:szCs w:val="22"/>
        </w:rPr>
      </w:pPr>
      <w:bookmarkStart w:id="11" w:name="_Toc214149588"/>
      <w:r w:rsidRPr="0070387C">
        <w:rPr>
          <w:rFonts w:ascii="Arial" w:eastAsia="Times New Roman" w:hAnsi="Arial" w:cs="Arial"/>
          <w:sz w:val="22"/>
          <w:szCs w:val="22"/>
        </w:rPr>
        <w:t>4.3. Evaluation of Local Policies.</w:t>
      </w:r>
      <w:bookmarkEnd w:id="11"/>
    </w:p>
    <w:p w14:paraId="2AFFEA9D" w14:textId="3A4A1521" w:rsidR="0023686A" w:rsidRPr="00FE47D5" w:rsidRDefault="003E374E" w:rsidP="00FE47D5">
      <w:pPr>
        <w:spacing w:line="360" w:lineRule="auto"/>
        <w:jc w:val="both"/>
        <w:rPr>
          <w:rFonts w:ascii="Arial" w:eastAsia="Times New Roman" w:hAnsi="Arial" w:cs="Arial"/>
          <w:kern w:val="0"/>
          <w14:ligatures w14:val="none"/>
        </w:rPr>
      </w:pPr>
      <w:r w:rsidRPr="003E374E">
        <w:rPr>
          <w:rFonts w:ascii="Arial" w:eastAsia="Times New Roman" w:hAnsi="Arial" w:cs="Arial"/>
          <w:kern w:val="0"/>
          <w14:ligatures w14:val="none"/>
        </w:rPr>
        <w:t xml:space="preserve">In 2021, the Birmingham Clean Air Zone (CAZ) was established to reduce the release of NO2 by addressing vehicles that emit a significant number of pollutants (Liu et al., 2023). It has also been seen that there has been an improvement in air quality around the city centre, yet critics think that low-income drivers are the most affected by the policy and that the positive effects of the policy on the different neighbourhoods are not distributed equally. The strategy of the Birmingham Health and Wellbeing 2022-2030 is based on community resilience, children's mental health, and wellbeing (Birmingham City Council, 2023). </w:t>
      </w:r>
      <w:r w:rsidR="00AF7D70" w:rsidRPr="00FE47D5">
        <w:rPr>
          <w:rFonts w:ascii="Arial" w:eastAsia="Times New Roman" w:hAnsi="Arial" w:cs="Arial"/>
          <w:kern w:val="0"/>
          <w14:ligatures w14:val="none"/>
        </w:rPr>
        <w:t xml:space="preserve">Although the plan facilitated the formation of cooperation between the agencies and the application of preventive measures, the task is very demanding due to the scarcity of funds, the absence of integration between health and climate policies, and the inability to offer culturally sensitive services to various groups of people in the city of Birmingham. The sustainability integration of local health encompasses an approach that considers local health, climate change, land use, and the positive impacts on human health and happiness (Fox et al., 2019). The steps to raise the city's green credentials, such as the Active Streets project and the Birmingham Cycle Revolution, demonstrate that the city is working to align its goals with reducing the city's climate and health footprint. </w:t>
      </w:r>
      <w:r w:rsidR="0023686A" w:rsidRPr="00FE47D5">
        <w:rPr>
          <w:rFonts w:ascii="Arial" w:eastAsia="Times New Roman" w:hAnsi="Arial" w:cs="Arial"/>
          <w:kern w:val="0"/>
          <w14:ligatures w14:val="none"/>
        </w:rPr>
        <w:t xml:space="preserve">These programmes support the SDG 3 and SDG 13 to encourage physical activities and to limit pollution. Nevertheless, the progress </w:t>
      </w:r>
      <w:r w:rsidR="0023686A" w:rsidRPr="00FE47D5">
        <w:rPr>
          <w:rFonts w:ascii="Arial" w:eastAsia="Times New Roman" w:hAnsi="Arial" w:cs="Arial"/>
          <w:kern w:val="0"/>
          <w14:ligatures w14:val="none"/>
        </w:rPr>
        <w:lastRenderedPageBreak/>
        <w:t>is not homogenous because of socio-economic barriers, ignorance, and infrastructure constraints, and more inclusive and accessible methods are needed.</w:t>
      </w:r>
    </w:p>
    <w:p w14:paraId="2BCD955C" w14:textId="08E7BC3F" w:rsidR="0023686A" w:rsidRPr="0070387C" w:rsidRDefault="0023686A" w:rsidP="0070387C">
      <w:pPr>
        <w:spacing w:after="120" w:line="360" w:lineRule="auto"/>
        <w:jc w:val="both"/>
        <w:rPr>
          <w:rFonts w:ascii="Arial" w:eastAsia="Times New Roman" w:hAnsi="Arial" w:cs="Arial"/>
          <w:kern w:val="0"/>
          <w14:ligatures w14:val="none"/>
        </w:rPr>
      </w:pPr>
    </w:p>
    <w:p w14:paraId="1D8FE572" w14:textId="42ABCEF9" w:rsidR="00FD65E9" w:rsidRPr="00FD65E9" w:rsidRDefault="00FD65E9" w:rsidP="00FD65E9">
      <w:pPr>
        <w:pStyle w:val="Heading1"/>
        <w:spacing w:line="360" w:lineRule="auto"/>
        <w:jc w:val="both"/>
        <w:rPr>
          <w:rFonts w:ascii="Arial" w:hAnsi="Arial" w:cs="Arial"/>
          <w:sz w:val="22"/>
          <w:szCs w:val="22"/>
        </w:rPr>
      </w:pPr>
      <w:r w:rsidRPr="00FD65E9">
        <w:rPr>
          <w:rFonts w:ascii="Arial" w:hAnsi="Arial" w:cs="Arial"/>
          <w:sz w:val="22"/>
          <w:szCs w:val="22"/>
        </w:rPr>
        <w:t>5. Critical Analysis using Public Health and Sustainability Theories</w:t>
      </w:r>
    </w:p>
    <w:p w14:paraId="34621829" w14:textId="77777777" w:rsidR="00FD65E9" w:rsidRPr="00FD65E9" w:rsidRDefault="00FD65E9" w:rsidP="00FD65E9">
      <w:pPr>
        <w:spacing w:after="120" w:line="360" w:lineRule="auto"/>
        <w:jc w:val="both"/>
        <w:rPr>
          <w:rFonts w:ascii="Arial" w:eastAsia="Times New Roman" w:hAnsi="Arial" w:cs="Arial"/>
          <w:kern w:val="0"/>
          <w14:ligatures w14:val="none"/>
        </w:rPr>
      </w:pPr>
      <w:r w:rsidRPr="00FD65E9">
        <w:rPr>
          <w:rFonts w:ascii="Arial" w:eastAsia="Times New Roman" w:hAnsi="Arial" w:cs="Arial"/>
          <w:kern w:val="0"/>
          <w14:ligatures w14:val="none"/>
        </w:rPr>
        <w:t>To develop a critical analysis of national and local policies concerning SDG 3 and SDG 13, it is essential to incorporate models of public health and sustainability. The Social Determinants of Health (SDH), Health in All Policies (HiAP), and the Ecological Public Health Model can be utilized to analyze the strengths and weaknesses of the UK and Birmingham initiatives.</w:t>
      </w:r>
    </w:p>
    <w:p w14:paraId="4ED81229" w14:textId="77777777" w:rsidR="00090430" w:rsidRPr="0070387C" w:rsidRDefault="00090430" w:rsidP="0070387C">
      <w:pPr>
        <w:spacing w:after="120" w:line="360" w:lineRule="auto"/>
        <w:jc w:val="both"/>
        <w:rPr>
          <w:rFonts w:ascii="Arial" w:eastAsia="Times New Roman" w:hAnsi="Arial" w:cs="Arial"/>
          <w:kern w:val="0"/>
          <w14:ligatures w14:val="none"/>
        </w:rPr>
      </w:pPr>
    </w:p>
    <w:p w14:paraId="65F273F0" w14:textId="46FF6525" w:rsidR="00090430" w:rsidRPr="0070387C" w:rsidRDefault="00090430" w:rsidP="0070387C">
      <w:pPr>
        <w:pStyle w:val="Heading2"/>
        <w:spacing w:line="360" w:lineRule="auto"/>
        <w:jc w:val="both"/>
        <w:rPr>
          <w:rFonts w:ascii="Arial" w:eastAsia="Times New Roman" w:hAnsi="Arial" w:cs="Arial"/>
          <w:sz w:val="22"/>
          <w:szCs w:val="22"/>
        </w:rPr>
      </w:pPr>
      <w:bookmarkStart w:id="12" w:name="_Toc214149590"/>
      <w:r w:rsidRPr="0070387C">
        <w:rPr>
          <w:rFonts w:ascii="Arial" w:eastAsia="Times New Roman" w:hAnsi="Arial" w:cs="Arial"/>
          <w:sz w:val="22"/>
          <w:szCs w:val="22"/>
        </w:rPr>
        <w:t>5.1 Social Determinants of Health (SDH)</w:t>
      </w:r>
      <w:bookmarkEnd w:id="12"/>
    </w:p>
    <w:p w14:paraId="21569AE0" w14:textId="083822F9" w:rsidR="00090430" w:rsidRPr="00090430" w:rsidRDefault="00090430" w:rsidP="0070387C">
      <w:pPr>
        <w:spacing w:line="360" w:lineRule="auto"/>
        <w:jc w:val="both"/>
        <w:rPr>
          <w:rFonts w:ascii="Arial" w:eastAsia="Times New Roman" w:hAnsi="Arial" w:cs="Arial"/>
          <w:kern w:val="0"/>
          <w14:ligatures w14:val="none"/>
        </w:rPr>
      </w:pPr>
      <w:r w:rsidRPr="00090430">
        <w:rPr>
          <w:rFonts w:ascii="Arial" w:eastAsia="Times New Roman" w:hAnsi="Arial" w:cs="Arial"/>
          <w:kern w:val="0"/>
          <w14:ligatures w14:val="none"/>
        </w:rPr>
        <w:t>The SDH framework is based on the fact that broader socio-economic and environmental factors, such as income, employment, education, housing quality, and neighbourhood characteristics, are determinants of health outcomes</w:t>
      </w:r>
      <w:r w:rsidR="003252F9" w:rsidRPr="0070387C">
        <w:rPr>
          <w:rFonts w:ascii="Arial" w:eastAsia="Times New Roman" w:hAnsi="Arial" w:cs="Arial"/>
          <w:kern w:val="0"/>
          <w:lang w:val="en-US"/>
          <w14:ligatures w14:val="none"/>
        </w:rPr>
        <w:t xml:space="preserve"> </w:t>
      </w:r>
      <w:r w:rsidR="003252F9" w:rsidRPr="0070387C">
        <w:rPr>
          <w:rFonts w:ascii="Arial" w:eastAsia="Times New Roman" w:hAnsi="Arial" w:cs="Arial"/>
          <w:kern w:val="0"/>
          <w14:ligatures w14:val="none"/>
        </w:rPr>
        <w:t>(Braveman &amp; Gottlieb, 2014)</w:t>
      </w:r>
      <w:r w:rsidR="003252F9" w:rsidRPr="0070387C">
        <w:rPr>
          <w:rFonts w:ascii="Arial" w:eastAsia="Times New Roman" w:hAnsi="Arial" w:cs="Arial"/>
          <w:kern w:val="0"/>
          <w:lang w:val="en-US"/>
          <w14:ligatures w14:val="none"/>
        </w:rPr>
        <w:t>.</w:t>
      </w:r>
      <w:r w:rsidRPr="00090430">
        <w:rPr>
          <w:rFonts w:ascii="Arial" w:eastAsia="Times New Roman" w:hAnsi="Arial" w:cs="Arial"/>
          <w:kern w:val="0"/>
          <w14:ligatures w14:val="none"/>
        </w:rPr>
        <w:t xml:space="preserve"> Using this framework, it is determined that most UK national policies on health and sustainability would not be sufficient to help mitigate the structural inequalities that form the basis of poor health. Although the UK and other nations have a national commitment to SDG 3, increasing health inequalities indicate that medical treatment takes priority over improving the upstream factors. Deprivation in the city of Birmingham is a powerful indicator of the prevalence of chronic diseases, mental health problems, and poor life expectancy. This highlights the lack of alignment between SDG goals and policy implementation, as interventions often fail to address the underlying causes of ill health comprehensively.</w:t>
      </w:r>
    </w:p>
    <w:p w14:paraId="1280514E" w14:textId="77777777" w:rsidR="00090430" w:rsidRPr="0070387C" w:rsidRDefault="00090430" w:rsidP="0070387C">
      <w:pPr>
        <w:pStyle w:val="Heading2"/>
        <w:spacing w:line="360" w:lineRule="auto"/>
        <w:jc w:val="both"/>
        <w:rPr>
          <w:rFonts w:ascii="Arial" w:eastAsia="Times New Roman" w:hAnsi="Arial" w:cs="Arial"/>
          <w:sz w:val="22"/>
          <w:szCs w:val="22"/>
        </w:rPr>
      </w:pPr>
      <w:bookmarkStart w:id="13" w:name="_Toc214149591"/>
      <w:r w:rsidRPr="0070387C">
        <w:rPr>
          <w:rFonts w:ascii="Arial" w:eastAsia="Times New Roman" w:hAnsi="Arial" w:cs="Arial"/>
          <w:sz w:val="22"/>
          <w:szCs w:val="22"/>
        </w:rPr>
        <w:t>5.2 Health in All Policies (HiAP)</w:t>
      </w:r>
      <w:bookmarkEnd w:id="13"/>
    </w:p>
    <w:p w14:paraId="5FBBCD37" w14:textId="438A2947" w:rsidR="00090430" w:rsidRPr="00CB6118" w:rsidRDefault="00090430" w:rsidP="00CB6118">
      <w:pPr>
        <w:spacing w:line="360" w:lineRule="auto"/>
        <w:jc w:val="both"/>
        <w:rPr>
          <w:rFonts w:ascii="Arial" w:eastAsia="Times New Roman" w:hAnsi="Arial" w:cs="Arial"/>
          <w:kern w:val="0"/>
          <w14:ligatures w14:val="none"/>
        </w:rPr>
      </w:pPr>
      <w:r w:rsidRPr="00CB6118">
        <w:rPr>
          <w:rFonts w:ascii="Arial" w:eastAsia="Times New Roman" w:hAnsi="Arial" w:cs="Arial"/>
          <w:kern w:val="0"/>
          <w14:ligatures w14:val="none"/>
        </w:rPr>
        <w:t>HiAP enhances the incorporation of health issues into decision-making in other non-health sectors of transport, housing, education, and environmental planning</w:t>
      </w:r>
      <w:r w:rsidR="00374103" w:rsidRPr="00CB6118">
        <w:rPr>
          <w:rFonts w:ascii="Arial" w:eastAsia="Times New Roman" w:hAnsi="Arial" w:cs="Arial"/>
          <w:kern w:val="0"/>
          <w:lang w:val="en-US"/>
          <w14:ligatures w14:val="none"/>
        </w:rPr>
        <w:t xml:space="preserve"> </w:t>
      </w:r>
      <w:r w:rsidR="00374103" w:rsidRPr="00CB6118">
        <w:rPr>
          <w:rFonts w:ascii="Arial" w:eastAsia="Times New Roman" w:hAnsi="Arial" w:cs="Arial"/>
          <w:kern w:val="0"/>
          <w14:ligatures w14:val="none"/>
        </w:rPr>
        <w:t>(Browne &amp; Rutherfurd, 2017)</w:t>
      </w:r>
      <w:r w:rsidR="00374103" w:rsidRPr="00CB6118">
        <w:rPr>
          <w:rFonts w:ascii="Arial" w:eastAsia="Times New Roman" w:hAnsi="Arial" w:cs="Arial"/>
          <w:kern w:val="0"/>
          <w:lang w:val="en-US"/>
          <w14:ligatures w14:val="none"/>
        </w:rPr>
        <w:t>.</w:t>
      </w:r>
      <w:r w:rsidRPr="00CB6118">
        <w:rPr>
          <w:rFonts w:ascii="Arial" w:eastAsia="Times New Roman" w:hAnsi="Arial" w:cs="Arial"/>
          <w:kern w:val="0"/>
          <w14:ligatures w14:val="none"/>
        </w:rPr>
        <w:t xml:space="preserve"> </w:t>
      </w:r>
      <w:r w:rsidR="00CB6118" w:rsidRPr="00CB6118">
        <w:rPr>
          <w:rFonts w:ascii="Arial" w:eastAsia="Times New Roman" w:hAnsi="Arial" w:cs="Arial"/>
          <w:kern w:val="0"/>
          <w14:ligatures w14:val="none"/>
        </w:rPr>
        <w:t xml:space="preserve">Cross-sector coordination remains unbalanced, despite the UK's partial adoption of the latest principles of HiAP, and the establishment of legislative frameworks for clean air, active travel programmes, and housing standards. </w:t>
      </w:r>
      <w:r w:rsidRPr="00CB6118">
        <w:rPr>
          <w:rFonts w:ascii="Arial" w:eastAsia="Times New Roman" w:hAnsi="Arial" w:cs="Arial"/>
          <w:kern w:val="0"/>
          <w14:ligatures w14:val="none"/>
        </w:rPr>
        <w:t>An example of this is a HiAP that targets pollution through transport regulation, as seen in the case of the Clean Air Zone (CAZ) in Birmingham. Nevertheless, the policy lacks adequate supporting structures for low-income earners or individuals who rely on cars, which limits its fairness and suitability. Such inconsistency highlights the challenges of making HiAP systematic across all governance levels.</w:t>
      </w:r>
    </w:p>
    <w:p w14:paraId="11D028E7" w14:textId="77777777" w:rsidR="00090430" w:rsidRPr="0070387C" w:rsidRDefault="00090430" w:rsidP="0070387C">
      <w:pPr>
        <w:spacing w:after="120" w:line="360" w:lineRule="auto"/>
        <w:jc w:val="both"/>
        <w:rPr>
          <w:rFonts w:ascii="Arial" w:eastAsia="Times New Roman" w:hAnsi="Arial" w:cs="Arial"/>
          <w:kern w:val="0"/>
          <w14:ligatures w14:val="none"/>
        </w:rPr>
      </w:pPr>
    </w:p>
    <w:p w14:paraId="42BC9371" w14:textId="2ABAFB96" w:rsidR="00090430" w:rsidRPr="0070387C" w:rsidRDefault="00090430" w:rsidP="0070387C">
      <w:pPr>
        <w:pStyle w:val="Heading2"/>
        <w:spacing w:line="360" w:lineRule="auto"/>
        <w:jc w:val="both"/>
        <w:rPr>
          <w:rFonts w:ascii="Arial" w:eastAsia="Times New Roman" w:hAnsi="Arial" w:cs="Arial"/>
          <w:sz w:val="22"/>
          <w:szCs w:val="22"/>
        </w:rPr>
      </w:pPr>
      <w:bookmarkStart w:id="14" w:name="_Toc214149592"/>
      <w:r w:rsidRPr="0070387C">
        <w:rPr>
          <w:rFonts w:ascii="Arial" w:eastAsia="Times New Roman" w:hAnsi="Arial" w:cs="Arial"/>
          <w:sz w:val="22"/>
          <w:szCs w:val="22"/>
        </w:rPr>
        <w:t>5.3 Ecological Public Health Model</w:t>
      </w:r>
      <w:bookmarkEnd w:id="14"/>
    </w:p>
    <w:p w14:paraId="5771356F" w14:textId="424EB854" w:rsidR="00090430" w:rsidRPr="0070387C" w:rsidRDefault="00090430" w:rsidP="0070387C">
      <w:pPr>
        <w:spacing w:line="360" w:lineRule="auto"/>
        <w:jc w:val="both"/>
        <w:rPr>
          <w:rFonts w:ascii="Arial" w:eastAsia="Times New Roman" w:hAnsi="Arial" w:cs="Arial"/>
          <w:kern w:val="0"/>
          <w14:ligatures w14:val="none"/>
        </w:rPr>
      </w:pPr>
      <w:r w:rsidRPr="00090430">
        <w:rPr>
          <w:rFonts w:ascii="Arial" w:eastAsia="Times New Roman" w:hAnsi="Arial" w:cs="Arial"/>
          <w:kern w:val="0"/>
          <w14:ligatures w14:val="none"/>
        </w:rPr>
        <w:t>The conceptualisation of the ecological model views health as a result of the interaction between individuals and their physical, social, and environmental environments</w:t>
      </w:r>
      <w:r w:rsidR="00D40FAF" w:rsidRPr="0070387C">
        <w:rPr>
          <w:rFonts w:ascii="Arial" w:eastAsia="Times New Roman" w:hAnsi="Arial" w:cs="Arial"/>
          <w:kern w:val="0"/>
          <w:lang w:val="en-US"/>
          <w14:ligatures w14:val="none"/>
        </w:rPr>
        <w:t xml:space="preserve"> </w:t>
      </w:r>
      <w:r w:rsidR="00D40FAF" w:rsidRPr="0070387C">
        <w:rPr>
          <w:rFonts w:ascii="Arial" w:eastAsia="Times New Roman" w:hAnsi="Arial" w:cs="Arial"/>
          <w:kern w:val="0"/>
          <w14:ligatures w14:val="none"/>
        </w:rPr>
        <w:t>(Kennedy et al., 2021)</w:t>
      </w:r>
      <w:r w:rsidR="00D40FAF" w:rsidRPr="0070387C">
        <w:rPr>
          <w:rFonts w:ascii="Arial" w:eastAsia="Times New Roman" w:hAnsi="Arial" w:cs="Arial"/>
          <w:kern w:val="0"/>
          <w:lang w:val="en-US"/>
          <w14:ligatures w14:val="none"/>
        </w:rPr>
        <w:t>.</w:t>
      </w:r>
      <w:r w:rsidRPr="00090430">
        <w:rPr>
          <w:rFonts w:ascii="Arial" w:eastAsia="Times New Roman" w:hAnsi="Arial" w:cs="Arial"/>
          <w:kern w:val="0"/>
          <w14:ligatures w14:val="none"/>
        </w:rPr>
        <w:t xml:space="preserve"> The UK and Birmingham strategies are becoming increasingly aware of climate change as a health concern; however, adaptation and mitigation processes are not being implemented on a sufficient scale or at a sufficient speed. The increased temperatures, air pollution, and flood dangers are not yet accompanied by community-focused and well-funded interventions. Consequently, the ecological determinants of health still cause some vulnerabilities, especially to the socially disadvantaged groups.</w:t>
      </w:r>
    </w:p>
    <w:p w14:paraId="10EFD7CA" w14:textId="5C361907" w:rsidR="00090430" w:rsidRPr="0070387C" w:rsidRDefault="00090430" w:rsidP="0070387C">
      <w:pPr>
        <w:spacing w:after="120" w:line="360" w:lineRule="auto"/>
        <w:jc w:val="both"/>
        <w:rPr>
          <w:rFonts w:ascii="Arial" w:eastAsia="Times New Roman" w:hAnsi="Arial" w:cs="Arial"/>
          <w:kern w:val="0"/>
          <w14:ligatures w14:val="none"/>
        </w:rPr>
      </w:pPr>
    </w:p>
    <w:p w14:paraId="6C49190E" w14:textId="77777777" w:rsidR="00A61748" w:rsidRPr="0070387C" w:rsidRDefault="00A61748" w:rsidP="0070387C">
      <w:pPr>
        <w:pStyle w:val="Heading1"/>
        <w:spacing w:line="360" w:lineRule="auto"/>
        <w:jc w:val="both"/>
        <w:rPr>
          <w:rFonts w:ascii="Arial" w:hAnsi="Arial" w:cs="Arial"/>
          <w:sz w:val="22"/>
          <w:szCs w:val="22"/>
        </w:rPr>
      </w:pPr>
      <w:bookmarkStart w:id="15" w:name="_Toc214149593"/>
      <w:r w:rsidRPr="0070387C">
        <w:rPr>
          <w:rFonts w:ascii="Arial" w:hAnsi="Arial" w:cs="Arial"/>
          <w:sz w:val="22"/>
          <w:szCs w:val="22"/>
        </w:rPr>
        <w:t>6. Recommendations</w:t>
      </w:r>
      <w:bookmarkEnd w:id="15"/>
    </w:p>
    <w:p w14:paraId="4B531017" w14:textId="77777777" w:rsidR="00A61748" w:rsidRPr="0070387C" w:rsidRDefault="00A61748" w:rsidP="0070387C">
      <w:pPr>
        <w:pStyle w:val="Heading2"/>
        <w:spacing w:line="360" w:lineRule="auto"/>
        <w:jc w:val="both"/>
        <w:rPr>
          <w:rFonts w:ascii="Arial" w:eastAsia="Times New Roman" w:hAnsi="Arial" w:cs="Arial"/>
          <w:sz w:val="22"/>
          <w:szCs w:val="22"/>
        </w:rPr>
      </w:pPr>
      <w:bookmarkStart w:id="16" w:name="_Toc214149594"/>
      <w:r w:rsidRPr="0070387C">
        <w:rPr>
          <w:rFonts w:ascii="Arial" w:eastAsia="Times New Roman" w:hAnsi="Arial" w:cs="Arial"/>
          <w:sz w:val="22"/>
          <w:szCs w:val="22"/>
        </w:rPr>
        <w:t>6.1 Global Recommendations</w:t>
      </w:r>
      <w:bookmarkEnd w:id="16"/>
    </w:p>
    <w:p w14:paraId="4C9D32AC" w14:textId="77777777" w:rsidR="00A61748" w:rsidRPr="00A61748" w:rsidRDefault="00A61748" w:rsidP="0070387C">
      <w:pPr>
        <w:spacing w:after="120" w:line="360" w:lineRule="auto"/>
        <w:jc w:val="both"/>
        <w:rPr>
          <w:rFonts w:ascii="Arial" w:eastAsia="Times New Roman" w:hAnsi="Arial" w:cs="Arial"/>
          <w:kern w:val="0"/>
          <w14:ligatures w14:val="none"/>
        </w:rPr>
      </w:pPr>
      <w:r w:rsidRPr="00A61748">
        <w:rPr>
          <w:rFonts w:ascii="Arial" w:eastAsia="Times New Roman" w:hAnsi="Arial" w:cs="Arial"/>
          <w:kern w:val="0"/>
          <w14:ligatures w14:val="none"/>
        </w:rPr>
        <w:t>The interplay of climate change and health needs to be tackled more seriously globally and heavily invested in. Listed international agencies and high-income countries must significantly increase investments in climate-health adaptation, with a particular emphasis on low- and middle-income areas that are disproportionately at risk. International health surveillance systems that monitor the effects of climate change (e.g., heatwaves, diseases spread by vectors, illnesses caused by air pollution) need to be enhanced to facilitate early alerts and prompt interventions. Furthermore, the One Health approach should be further adopted to ensure that the human, animal, and environmental health systems interact to prevent and contain common risks.</w:t>
      </w:r>
    </w:p>
    <w:p w14:paraId="309BB707" w14:textId="77777777" w:rsidR="00A61748" w:rsidRPr="0070387C" w:rsidRDefault="00A61748" w:rsidP="0070387C">
      <w:pPr>
        <w:spacing w:after="120" w:line="360" w:lineRule="auto"/>
        <w:jc w:val="both"/>
        <w:rPr>
          <w:rFonts w:ascii="Arial" w:eastAsia="Times New Roman" w:hAnsi="Arial" w:cs="Arial"/>
          <w:kern w:val="0"/>
          <w14:ligatures w14:val="none"/>
        </w:rPr>
      </w:pPr>
    </w:p>
    <w:p w14:paraId="45ADD50A" w14:textId="46B7AF83" w:rsidR="00A61748" w:rsidRPr="0070387C" w:rsidRDefault="00A61748" w:rsidP="0070387C">
      <w:pPr>
        <w:pStyle w:val="Heading2"/>
        <w:spacing w:line="360" w:lineRule="auto"/>
        <w:jc w:val="both"/>
        <w:rPr>
          <w:rFonts w:ascii="Arial" w:eastAsia="Times New Roman" w:hAnsi="Arial" w:cs="Arial"/>
          <w:sz w:val="22"/>
          <w:szCs w:val="22"/>
        </w:rPr>
      </w:pPr>
      <w:bookmarkStart w:id="17" w:name="_Toc214149595"/>
      <w:r w:rsidRPr="0070387C">
        <w:rPr>
          <w:rFonts w:ascii="Arial" w:eastAsia="Times New Roman" w:hAnsi="Arial" w:cs="Arial"/>
          <w:sz w:val="22"/>
          <w:szCs w:val="22"/>
        </w:rPr>
        <w:t>6.2 National (UK) Recommendations</w:t>
      </w:r>
      <w:bookmarkEnd w:id="17"/>
    </w:p>
    <w:p w14:paraId="38D2B155" w14:textId="77777777" w:rsidR="00A61748" w:rsidRPr="00A61748" w:rsidRDefault="00A61748" w:rsidP="0070387C">
      <w:pPr>
        <w:spacing w:after="120" w:line="360" w:lineRule="auto"/>
        <w:jc w:val="both"/>
        <w:rPr>
          <w:rFonts w:ascii="Arial" w:eastAsia="Times New Roman" w:hAnsi="Arial" w:cs="Arial"/>
          <w:kern w:val="0"/>
          <w14:ligatures w14:val="none"/>
        </w:rPr>
      </w:pPr>
      <w:r w:rsidRPr="00A61748">
        <w:rPr>
          <w:rFonts w:ascii="Arial" w:eastAsia="Times New Roman" w:hAnsi="Arial" w:cs="Arial"/>
          <w:kern w:val="0"/>
          <w14:ligatures w14:val="none"/>
        </w:rPr>
        <w:t xml:space="preserve">On the national level, the UK must prioritise the reconstruction of public health budgets to pre-2015 levels, so local systems can enhance protection, initial intervention, and community resilience. The mandatory nature of a Health Impact Assessment (HIA) for any major climate, transport, housing, and development policy would ensure that health factors are considered throughout these sectors. Ensuring a faster decarbonisation, especially in the high-emitting sectors like road transport and housing, is essential. It is also necessary to increase mental health services in the UK, where waiting times should be shorter, and access by disadvantaged groups should be improved. Extended, sustained investment in active travel infrastructure, urban green </w:t>
      </w:r>
      <w:r w:rsidRPr="00A61748">
        <w:rPr>
          <w:rFonts w:ascii="Arial" w:eastAsia="Times New Roman" w:hAnsi="Arial" w:cs="Arial"/>
          <w:kern w:val="0"/>
          <w14:ligatures w14:val="none"/>
        </w:rPr>
        <w:lastRenderedPageBreak/>
        <w:t>spaces, and clean-air efforts, especially in the most deprived cities such as Birmingham, would offer substantial physical and psychological health benefits.</w:t>
      </w:r>
    </w:p>
    <w:p w14:paraId="7A4FB25F" w14:textId="77777777" w:rsidR="00A61748" w:rsidRPr="0070387C" w:rsidRDefault="00A61748" w:rsidP="0070387C">
      <w:pPr>
        <w:spacing w:after="120" w:line="360" w:lineRule="auto"/>
        <w:jc w:val="both"/>
        <w:rPr>
          <w:rFonts w:ascii="Arial" w:eastAsia="Times New Roman" w:hAnsi="Arial" w:cs="Arial"/>
          <w:kern w:val="0"/>
          <w14:ligatures w14:val="none"/>
        </w:rPr>
      </w:pPr>
    </w:p>
    <w:p w14:paraId="05E9D569" w14:textId="2736504F" w:rsidR="00A61748" w:rsidRPr="0070387C" w:rsidRDefault="00A61748" w:rsidP="0070387C">
      <w:pPr>
        <w:pStyle w:val="Heading2"/>
        <w:spacing w:line="360" w:lineRule="auto"/>
        <w:jc w:val="both"/>
        <w:rPr>
          <w:rFonts w:ascii="Arial" w:eastAsia="Times New Roman" w:hAnsi="Arial" w:cs="Arial"/>
          <w:sz w:val="22"/>
          <w:szCs w:val="22"/>
        </w:rPr>
      </w:pPr>
      <w:bookmarkStart w:id="18" w:name="_Toc214149596"/>
      <w:r w:rsidRPr="0070387C">
        <w:rPr>
          <w:rFonts w:ascii="Arial" w:eastAsia="Times New Roman" w:hAnsi="Arial" w:cs="Arial"/>
          <w:sz w:val="22"/>
          <w:szCs w:val="22"/>
        </w:rPr>
        <w:t>6.3 Local (Birmingham) Recommendation</w:t>
      </w:r>
      <w:bookmarkEnd w:id="18"/>
    </w:p>
    <w:p w14:paraId="74572672" w14:textId="77777777" w:rsidR="00243FD1" w:rsidRPr="00243FD1" w:rsidRDefault="00243FD1" w:rsidP="001E1C60">
      <w:pPr>
        <w:spacing w:after="120" w:line="360" w:lineRule="auto"/>
        <w:jc w:val="both"/>
        <w:rPr>
          <w:rFonts w:ascii="Arial" w:eastAsia="Times New Roman" w:hAnsi="Arial" w:cs="Arial"/>
          <w:kern w:val="0"/>
          <w14:ligatures w14:val="none"/>
        </w:rPr>
      </w:pPr>
      <w:r w:rsidRPr="00243FD1">
        <w:rPr>
          <w:rFonts w:ascii="Arial" w:eastAsia="Times New Roman" w:hAnsi="Arial" w:cs="Arial"/>
          <w:kern w:val="0"/>
          <w14:ligatures w14:val="none"/>
        </w:rPr>
        <w:t>At the local scale, the city of Birmingham should develop community-based health programs that are environmentally sensitive to the cultural, social, and economic needs of the neighborhoods, which are highly impacted by climate and health disparities. The green space halls have the potential to be expanded and maintained in less privileged wards to reduce heat stress and pollution, and enhance well-being. Financial assistance or exemption would be directed to low-income residents within the Clean Air Zone (CAZ) in order to reduce undesired rates. Climate-health actions have to be integrated, which requires closer work of the NHS and the local authorities, as well as the voluntary/community organisations. Finally, certain individual education can be employed to raise awareness of the health risks of climate change and support preventive actions.</w:t>
      </w:r>
    </w:p>
    <w:p w14:paraId="2E8F8F95" w14:textId="54842490" w:rsidR="00A61748" w:rsidRPr="0070387C" w:rsidRDefault="00A61748" w:rsidP="0070387C">
      <w:pPr>
        <w:spacing w:after="120" w:line="360" w:lineRule="auto"/>
        <w:jc w:val="both"/>
        <w:rPr>
          <w:rFonts w:ascii="Arial" w:eastAsia="Times New Roman" w:hAnsi="Arial" w:cs="Arial"/>
          <w:kern w:val="0"/>
          <w14:ligatures w14:val="none"/>
        </w:rPr>
      </w:pPr>
    </w:p>
    <w:p w14:paraId="167E88C3" w14:textId="77777777" w:rsidR="001B3AAC" w:rsidRPr="0070387C" w:rsidRDefault="001B3AAC" w:rsidP="0070387C">
      <w:pPr>
        <w:pStyle w:val="Heading1"/>
        <w:spacing w:line="360" w:lineRule="auto"/>
        <w:jc w:val="both"/>
        <w:rPr>
          <w:rFonts w:ascii="Arial" w:hAnsi="Arial" w:cs="Arial"/>
          <w:sz w:val="22"/>
          <w:szCs w:val="22"/>
        </w:rPr>
      </w:pPr>
      <w:bookmarkStart w:id="19" w:name="_Toc214149597"/>
      <w:r w:rsidRPr="0070387C">
        <w:rPr>
          <w:rFonts w:ascii="Arial" w:hAnsi="Arial" w:cs="Arial"/>
          <w:sz w:val="22"/>
          <w:szCs w:val="22"/>
        </w:rPr>
        <w:t>7. Conclusion</w:t>
      </w:r>
      <w:bookmarkEnd w:id="19"/>
    </w:p>
    <w:p w14:paraId="05FF4B8F" w14:textId="77777777" w:rsidR="001E1C60" w:rsidRPr="001E1C60" w:rsidRDefault="001E1C60" w:rsidP="001E1C60">
      <w:pPr>
        <w:spacing w:after="120" w:line="360" w:lineRule="auto"/>
        <w:jc w:val="both"/>
        <w:rPr>
          <w:rFonts w:ascii="Arial" w:eastAsia="Times New Roman" w:hAnsi="Arial" w:cs="Arial"/>
          <w:kern w:val="0"/>
          <w14:ligatures w14:val="none"/>
        </w:rPr>
      </w:pPr>
      <w:r w:rsidRPr="001E1C60">
        <w:rPr>
          <w:rFonts w:ascii="Arial" w:eastAsia="Times New Roman" w:hAnsi="Arial" w:cs="Arial"/>
          <w:kern w:val="0"/>
          <w14:ligatures w14:val="none"/>
        </w:rPr>
        <w:t>This report presents a critical analysis of the roles of SDG 3 and SDG 13 in the formulation of global, national, and local health and well-being. Although positive developments have occurred, numerous challenges remain, particularly in addressing inequalities, vulnerabilities associated with climate change, and integrating health and sustainability agendas. The policy ambition in the United Kingdom is high and Birmingham has made a lot of efforts to not only improve the quality of the air but also the well-being of the people living in the city. However, implementation shortages, socio-economic disparities, and insufficient climate adaptation planning continue to perpetuate the impact.</w:t>
      </w:r>
    </w:p>
    <w:p w14:paraId="6C7B958E" w14:textId="77777777" w:rsidR="00A61748" w:rsidRPr="00A61748" w:rsidRDefault="00A61748" w:rsidP="0070387C">
      <w:pPr>
        <w:spacing w:after="120" w:line="360" w:lineRule="auto"/>
        <w:jc w:val="both"/>
        <w:rPr>
          <w:rFonts w:ascii="Arial" w:eastAsia="Times New Roman" w:hAnsi="Arial" w:cs="Arial"/>
          <w:kern w:val="0"/>
          <w14:ligatures w14:val="none"/>
        </w:rPr>
      </w:pPr>
    </w:p>
    <w:p w14:paraId="226B07AC" w14:textId="1F23C5A7" w:rsidR="0070387C" w:rsidRPr="0070387C" w:rsidRDefault="0070387C" w:rsidP="0070387C">
      <w:pPr>
        <w:spacing w:line="360" w:lineRule="auto"/>
        <w:jc w:val="both"/>
        <w:rPr>
          <w:rFonts w:ascii="Arial" w:eastAsia="Times New Roman" w:hAnsi="Arial" w:cs="Arial"/>
          <w:kern w:val="0"/>
          <w14:ligatures w14:val="none"/>
        </w:rPr>
      </w:pPr>
      <w:r w:rsidRPr="0070387C">
        <w:rPr>
          <w:rFonts w:ascii="Arial" w:eastAsia="Times New Roman" w:hAnsi="Arial" w:cs="Arial"/>
          <w:kern w:val="0"/>
          <w14:ligatures w14:val="none"/>
        </w:rPr>
        <w:br w:type="page"/>
      </w:r>
    </w:p>
    <w:p w14:paraId="6C42A3F9" w14:textId="77777777" w:rsidR="0070387C" w:rsidRPr="0070387C" w:rsidRDefault="0070387C" w:rsidP="0070387C">
      <w:pPr>
        <w:pStyle w:val="Heading1"/>
        <w:spacing w:before="0" w:beforeAutospacing="0" w:after="0" w:afterAutospacing="0" w:line="360" w:lineRule="auto"/>
        <w:jc w:val="both"/>
        <w:rPr>
          <w:rFonts w:ascii="Arial" w:hAnsi="Arial" w:cs="Arial"/>
          <w:sz w:val="22"/>
          <w:szCs w:val="22"/>
        </w:rPr>
      </w:pPr>
      <w:bookmarkStart w:id="20" w:name="_Toc214149598"/>
      <w:r w:rsidRPr="0070387C">
        <w:rPr>
          <w:rFonts w:ascii="Arial" w:hAnsi="Arial" w:cs="Arial"/>
          <w:sz w:val="22"/>
          <w:szCs w:val="22"/>
        </w:rPr>
        <w:lastRenderedPageBreak/>
        <w:t>References</w:t>
      </w:r>
      <w:bookmarkEnd w:id="20"/>
    </w:p>
    <w:p w14:paraId="53997E11"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Bassett, R., Thornes, J., Cai, X., &amp; Rees, R. (2011). </w:t>
      </w:r>
      <w:r w:rsidRPr="0070387C">
        <w:rPr>
          <w:rFonts w:ascii="Arial" w:hAnsi="Arial" w:cs="Arial"/>
          <w:i/>
          <w:iCs/>
          <w:sz w:val="22"/>
          <w:szCs w:val="22"/>
        </w:rPr>
        <w:t>Birmingham Urban Climate Change with Neighbourhood Estimates of Environmental Risk (buccaneer)</w:t>
      </w:r>
      <w:r w:rsidRPr="0070387C">
        <w:rPr>
          <w:rFonts w:ascii="Arial" w:hAnsi="Arial" w:cs="Arial"/>
          <w:sz w:val="22"/>
          <w:szCs w:val="22"/>
        </w:rPr>
        <w:t>. https://www.researchgate.net/publication/258470283_Birmingham_Urban_Climate_Change_with_Neighbourhood_Estimates_of_Environmental_Risk_buccaneer</w:t>
      </w:r>
    </w:p>
    <w:p w14:paraId="428640B2"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Birmingham City Council. (2023). </w:t>
      </w:r>
      <w:r w:rsidRPr="0070387C">
        <w:rPr>
          <w:rFonts w:ascii="Arial" w:hAnsi="Arial" w:cs="Arial"/>
          <w:i/>
          <w:iCs/>
          <w:sz w:val="22"/>
          <w:szCs w:val="22"/>
        </w:rPr>
        <w:t>Health and Wellbeing Strategy</w:t>
      </w:r>
      <w:r w:rsidRPr="0070387C">
        <w:rPr>
          <w:rFonts w:ascii="Arial" w:hAnsi="Arial" w:cs="Arial"/>
          <w:sz w:val="22"/>
          <w:szCs w:val="22"/>
        </w:rPr>
        <w:t>. Www.birmingham.gov.uk. https://www.birmingham.gov.uk/info/50119/health_and_wellbeing_board/1300/health_and_wellbeing_strategy</w:t>
      </w:r>
    </w:p>
    <w:p w14:paraId="336CC36F"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Braveman, P., &amp; Gottlieb, L. (2014). The social determinants of health: It’s time to consider the causes of the causes. </w:t>
      </w:r>
      <w:r w:rsidRPr="0070387C">
        <w:rPr>
          <w:rFonts w:ascii="Arial" w:hAnsi="Arial" w:cs="Arial"/>
          <w:i/>
          <w:iCs/>
          <w:sz w:val="22"/>
          <w:szCs w:val="22"/>
        </w:rPr>
        <w:t>Public Health Reports</w:t>
      </w:r>
      <w:r w:rsidRPr="0070387C">
        <w:rPr>
          <w:rFonts w:ascii="Arial" w:hAnsi="Arial" w:cs="Arial"/>
          <w:sz w:val="22"/>
          <w:szCs w:val="22"/>
        </w:rPr>
        <w:t xml:space="preserve">, </w:t>
      </w:r>
      <w:r w:rsidRPr="0070387C">
        <w:rPr>
          <w:rFonts w:ascii="Arial" w:hAnsi="Arial" w:cs="Arial"/>
          <w:i/>
          <w:iCs/>
          <w:sz w:val="22"/>
          <w:szCs w:val="22"/>
        </w:rPr>
        <w:t>129</w:t>
      </w:r>
      <w:r w:rsidRPr="0070387C">
        <w:rPr>
          <w:rFonts w:ascii="Arial" w:hAnsi="Arial" w:cs="Arial"/>
          <w:sz w:val="22"/>
          <w:szCs w:val="22"/>
        </w:rPr>
        <w:t>(2), 19–31. https://doi.org/10.1177/00333549141291s206</w:t>
      </w:r>
    </w:p>
    <w:p w14:paraId="6E9239D6"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Browne, G. R., &amp; Rutherfurd, I. D. (2017). The Case for “Environment in All Policies”: Lessons from the “Health in All Policies” Approach in Public Health. </w:t>
      </w:r>
      <w:r w:rsidRPr="0070387C">
        <w:rPr>
          <w:rFonts w:ascii="Arial" w:hAnsi="Arial" w:cs="Arial"/>
          <w:i/>
          <w:iCs/>
          <w:sz w:val="22"/>
          <w:szCs w:val="22"/>
        </w:rPr>
        <w:t>Environmental Health Perspectives</w:t>
      </w:r>
      <w:r w:rsidRPr="0070387C">
        <w:rPr>
          <w:rFonts w:ascii="Arial" w:hAnsi="Arial" w:cs="Arial"/>
          <w:sz w:val="22"/>
          <w:szCs w:val="22"/>
        </w:rPr>
        <w:t xml:space="preserve">, </w:t>
      </w:r>
      <w:r w:rsidRPr="0070387C">
        <w:rPr>
          <w:rFonts w:ascii="Arial" w:hAnsi="Arial" w:cs="Arial"/>
          <w:i/>
          <w:iCs/>
          <w:sz w:val="22"/>
          <w:szCs w:val="22"/>
        </w:rPr>
        <w:t>125</w:t>
      </w:r>
      <w:r w:rsidRPr="0070387C">
        <w:rPr>
          <w:rFonts w:ascii="Arial" w:hAnsi="Arial" w:cs="Arial"/>
          <w:sz w:val="22"/>
          <w:szCs w:val="22"/>
        </w:rPr>
        <w:t>(2), 149–154. https://doi.org/10.1289/ehp294</w:t>
      </w:r>
    </w:p>
    <w:p w14:paraId="7AC1AFA3"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Das, J., &amp; Mohanty, S. K. (2024). Estimates of life expectancy and premature mortality among multidimensional poor and non-poor in India. </w:t>
      </w:r>
      <w:r w:rsidRPr="0070387C">
        <w:rPr>
          <w:rFonts w:ascii="Arial" w:hAnsi="Arial" w:cs="Arial"/>
          <w:i/>
          <w:iCs/>
          <w:sz w:val="22"/>
          <w:szCs w:val="22"/>
        </w:rPr>
        <w:t>BMC Public Health</w:t>
      </w:r>
      <w:r w:rsidRPr="0070387C">
        <w:rPr>
          <w:rFonts w:ascii="Arial" w:hAnsi="Arial" w:cs="Arial"/>
          <w:sz w:val="22"/>
          <w:szCs w:val="22"/>
        </w:rPr>
        <w:t xml:space="preserve">, </w:t>
      </w:r>
      <w:r w:rsidRPr="0070387C">
        <w:rPr>
          <w:rFonts w:ascii="Arial" w:hAnsi="Arial" w:cs="Arial"/>
          <w:i/>
          <w:iCs/>
          <w:sz w:val="22"/>
          <w:szCs w:val="22"/>
        </w:rPr>
        <w:t>24</w:t>
      </w:r>
      <w:r w:rsidRPr="0070387C">
        <w:rPr>
          <w:rFonts w:ascii="Arial" w:hAnsi="Arial" w:cs="Arial"/>
          <w:sz w:val="22"/>
          <w:szCs w:val="22"/>
        </w:rPr>
        <w:t>(1). https://doi.org/10.1186/s12889-024-20966-z</w:t>
      </w:r>
    </w:p>
    <w:p w14:paraId="737C0BCE"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EPA. (2024). </w:t>
      </w:r>
      <w:r w:rsidRPr="0070387C">
        <w:rPr>
          <w:rFonts w:ascii="Arial" w:hAnsi="Arial" w:cs="Arial"/>
          <w:i/>
          <w:iCs/>
          <w:sz w:val="22"/>
          <w:szCs w:val="22"/>
        </w:rPr>
        <w:t>Climate Change Indicators: Heat-Related Deaths</w:t>
      </w:r>
      <w:r w:rsidRPr="0070387C">
        <w:rPr>
          <w:rFonts w:ascii="Arial" w:hAnsi="Arial" w:cs="Arial"/>
          <w:sz w:val="22"/>
          <w:szCs w:val="22"/>
        </w:rPr>
        <w:t>. US EPA. https://www.epa.gov/climate-indicators/climate-change-indicators-heat-related-deaths</w:t>
      </w:r>
    </w:p>
    <w:p w14:paraId="78DDC6F5"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Eriksson, M., Sundberg, L. R., Santosa, A., Lindgren, H., Ng, N., &amp; Lindvall, K. (2025). Health behavioural change – the influence of social-ecological factors and health identity. </w:t>
      </w:r>
      <w:r w:rsidRPr="0070387C">
        <w:rPr>
          <w:rFonts w:ascii="Arial" w:hAnsi="Arial" w:cs="Arial"/>
          <w:i/>
          <w:iCs/>
          <w:sz w:val="22"/>
          <w:szCs w:val="22"/>
        </w:rPr>
        <w:t>International Journal of Qualitative Studies on Health and Well-Being</w:t>
      </w:r>
      <w:r w:rsidRPr="0070387C">
        <w:rPr>
          <w:rFonts w:ascii="Arial" w:hAnsi="Arial" w:cs="Arial"/>
          <w:sz w:val="22"/>
          <w:szCs w:val="22"/>
        </w:rPr>
        <w:t xml:space="preserve">, </w:t>
      </w:r>
      <w:r w:rsidRPr="0070387C">
        <w:rPr>
          <w:rFonts w:ascii="Arial" w:hAnsi="Arial" w:cs="Arial"/>
          <w:i/>
          <w:iCs/>
          <w:sz w:val="22"/>
          <w:szCs w:val="22"/>
        </w:rPr>
        <w:t>20</w:t>
      </w:r>
      <w:r w:rsidRPr="0070387C">
        <w:rPr>
          <w:rFonts w:ascii="Arial" w:hAnsi="Arial" w:cs="Arial"/>
          <w:sz w:val="22"/>
          <w:szCs w:val="22"/>
        </w:rPr>
        <w:t>(1). https://doi.org/10.1080/17482631.2025.2458309</w:t>
      </w:r>
    </w:p>
    <w:p w14:paraId="6F269F36"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European Commission. (2025). </w:t>
      </w:r>
      <w:r w:rsidRPr="0070387C">
        <w:rPr>
          <w:rFonts w:ascii="Arial" w:hAnsi="Arial" w:cs="Arial"/>
          <w:i/>
          <w:iCs/>
          <w:sz w:val="22"/>
          <w:szCs w:val="22"/>
        </w:rPr>
        <w:t>2050 long-term strategy</w:t>
      </w:r>
      <w:r w:rsidRPr="0070387C">
        <w:rPr>
          <w:rFonts w:ascii="Arial" w:hAnsi="Arial" w:cs="Arial"/>
          <w:sz w:val="22"/>
          <w:szCs w:val="22"/>
        </w:rPr>
        <w:t>. Climate.ec.europa.eu; European Commission. https://climate.ec.europa.eu/eu-action/climate-strategies-targets/2050-long-term-strategy_en</w:t>
      </w:r>
    </w:p>
    <w:p w14:paraId="37B6BE59"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Feng, T., Sun, Y., Shi, Y., Ma, J., Feng, C., &amp; Chen, Z. (2024). Air pollution control policies and impacts: A review. </w:t>
      </w:r>
      <w:r w:rsidRPr="0070387C">
        <w:rPr>
          <w:rFonts w:ascii="Arial" w:hAnsi="Arial" w:cs="Arial"/>
          <w:i/>
          <w:iCs/>
          <w:sz w:val="22"/>
          <w:szCs w:val="22"/>
        </w:rPr>
        <w:t>Renewable and Sustainable Energy Reviews</w:t>
      </w:r>
      <w:r w:rsidRPr="0070387C">
        <w:rPr>
          <w:rFonts w:ascii="Arial" w:hAnsi="Arial" w:cs="Arial"/>
          <w:sz w:val="22"/>
          <w:szCs w:val="22"/>
        </w:rPr>
        <w:t xml:space="preserve">, </w:t>
      </w:r>
      <w:r w:rsidRPr="0070387C">
        <w:rPr>
          <w:rFonts w:ascii="Arial" w:hAnsi="Arial" w:cs="Arial"/>
          <w:i/>
          <w:iCs/>
          <w:sz w:val="22"/>
          <w:szCs w:val="22"/>
        </w:rPr>
        <w:t>191</w:t>
      </w:r>
      <w:r w:rsidRPr="0070387C">
        <w:rPr>
          <w:rFonts w:ascii="Arial" w:hAnsi="Arial" w:cs="Arial"/>
          <w:sz w:val="22"/>
          <w:szCs w:val="22"/>
        </w:rPr>
        <w:t>, 114071. https://doi.org/10.1016/j.rser.2023.114071</w:t>
      </w:r>
    </w:p>
    <w:p w14:paraId="78B12D2D"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Ferrando, M. R., Proietti, E., Demontis, M., Fabrizio Montecucco, &amp; Pisciotta, L. (2025). Sustainable development goals: a call for future internal medicine. </w:t>
      </w:r>
      <w:r w:rsidRPr="0070387C">
        <w:rPr>
          <w:rFonts w:ascii="Arial" w:hAnsi="Arial" w:cs="Arial"/>
          <w:i/>
          <w:iCs/>
          <w:sz w:val="22"/>
          <w:szCs w:val="22"/>
        </w:rPr>
        <w:t>Internal and Emergency Medicine</w:t>
      </w:r>
      <w:r w:rsidRPr="0070387C">
        <w:rPr>
          <w:rFonts w:ascii="Arial" w:hAnsi="Arial" w:cs="Arial"/>
          <w:sz w:val="22"/>
          <w:szCs w:val="22"/>
        </w:rPr>
        <w:t>. https://doi.org/10.1007/s11739-025-03941-3</w:t>
      </w:r>
    </w:p>
    <w:p w14:paraId="401F172D"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lastRenderedPageBreak/>
        <w:t xml:space="preserve">Fet, A. M. (2024). </w:t>
      </w:r>
      <w:r w:rsidRPr="0070387C">
        <w:rPr>
          <w:rFonts w:ascii="Arial" w:hAnsi="Arial" w:cs="Arial"/>
          <w:i/>
          <w:iCs/>
          <w:sz w:val="22"/>
          <w:szCs w:val="22"/>
        </w:rPr>
        <w:t>Linking Sustainable Good Health and Well-Being to the Sustainable Development Goals: An Historical Perspective</w:t>
      </w:r>
      <w:r w:rsidRPr="0070387C">
        <w:rPr>
          <w:rFonts w:ascii="Arial" w:hAnsi="Arial" w:cs="Arial"/>
          <w:sz w:val="22"/>
          <w:szCs w:val="22"/>
        </w:rPr>
        <w:t>. 3–20. https://doi.org/10.1007/978-3-031-61810-9_1</w:t>
      </w:r>
    </w:p>
    <w:p w14:paraId="03C8EEB2"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Fox, M., Zuidema, C., Bauman, B., Burke, T., &amp; Sheehan, M. (2019). Integrating Public Health into Climate Change Policy and Planning: State of Practice Update. </w:t>
      </w:r>
      <w:r w:rsidRPr="0070387C">
        <w:rPr>
          <w:rFonts w:ascii="Arial" w:hAnsi="Arial" w:cs="Arial"/>
          <w:i/>
          <w:iCs/>
          <w:sz w:val="22"/>
          <w:szCs w:val="22"/>
        </w:rPr>
        <w:t>International Journal of Environmental Research and Public Health</w:t>
      </w:r>
      <w:r w:rsidRPr="0070387C">
        <w:rPr>
          <w:rFonts w:ascii="Arial" w:hAnsi="Arial" w:cs="Arial"/>
          <w:sz w:val="22"/>
          <w:szCs w:val="22"/>
        </w:rPr>
        <w:t xml:space="preserve">, </w:t>
      </w:r>
      <w:r w:rsidRPr="0070387C">
        <w:rPr>
          <w:rFonts w:ascii="Arial" w:hAnsi="Arial" w:cs="Arial"/>
          <w:i/>
          <w:iCs/>
          <w:sz w:val="22"/>
          <w:szCs w:val="22"/>
        </w:rPr>
        <w:t>16</w:t>
      </w:r>
      <w:r w:rsidRPr="0070387C">
        <w:rPr>
          <w:rFonts w:ascii="Arial" w:hAnsi="Arial" w:cs="Arial"/>
          <w:sz w:val="22"/>
          <w:szCs w:val="22"/>
        </w:rPr>
        <w:t>(18), 3232. https://doi.org/10.3390/ijerph16183232</w:t>
      </w:r>
    </w:p>
    <w:p w14:paraId="4E79D1DE"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Kennedy, W., Fruin, R., Lue, A., &amp; Logan, S. W. (2021). Using Ecological Models of Health Behavior to Promote Health Care Access and Physical Activity Engagement for Persons With Disabilities. </w:t>
      </w:r>
      <w:r w:rsidRPr="0070387C">
        <w:rPr>
          <w:rFonts w:ascii="Arial" w:hAnsi="Arial" w:cs="Arial"/>
          <w:i/>
          <w:iCs/>
          <w:sz w:val="22"/>
          <w:szCs w:val="22"/>
        </w:rPr>
        <w:t>Journal of Patient Experience</w:t>
      </w:r>
      <w:r w:rsidRPr="0070387C">
        <w:rPr>
          <w:rFonts w:ascii="Arial" w:hAnsi="Arial" w:cs="Arial"/>
          <w:sz w:val="22"/>
          <w:szCs w:val="22"/>
        </w:rPr>
        <w:t xml:space="preserve">, </w:t>
      </w:r>
      <w:r w:rsidRPr="0070387C">
        <w:rPr>
          <w:rFonts w:ascii="Arial" w:hAnsi="Arial" w:cs="Arial"/>
          <w:i/>
          <w:iCs/>
          <w:sz w:val="22"/>
          <w:szCs w:val="22"/>
        </w:rPr>
        <w:t>8</w:t>
      </w:r>
      <w:r w:rsidRPr="0070387C">
        <w:rPr>
          <w:rFonts w:ascii="Arial" w:hAnsi="Arial" w:cs="Arial"/>
          <w:sz w:val="22"/>
          <w:szCs w:val="22"/>
        </w:rPr>
        <w:t>(1), 237437352110340. https://doi.org/10.1177/23743735211034031</w:t>
      </w:r>
    </w:p>
    <w:p w14:paraId="32751C1F"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King, C. (2025). </w:t>
      </w:r>
      <w:r w:rsidRPr="0070387C">
        <w:rPr>
          <w:rFonts w:ascii="Arial" w:hAnsi="Arial" w:cs="Arial"/>
          <w:i/>
          <w:iCs/>
          <w:sz w:val="22"/>
          <w:szCs w:val="22"/>
        </w:rPr>
        <w:t>What are the United Nations Sustainable Development Goals?</w:t>
      </w:r>
      <w:r w:rsidRPr="0070387C">
        <w:rPr>
          <w:rFonts w:ascii="Arial" w:hAnsi="Arial" w:cs="Arial"/>
          <w:sz w:val="22"/>
          <w:szCs w:val="22"/>
        </w:rPr>
        <w:t xml:space="preserve"> Sustainabilitymag.com; Bizclik Media Ltd. https://sustainabilitymag.com/articles/the-united-nations-sustainable-development-goals</w:t>
      </w:r>
    </w:p>
    <w:p w14:paraId="51C4AF5F"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Lally, C., Steel, L., &amp; Stiebahl, S. (2025). </w:t>
      </w:r>
      <w:r w:rsidRPr="0070387C">
        <w:rPr>
          <w:rFonts w:ascii="Arial" w:hAnsi="Arial" w:cs="Arial"/>
          <w:i/>
          <w:iCs/>
          <w:sz w:val="22"/>
          <w:szCs w:val="22"/>
        </w:rPr>
        <w:t>Geographical differences in healthy life expectancy</w:t>
      </w:r>
      <w:r w:rsidRPr="0070387C">
        <w:rPr>
          <w:rFonts w:ascii="Arial" w:hAnsi="Arial" w:cs="Arial"/>
          <w:sz w:val="22"/>
          <w:szCs w:val="22"/>
        </w:rPr>
        <w:t>. POST. https://post.parliament.uk/research-briefings/post-pb-0067/</w:t>
      </w:r>
    </w:p>
    <w:p w14:paraId="0188AEC0"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Liu, B., Bryson, J. R., Deniz Sevinc, Cole, M. A., Robert J.R. Elliott, Bartington, S., Bloss, W. J., &amp; Shi, Z. (2023). Assessing the Impacts of Birmingham’s Clean Air Zone on Air Quality: Estimates from a Machine Learning and Synthetic Control Approach. </w:t>
      </w:r>
      <w:r w:rsidRPr="0070387C">
        <w:rPr>
          <w:rFonts w:ascii="Arial" w:hAnsi="Arial" w:cs="Arial"/>
          <w:i/>
          <w:iCs/>
          <w:sz w:val="22"/>
          <w:szCs w:val="22"/>
        </w:rPr>
        <w:t>Environmental and Resource Economics</w:t>
      </w:r>
      <w:r w:rsidRPr="0070387C">
        <w:rPr>
          <w:rFonts w:ascii="Arial" w:hAnsi="Arial" w:cs="Arial"/>
          <w:sz w:val="22"/>
          <w:szCs w:val="22"/>
        </w:rPr>
        <w:t xml:space="preserve">, </w:t>
      </w:r>
      <w:r w:rsidRPr="0070387C">
        <w:rPr>
          <w:rFonts w:ascii="Arial" w:hAnsi="Arial" w:cs="Arial"/>
          <w:i/>
          <w:iCs/>
          <w:sz w:val="22"/>
          <w:szCs w:val="22"/>
        </w:rPr>
        <w:t>86</w:t>
      </w:r>
      <w:r w:rsidRPr="0070387C">
        <w:rPr>
          <w:rFonts w:ascii="Arial" w:hAnsi="Arial" w:cs="Arial"/>
          <w:sz w:val="22"/>
          <w:szCs w:val="22"/>
        </w:rPr>
        <w:t>. https://doi.org/10.1007/s10640-023-00794-2</w:t>
      </w:r>
    </w:p>
    <w:p w14:paraId="73A4AA0E"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NHS England. (2019). </w:t>
      </w:r>
      <w:r w:rsidRPr="0070387C">
        <w:rPr>
          <w:rFonts w:ascii="Arial" w:hAnsi="Arial" w:cs="Arial"/>
          <w:i/>
          <w:iCs/>
          <w:sz w:val="22"/>
          <w:szCs w:val="22"/>
        </w:rPr>
        <w:t>NHS Long Term Plan</w:t>
      </w:r>
      <w:r w:rsidRPr="0070387C">
        <w:rPr>
          <w:rFonts w:ascii="Arial" w:hAnsi="Arial" w:cs="Arial"/>
          <w:sz w:val="22"/>
          <w:szCs w:val="22"/>
        </w:rPr>
        <w:t>. NHS England. https://www.longtermplan.nhs.uk/</w:t>
      </w:r>
    </w:p>
    <w:p w14:paraId="0F1CBEAC"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Richie, C., &amp; Samuel, G. (2025). Who Carries the Responsibility for Health Care Carbon Reduction? </w:t>
      </w:r>
      <w:r w:rsidRPr="0070387C">
        <w:rPr>
          <w:rFonts w:ascii="Arial" w:hAnsi="Arial" w:cs="Arial"/>
          <w:i/>
          <w:iCs/>
          <w:sz w:val="22"/>
          <w:szCs w:val="22"/>
        </w:rPr>
        <w:t>The Hastings Center Report</w:t>
      </w:r>
      <w:r w:rsidRPr="0070387C">
        <w:rPr>
          <w:rFonts w:ascii="Arial" w:hAnsi="Arial" w:cs="Arial"/>
          <w:sz w:val="22"/>
          <w:szCs w:val="22"/>
        </w:rPr>
        <w:t xml:space="preserve">, </w:t>
      </w:r>
      <w:r w:rsidRPr="0070387C">
        <w:rPr>
          <w:rFonts w:ascii="Arial" w:hAnsi="Arial" w:cs="Arial"/>
          <w:i/>
          <w:iCs/>
          <w:sz w:val="22"/>
          <w:szCs w:val="22"/>
        </w:rPr>
        <w:t>55</w:t>
      </w:r>
      <w:r w:rsidRPr="0070387C">
        <w:rPr>
          <w:rFonts w:ascii="Arial" w:hAnsi="Arial" w:cs="Arial"/>
          <w:sz w:val="22"/>
          <w:szCs w:val="22"/>
        </w:rPr>
        <w:t>(3), 7–14. https://doi.org/10.1002/hast.5008</w:t>
      </w:r>
    </w:p>
    <w:p w14:paraId="5CCB7492"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UNDP. (2024). </w:t>
      </w:r>
      <w:r w:rsidRPr="0070387C">
        <w:rPr>
          <w:rFonts w:ascii="Arial" w:hAnsi="Arial" w:cs="Arial"/>
          <w:i/>
          <w:iCs/>
          <w:sz w:val="22"/>
          <w:szCs w:val="22"/>
        </w:rPr>
        <w:t>The climate crisis is a health crisis – here’s why | UNDP Climate Promise</w:t>
      </w:r>
      <w:r w:rsidRPr="0070387C">
        <w:rPr>
          <w:rFonts w:ascii="Arial" w:hAnsi="Arial" w:cs="Arial"/>
          <w:sz w:val="22"/>
          <w:szCs w:val="22"/>
        </w:rPr>
        <w:t>. UNDP Climate Promise. https://climatepromise.undp.org/news-and-stories/climate-crisis-health-crisis-heres-why</w:t>
      </w:r>
    </w:p>
    <w:p w14:paraId="0443E5B3"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World Health Organization. (2022). </w:t>
      </w:r>
      <w:r w:rsidRPr="0070387C">
        <w:rPr>
          <w:rFonts w:ascii="Arial" w:hAnsi="Arial" w:cs="Arial"/>
          <w:i/>
          <w:iCs/>
          <w:sz w:val="22"/>
          <w:szCs w:val="22"/>
        </w:rPr>
        <w:t>COVID-19 pandemic triggers 25% increase in prevalence of anxiety and depression worldwide</w:t>
      </w:r>
      <w:r w:rsidRPr="0070387C">
        <w:rPr>
          <w:rFonts w:ascii="Arial" w:hAnsi="Arial" w:cs="Arial"/>
          <w:sz w:val="22"/>
          <w:szCs w:val="22"/>
        </w:rPr>
        <w:t>. World Health Organization; World Health Organization. https://www.who.int/news/item/02-03-2022-covid-19-pandemic-triggers-25-increase-in-prevalence-of-anxiety-and-depression-worldwide</w:t>
      </w:r>
    </w:p>
    <w:p w14:paraId="3BCFC3A4" w14:textId="77777777" w:rsidR="0070387C" w:rsidRPr="0070387C" w:rsidRDefault="0070387C" w:rsidP="0070387C">
      <w:pPr>
        <w:pStyle w:val="NormalWeb"/>
        <w:spacing w:before="0" w:beforeAutospacing="0" w:after="0" w:afterAutospacing="0" w:line="360" w:lineRule="auto"/>
        <w:ind w:left="720" w:hanging="720"/>
        <w:jc w:val="both"/>
        <w:rPr>
          <w:rFonts w:ascii="Arial" w:hAnsi="Arial" w:cs="Arial"/>
          <w:sz w:val="22"/>
          <w:szCs w:val="22"/>
        </w:rPr>
      </w:pPr>
      <w:r w:rsidRPr="0070387C">
        <w:rPr>
          <w:rFonts w:ascii="Arial" w:hAnsi="Arial" w:cs="Arial"/>
          <w:sz w:val="22"/>
          <w:szCs w:val="22"/>
        </w:rPr>
        <w:t xml:space="preserve">Yashi, K., &amp; Daley, S. F. (2023). </w:t>
      </w:r>
      <w:r w:rsidRPr="0070387C">
        <w:rPr>
          <w:rFonts w:ascii="Arial" w:hAnsi="Arial" w:cs="Arial"/>
          <w:i/>
          <w:iCs/>
          <w:sz w:val="22"/>
          <w:szCs w:val="22"/>
        </w:rPr>
        <w:t>Obesity and type 2 diabetes</w:t>
      </w:r>
      <w:r w:rsidRPr="0070387C">
        <w:rPr>
          <w:rFonts w:ascii="Arial" w:hAnsi="Arial" w:cs="Arial"/>
          <w:sz w:val="22"/>
          <w:szCs w:val="22"/>
        </w:rPr>
        <w:t>. PubMed; StatPearls Publishing. https://www.ncbi.nlm.nih.gov/books/NBK592412/</w:t>
      </w:r>
    </w:p>
    <w:p w14:paraId="30DBB1DE" w14:textId="77777777" w:rsidR="006517D0" w:rsidRPr="0070387C" w:rsidRDefault="006517D0" w:rsidP="0070387C">
      <w:pPr>
        <w:spacing w:line="360" w:lineRule="auto"/>
        <w:jc w:val="both"/>
        <w:rPr>
          <w:rFonts w:ascii="Arial" w:hAnsi="Arial" w:cs="Arial"/>
        </w:rPr>
      </w:pPr>
    </w:p>
    <w:sectPr w:rsidR="006517D0" w:rsidRPr="0070387C">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11377" w14:textId="77777777" w:rsidR="005119DA" w:rsidRDefault="005119DA" w:rsidP="0070387C">
      <w:pPr>
        <w:spacing w:after="0" w:line="240" w:lineRule="auto"/>
      </w:pPr>
      <w:r>
        <w:separator/>
      </w:r>
    </w:p>
  </w:endnote>
  <w:endnote w:type="continuationSeparator" w:id="0">
    <w:p w14:paraId="00F75605" w14:textId="77777777" w:rsidR="005119DA" w:rsidRDefault="005119DA" w:rsidP="00703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398616"/>
      <w:docPartObj>
        <w:docPartGallery w:val="Page Numbers (Bottom of Page)"/>
        <w:docPartUnique/>
      </w:docPartObj>
    </w:sdtPr>
    <w:sdtEndPr>
      <w:rPr>
        <w:noProof/>
      </w:rPr>
    </w:sdtEndPr>
    <w:sdtContent>
      <w:p w14:paraId="61D0EF31" w14:textId="53396B78" w:rsidR="0070387C" w:rsidRDefault="007038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F8D682" w14:textId="77777777" w:rsidR="0070387C" w:rsidRDefault="00703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52D99" w14:textId="77777777" w:rsidR="005119DA" w:rsidRDefault="005119DA" w:rsidP="0070387C">
      <w:pPr>
        <w:spacing w:after="0" w:line="240" w:lineRule="auto"/>
      </w:pPr>
      <w:r>
        <w:separator/>
      </w:r>
    </w:p>
  </w:footnote>
  <w:footnote w:type="continuationSeparator" w:id="0">
    <w:p w14:paraId="14ED64AD" w14:textId="77777777" w:rsidR="005119DA" w:rsidRDefault="005119DA" w:rsidP="00703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41B26"/>
    <w:multiLevelType w:val="hybridMultilevel"/>
    <w:tmpl w:val="5C4C3F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A23"/>
    <w:rsid w:val="000716AE"/>
    <w:rsid w:val="00090430"/>
    <w:rsid w:val="000C75DA"/>
    <w:rsid w:val="00162BE2"/>
    <w:rsid w:val="00174AC6"/>
    <w:rsid w:val="001B3AAC"/>
    <w:rsid w:val="001E1C60"/>
    <w:rsid w:val="00212DC2"/>
    <w:rsid w:val="0023686A"/>
    <w:rsid w:val="00243FD1"/>
    <w:rsid w:val="00254395"/>
    <w:rsid w:val="002D7D71"/>
    <w:rsid w:val="002E2A23"/>
    <w:rsid w:val="003252F9"/>
    <w:rsid w:val="00374103"/>
    <w:rsid w:val="003947F0"/>
    <w:rsid w:val="003E374E"/>
    <w:rsid w:val="00477F2A"/>
    <w:rsid w:val="004A2B86"/>
    <w:rsid w:val="004B4B85"/>
    <w:rsid w:val="004B5922"/>
    <w:rsid w:val="004E4847"/>
    <w:rsid w:val="005119DA"/>
    <w:rsid w:val="00573D1F"/>
    <w:rsid w:val="006517D0"/>
    <w:rsid w:val="0070387C"/>
    <w:rsid w:val="007A3F40"/>
    <w:rsid w:val="008176B1"/>
    <w:rsid w:val="009745ED"/>
    <w:rsid w:val="00A61748"/>
    <w:rsid w:val="00A62ED8"/>
    <w:rsid w:val="00AD0167"/>
    <w:rsid w:val="00AF7D70"/>
    <w:rsid w:val="00B20C7D"/>
    <w:rsid w:val="00BE00EF"/>
    <w:rsid w:val="00CB6118"/>
    <w:rsid w:val="00D26072"/>
    <w:rsid w:val="00D40FAF"/>
    <w:rsid w:val="00DB17C0"/>
    <w:rsid w:val="00E8138F"/>
    <w:rsid w:val="00EC066E"/>
    <w:rsid w:val="00EC1DD0"/>
    <w:rsid w:val="00EF6D09"/>
    <w:rsid w:val="00F71584"/>
    <w:rsid w:val="00FB2707"/>
    <w:rsid w:val="00FB4560"/>
    <w:rsid w:val="00FD65E9"/>
    <w:rsid w:val="00FE47D5"/>
    <w:rsid w:val="00FF0E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A9483"/>
  <w15:chartTrackingRefBased/>
  <w15:docId w15:val="{5FBBF8F4-0ACF-4DD8-8304-11114566B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2E2A23"/>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477F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E2A23"/>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A23"/>
    <w:rPr>
      <w:rFonts w:ascii="Times New Roman" w:eastAsia="Times New Roman" w:hAnsi="Times New Roman" w:cs="Times New Roman"/>
      <w:b/>
      <w:bCs/>
      <w:kern w:val="36"/>
      <w:sz w:val="48"/>
      <w:szCs w:val="48"/>
      <w14:ligatures w14:val="none"/>
    </w:rPr>
  </w:style>
  <w:style w:type="character" w:customStyle="1" w:styleId="Heading3Char">
    <w:name w:val="Heading 3 Char"/>
    <w:basedOn w:val="DefaultParagraphFont"/>
    <w:link w:val="Heading3"/>
    <w:uiPriority w:val="9"/>
    <w:rsid w:val="002E2A23"/>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E2A23"/>
    <w:rPr>
      <w:b/>
      <w:bCs/>
    </w:rPr>
  </w:style>
  <w:style w:type="character" w:styleId="Emphasis">
    <w:name w:val="Emphasis"/>
    <w:basedOn w:val="DefaultParagraphFont"/>
    <w:uiPriority w:val="20"/>
    <w:qFormat/>
    <w:rsid w:val="002E2A23"/>
    <w:rPr>
      <w:i/>
      <w:iCs/>
    </w:rPr>
  </w:style>
  <w:style w:type="character" w:customStyle="1" w:styleId="Heading2Char">
    <w:name w:val="Heading 2 Char"/>
    <w:basedOn w:val="DefaultParagraphFont"/>
    <w:link w:val="Heading2"/>
    <w:uiPriority w:val="9"/>
    <w:rsid w:val="00477F2A"/>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FB4560"/>
    <w:pPr>
      <w:ind w:left="720"/>
      <w:contextualSpacing/>
    </w:pPr>
  </w:style>
  <w:style w:type="paragraph" w:styleId="NormalWeb">
    <w:name w:val="Normal (Web)"/>
    <w:basedOn w:val="Normal"/>
    <w:uiPriority w:val="99"/>
    <w:semiHidden/>
    <w:unhideWhenUsed/>
    <w:rsid w:val="0070387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7038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87C"/>
    <w:rPr>
      <w:lang w:val="en-GB"/>
    </w:rPr>
  </w:style>
  <w:style w:type="paragraph" w:styleId="Footer">
    <w:name w:val="footer"/>
    <w:basedOn w:val="Normal"/>
    <w:link w:val="FooterChar"/>
    <w:uiPriority w:val="99"/>
    <w:unhideWhenUsed/>
    <w:rsid w:val="007038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87C"/>
    <w:rPr>
      <w:lang w:val="en-GB"/>
    </w:rPr>
  </w:style>
  <w:style w:type="paragraph" w:styleId="TOCHeading">
    <w:name w:val="TOC Heading"/>
    <w:basedOn w:val="Heading1"/>
    <w:next w:val="Normal"/>
    <w:uiPriority w:val="39"/>
    <w:unhideWhenUsed/>
    <w:qFormat/>
    <w:rsid w:val="0070387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70387C"/>
    <w:pPr>
      <w:spacing w:after="100"/>
    </w:pPr>
  </w:style>
  <w:style w:type="paragraph" w:styleId="TOC3">
    <w:name w:val="toc 3"/>
    <w:basedOn w:val="Normal"/>
    <w:next w:val="Normal"/>
    <w:autoRedefine/>
    <w:uiPriority w:val="39"/>
    <w:unhideWhenUsed/>
    <w:rsid w:val="0070387C"/>
    <w:pPr>
      <w:spacing w:after="100"/>
      <w:ind w:left="440"/>
    </w:pPr>
  </w:style>
  <w:style w:type="paragraph" w:styleId="TOC2">
    <w:name w:val="toc 2"/>
    <w:basedOn w:val="Normal"/>
    <w:next w:val="Normal"/>
    <w:autoRedefine/>
    <w:uiPriority w:val="39"/>
    <w:unhideWhenUsed/>
    <w:rsid w:val="0070387C"/>
    <w:pPr>
      <w:spacing w:after="100"/>
      <w:ind w:left="220"/>
    </w:pPr>
  </w:style>
  <w:style w:type="character" w:styleId="Hyperlink">
    <w:name w:val="Hyperlink"/>
    <w:basedOn w:val="DefaultParagraphFont"/>
    <w:uiPriority w:val="99"/>
    <w:unhideWhenUsed/>
    <w:rsid w:val="007038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7715">
      <w:bodyDiv w:val="1"/>
      <w:marLeft w:val="0"/>
      <w:marRight w:val="0"/>
      <w:marTop w:val="0"/>
      <w:marBottom w:val="0"/>
      <w:divBdr>
        <w:top w:val="none" w:sz="0" w:space="0" w:color="auto"/>
        <w:left w:val="none" w:sz="0" w:space="0" w:color="auto"/>
        <w:bottom w:val="none" w:sz="0" w:space="0" w:color="auto"/>
        <w:right w:val="none" w:sz="0" w:space="0" w:color="auto"/>
      </w:divBdr>
    </w:div>
    <w:div w:id="56706445">
      <w:bodyDiv w:val="1"/>
      <w:marLeft w:val="0"/>
      <w:marRight w:val="0"/>
      <w:marTop w:val="0"/>
      <w:marBottom w:val="0"/>
      <w:divBdr>
        <w:top w:val="none" w:sz="0" w:space="0" w:color="auto"/>
        <w:left w:val="none" w:sz="0" w:space="0" w:color="auto"/>
        <w:bottom w:val="none" w:sz="0" w:space="0" w:color="auto"/>
        <w:right w:val="none" w:sz="0" w:space="0" w:color="auto"/>
      </w:divBdr>
      <w:divsChild>
        <w:div w:id="1217424732">
          <w:marLeft w:val="0"/>
          <w:marRight w:val="0"/>
          <w:marTop w:val="120"/>
          <w:marBottom w:val="120"/>
          <w:divBdr>
            <w:top w:val="none" w:sz="0" w:space="0" w:color="auto"/>
            <w:left w:val="none" w:sz="0" w:space="0" w:color="auto"/>
            <w:bottom w:val="none" w:sz="0" w:space="0" w:color="auto"/>
            <w:right w:val="none" w:sz="0" w:space="0" w:color="auto"/>
          </w:divBdr>
        </w:div>
      </w:divsChild>
    </w:div>
    <w:div w:id="70397758">
      <w:bodyDiv w:val="1"/>
      <w:marLeft w:val="0"/>
      <w:marRight w:val="0"/>
      <w:marTop w:val="0"/>
      <w:marBottom w:val="0"/>
      <w:divBdr>
        <w:top w:val="none" w:sz="0" w:space="0" w:color="auto"/>
        <w:left w:val="none" w:sz="0" w:space="0" w:color="auto"/>
        <w:bottom w:val="none" w:sz="0" w:space="0" w:color="auto"/>
        <w:right w:val="none" w:sz="0" w:space="0" w:color="auto"/>
      </w:divBdr>
    </w:div>
    <w:div w:id="90006695">
      <w:bodyDiv w:val="1"/>
      <w:marLeft w:val="0"/>
      <w:marRight w:val="0"/>
      <w:marTop w:val="0"/>
      <w:marBottom w:val="0"/>
      <w:divBdr>
        <w:top w:val="none" w:sz="0" w:space="0" w:color="auto"/>
        <w:left w:val="none" w:sz="0" w:space="0" w:color="auto"/>
        <w:bottom w:val="none" w:sz="0" w:space="0" w:color="auto"/>
        <w:right w:val="none" w:sz="0" w:space="0" w:color="auto"/>
      </w:divBdr>
      <w:divsChild>
        <w:div w:id="1124931447">
          <w:marLeft w:val="0"/>
          <w:marRight w:val="0"/>
          <w:marTop w:val="120"/>
          <w:marBottom w:val="120"/>
          <w:divBdr>
            <w:top w:val="none" w:sz="0" w:space="0" w:color="auto"/>
            <w:left w:val="none" w:sz="0" w:space="0" w:color="auto"/>
            <w:bottom w:val="none" w:sz="0" w:space="0" w:color="auto"/>
            <w:right w:val="none" w:sz="0" w:space="0" w:color="auto"/>
          </w:divBdr>
        </w:div>
        <w:div w:id="1054936993">
          <w:marLeft w:val="0"/>
          <w:marRight w:val="0"/>
          <w:marTop w:val="120"/>
          <w:marBottom w:val="120"/>
          <w:divBdr>
            <w:top w:val="none" w:sz="0" w:space="0" w:color="auto"/>
            <w:left w:val="none" w:sz="0" w:space="0" w:color="auto"/>
            <w:bottom w:val="none" w:sz="0" w:space="0" w:color="auto"/>
            <w:right w:val="none" w:sz="0" w:space="0" w:color="auto"/>
          </w:divBdr>
        </w:div>
        <w:div w:id="333997443">
          <w:marLeft w:val="0"/>
          <w:marRight w:val="0"/>
          <w:marTop w:val="120"/>
          <w:marBottom w:val="120"/>
          <w:divBdr>
            <w:top w:val="none" w:sz="0" w:space="0" w:color="auto"/>
            <w:left w:val="none" w:sz="0" w:space="0" w:color="auto"/>
            <w:bottom w:val="none" w:sz="0" w:space="0" w:color="auto"/>
            <w:right w:val="none" w:sz="0" w:space="0" w:color="auto"/>
          </w:divBdr>
        </w:div>
        <w:div w:id="1788691676">
          <w:marLeft w:val="0"/>
          <w:marRight w:val="0"/>
          <w:marTop w:val="120"/>
          <w:marBottom w:val="120"/>
          <w:divBdr>
            <w:top w:val="none" w:sz="0" w:space="0" w:color="auto"/>
            <w:left w:val="none" w:sz="0" w:space="0" w:color="auto"/>
            <w:bottom w:val="none" w:sz="0" w:space="0" w:color="auto"/>
            <w:right w:val="none" w:sz="0" w:space="0" w:color="auto"/>
          </w:divBdr>
        </w:div>
        <w:div w:id="1454329416">
          <w:marLeft w:val="0"/>
          <w:marRight w:val="0"/>
          <w:marTop w:val="120"/>
          <w:marBottom w:val="120"/>
          <w:divBdr>
            <w:top w:val="none" w:sz="0" w:space="0" w:color="auto"/>
            <w:left w:val="none" w:sz="0" w:space="0" w:color="auto"/>
            <w:bottom w:val="none" w:sz="0" w:space="0" w:color="auto"/>
            <w:right w:val="none" w:sz="0" w:space="0" w:color="auto"/>
          </w:divBdr>
        </w:div>
        <w:div w:id="1218976399">
          <w:marLeft w:val="0"/>
          <w:marRight w:val="0"/>
          <w:marTop w:val="120"/>
          <w:marBottom w:val="120"/>
          <w:divBdr>
            <w:top w:val="none" w:sz="0" w:space="0" w:color="auto"/>
            <w:left w:val="none" w:sz="0" w:space="0" w:color="auto"/>
            <w:bottom w:val="none" w:sz="0" w:space="0" w:color="auto"/>
            <w:right w:val="none" w:sz="0" w:space="0" w:color="auto"/>
          </w:divBdr>
        </w:div>
        <w:div w:id="1564759813">
          <w:marLeft w:val="0"/>
          <w:marRight w:val="0"/>
          <w:marTop w:val="120"/>
          <w:marBottom w:val="120"/>
          <w:divBdr>
            <w:top w:val="none" w:sz="0" w:space="0" w:color="auto"/>
            <w:left w:val="none" w:sz="0" w:space="0" w:color="auto"/>
            <w:bottom w:val="none" w:sz="0" w:space="0" w:color="auto"/>
            <w:right w:val="none" w:sz="0" w:space="0" w:color="auto"/>
          </w:divBdr>
        </w:div>
        <w:div w:id="1837722104">
          <w:marLeft w:val="0"/>
          <w:marRight w:val="0"/>
          <w:marTop w:val="120"/>
          <w:marBottom w:val="120"/>
          <w:divBdr>
            <w:top w:val="none" w:sz="0" w:space="0" w:color="auto"/>
            <w:left w:val="none" w:sz="0" w:space="0" w:color="auto"/>
            <w:bottom w:val="none" w:sz="0" w:space="0" w:color="auto"/>
            <w:right w:val="none" w:sz="0" w:space="0" w:color="auto"/>
          </w:divBdr>
        </w:div>
      </w:divsChild>
    </w:div>
    <w:div w:id="120005556">
      <w:bodyDiv w:val="1"/>
      <w:marLeft w:val="0"/>
      <w:marRight w:val="0"/>
      <w:marTop w:val="0"/>
      <w:marBottom w:val="0"/>
      <w:divBdr>
        <w:top w:val="none" w:sz="0" w:space="0" w:color="auto"/>
        <w:left w:val="none" w:sz="0" w:space="0" w:color="auto"/>
        <w:bottom w:val="none" w:sz="0" w:space="0" w:color="auto"/>
        <w:right w:val="none" w:sz="0" w:space="0" w:color="auto"/>
      </w:divBdr>
    </w:div>
    <w:div w:id="208300726">
      <w:bodyDiv w:val="1"/>
      <w:marLeft w:val="0"/>
      <w:marRight w:val="0"/>
      <w:marTop w:val="0"/>
      <w:marBottom w:val="0"/>
      <w:divBdr>
        <w:top w:val="none" w:sz="0" w:space="0" w:color="auto"/>
        <w:left w:val="none" w:sz="0" w:space="0" w:color="auto"/>
        <w:bottom w:val="none" w:sz="0" w:space="0" w:color="auto"/>
        <w:right w:val="none" w:sz="0" w:space="0" w:color="auto"/>
      </w:divBdr>
      <w:divsChild>
        <w:div w:id="574826632">
          <w:marLeft w:val="0"/>
          <w:marRight w:val="0"/>
          <w:marTop w:val="120"/>
          <w:marBottom w:val="120"/>
          <w:divBdr>
            <w:top w:val="none" w:sz="0" w:space="0" w:color="auto"/>
            <w:left w:val="none" w:sz="0" w:space="0" w:color="auto"/>
            <w:bottom w:val="none" w:sz="0" w:space="0" w:color="auto"/>
            <w:right w:val="none" w:sz="0" w:space="0" w:color="auto"/>
          </w:divBdr>
        </w:div>
      </w:divsChild>
    </w:div>
    <w:div w:id="209539167">
      <w:bodyDiv w:val="1"/>
      <w:marLeft w:val="0"/>
      <w:marRight w:val="0"/>
      <w:marTop w:val="0"/>
      <w:marBottom w:val="0"/>
      <w:divBdr>
        <w:top w:val="none" w:sz="0" w:space="0" w:color="auto"/>
        <w:left w:val="none" w:sz="0" w:space="0" w:color="auto"/>
        <w:bottom w:val="none" w:sz="0" w:space="0" w:color="auto"/>
        <w:right w:val="none" w:sz="0" w:space="0" w:color="auto"/>
      </w:divBdr>
      <w:divsChild>
        <w:div w:id="861481194">
          <w:marLeft w:val="0"/>
          <w:marRight w:val="0"/>
          <w:marTop w:val="120"/>
          <w:marBottom w:val="120"/>
          <w:divBdr>
            <w:top w:val="none" w:sz="0" w:space="0" w:color="auto"/>
            <w:left w:val="none" w:sz="0" w:space="0" w:color="auto"/>
            <w:bottom w:val="none" w:sz="0" w:space="0" w:color="auto"/>
            <w:right w:val="none" w:sz="0" w:space="0" w:color="auto"/>
          </w:divBdr>
        </w:div>
        <w:div w:id="730735212">
          <w:marLeft w:val="0"/>
          <w:marRight w:val="0"/>
          <w:marTop w:val="120"/>
          <w:marBottom w:val="120"/>
          <w:divBdr>
            <w:top w:val="none" w:sz="0" w:space="0" w:color="auto"/>
            <w:left w:val="none" w:sz="0" w:space="0" w:color="auto"/>
            <w:bottom w:val="none" w:sz="0" w:space="0" w:color="auto"/>
            <w:right w:val="none" w:sz="0" w:space="0" w:color="auto"/>
          </w:divBdr>
        </w:div>
      </w:divsChild>
    </w:div>
    <w:div w:id="346951627">
      <w:bodyDiv w:val="1"/>
      <w:marLeft w:val="0"/>
      <w:marRight w:val="0"/>
      <w:marTop w:val="0"/>
      <w:marBottom w:val="0"/>
      <w:divBdr>
        <w:top w:val="none" w:sz="0" w:space="0" w:color="auto"/>
        <w:left w:val="none" w:sz="0" w:space="0" w:color="auto"/>
        <w:bottom w:val="none" w:sz="0" w:space="0" w:color="auto"/>
        <w:right w:val="none" w:sz="0" w:space="0" w:color="auto"/>
      </w:divBdr>
      <w:divsChild>
        <w:div w:id="1364280288">
          <w:marLeft w:val="0"/>
          <w:marRight w:val="0"/>
          <w:marTop w:val="120"/>
          <w:marBottom w:val="120"/>
          <w:divBdr>
            <w:top w:val="none" w:sz="0" w:space="0" w:color="auto"/>
            <w:left w:val="none" w:sz="0" w:space="0" w:color="auto"/>
            <w:bottom w:val="none" w:sz="0" w:space="0" w:color="auto"/>
            <w:right w:val="none" w:sz="0" w:space="0" w:color="auto"/>
          </w:divBdr>
        </w:div>
      </w:divsChild>
    </w:div>
    <w:div w:id="455375841">
      <w:bodyDiv w:val="1"/>
      <w:marLeft w:val="0"/>
      <w:marRight w:val="0"/>
      <w:marTop w:val="0"/>
      <w:marBottom w:val="0"/>
      <w:divBdr>
        <w:top w:val="none" w:sz="0" w:space="0" w:color="auto"/>
        <w:left w:val="none" w:sz="0" w:space="0" w:color="auto"/>
        <w:bottom w:val="none" w:sz="0" w:space="0" w:color="auto"/>
        <w:right w:val="none" w:sz="0" w:space="0" w:color="auto"/>
      </w:divBdr>
      <w:divsChild>
        <w:div w:id="1568570331">
          <w:marLeft w:val="0"/>
          <w:marRight w:val="0"/>
          <w:marTop w:val="120"/>
          <w:marBottom w:val="120"/>
          <w:divBdr>
            <w:top w:val="none" w:sz="0" w:space="0" w:color="auto"/>
            <w:left w:val="none" w:sz="0" w:space="0" w:color="auto"/>
            <w:bottom w:val="none" w:sz="0" w:space="0" w:color="auto"/>
            <w:right w:val="none" w:sz="0" w:space="0" w:color="auto"/>
          </w:divBdr>
        </w:div>
      </w:divsChild>
    </w:div>
    <w:div w:id="645168073">
      <w:bodyDiv w:val="1"/>
      <w:marLeft w:val="0"/>
      <w:marRight w:val="0"/>
      <w:marTop w:val="0"/>
      <w:marBottom w:val="0"/>
      <w:divBdr>
        <w:top w:val="none" w:sz="0" w:space="0" w:color="auto"/>
        <w:left w:val="none" w:sz="0" w:space="0" w:color="auto"/>
        <w:bottom w:val="none" w:sz="0" w:space="0" w:color="auto"/>
        <w:right w:val="none" w:sz="0" w:space="0" w:color="auto"/>
      </w:divBdr>
    </w:div>
    <w:div w:id="706875831">
      <w:bodyDiv w:val="1"/>
      <w:marLeft w:val="0"/>
      <w:marRight w:val="0"/>
      <w:marTop w:val="0"/>
      <w:marBottom w:val="0"/>
      <w:divBdr>
        <w:top w:val="none" w:sz="0" w:space="0" w:color="auto"/>
        <w:left w:val="none" w:sz="0" w:space="0" w:color="auto"/>
        <w:bottom w:val="none" w:sz="0" w:space="0" w:color="auto"/>
        <w:right w:val="none" w:sz="0" w:space="0" w:color="auto"/>
      </w:divBdr>
      <w:divsChild>
        <w:div w:id="1612660513">
          <w:marLeft w:val="0"/>
          <w:marRight w:val="0"/>
          <w:marTop w:val="120"/>
          <w:marBottom w:val="120"/>
          <w:divBdr>
            <w:top w:val="none" w:sz="0" w:space="0" w:color="auto"/>
            <w:left w:val="none" w:sz="0" w:space="0" w:color="auto"/>
            <w:bottom w:val="none" w:sz="0" w:space="0" w:color="auto"/>
            <w:right w:val="none" w:sz="0" w:space="0" w:color="auto"/>
          </w:divBdr>
        </w:div>
        <w:div w:id="1561748322">
          <w:marLeft w:val="0"/>
          <w:marRight w:val="0"/>
          <w:marTop w:val="120"/>
          <w:marBottom w:val="120"/>
          <w:divBdr>
            <w:top w:val="none" w:sz="0" w:space="0" w:color="auto"/>
            <w:left w:val="none" w:sz="0" w:space="0" w:color="auto"/>
            <w:bottom w:val="none" w:sz="0" w:space="0" w:color="auto"/>
            <w:right w:val="none" w:sz="0" w:space="0" w:color="auto"/>
          </w:divBdr>
        </w:div>
        <w:div w:id="1556551705">
          <w:marLeft w:val="0"/>
          <w:marRight w:val="0"/>
          <w:marTop w:val="120"/>
          <w:marBottom w:val="120"/>
          <w:divBdr>
            <w:top w:val="none" w:sz="0" w:space="0" w:color="auto"/>
            <w:left w:val="none" w:sz="0" w:space="0" w:color="auto"/>
            <w:bottom w:val="none" w:sz="0" w:space="0" w:color="auto"/>
            <w:right w:val="none" w:sz="0" w:space="0" w:color="auto"/>
          </w:divBdr>
        </w:div>
        <w:div w:id="370501565">
          <w:marLeft w:val="0"/>
          <w:marRight w:val="0"/>
          <w:marTop w:val="120"/>
          <w:marBottom w:val="120"/>
          <w:divBdr>
            <w:top w:val="none" w:sz="0" w:space="0" w:color="auto"/>
            <w:left w:val="none" w:sz="0" w:space="0" w:color="auto"/>
            <w:bottom w:val="none" w:sz="0" w:space="0" w:color="auto"/>
            <w:right w:val="none" w:sz="0" w:space="0" w:color="auto"/>
          </w:divBdr>
        </w:div>
        <w:div w:id="1590844393">
          <w:marLeft w:val="0"/>
          <w:marRight w:val="0"/>
          <w:marTop w:val="120"/>
          <w:marBottom w:val="120"/>
          <w:divBdr>
            <w:top w:val="none" w:sz="0" w:space="0" w:color="auto"/>
            <w:left w:val="none" w:sz="0" w:space="0" w:color="auto"/>
            <w:bottom w:val="none" w:sz="0" w:space="0" w:color="auto"/>
            <w:right w:val="none" w:sz="0" w:space="0" w:color="auto"/>
          </w:divBdr>
        </w:div>
        <w:div w:id="170798184">
          <w:marLeft w:val="0"/>
          <w:marRight w:val="0"/>
          <w:marTop w:val="120"/>
          <w:marBottom w:val="120"/>
          <w:divBdr>
            <w:top w:val="none" w:sz="0" w:space="0" w:color="auto"/>
            <w:left w:val="none" w:sz="0" w:space="0" w:color="auto"/>
            <w:bottom w:val="none" w:sz="0" w:space="0" w:color="auto"/>
            <w:right w:val="none" w:sz="0" w:space="0" w:color="auto"/>
          </w:divBdr>
        </w:div>
        <w:div w:id="358548804">
          <w:marLeft w:val="0"/>
          <w:marRight w:val="0"/>
          <w:marTop w:val="120"/>
          <w:marBottom w:val="120"/>
          <w:divBdr>
            <w:top w:val="none" w:sz="0" w:space="0" w:color="auto"/>
            <w:left w:val="none" w:sz="0" w:space="0" w:color="auto"/>
            <w:bottom w:val="none" w:sz="0" w:space="0" w:color="auto"/>
            <w:right w:val="none" w:sz="0" w:space="0" w:color="auto"/>
          </w:divBdr>
        </w:div>
        <w:div w:id="478689584">
          <w:marLeft w:val="0"/>
          <w:marRight w:val="0"/>
          <w:marTop w:val="120"/>
          <w:marBottom w:val="120"/>
          <w:divBdr>
            <w:top w:val="none" w:sz="0" w:space="0" w:color="auto"/>
            <w:left w:val="none" w:sz="0" w:space="0" w:color="auto"/>
            <w:bottom w:val="none" w:sz="0" w:space="0" w:color="auto"/>
            <w:right w:val="none" w:sz="0" w:space="0" w:color="auto"/>
          </w:divBdr>
        </w:div>
        <w:div w:id="1925873072">
          <w:marLeft w:val="0"/>
          <w:marRight w:val="0"/>
          <w:marTop w:val="120"/>
          <w:marBottom w:val="120"/>
          <w:divBdr>
            <w:top w:val="none" w:sz="0" w:space="0" w:color="auto"/>
            <w:left w:val="none" w:sz="0" w:space="0" w:color="auto"/>
            <w:bottom w:val="none" w:sz="0" w:space="0" w:color="auto"/>
            <w:right w:val="none" w:sz="0" w:space="0" w:color="auto"/>
          </w:divBdr>
        </w:div>
        <w:div w:id="1904175259">
          <w:marLeft w:val="0"/>
          <w:marRight w:val="0"/>
          <w:marTop w:val="120"/>
          <w:marBottom w:val="120"/>
          <w:divBdr>
            <w:top w:val="none" w:sz="0" w:space="0" w:color="auto"/>
            <w:left w:val="none" w:sz="0" w:space="0" w:color="auto"/>
            <w:bottom w:val="none" w:sz="0" w:space="0" w:color="auto"/>
            <w:right w:val="none" w:sz="0" w:space="0" w:color="auto"/>
          </w:divBdr>
        </w:div>
      </w:divsChild>
    </w:div>
    <w:div w:id="761073310">
      <w:bodyDiv w:val="1"/>
      <w:marLeft w:val="0"/>
      <w:marRight w:val="0"/>
      <w:marTop w:val="0"/>
      <w:marBottom w:val="0"/>
      <w:divBdr>
        <w:top w:val="none" w:sz="0" w:space="0" w:color="auto"/>
        <w:left w:val="none" w:sz="0" w:space="0" w:color="auto"/>
        <w:bottom w:val="none" w:sz="0" w:space="0" w:color="auto"/>
        <w:right w:val="none" w:sz="0" w:space="0" w:color="auto"/>
      </w:divBdr>
    </w:div>
    <w:div w:id="783697835">
      <w:bodyDiv w:val="1"/>
      <w:marLeft w:val="0"/>
      <w:marRight w:val="0"/>
      <w:marTop w:val="0"/>
      <w:marBottom w:val="0"/>
      <w:divBdr>
        <w:top w:val="none" w:sz="0" w:space="0" w:color="auto"/>
        <w:left w:val="none" w:sz="0" w:space="0" w:color="auto"/>
        <w:bottom w:val="none" w:sz="0" w:space="0" w:color="auto"/>
        <w:right w:val="none" w:sz="0" w:space="0" w:color="auto"/>
      </w:divBdr>
    </w:div>
    <w:div w:id="865140917">
      <w:bodyDiv w:val="1"/>
      <w:marLeft w:val="0"/>
      <w:marRight w:val="0"/>
      <w:marTop w:val="0"/>
      <w:marBottom w:val="0"/>
      <w:divBdr>
        <w:top w:val="none" w:sz="0" w:space="0" w:color="auto"/>
        <w:left w:val="none" w:sz="0" w:space="0" w:color="auto"/>
        <w:bottom w:val="none" w:sz="0" w:space="0" w:color="auto"/>
        <w:right w:val="none" w:sz="0" w:space="0" w:color="auto"/>
      </w:divBdr>
    </w:div>
    <w:div w:id="869562493">
      <w:bodyDiv w:val="1"/>
      <w:marLeft w:val="0"/>
      <w:marRight w:val="0"/>
      <w:marTop w:val="0"/>
      <w:marBottom w:val="0"/>
      <w:divBdr>
        <w:top w:val="none" w:sz="0" w:space="0" w:color="auto"/>
        <w:left w:val="none" w:sz="0" w:space="0" w:color="auto"/>
        <w:bottom w:val="none" w:sz="0" w:space="0" w:color="auto"/>
        <w:right w:val="none" w:sz="0" w:space="0" w:color="auto"/>
      </w:divBdr>
      <w:divsChild>
        <w:div w:id="1376004867">
          <w:marLeft w:val="0"/>
          <w:marRight w:val="0"/>
          <w:marTop w:val="120"/>
          <w:marBottom w:val="120"/>
          <w:divBdr>
            <w:top w:val="none" w:sz="0" w:space="0" w:color="auto"/>
            <w:left w:val="none" w:sz="0" w:space="0" w:color="auto"/>
            <w:bottom w:val="none" w:sz="0" w:space="0" w:color="auto"/>
            <w:right w:val="none" w:sz="0" w:space="0" w:color="auto"/>
          </w:divBdr>
        </w:div>
      </w:divsChild>
    </w:div>
    <w:div w:id="873811364">
      <w:bodyDiv w:val="1"/>
      <w:marLeft w:val="0"/>
      <w:marRight w:val="0"/>
      <w:marTop w:val="0"/>
      <w:marBottom w:val="0"/>
      <w:divBdr>
        <w:top w:val="none" w:sz="0" w:space="0" w:color="auto"/>
        <w:left w:val="none" w:sz="0" w:space="0" w:color="auto"/>
        <w:bottom w:val="none" w:sz="0" w:space="0" w:color="auto"/>
        <w:right w:val="none" w:sz="0" w:space="0" w:color="auto"/>
      </w:divBdr>
    </w:div>
    <w:div w:id="920990736">
      <w:bodyDiv w:val="1"/>
      <w:marLeft w:val="0"/>
      <w:marRight w:val="0"/>
      <w:marTop w:val="0"/>
      <w:marBottom w:val="0"/>
      <w:divBdr>
        <w:top w:val="none" w:sz="0" w:space="0" w:color="auto"/>
        <w:left w:val="none" w:sz="0" w:space="0" w:color="auto"/>
        <w:bottom w:val="none" w:sz="0" w:space="0" w:color="auto"/>
        <w:right w:val="none" w:sz="0" w:space="0" w:color="auto"/>
      </w:divBdr>
      <w:divsChild>
        <w:div w:id="990061275">
          <w:marLeft w:val="0"/>
          <w:marRight w:val="0"/>
          <w:marTop w:val="120"/>
          <w:marBottom w:val="120"/>
          <w:divBdr>
            <w:top w:val="none" w:sz="0" w:space="0" w:color="auto"/>
            <w:left w:val="none" w:sz="0" w:space="0" w:color="auto"/>
            <w:bottom w:val="none" w:sz="0" w:space="0" w:color="auto"/>
            <w:right w:val="none" w:sz="0" w:space="0" w:color="auto"/>
          </w:divBdr>
        </w:div>
        <w:div w:id="1071584864">
          <w:marLeft w:val="0"/>
          <w:marRight w:val="0"/>
          <w:marTop w:val="120"/>
          <w:marBottom w:val="120"/>
          <w:divBdr>
            <w:top w:val="none" w:sz="0" w:space="0" w:color="auto"/>
            <w:left w:val="none" w:sz="0" w:space="0" w:color="auto"/>
            <w:bottom w:val="none" w:sz="0" w:space="0" w:color="auto"/>
            <w:right w:val="none" w:sz="0" w:space="0" w:color="auto"/>
          </w:divBdr>
        </w:div>
        <w:div w:id="1622951340">
          <w:marLeft w:val="0"/>
          <w:marRight w:val="0"/>
          <w:marTop w:val="120"/>
          <w:marBottom w:val="120"/>
          <w:divBdr>
            <w:top w:val="none" w:sz="0" w:space="0" w:color="auto"/>
            <w:left w:val="none" w:sz="0" w:space="0" w:color="auto"/>
            <w:bottom w:val="none" w:sz="0" w:space="0" w:color="auto"/>
            <w:right w:val="none" w:sz="0" w:space="0" w:color="auto"/>
          </w:divBdr>
        </w:div>
        <w:div w:id="1938898897">
          <w:marLeft w:val="0"/>
          <w:marRight w:val="0"/>
          <w:marTop w:val="120"/>
          <w:marBottom w:val="120"/>
          <w:divBdr>
            <w:top w:val="none" w:sz="0" w:space="0" w:color="auto"/>
            <w:left w:val="none" w:sz="0" w:space="0" w:color="auto"/>
            <w:bottom w:val="none" w:sz="0" w:space="0" w:color="auto"/>
            <w:right w:val="none" w:sz="0" w:space="0" w:color="auto"/>
          </w:divBdr>
        </w:div>
        <w:div w:id="1500273560">
          <w:marLeft w:val="0"/>
          <w:marRight w:val="0"/>
          <w:marTop w:val="120"/>
          <w:marBottom w:val="120"/>
          <w:divBdr>
            <w:top w:val="none" w:sz="0" w:space="0" w:color="auto"/>
            <w:left w:val="none" w:sz="0" w:space="0" w:color="auto"/>
            <w:bottom w:val="none" w:sz="0" w:space="0" w:color="auto"/>
            <w:right w:val="none" w:sz="0" w:space="0" w:color="auto"/>
          </w:divBdr>
        </w:div>
        <w:div w:id="1863546057">
          <w:marLeft w:val="0"/>
          <w:marRight w:val="0"/>
          <w:marTop w:val="120"/>
          <w:marBottom w:val="120"/>
          <w:divBdr>
            <w:top w:val="none" w:sz="0" w:space="0" w:color="auto"/>
            <w:left w:val="none" w:sz="0" w:space="0" w:color="auto"/>
            <w:bottom w:val="none" w:sz="0" w:space="0" w:color="auto"/>
            <w:right w:val="none" w:sz="0" w:space="0" w:color="auto"/>
          </w:divBdr>
        </w:div>
        <w:div w:id="2099590488">
          <w:marLeft w:val="0"/>
          <w:marRight w:val="0"/>
          <w:marTop w:val="120"/>
          <w:marBottom w:val="120"/>
          <w:divBdr>
            <w:top w:val="none" w:sz="0" w:space="0" w:color="auto"/>
            <w:left w:val="none" w:sz="0" w:space="0" w:color="auto"/>
            <w:bottom w:val="none" w:sz="0" w:space="0" w:color="auto"/>
            <w:right w:val="none" w:sz="0" w:space="0" w:color="auto"/>
          </w:divBdr>
        </w:div>
        <w:div w:id="2102875578">
          <w:marLeft w:val="0"/>
          <w:marRight w:val="0"/>
          <w:marTop w:val="120"/>
          <w:marBottom w:val="120"/>
          <w:divBdr>
            <w:top w:val="none" w:sz="0" w:space="0" w:color="auto"/>
            <w:left w:val="none" w:sz="0" w:space="0" w:color="auto"/>
            <w:bottom w:val="none" w:sz="0" w:space="0" w:color="auto"/>
            <w:right w:val="none" w:sz="0" w:space="0" w:color="auto"/>
          </w:divBdr>
        </w:div>
        <w:div w:id="1962300767">
          <w:marLeft w:val="0"/>
          <w:marRight w:val="0"/>
          <w:marTop w:val="120"/>
          <w:marBottom w:val="120"/>
          <w:divBdr>
            <w:top w:val="none" w:sz="0" w:space="0" w:color="auto"/>
            <w:left w:val="none" w:sz="0" w:space="0" w:color="auto"/>
            <w:bottom w:val="none" w:sz="0" w:space="0" w:color="auto"/>
            <w:right w:val="none" w:sz="0" w:space="0" w:color="auto"/>
          </w:divBdr>
        </w:div>
        <w:div w:id="961108787">
          <w:marLeft w:val="0"/>
          <w:marRight w:val="0"/>
          <w:marTop w:val="120"/>
          <w:marBottom w:val="120"/>
          <w:divBdr>
            <w:top w:val="none" w:sz="0" w:space="0" w:color="auto"/>
            <w:left w:val="none" w:sz="0" w:space="0" w:color="auto"/>
            <w:bottom w:val="none" w:sz="0" w:space="0" w:color="auto"/>
            <w:right w:val="none" w:sz="0" w:space="0" w:color="auto"/>
          </w:divBdr>
        </w:div>
        <w:div w:id="1386293711">
          <w:marLeft w:val="0"/>
          <w:marRight w:val="0"/>
          <w:marTop w:val="120"/>
          <w:marBottom w:val="120"/>
          <w:divBdr>
            <w:top w:val="none" w:sz="0" w:space="0" w:color="auto"/>
            <w:left w:val="none" w:sz="0" w:space="0" w:color="auto"/>
            <w:bottom w:val="none" w:sz="0" w:space="0" w:color="auto"/>
            <w:right w:val="none" w:sz="0" w:space="0" w:color="auto"/>
          </w:divBdr>
        </w:div>
        <w:div w:id="6949520">
          <w:marLeft w:val="0"/>
          <w:marRight w:val="0"/>
          <w:marTop w:val="120"/>
          <w:marBottom w:val="120"/>
          <w:divBdr>
            <w:top w:val="none" w:sz="0" w:space="0" w:color="auto"/>
            <w:left w:val="none" w:sz="0" w:space="0" w:color="auto"/>
            <w:bottom w:val="none" w:sz="0" w:space="0" w:color="auto"/>
            <w:right w:val="none" w:sz="0" w:space="0" w:color="auto"/>
          </w:divBdr>
        </w:div>
      </w:divsChild>
    </w:div>
    <w:div w:id="1017393773">
      <w:bodyDiv w:val="1"/>
      <w:marLeft w:val="0"/>
      <w:marRight w:val="0"/>
      <w:marTop w:val="0"/>
      <w:marBottom w:val="0"/>
      <w:divBdr>
        <w:top w:val="none" w:sz="0" w:space="0" w:color="auto"/>
        <w:left w:val="none" w:sz="0" w:space="0" w:color="auto"/>
        <w:bottom w:val="none" w:sz="0" w:space="0" w:color="auto"/>
        <w:right w:val="none" w:sz="0" w:space="0" w:color="auto"/>
      </w:divBdr>
      <w:divsChild>
        <w:div w:id="519045819">
          <w:marLeft w:val="0"/>
          <w:marRight w:val="0"/>
          <w:marTop w:val="120"/>
          <w:marBottom w:val="120"/>
          <w:divBdr>
            <w:top w:val="none" w:sz="0" w:space="0" w:color="auto"/>
            <w:left w:val="none" w:sz="0" w:space="0" w:color="auto"/>
            <w:bottom w:val="none" w:sz="0" w:space="0" w:color="auto"/>
            <w:right w:val="none" w:sz="0" w:space="0" w:color="auto"/>
          </w:divBdr>
        </w:div>
      </w:divsChild>
    </w:div>
    <w:div w:id="1146971674">
      <w:bodyDiv w:val="1"/>
      <w:marLeft w:val="0"/>
      <w:marRight w:val="0"/>
      <w:marTop w:val="0"/>
      <w:marBottom w:val="0"/>
      <w:divBdr>
        <w:top w:val="none" w:sz="0" w:space="0" w:color="auto"/>
        <w:left w:val="none" w:sz="0" w:space="0" w:color="auto"/>
        <w:bottom w:val="none" w:sz="0" w:space="0" w:color="auto"/>
        <w:right w:val="none" w:sz="0" w:space="0" w:color="auto"/>
      </w:divBdr>
      <w:divsChild>
        <w:div w:id="1559635599">
          <w:marLeft w:val="-720"/>
          <w:marRight w:val="0"/>
          <w:marTop w:val="0"/>
          <w:marBottom w:val="0"/>
          <w:divBdr>
            <w:top w:val="none" w:sz="0" w:space="0" w:color="auto"/>
            <w:left w:val="none" w:sz="0" w:space="0" w:color="auto"/>
            <w:bottom w:val="none" w:sz="0" w:space="0" w:color="auto"/>
            <w:right w:val="none" w:sz="0" w:space="0" w:color="auto"/>
          </w:divBdr>
        </w:div>
      </w:divsChild>
    </w:div>
    <w:div w:id="1170371366">
      <w:bodyDiv w:val="1"/>
      <w:marLeft w:val="0"/>
      <w:marRight w:val="0"/>
      <w:marTop w:val="0"/>
      <w:marBottom w:val="0"/>
      <w:divBdr>
        <w:top w:val="none" w:sz="0" w:space="0" w:color="auto"/>
        <w:left w:val="none" w:sz="0" w:space="0" w:color="auto"/>
        <w:bottom w:val="none" w:sz="0" w:space="0" w:color="auto"/>
        <w:right w:val="none" w:sz="0" w:space="0" w:color="auto"/>
      </w:divBdr>
    </w:div>
    <w:div w:id="1191264269">
      <w:bodyDiv w:val="1"/>
      <w:marLeft w:val="0"/>
      <w:marRight w:val="0"/>
      <w:marTop w:val="0"/>
      <w:marBottom w:val="0"/>
      <w:divBdr>
        <w:top w:val="none" w:sz="0" w:space="0" w:color="auto"/>
        <w:left w:val="none" w:sz="0" w:space="0" w:color="auto"/>
        <w:bottom w:val="none" w:sz="0" w:space="0" w:color="auto"/>
        <w:right w:val="none" w:sz="0" w:space="0" w:color="auto"/>
      </w:divBdr>
    </w:div>
    <w:div w:id="1202940071">
      <w:bodyDiv w:val="1"/>
      <w:marLeft w:val="0"/>
      <w:marRight w:val="0"/>
      <w:marTop w:val="0"/>
      <w:marBottom w:val="0"/>
      <w:divBdr>
        <w:top w:val="none" w:sz="0" w:space="0" w:color="auto"/>
        <w:left w:val="none" w:sz="0" w:space="0" w:color="auto"/>
        <w:bottom w:val="none" w:sz="0" w:space="0" w:color="auto"/>
        <w:right w:val="none" w:sz="0" w:space="0" w:color="auto"/>
      </w:divBdr>
      <w:divsChild>
        <w:div w:id="1049262974">
          <w:marLeft w:val="0"/>
          <w:marRight w:val="0"/>
          <w:marTop w:val="120"/>
          <w:marBottom w:val="120"/>
          <w:divBdr>
            <w:top w:val="none" w:sz="0" w:space="0" w:color="auto"/>
            <w:left w:val="none" w:sz="0" w:space="0" w:color="auto"/>
            <w:bottom w:val="none" w:sz="0" w:space="0" w:color="auto"/>
            <w:right w:val="none" w:sz="0" w:space="0" w:color="auto"/>
          </w:divBdr>
        </w:div>
        <w:div w:id="1027178068">
          <w:marLeft w:val="0"/>
          <w:marRight w:val="0"/>
          <w:marTop w:val="120"/>
          <w:marBottom w:val="120"/>
          <w:divBdr>
            <w:top w:val="none" w:sz="0" w:space="0" w:color="auto"/>
            <w:left w:val="none" w:sz="0" w:space="0" w:color="auto"/>
            <w:bottom w:val="none" w:sz="0" w:space="0" w:color="auto"/>
            <w:right w:val="none" w:sz="0" w:space="0" w:color="auto"/>
          </w:divBdr>
        </w:div>
        <w:div w:id="109325956">
          <w:marLeft w:val="0"/>
          <w:marRight w:val="0"/>
          <w:marTop w:val="120"/>
          <w:marBottom w:val="120"/>
          <w:divBdr>
            <w:top w:val="none" w:sz="0" w:space="0" w:color="auto"/>
            <w:left w:val="none" w:sz="0" w:space="0" w:color="auto"/>
            <w:bottom w:val="none" w:sz="0" w:space="0" w:color="auto"/>
            <w:right w:val="none" w:sz="0" w:space="0" w:color="auto"/>
          </w:divBdr>
        </w:div>
        <w:div w:id="114839355">
          <w:marLeft w:val="0"/>
          <w:marRight w:val="0"/>
          <w:marTop w:val="120"/>
          <w:marBottom w:val="120"/>
          <w:divBdr>
            <w:top w:val="none" w:sz="0" w:space="0" w:color="auto"/>
            <w:left w:val="none" w:sz="0" w:space="0" w:color="auto"/>
            <w:bottom w:val="none" w:sz="0" w:space="0" w:color="auto"/>
            <w:right w:val="none" w:sz="0" w:space="0" w:color="auto"/>
          </w:divBdr>
        </w:div>
        <w:div w:id="695429753">
          <w:marLeft w:val="0"/>
          <w:marRight w:val="0"/>
          <w:marTop w:val="120"/>
          <w:marBottom w:val="120"/>
          <w:divBdr>
            <w:top w:val="none" w:sz="0" w:space="0" w:color="auto"/>
            <w:left w:val="none" w:sz="0" w:space="0" w:color="auto"/>
            <w:bottom w:val="none" w:sz="0" w:space="0" w:color="auto"/>
            <w:right w:val="none" w:sz="0" w:space="0" w:color="auto"/>
          </w:divBdr>
        </w:div>
        <w:div w:id="1381369585">
          <w:marLeft w:val="0"/>
          <w:marRight w:val="0"/>
          <w:marTop w:val="120"/>
          <w:marBottom w:val="120"/>
          <w:divBdr>
            <w:top w:val="none" w:sz="0" w:space="0" w:color="auto"/>
            <w:left w:val="none" w:sz="0" w:space="0" w:color="auto"/>
            <w:bottom w:val="none" w:sz="0" w:space="0" w:color="auto"/>
            <w:right w:val="none" w:sz="0" w:space="0" w:color="auto"/>
          </w:divBdr>
        </w:div>
      </w:divsChild>
    </w:div>
    <w:div w:id="1251424673">
      <w:bodyDiv w:val="1"/>
      <w:marLeft w:val="0"/>
      <w:marRight w:val="0"/>
      <w:marTop w:val="0"/>
      <w:marBottom w:val="0"/>
      <w:divBdr>
        <w:top w:val="none" w:sz="0" w:space="0" w:color="auto"/>
        <w:left w:val="none" w:sz="0" w:space="0" w:color="auto"/>
        <w:bottom w:val="none" w:sz="0" w:space="0" w:color="auto"/>
        <w:right w:val="none" w:sz="0" w:space="0" w:color="auto"/>
      </w:divBdr>
    </w:div>
    <w:div w:id="1306206501">
      <w:bodyDiv w:val="1"/>
      <w:marLeft w:val="0"/>
      <w:marRight w:val="0"/>
      <w:marTop w:val="0"/>
      <w:marBottom w:val="0"/>
      <w:divBdr>
        <w:top w:val="none" w:sz="0" w:space="0" w:color="auto"/>
        <w:left w:val="none" w:sz="0" w:space="0" w:color="auto"/>
        <w:bottom w:val="none" w:sz="0" w:space="0" w:color="auto"/>
        <w:right w:val="none" w:sz="0" w:space="0" w:color="auto"/>
      </w:divBdr>
    </w:div>
    <w:div w:id="1327443221">
      <w:bodyDiv w:val="1"/>
      <w:marLeft w:val="0"/>
      <w:marRight w:val="0"/>
      <w:marTop w:val="0"/>
      <w:marBottom w:val="0"/>
      <w:divBdr>
        <w:top w:val="none" w:sz="0" w:space="0" w:color="auto"/>
        <w:left w:val="none" w:sz="0" w:space="0" w:color="auto"/>
        <w:bottom w:val="none" w:sz="0" w:space="0" w:color="auto"/>
        <w:right w:val="none" w:sz="0" w:space="0" w:color="auto"/>
      </w:divBdr>
    </w:div>
    <w:div w:id="1435249328">
      <w:bodyDiv w:val="1"/>
      <w:marLeft w:val="0"/>
      <w:marRight w:val="0"/>
      <w:marTop w:val="0"/>
      <w:marBottom w:val="0"/>
      <w:divBdr>
        <w:top w:val="none" w:sz="0" w:space="0" w:color="auto"/>
        <w:left w:val="none" w:sz="0" w:space="0" w:color="auto"/>
        <w:bottom w:val="none" w:sz="0" w:space="0" w:color="auto"/>
        <w:right w:val="none" w:sz="0" w:space="0" w:color="auto"/>
      </w:divBdr>
    </w:div>
    <w:div w:id="1499809308">
      <w:bodyDiv w:val="1"/>
      <w:marLeft w:val="0"/>
      <w:marRight w:val="0"/>
      <w:marTop w:val="0"/>
      <w:marBottom w:val="0"/>
      <w:divBdr>
        <w:top w:val="none" w:sz="0" w:space="0" w:color="auto"/>
        <w:left w:val="none" w:sz="0" w:space="0" w:color="auto"/>
        <w:bottom w:val="none" w:sz="0" w:space="0" w:color="auto"/>
        <w:right w:val="none" w:sz="0" w:space="0" w:color="auto"/>
      </w:divBdr>
    </w:div>
    <w:div w:id="1506171875">
      <w:bodyDiv w:val="1"/>
      <w:marLeft w:val="0"/>
      <w:marRight w:val="0"/>
      <w:marTop w:val="0"/>
      <w:marBottom w:val="0"/>
      <w:divBdr>
        <w:top w:val="none" w:sz="0" w:space="0" w:color="auto"/>
        <w:left w:val="none" w:sz="0" w:space="0" w:color="auto"/>
        <w:bottom w:val="none" w:sz="0" w:space="0" w:color="auto"/>
        <w:right w:val="none" w:sz="0" w:space="0" w:color="auto"/>
      </w:divBdr>
      <w:divsChild>
        <w:div w:id="1500148048">
          <w:marLeft w:val="0"/>
          <w:marRight w:val="0"/>
          <w:marTop w:val="120"/>
          <w:marBottom w:val="120"/>
          <w:divBdr>
            <w:top w:val="none" w:sz="0" w:space="0" w:color="auto"/>
            <w:left w:val="none" w:sz="0" w:space="0" w:color="auto"/>
            <w:bottom w:val="none" w:sz="0" w:space="0" w:color="auto"/>
            <w:right w:val="none" w:sz="0" w:space="0" w:color="auto"/>
          </w:divBdr>
        </w:div>
        <w:div w:id="562563159">
          <w:marLeft w:val="0"/>
          <w:marRight w:val="0"/>
          <w:marTop w:val="120"/>
          <w:marBottom w:val="120"/>
          <w:divBdr>
            <w:top w:val="none" w:sz="0" w:space="0" w:color="auto"/>
            <w:left w:val="none" w:sz="0" w:space="0" w:color="auto"/>
            <w:bottom w:val="none" w:sz="0" w:space="0" w:color="auto"/>
            <w:right w:val="none" w:sz="0" w:space="0" w:color="auto"/>
          </w:divBdr>
        </w:div>
        <w:div w:id="1832939784">
          <w:marLeft w:val="0"/>
          <w:marRight w:val="0"/>
          <w:marTop w:val="120"/>
          <w:marBottom w:val="120"/>
          <w:divBdr>
            <w:top w:val="none" w:sz="0" w:space="0" w:color="auto"/>
            <w:left w:val="none" w:sz="0" w:space="0" w:color="auto"/>
            <w:bottom w:val="none" w:sz="0" w:space="0" w:color="auto"/>
            <w:right w:val="none" w:sz="0" w:space="0" w:color="auto"/>
          </w:divBdr>
        </w:div>
        <w:div w:id="1875188591">
          <w:marLeft w:val="0"/>
          <w:marRight w:val="0"/>
          <w:marTop w:val="120"/>
          <w:marBottom w:val="120"/>
          <w:divBdr>
            <w:top w:val="none" w:sz="0" w:space="0" w:color="auto"/>
            <w:left w:val="none" w:sz="0" w:space="0" w:color="auto"/>
            <w:bottom w:val="none" w:sz="0" w:space="0" w:color="auto"/>
            <w:right w:val="none" w:sz="0" w:space="0" w:color="auto"/>
          </w:divBdr>
        </w:div>
        <w:div w:id="187524532">
          <w:marLeft w:val="0"/>
          <w:marRight w:val="0"/>
          <w:marTop w:val="120"/>
          <w:marBottom w:val="120"/>
          <w:divBdr>
            <w:top w:val="none" w:sz="0" w:space="0" w:color="auto"/>
            <w:left w:val="none" w:sz="0" w:space="0" w:color="auto"/>
            <w:bottom w:val="none" w:sz="0" w:space="0" w:color="auto"/>
            <w:right w:val="none" w:sz="0" w:space="0" w:color="auto"/>
          </w:divBdr>
        </w:div>
        <w:div w:id="1258178249">
          <w:marLeft w:val="0"/>
          <w:marRight w:val="0"/>
          <w:marTop w:val="120"/>
          <w:marBottom w:val="120"/>
          <w:divBdr>
            <w:top w:val="none" w:sz="0" w:space="0" w:color="auto"/>
            <w:left w:val="none" w:sz="0" w:space="0" w:color="auto"/>
            <w:bottom w:val="none" w:sz="0" w:space="0" w:color="auto"/>
            <w:right w:val="none" w:sz="0" w:space="0" w:color="auto"/>
          </w:divBdr>
        </w:div>
        <w:div w:id="922108815">
          <w:marLeft w:val="0"/>
          <w:marRight w:val="0"/>
          <w:marTop w:val="120"/>
          <w:marBottom w:val="120"/>
          <w:divBdr>
            <w:top w:val="none" w:sz="0" w:space="0" w:color="auto"/>
            <w:left w:val="none" w:sz="0" w:space="0" w:color="auto"/>
            <w:bottom w:val="none" w:sz="0" w:space="0" w:color="auto"/>
            <w:right w:val="none" w:sz="0" w:space="0" w:color="auto"/>
          </w:divBdr>
        </w:div>
      </w:divsChild>
    </w:div>
    <w:div w:id="1577663955">
      <w:bodyDiv w:val="1"/>
      <w:marLeft w:val="0"/>
      <w:marRight w:val="0"/>
      <w:marTop w:val="0"/>
      <w:marBottom w:val="0"/>
      <w:divBdr>
        <w:top w:val="none" w:sz="0" w:space="0" w:color="auto"/>
        <w:left w:val="none" w:sz="0" w:space="0" w:color="auto"/>
        <w:bottom w:val="none" w:sz="0" w:space="0" w:color="auto"/>
        <w:right w:val="none" w:sz="0" w:space="0" w:color="auto"/>
      </w:divBdr>
      <w:divsChild>
        <w:div w:id="1714688973">
          <w:marLeft w:val="0"/>
          <w:marRight w:val="0"/>
          <w:marTop w:val="120"/>
          <w:marBottom w:val="120"/>
          <w:divBdr>
            <w:top w:val="none" w:sz="0" w:space="0" w:color="auto"/>
            <w:left w:val="none" w:sz="0" w:space="0" w:color="auto"/>
            <w:bottom w:val="none" w:sz="0" w:space="0" w:color="auto"/>
            <w:right w:val="none" w:sz="0" w:space="0" w:color="auto"/>
          </w:divBdr>
        </w:div>
        <w:div w:id="768045130">
          <w:marLeft w:val="0"/>
          <w:marRight w:val="0"/>
          <w:marTop w:val="120"/>
          <w:marBottom w:val="120"/>
          <w:divBdr>
            <w:top w:val="none" w:sz="0" w:space="0" w:color="auto"/>
            <w:left w:val="none" w:sz="0" w:space="0" w:color="auto"/>
            <w:bottom w:val="none" w:sz="0" w:space="0" w:color="auto"/>
            <w:right w:val="none" w:sz="0" w:space="0" w:color="auto"/>
          </w:divBdr>
        </w:div>
      </w:divsChild>
    </w:div>
    <w:div w:id="1592739986">
      <w:bodyDiv w:val="1"/>
      <w:marLeft w:val="0"/>
      <w:marRight w:val="0"/>
      <w:marTop w:val="0"/>
      <w:marBottom w:val="0"/>
      <w:divBdr>
        <w:top w:val="none" w:sz="0" w:space="0" w:color="auto"/>
        <w:left w:val="none" w:sz="0" w:space="0" w:color="auto"/>
        <w:bottom w:val="none" w:sz="0" w:space="0" w:color="auto"/>
        <w:right w:val="none" w:sz="0" w:space="0" w:color="auto"/>
      </w:divBdr>
    </w:div>
    <w:div w:id="1624384476">
      <w:bodyDiv w:val="1"/>
      <w:marLeft w:val="0"/>
      <w:marRight w:val="0"/>
      <w:marTop w:val="0"/>
      <w:marBottom w:val="0"/>
      <w:divBdr>
        <w:top w:val="none" w:sz="0" w:space="0" w:color="auto"/>
        <w:left w:val="none" w:sz="0" w:space="0" w:color="auto"/>
        <w:bottom w:val="none" w:sz="0" w:space="0" w:color="auto"/>
        <w:right w:val="none" w:sz="0" w:space="0" w:color="auto"/>
      </w:divBdr>
    </w:div>
    <w:div w:id="1733504228">
      <w:bodyDiv w:val="1"/>
      <w:marLeft w:val="0"/>
      <w:marRight w:val="0"/>
      <w:marTop w:val="0"/>
      <w:marBottom w:val="0"/>
      <w:divBdr>
        <w:top w:val="none" w:sz="0" w:space="0" w:color="auto"/>
        <w:left w:val="none" w:sz="0" w:space="0" w:color="auto"/>
        <w:bottom w:val="none" w:sz="0" w:space="0" w:color="auto"/>
        <w:right w:val="none" w:sz="0" w:space="0" w:color="auto"/>
      </w:divBdr>
    </w:div>
    <w:div w:id="1753047739">
      <w:bodyDiv w:val="1"/>
      <w:marLeft w:val="0"/>
      <w:marRight w:val="0"/>
      <w:marTop w:val="0"/>
      <w:marBottom w:val="0"/>
      <w:divBdr>
        <w:top w:val="none" w:sz="0" w:space="0" w:color="auto"/>
        <w:left w:val="none" w:sz="0" w:space="0" w:color="auto"/>
        <w:bottom w:val="none" w:sz="0" w:space="0" w:color="auto"/>
        <w:right w:val="none" w:sz="0" w:space="0" w:color="auto"/>
      </w:divBdr>
    </w:div>
    <w:div w:id="1814985339">
      <w:bodyDiv w:val="1"/>
      <w:marLeft w:val="0"/>
      <w:marRight w:val="0"/>
      <w:marTop w:val="0"/>
      <w:marBottom w:val="0"/>
      <w:divBdr>
        <w:top w:val="none" w:sz="0" w:space="0" w:color="auto"/>
        <w:left w:val="none" w:sz="0" w:space="0" w:color="auto"/>
        <w:bottom w:val="none" w:sz="0" w:space="0" w:color="auto"/>
        <w:right w:val="none" w:sz="0" w:space="0" w:color="auto"/>
      </w:divBdr>
    </w:div>
    <w:div w:id="1913585999">
      <w:bodyDiv w:val="1"/>
      <w:marLeft w:val="0"/>
      <w:marRight w:val="0"/>
      <w:marTop w:val="0"/>
      <w:marBottom w:val="0"/>
      <w:divBdr>
        <w:top w:val="none" w:sz="0" w:space="0" w:color="auto"/>
        <w:left w:val="none" w:sz="0" w:space="0" w:color="auto"/>
        <w:bottom w:val="none" w:sz="0" w:space="0" w:color="auto"/>
        <w:right w:val="none" w:sz="0" w:space="0" w:color="auto"/>
      </w:divBdr>
      <w:divsChild>
        <w:div w:id="529226884">
          <w:marLeft w:val="0"/>
          <w:marRight w:val="0"/>
          <w:marTop w:val="120"/>
          <w:marBottom w:val="120"/>
          <w:divBdr>
            <w:top w:val="none" w:sz="0" w:space="0" w:color="auto"/>
            <w:left w:val="none" w:sz="0" w:space="0" w:color="auto"/>
            <w:bottom w:val="none" w:sz="0" w:space="0" w:color="auto"/>
            <w:right w:val="none" w:sz="0" w:space="0" w:color="auto"/>
          </w:divBdr>
        </w:div>
        <w:div w:id="1761441576">
          <w:marLeft w:val="0"/>
          <w:marRight w:val="0"/>
          <w:marTop w:val="120"/>
          <w:marBottom w:val="120"/>
          <w:divBdr>
            <w:top w:val="none" w:sz="0" w:space="0" w:color="auto"/>
            <w:left w:val="none" w:sz="0" w:space="0" w:color="auto"/>
            <w:bottom w:val="none" w:sz="0" w:space="0" w:color="auto"/>
            <w:right w:val="none" w:sz="0" w:space="0" w:color="auto"/>
          </w:divBdr>
        </w:div>
      </w:divsChild>
    </w:div>
    <w:div w:id="1951625332">
      <w:bodyDiv w:val="1"/>
      <w:marLeft w:val="0"/>
      <w:marRight w:val="0"/>
      <w:marTop w:val="0"/>
      <w:marBottom w:val="0"/>
      <w:divBdr>
        <w:top w:val="none" w:sz="0" w:space="0" w:color="auto"/>
        <w:left w:val="none" w:sz="0" w:space="0" w:color="auto"/>
        <w:bottom w:val="none" w:sz="0" w:space="0" w:color="auto"/>
        <w:right w:val="none" w:sz="0" w:space="0" w:color="auto"/>
      </w:divBdr>
      <w:divsChild>
        <w:div w:id="477839874">
          <w:marLeft w:val="0"/>
          <w:marRight w:val="0"/>
          <w:marTop w:val="120"/>
          <w:marBottom w:val="120"/>
          <w:divBdr>
            <w:top w:val="none" w:sz="0" w:space="0" w:color="auto"/>
            <w:left w:val="none" w:sz="0" w:space="0" w:color="auto"/>
            <w:bottom w:val="none" w:sz="0" w:space="0" w:color="auto"/>
            <w:right w:val="none" w:sz="0" w:space="0" w:color="auto"/>
          </w:divBdr>
        </w:div>
      </w:divsChild>
    </w:div>
    <w:div w:id="1967735150">
      <w:bodyDiv w:val="1"/>
      <w:marLeft w:val="0"/>
      <w:marRight w:val="0"/>
      <w:marTop w:val="0"/>
      <w:marBottom w:val="0"/>
      <w:divBdr>
        <w:top w:val="none" w:sz="0" w:space="0" w:color="auto"/>
        <w:left w:val="none" w:sz="0" w:space="0" w:color="auto"/>
        <w:bottom w:val="none" w:sz="0" w:space="0" w:color="auto"/>
        <w:right w:val="none" w:sz="0" w:space="0" w:color="auto"/>
      </w:divBdr>
    </w:div>
    <w:div w:id="1971007856">
      <w:bodyDiv w:val="1"/>
      <w:marLeft w:val="0"/>
      <w:marRight w:val="0"/>
      <w:marTop w:val="0"/>
      <w:marBottom w:val="0"/>
      <w:divBdr>
        <w:top w:val="none" w:sz="0" w:space="0" w:color="auto"/>
        <w:left w:val="none" w:sz="0" w:space="0" w:color="auto"/>
        <w:bottom w:val="none" w:sz="0" w:space="0" w:color="auto"/>
        <w:right w:val="none" w:sz="0" w:space="0" w:color="auto"/>
      </w:divBdr>
    </w:div>
    <w:div w:id="1990938311">
      <w:bodyDiv w:val="1"/>
      <w:marLeft w:val="0"/>
      <w:marRight w:val="0"/>
      <w:marTop w:val="0"/>
      <w:marBottom w:val="0"/>
      <w:divBdr>
        <w:top w:val="none" w:sz="0" w:space="0" w:color="auto"/>
        <w:left w:val="none" w:sz="0" w:space="0" w:color="auto"/>
        <w:bottom w:val="none" w:sz="0" w:space="0" w:color="auto"/>
        <w:right w:val="none" w:sz="0" w:space="0" w:color="auto"/>
      </w:divBdr>
    </w:div>
    <w:div w:id="2116438656">
      <w:bodyDiv w:val="1"/>
      <w:marLeft w:val="0"/>
      <w:marRight w:val="0"/>
      <w:marTop w:val="0"/>
      <w:marBottom w:val="0"/>
      <w:divBdr>
        <w:top w:val="none" w:sz="0" w:space="0" w:color="auto"/>
        <w:left w:val="none" w:sz="0" w:space="0" w:color="auto"/>
        <w:bottom w:val="none" w:sz="0" w:space="0" w:color="auto"/>
        <w:right w:val="none" w:sz="0" w:space="0" w:color="auto"/>
      </w:divBdr>
      <w:divsChild>
        <w:div w:id="1304583277">
          <w:marLeft w:val="0"/>
          <w:marRight w:val="0"/>
          <w:marTop w:val="120"/>
          <w:marBottom w:val="120"/>
          <w:divBdr>
            <w:top w:val="none" w:sz="0" w:space="0" w:color="auto"/>
            <w:left w:val="none" w:sz="0" w:space="0" w:color="auto"/>
            <w:bottom w:val="none" w:sz="0" w:space="0" w:color="auto"/>
            <w:right w:val="none" w:sz="0" w:space="0" w:color="auto"/>
          </w:divBdr>
        </w:div>
        <w:div w:id="1950887984">
          <w:marLeft w:val="0"/>
          <w:marRight w:val="0"/>
          <w:marTop w:val="120"/>
          <w:marBottom w:val="120"/>
          <w:divBdr>
            <w:top w:val="none" w:sz="0" w:space="0" w:color="auto"/>
            <w:left w:val="none" w:sz="0" w:space="0" w:color="auto"/>
            <w:bottom w:val="none" w:sz="0" w:space="0" w:color="auto"/>
            <w:right w:val="none" w:sz="0" w:space="0" w:color="auto"/>
          </w:divBdr>
        </w:div>
        <w:div w:id="990668919">
          <w:marLeft w:val="0"/>
          <w:marRight w:val="0"/>
          <w:marTop w:val="120"/>
          <w:marBottom w:val="120"/>
          <w:divBdr>
            <w:top w:val="none" w:sz="0" w:space="0" w:color="auto"/>
            <w:left w:val="none" w:sz="0" w:space="0" w:color="auto"/>
            <w:bottom w:val="none" w:sz="0" w:space="0" w:color="auto"/>
            <w:right w:val="none" w:sz="0" w:space="0" w:color="auto"/>
          </w:divBdr>
        </w:div>
        <w:div w:id="1390037370">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52811-1F53-43E8-9043-77F475556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3399</Words>
  <Characters>19380</Characters>
  <Application>Microsoft Office Word</Application>
  <DocSecurity>0</DocSecurity>
  <Lines>161</Lines>
  <Paragraphs>45</Paragraphs>
  <ScaleCrop>false</ScaleCrop>
  <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HRH</dc:creator>
  <cp:keywords/>
  <dc:description/>
  <cp:lastModifiedBy>Abdullah</cp:lastModifiedBy>
  <cp:revision>3</cp:revision>
  <dcterms:created xsi:type="dcterms:W3CDTF">2025-11-16T11:16:00Z</dcterms:created>
  <dcterms:modified xsi:type="dcterms:W3CDTF">2025-11-16T12:24:00Z</dcterms:modified>
</cp:coreProperties>
</file>