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1707" w:rsidRPr="004C64A3" w:rsidRDefault="00721707" w:rsidP="004C64A3">
      <w:pPr>
        <w:spacing w:line="480" w:lineRule="auto"/>
        <w:jc w:val="center"/>
        <w:rPr>
          <w:rFonts w:ascii="Arial" w:hAnsi="Arial" w:cs="Arial"/>
          <w:b/>
          <w:szCs w:val="24"/>
        </w:rPr>
      </w:pPr>
    </w:p>
    <w:p w:rsidR="00721707" w:rsidRPr="004C64A3" w:rsidRDefault="00721707" w:rsidP="004C64A3">
      <w:pPr>
        <w:spacing w:line="480" w:lineRule="auto"/>
        <w:jc w:val="center"/>
        <w:rPr>
          <w:rFonts w:ascii="Arial" w:hAnsi="Arial" w:cs="Arial"/>
          <w:b/>
          <w:szCs w:val="24"/>
        </w:rPr>
      </w:pPr>
    </w:p>
    <w:p w:rsidR="00721707" w:rsidRPr="004C64A3" w:rsidRDefault="00721707" w:rsidP="004C64A3">
      <w:pPr>
        <w:spacing w:line="480" w:lineRule="auto"/>
        <w:jc w:val="center"/>
        <w:rPr>
          <w:rFonts w:ascii="Arial" w:hAnsi="Arial" w:cs="Arial"/>
          <w:b/>
          <w:szCs w:val="24"/>
        </w:rPr>
      </w:pPr>
    </w:p>
    <w:p w:rsidR="00721707" w:rsidRPr="004C64A3" w:rsidRDefault="00721707" w:rsidP="004C64A3">
      <w:pPr>
        <w:spacing w:line="480" w:lineRule="auto"/>
        <w:jc w:val="center"/>
        <w:rPr>
          <w:rFonts w:ascii="Arial" w:hAnsi="Arial" w:cs="Arial"/>
          <w:b/>
          <w:szCs w:val="24"/>
        </w:rPr>
      </w:pPr>
    </w:p>
    <w:p w:rsidR="00721707" w:rsidRPr="004C64A3" w:rsidRDefault="00721707" w:rsidP="004C64A3">
      <w:pPr>
        <w:spacing w:line="480" w:lineRule="auto"/>
        <w:jc w:val="center"/>
        <w:rPr>
          <w:rFonts w:ascii="Arial" w:hAnsi="Arial" w:cs="Arial"/>
          <w:b/>
          <w:szCs w:val="24"/>
        </w:rPr>
      </w:pPr>
    </w:p>
    <w:p w:rsidR="00721707" w:rsidRDefault="00442589" w:rsidP="004C64A3">
      <w:pPr>
        <w:pStyle w:val="Title"/>
        <w:spacing w:line="480" w:lineRule="auto"/>
        <w:jc w:val="center"/>
        <w:rPr>
          <w:color w:val="auto"/>
          <w:sz w:val="24"/>
          <w:szCs w:val="24"/>
        </w:rPr>
      </w:pPr>
      <w:r w:rsidRPr="004C64A3">
        <w:rPr>
          <w:color w:val="auto"/>
          <w:sz w:val="24"/>
          <w:szCs w:val="24"/>
        </w:rPr>
        <w:t>Community Engagement – Assessment 2</w:t>
      </w:r>
    </w:p>
    <w:p w:rsidR="00CF299C" w:rsidRDefault="00CF299C" w:rsidP="00CF299C"/>
    <w:p w:rsidR="00CF299C" w:rsidRDefault="00CF299C" w:rsidP="00CF299C"/>
    <w:p w:rsidR="00CF299C" w:rsidRDefault="00CF299C" w:rsidP="00CF299C"/>
    <w:p w:rsidR="00CF299C" w:rsidRDefault="00CF299C" w:rsidP="00CF299C">
      <w:r>
        <w:t xml:space="preserve">     Reflective analysis of the best practices of  community engagement in Ernst &amp;  Young UK </w:t>
      </w:r>
    </w:p>
    <w:p w:rsidR="00CF299C" w:rsidRDefault="00CF299C" w:rsidP="00CF299C"/>
    <w:p w:rsidR="00CF299C" w:rsidRDefault="00CF299C" w:rsidP="00CF299C">
      <w:r>
        <w:t xml:space="preserve">                                                   Konstantina Malamova </w:t>
      </w:r>
    </w:p>
    <w:p w:rsidR="00CF299C" w:rsidRDefault="00CF299C" w:rsidP="00CF299C">
      <w:r>
        <w:t xml:space="preserve">                                             BABM Level 4 Term 1 Group 1 </w:t>
      </w:r>
    </w:p>
    <w:p w:rsidR="00CF299C" w:rsidRDefault="00CF299C" w:rsidP="00CF299C">
      <w:r>
        <w:t xml:space="preserve">                                                     </w:t>
      </w:r>
      <w:bookmarkStart w:id="0" w:name="_GoBack"/>
      <w:bookmarkEnd w:id="0"/>
      <w:r>
        <w:t>Student ID : 2020492</w:t>
      </w:r>
    </w:p>
    <w:p w:rsidR="00CF299C" w:rsidRPr="00CF299C" w:rsidRDefault="00CF299C" w:rsidP="00CF299C">
      <w:pPr>
        <w:sectPr w:rsidR="00CF299C" w:rsidRPr="00CF299C" w:rsidSect="001D7B24">
          <w:footerReference w:type="even" r:id="rId7"/>
          <w:footerReference w:type="default" r:id="rId8"/>
          <w:pgSz w:w="12240" w:h="15840"/>
          <w:pgMar w:top="1440" w:right="1440" w:bottom="1440" w:left="1440" w:header="720" w:footer="720" w:gutter="0"/>
          <w:cols w:space="720"/>
          <w:docGrid w:linePitch="360"/>
        </w:sectPr>
      </w:pPr>
    </w:p>
    <w:sdt>
      <w:sdtPr>
        <w:rPr>
          <w:rFonts w:ascii="Arial" w:eastAsiaTheme="minorHAnsi" w:hAnsi="Arial" w:cs="Arial"/>
          <w:b w:val="0"/>
          <w:bCs w:val="0"/>
          <w:color w:val="auto"/>
          <w:sz w:val="24"/>
          <w:szCs w:val="24"/>
        </w:rPr>
        <w:id w:val="-1956141608"/>
        <w:docPartObj>
          <w:docPartGallery w:val="Table of Contents"/>
          <w:docPartUnique/>
        </w:docPartObj>
      </w:sdtPr>
      <w:sdtEndPr/>
      <w:sdtContent>
        <w:p w:rsidR="00FE34DB" w:rsidRPr="004C64A3" w:rsidRDefault="00442589" w:rsidP="004C64A3">
          <w:pPr>
            <w:pStyle w:val="TOCHeading"/>
            <w:spacing w:line="480" w:lineRule="auto"/>
            <w:jc w:val="center"/>
            <w:rPr>
              <w:rFonts w:ascii="Arial" w:hAnsi="Arial" w:cs="Arial"/>
              <w:color w:val="auto"/>
              <w:sz w:val="24"/>
              <w:szCs w:val="24"/>
            </w:rPr>
          </w:pPr>
          <w:r w:rsidRPr="004C64A3">
            <w:rPr>
              <w:rFonts w:ascii="Arial" w:hAnsi="Arial" w:cs="Arial"/>
              <w:color w:val="auto"/>
              <w:sz w:val="24"/>
              <w:szCs w:val="24"/>
            </w:rPr>
            <w:t>TABLE OF CONTENTS</w:t>
          </w:r>
        </w:p>
        <w:p w:rsidR="00A02021" w:rsidRPr="004C64A3" w:rsidRDefault="007E6609" w:rsidP="004C64A3">
          <w:pPr>
            <w:pStyle w:val="TOC1"/>
            <w:tabs>
              <w:tab w:val="right" w:leader="dot" w:pos="9350"/>
            </w:tabs>
            <w:spacing w:line="480" w:lineRule="auto"/>
            <w:rPr>
              <w:rFonts w:ascii="Arial" w:eastAsiaTheme="minorEastAsia" w:hAnsi="Arial" w:cs="Arial"/>
              <w:noProof/>
              <w:szCs w:val="24"/>
            </w:rPr>
          </w:pPr>
          <w:r w:rsidRPr="004C64A3">
            <w:rPr>
              <w:rFonts w:ascii="Arial" w:hAnsi="Arial" w:cs="Arial"/>
              <w:szCs w:val="24"/>
            </w:rPr>
            <w:fldChar w:fldCharType="begin"/>
          </w:r>
          <w:r w:rsidR="00442589" w:rsidRPr="004C64A3">
            <w:rPr>
              <w:rFonts w:ascii="Arial" w:hAnsi="Arial" w:cs="Arial"/>
              <w:szCs w:val="24"/>
            </w:rPr>
            <w:instrText xml:space="preserve"> TOC \o "1-3" \h \z \u </w:instrText>
          </w:r>
          <w:r w:rsidRPr="004C64A3">
            <w:rPr>
              <w:rFonts w:ascii="Arial" w:hAnsi="Arial" w:cs="Arial"/>
              <w:szCs w:val="24"/>
            </w:rPr>
            <w:fldChar w:fldCharType="separate"/>
          </w:r>
          <w:hyperlink w:anchor="_Toc69346214" w:history="1">
            <w:r w:rsidR="00A02021" w:rsidRPr="004C64A3">
              <w:rPr>
                <w:rStyle w:val="Hyperlink"/>
                <w:rFonts w:ascii="Arial" w:hAnsi="Arial" w:cs="Arial"/>
                <w:noProof/>
                <w:color w:val="auto"/>
                <w:szCs w:val="24"/>
              </w:rPr>
              <w:t>Introduction</w:t>
            </w:r>
            <w:r w:rsidR="00A02021" w:rsidRPr="004C64A3">
              <w:rPr>
                <w:rFonts w:ascii="Arial" w:hAnsi="Arial" w:cs="Arial"/>
                <w:noProof/>
                <w:webHidden/>
                <w:szCs w:val="24"/>
              </w:rPr>
              <w:tab/>
            </w:r>
            <w:r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_Toc69346214 \h </w:instrText>
            </w:r>
            <w:r w:rsidRPr="004C64A3">
              <w:rPr>
                <w:rFonts w:ascii="Arial" w:hAnsi="Arial" w:cs="Arial"/>
                <w:noProof/>
                <w:webHidden/>
                <w:szCs w:val="24"/>
              </w:rPr>
            </w:r>
            <w:r w:rsidRPr="004C64A3">
              <w:rPr>
                <w:rFonts w:ascii="Arial" w:hAnsi="Arial" w:cs="Arial"/>
                <w:noProof/>
                <w:webHidden/>
                <w:szCs w:val="24"/>
              </w:rPr>
              <w:fldChar w:fldCharType="separate"/>
            </w:r>
            <w:r w:rsidR="00A02021" w:rsidRPr="004C64A3">
              <w:rPr>
                <w:rFonts w:ascii="Arial" w:hAnsi="Arial" w:cs="Arial"/>
                <w:noProof/>
                <w:webHidden/>
                <w:szCs w:val="24"/>
              </w:rPr>
              <w:t>1</w:t>
            </w:r>
            <w:r w:rsidRPr="004C64A3">
              <w:rPr>
                <w:rFonts w:ascii="Arial" w:hAnsi="Arial" w:cs="Arial"/>
                <w:noProof/>
                <w:webHidden/>
                <w:szCs w:val="24"/>
              </w:rPr>
              <w:fldChar w:fldCharType="end"/>
            </w:r>
          </w:hyperlink>
        </w:p>
        <w:p w:rsidR="00A02021" w:rsidRPr="004C64A3" w:rsidRDefault="00452F54" w:rsidP="004C64A3">
          <w:pPr>
            <w:pStyle w:val="TOC1"/>
            <w:tabs>
              <w:tab w:val="right" w:leader="dot" w:pos="9350"/>
            </w:tabs>
            <w:spacing w:line="480" w:lineRule="auto"/>
            <w:rPr>
              <w:rFonts w:ascii="Arial" w:eastAsiaTheme="minorEastAsia" w:hAnsi="Arial" w:cs="Arial"/>
              <w:noProof/>
              <w:szCs w:val="24"/>
            </w:rPr>
          </w:pPr>
          <w:hyperlink w:anchor="_Toc69346215" w:history="1">
            <w:r w:rsidR="00A02021" w:rsidRPr="004C64A3">
              <w:rPr>
                <w:rStyle w:val="Hyperlink"/>
                <w:rFonts w:ascii="Arial" w:hAnsi="Arial" w:cs="Arial"/>
                <w:noProof/>
                <w:color w:val="auto"/>
                <w:szCs w:val="24"/>
              </w:rPr>
              <w:t>Reflection on personal experience with reference to the social project/ business discussed in outcome 1</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_Toc69346215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2</w:t>
            </w:r>
            <w:r w:rsidR="007E6609" w:rsidRPr="004C64A3">
              <w:rPr>
                <w:rFonts w:ascii="Arial" w:hAnsi="Arial" w:cs="Arial"/>
                <w:noProof/>
                <w:webHidden/>
                <w:szCs w:val="24"/>
              </w:rPr>
              <w:fldChar w:fldCharType="end"/>
            </w:r>
          </w:hyperlink>
        </w:p>
        <w:p w:rsidR="00A02021" w:rsidRPr="004C64A3" w:rsidRDefault="00452F54" w:rsidP="004C64A3">
          <w:pPr>
            <w:pStyle w:val="TOC2"/>
            <w:tabs>
              <w:tab w:val="right" w:leader="dot" w:pos="9350"/>
            </w:tabs>
            <w:spacing w:line="480" w:lineRule="auto"/>
            <w:rPr>
              <w:rFonts w:ascii="Arial" w:eastAsiaTheme="minorEastAsia" w:hAnsi="Arial" w:cs="Arial"/>
              <w:noProof/>
              <w:szCs w:val="24"/>
            </w:rPr>
          </w:pPr>
          <w:hyperlink w:anchor="_Toc69346216" w:history="1">
            <w:r w:rsidR="00A02021" w:rsidRPr="004C64A3">
              <w:rPr>
                <w:rStyle w:val="Hyperlink"/>
                <w:rFonts w:ascii="Arial" w:hAnsi="Arial" w:cs="Arial"/>
                <w:noProof/>
                <w:color w:val="auto"/>
                <w:szCs w:val="24"/>
              </w:rPr>
              <w:t>Range of skills, knowledge and strategies required by employees</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_Toc69346216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2</w:t>
            </w:r>
            <w:r w:rsidR="007E6609" w:rsidRPr="004C64A3">
              <w:rPr>
                <w:rFonts w:ascii="Arial" w:hAnsi="Arial" w:cs="Arial"/>
                <w:noProof/>
                <w:webHidden/>
                <w:szCs w:val="24"/>
              </w:rPr>
              <w:fldChar w:fldCharType="end"/>
            </w:r>
          </w:hyperlink>
        </w:p>
        <w:p w:rsidR="00A02021" w:rsidRPr="004C64A3" w:rsidRDefault="00452F54" w:rsidP="004C64A3">
          <w:pPr>
            <w:pStyle w:val="TOC2"/>
            <w:tabs>
              <w:tab w:val="right" w:leader="dot" w:pos="9350"/>
            </w:tabs>
            <w:spacing w:line="480" w:lineRule="auto"/>
            <w:rPr>
              <w:rFonts w:ascii="Arial" w:eastAsiaTheme="minorEastAsia" w:hAnsi="Arial" w:cs="Arial"/>
              <w:noProof/>
              <w:szCs w:val="24"/>
            </w:rPr>
          </w:pPr>
          <w:hyperlink w:anchor="_Toc69346217" w:history="1">
            <w:r w:rsidR="00A02021" w:rsidRPr="004C64A3">
              <w:rPr>
                <w:rStyle w:val="Hyperlink"/>
                <w:rFonts w:ascii="Arial" w:hAnsi="Arial" w:cs="Arial"/>
                <w:noProof/>
                <w:color w:val="auto"/>
                <w:szCs w:val="24"/>
              </w:rPr>
              <w:t>External factors to be considered</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_Toc69346217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3</w:t>
            </w:r>
            <w:r w:rsidR="007E6609" w:rsidRPr="004C64A3">
              <w:rPr>
                <w:rFonts w:ascii="Arial" w:hAnsi="Arial" w:cs="Arial"/>
                <w:noProof/>
                <w:webHidden/>
                <w:szCs w:val="24"/>
              </w:rPr>
              <w:fldChar w:fldCharType="end"/>
            </w:r>
          </w:hyperlink>
        </w:p>
        <w:p w:rsidR="00A02021" w:rsidRPr="004C64A3" w:rsidRDefault="00452F54" w:rsidP="004C64A3">
          <w:pPr>
            <w:pStyle w:val="TOC2"/>
            <w:tabs>
              <w:tab w:val="right" w:leader="dot" w:pos="9350"/>
            </w:tabs>
            <w:spacing w:line="480" w:lineRule="auto"/>
            <w:rPr>
              <w:rFonts w:ascii="Arial" w:eastAsiaTheme="minorEastAsia" w:hAnsi="Arial" w:cs="Arial"/>
              <w:noProof/>
              <w:szCs w:val="24"/>
            </w:rPr>
          </w:pPr>
          <w:hyperlink w:anchor="_Toc69346218" w:history="1">
            <w:r w:rsidR="00A02021" w:rsidRPr="004C64A3">
              <w:rPr>
                <w:rStyle w:val="Hyperlink"/>
                <w:rFonts w:ascii="Arial" w:hAnsi="Arial" w:cs="Arial"/>
                <w:noProof/>
                <w:color w:val="auto"/>
                <w:szCs w:val="24"/>
              </w:rPr>
              <w:t>Relationship of Ernst and Young with their stakeholders and engagement with them</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_Toc69346218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4</w:t>
            </w:r>
            <w:r w:rsidR="007E6609" w:rsidRPr="004C64A3">
              <w:rPr>
                <w:rFonts w:ascii="Arial" w:hAnsi="Arial" w:cs="Arial"/>
                <w:noProof/>
                <w:webHidden/>
                <w:szCs w:val="24"/>
              </w:rPr>
              <w:fldChar w:fldCharType="end"/>
            </w:r>
          </w:hyperlink>
        </w:p>
        <w:p w:rsidR="00A02021" w:rsidRPr="004C64A3" w:rsidRDefault="00452F54" w:rsidP="004C64A3">
          <w:pPr>
            <w:pStyle w:val="TOC2"/>
            <w:tabs>
              <w:tab w:val="right" w:leader="dot" w:pos="9350"/>
            </w:tabs>
            <w:spacing w:line="480" w:lineRule="auto"/>
            <w:rPr>
              <w:rFonts w:ascii="Arial" w:eastAsiaTheme="minorEastAsia" w:hAnsi="Arial" w:cs="Arial"/>
              <w:noProof/>
              <w:szCs w:val="24"/>
            </w:rPr>
          </w:pPr>
          <w:hyperlink w:anchor="_Toc69346219" w:history="1">
            <w:r w:rsidR="00A02021" w:rsidRPr="004C64A3">
              <w:rPr>
                <w:rStyle w:val="Hyperlink"/>
                <w:rFonts w:ascii="Arial" w:hAnsi="Arial" w:cs="Arial"/>
                <w:noProof/>
                <w:color w:val="auto"/>
                <w:szCs w:val="24"/>
              </w:rPr>
              <w:t>Training and development programs organised by Ernst and Young</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_Toc69346219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4</w:t>
            </w:r>
            <w:r w:rsidR="007E6609" w:rsidRPr="004C64A3">
              <w:rPr>
                <w:rFonts w:ascii="Arial" w:hAnsi="Arial" w:cs="Arial"/>
                <w:noProof/>
                <w:webHidden/>
                <w:szCs w:val="24"/>
              </w:rPr>
              <w:fldChar w:fldCharType="end"/>
            </w:r>
          </w:hyperlink>
        </w:p>
        <w:p w:rsidR="00A02021" w:rsidRPr="004C64A3" w:rsidRDefault="00452F54" w:rsidP="004C64A3">
          <w:pPr>
            <w:pStyle w:val="TOC2"/>
            <w:tabs>
              <w:tab w:val="right" w:leader="dot" w:pos="9350"/>
            </w:tabs>
            <w:spacing w:line="480" w:lineRule="auto"/>
            <w:rPr>
              <w:rFonts w:ascii="Arial" w:eastAsiaTheme="minorEastAsia" w:hAnsi="Arial" w:cs="Arial"/>
              <w:noProof/>
              <w:szCs w:val="24"/>
            </w:rPr>
          </w:pPr>
          <w:hyperlink w:anchor="_Toc69346220" w:history="1">
            <w:r w:rsidR="00A02021" w:rsidRPr="004C64A3">
              <w:rPr>
                <w:rStyle w:val="Hyperlink"/>
                <w:rFonts w:ascii="Arial" w:hAnsi="Arial" w:cs="Arial"/>
                <w:noProof/>
                <w:color w:val="auto"/>
                <w:szCs w:val="24"/>
              </w:rPr>
              <w:t>Relationship between Ernst and Young and its network partners</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_Toc69346220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6</w:t>
            </w:r>
            <w:r w:rsidR="007E6609" w:rsidRPr="004C64A3">
              <w:rPr>
                <w:rFonts w:ascii="Arial" w:hAnsi="Arial" w:cs="Arial"/>
                <w:noProof/>
                <w:webHidden/>
                <w:szCs w:val="24"/>
              </w:rPr>
              <w:fldChar w:fldCharType="end"/>
            </w:r>
          </w:hyperlink>
        </w:p>
        <w:p w:rsidR="00A02021" w:rsidRPr="004C64A3" w:rsidRDefault="00452F54" w:rsidP="004C64A3">
          <w:pPr>
            <w:pStyle w:val="TOC2"/>
            <w:tabs>
              <w:tab w:val="right" w:leader="dot" w:pos="9350"/>
            </w:tabs>
            <w:spacing w:line="480" w:lineRule="auto"/>
            <w:rPr>
              <w:rFonts w:ascii="Arial" w:eastAsiaTheme="minorEastAsia" w:hAnsi="Arial" w:cs="Arial"/>
              <w:noProof/>
              <w:szCs w:val="24"/>
            </w:rPr>
          </w:pPr>
          <w:hyperlink w:anchor="_Toc69346221" w:history="1">
            <w:r w:rsidR="00A02021" w:rsidRPr="004C64A3">
              <w:rPr>
                <w:rStyle w:val="Hyperlink"/>
                <w:rFonts w:ascii="Arial" w:hAnsi="Arial" w:cs="Arial"/>
                <w:noProof/>
                <w:color w:val="auto"/>
                <w:szCs w:val="24"/>
              </w:rPr>
              <w:t>Use of social media platform by Ernst and Young</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_Toc69346221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7</w:t>
            </w:r>
            <w:r w:rsidR="007E6609" w:rsidRPr="004C64A3">
              <w:rPr>
                <w:rFonts w:ascii="Arial" w:hAnsi="Arial" w:cs="Arial"/>
                <w:noProof/>
                <w:webHidden/>
                <w:szCs w:val="24"/>
              </w:rPr>
              <w:fldChar w:fldCharType="end"/>
            </w:r>
          </w:hyperlink>
        </w:p>
        <w:p w:rsidR="00A02021" w:rsidRPr="004C64A3" w:rsidRDefault="00452F54" w:rsidP="004C64A3">
          <w:pPr>
            <w:pStyle w:val="TOC1"/>
            <w:tabs>
              <w:tab w:val="right" w:leader="dot" w:pos="9350"/>
            </w:tabs>
            <w:spacing w:line="480" w:lineRule="auto"/>
            <w:rPr>
              <w:rFonts w:ascii="Arial" w:eastAsiaTheme="minorEastAsia" w:hAnsi="Arial" w:cs="Arial"/>
              <w:noProof/>
              <w:szCs w:val="24"/>
            </w:rPr>
          </w:pPr>
          <w:hyperlink w:anchor="_Toc69346222" w:history="1">
            <w:r w:rsidR="00A02021" w:rsidRPr="004C64A3">
              <w:rPr>
                <w:rStyle w:val="Hyperlink"/>
                <w:rFonts w:ascii="Arial" w:hAnsi="Arial" w:cs="Arial"/>
                <w:noProof/>
                <w:color w:val="auto"/>
                <w:szCs w:val="24"/>
              </w:rPr>
              <w:t>Conclusion</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_Toc69346222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8</w:t>
            </w:r>
            <w:r w:rsidR="007E6609" w:rsidRPr="004C64A3">
              <w:rPr>
                <w:rFonts w:ascii="Arial" w:hAnsi="Arial" w:cs="Arial"/>
                <w:noProof/>
                <w:webHidden/>
                <w:szCs w:val="24"/>
              </w:rPr>
              <w:fldChar w:fldCharType="end"/>
            </w:r>
          </w:hyperlink>
        </w:p>
        <w:p w:rsidR="00A02021" w:rsidRPr="004C64A3" w:rsidRDefault="00452F54" w:rsidP="004C64A3">
          <w:pPr>
            <w:pStyle w:val="TOC1"/>
            <w:tabs>
              <w:tab w:val="right" w:leader="dot" w:pos="9350"/>
            </w:tabs>
            <w:spacing w:line="480" w:lineRule="auto"/>
            <w:rPr>
              <w:rFonts w:ascii="Arial" w:eastAsiaTheme="minorEastAsia" w:hAnsi="Arial" w:cs="Arial"/>
              <w:noProof/>
              <w:szCs w:val="24"/>
            </w:rPr>
          </w:pPr>
          <w:hyperlink w:anchor="_Toc69346223" w:history="1">
            <w:r w:rsidR="00A02021" w:rsidRPr="004C64A3">
              <w:rPr>
                <w:rStyle w:val="Hyperlink"/>
                <w:rFonts w:ascii="Arial" w:hAnsi="Arial" w:cs="Arial"/>
                <w:noProof/>
                <w:color w:val="auto"/>
                <w:szCs w:val="24"/>
              </w:rPr>
              <w:t>References</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_Toc69346223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9</w:t>
            </w:r>
            <w:r w:rsidR="007E6609" w:rsidRPr="004C64A3">
              <w:rPr>
                <w:rFonts w:ascii="Arial" w:hAnsi="Arial" w:cs="Arial"/>
                <w:noProof/>
                <w:webHidden/>
                <w:szCs w:val="24"/>
              </w:rPr>
              <w:fldChar w:fldCharType="end"/>
            </w:r>
          </w:hyperlink>
        </w:p>
        <w:p w:rsidR="00A02021" w:rsidRPr="004C64A3" w:rsidRDefault="00452F54" w:rsidP="004C64A3">
          <w:pPr>
            <w:pStyle w:val="TOC2"/>
            <w:tabs>
              <w:tab w:val="right" w:leader="dot" w:pos="9350"/>
            </w:tabs>
            <w:spacing w:line="480" w:lineRule="auto"/>
            <w:rPr>
              <w:rFonts w:ascii="Arial" w:eastAsiaTheme="minorEastAsia" w:hAnsi="Arial" w:cs="Arial"/>
              <w:noProof/>
              <w:szCs w:val="24"/>
            </w:rPr>
          </w:pPr>
          <w:hyperlink w:anchor="_Toc69346224" w:history="1">
            <w:r w:rsidR="00A02021" w:rsidRPr="004C64A3">
              <w:rPr>
                <w:rStyle w:val="Hyperlink"/>
                <w:rFonts w:ascii="Arial" w:hAnsi="Arial" w:cs="Arial"/>
                <w:noProof/>
                <w:color w:val="auto"/>
                <w:szCs w:val="24"/>
              </w:rPr>
              <w:t>Books and Journals</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_Toc69346224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9</w:t>
            </w:r>
            <w:r w:rsidR="007E6609" w:rsidRPr="004C64A3">
              <w:rPr>
                <w:rFonts w:ascii="Arial" w:hAnsi="Arial" w:cs="Arial"/>
                <w:noProof/>
                <w:webHidden/>
                <w:szCs w:val="24"/>
              </w:rPr>
              <w:fldChar w:fldCharType="end"/>
            </w:r>
          </w:hyperlink>
        </w:p>
        <w:p w:rsidR="00A02021" w:rsidRPr="004C64A3" w:rsidRDefault="00452F54" w:rsidP="004C64A3">
          <w:pPr>
            <w:pStyle w:val="TOC2"/>
            <w:tabs>
              <w:tab w:val="right" w:leader="dot" w:pos="9350"/>
            </w:tabs>
            <w:spacing w:line="480" w:lineRule="auto"/>
            <w:rPr>
              <w:rFonts w:ascii="Arial" w:eastAsiaTheme="minorEastAsia" w:hAnsi="Arial" w:cs="Arial"/>
              <w:noProof/>
              <w:szCs w:val="24"/>
            </w:rPr>
          </w:pPr>
          <w:hyperlink w:anchor="_Toc69346225" w:history="1">
            <w:r w:rsidR="00A02021" w:rsidRPr="004C64A3">
              <w:rPr>
                <w:rStyle w:val="Hyperlink"/>
                <w:rFonts w:ascii="Arial" w:hAnsi="Arial" w:cs="Arial"/>
                <w:noProof/>
                <w:color w:val="auto"/>
                <w:szCs w:val="24"/>
              </w:rPr>
              <w:t>Online</w:t>
            </w:r>
            <w:r w:rsidR="00A02021" w:rsidRPr="004C64A3">
              <w:rPr>
                <w:rFonts w:ascii="Arial" w:hAnsi="Arial" w:cs="Arial"/>
                <w:noProof/>
                <w:webHidden/>
                <w:szCs w:val="24"/>
              </w:rPr>
              <w:tab/>
            </w:r>
            <w:r w:rsidR="007E6609" w:rsidRPr="004C64A3">
              <w:rPr>
                <w:rFonts w:ascii="Arial" w:hAnsi="Arial" w:cs="Arial"/>
                <w:noProof/>
                <w:webHidden/>
                <w:szCs w:val="24"/>
              </w:rPr>
              <w:fldChar w:fldCharType="begin"/>
            </w:r>
            <w:r w:rsidR="00A02021" w:rsidRPr="004C64A3">
              <w:rPr>
                <w:rFonts w:ascii="Arial" w:hAnsi="Arial" w:cs="Arial"/>
                <w:noProof/>
                <w:webHidden/>
                <w:szCs w:val="24"/>
              </w:rPr>
              <w:instrText xml:space="preserve"> PAGEREF _Toc69346225 \h </w:instrText>
            </w:r>
            <w:r w:rsidR="007E6609" w:rsidRPr="004C64A3">
              <w:rPr>
                <w:rFonts w:ascii="Arial" w:hAnsi="Arial" w:cs="Arial"/>
                <w:noProof/>
                <w:webHidden/>
                <w:szCs w:val="24"/>
              </w:rPr>
            </w:r>
            <w:r w:rsidR="007E6609" w:rsidRPr="004C64A3">
              <w:rPr>
                <w:rFonts w:ascii="Arial" w:hAnsi="Arial" w:cs="Arial"/>
                <w:noProof/>
                <w:webHidden/>
                <w:szCs w:val="24"/>
              </w:rPr>
              <w:fldChar w:fldCharType="separate"/>
            </w:r>
            <w:r w:rsidR="00A02021" w:rsidRPr="004C64A3">
              <w:rPr>
                <w:rFonts w:ascii="Arial" w:hAnsi="Arial" w:cs="Arial"/>
                <w:noProof/>
                <w:webHidden/>
                <w:szCs w:val="24"/>
              </w:rPr>
              <w:t>10</w:t>
            </w:r>
            <w:r w:rsidR="007E6609" w:rsidRPr="004C64A3">
              <w:rPr>
                <w:rFonts w:ascii="Arial" w:hAnsi="Arial" w:cs="Arial"/>
                <w:noProof/>
                <w:webHidden/>
                <w:szCs w:val="24"/>
              </w:rPr>
              <w:fldChar w:fldCharType="end"/>
            </w:r>
          </w:hyperlink>
        </w:p>
        <w:p w:rsidR="00FE34DB" w:rsidRPr="004C64A3" w:rsidRDefault="007E6609" w:rsidP="004C64A3">
          <w:pPr>
            <w:spacing w:line="480" w:lineRule="auto"/>
            <w:rPr>
              <w:rFonts w:ascii="Arial" w:hAnsi="Arial" w:cs="Arial"/>
              <w:szCs w:val="24"/>
            </w:rPr>
          </w:pPr>
          <w:r w:rsidRPr="004C64A3">
            <w:rPr>
              <w:rFonts w:ascii="Arial" w:hAnsi="Arial" w:cs="Arial"/>
              <w:szCs w:val="24"/>
            </w:rPr>
            <w:fldChar w:fldCharType="end"/>
          </w:r>
        </w:p>
      </w:sdtContent>
    </w:sdt>
    <w:p w:rsidR="00FE34DB" w:rsidRPr="004C64A3" w:rsidRDefault="00FE34DB" w:rsidP="004C64A3">
      <w:pPr>
        <w:spacing w:line="480" w:lineRule="auto"/>
        <w:rPr>
          <w:rFonts w:ascii="Arial" w:hAnsi="Arial" w:cs="Arial"/>
          <w:szCs w:val="24"/>
        </w:rPr>
        <w:sectPr w:rsidR="00FE34DB" w:rsidRPr="004C64A3" w:rsidSect="001D7B24">
          <w:pgSz w:w="12240" w:h="15840"/>
          <w:pgMar w:top="1440" w:right="1440" w:bottom="1440" w:left="1440" w:header="720" w:footer="720" w:gutter="0"/>
          <w:cols w:space="720"/>
          <w:docGrid w:linePitch="360"/>
        </w:sectPr>
      </w:pPr>
    </w:p>
    <w:p w:rsidR="001D7B24" w:rsidRPr="004C64A3" w:rsidRDefault="00442589" w:rsidP="004C64A3">
      <w:pPr>
        <w:pStyle w:val="Heading1"/>
        <w:spacing w:line="480" w:lineRule="auto"/>
        <w:rPr>
          <w:rFonts w:ascii="Arial" w:hAnsi="Arial" w:cs="Arial"/>
          <w:sz w:val="24"/>
          <w:szCs w:val="24"/>
        </w:rPr>
      </w:pPr>
      <w:bookmarkStart w:id="1" w:name="_Toc69346214"/>
      <w:r w:rsidRPr="004C64A3">
        <w:rPr>
          <w:rFonts w:ascii="Arial" w:hAnsi="Arial" w:cs="Arial"/>
          <w:sz w:val="24"/>
          <w:szCs w:val="24"/>
        </w:rPr>
        <w:lastRenderedPageBreak/>
        <w:t>Introduction</w:t>
      </w:r>
      <w:bookmarkEnd w:id="1"/>
    </w:p>
    <w:p w:rsidR="00FB4FBC" w:rsidRPr="004C64A3" w:rsidRDefault="00442589" w:rsidP="004C64A3">
      <w:pPr>
        <w:spacing w:line="480" w:lineRule="auto"/>
        <w:rPr>
          <w:rFonts w:ascii="Arial" w:hAnsi="Arial" w:cs="Arial"/>
          <w:szCs w:val="24"/>
        </w:rPr>
      </w:pPr>
      <w:r w:rsidRPr="004C64A3">
        <w:rPr>
          <w:rFonts w:ascii="Arial" w:hAnsi="Arial" w:cs="Arial"/>
          <w:szCs w:val="24"/>
        </w:rPr>
        <w:t xml:space="preserve">Community engagement is the practice where the firm aims to perform its duty towards the social welfare and community. The community of a specific firm refers to their employees, teams, stakeholders, shareholders, customers and many more. Community engagement refers to engage with them all and grab the market share by their contribution towards them. The motive of community engagement is to take care of their employees and provide them with all security. The following report is the reflective analysis of assessment 1. The organisation chosen in this assessment is </w:t>
      </w:r>
      <w:r w:rsidR="00F9785E" w:rsidRPr="004C64A3">
        <w:rPr>
          <w:rFonts w:ascii="Arial" w:hAnsi="Arial" w:cs="Arial"/>
          <w:szCs w:val="24"/>
        </w:rPr>
        <w:t>Ernst and Young</w:t>
      </w:r>
      <w:r w:rsidRPr="004C64A3">
        <w:rPr>
          <w:rFonts w:ascii="Arial" w:hAnsi="Arial" w:cs="Arial"/>
          <w:szCs w:val="24"/>
        </w:rPr>
        <w:t xml:space="preserve"> which </w:t>
      </w:r>
      <w:r w:rsidR="00F9785E" w:rsidRPr="004C64A3">
        <w:rPr>
          <w:rFonts w:ascii="Arial" w:hAnsi="Arial" w:cs="Arial"/>
          <w:szCs w:val="24"/>
        </w:rPr>
        <w:t>are</w:t>
      </w:r>
      <w:r w:rsidRPr="004C64A3">
        <w:rPr>
          <w:rFonts w:ascii="Arial" w:hAnsi="Arial" w:cs="Arial"/>
          <w:szCs w:val="24"/>
        </w:rPr>
        <w:t xml:space="preserve"> a UK based multinational </w:t>
      </w:r>
      <w:r w:rsidR="00F9785E" w:rsidRPr="004C64A3">
        <w:rPr>
          <w:rFonts w:ascii="Arial" w:hAnsi="Arial" w:cs="Arial"/>
          <w:szCs w:val="24"/>
        </w:rPr>
        <w:t>professional service networks and largest service network in world</w:t>
      </w:r>
      <w:r w:rsidRPr="004C64A3">
        <w:rPr>
          <w:rFonts w:ascii="Arial" w:hAnsi="Arial" w:cs="Arial"/>
          <w:szCs w:val="24"/>
        </w:rPr>
        <w:t>. They are one of</w:t>
      </w:r>
      <w:r w:rsidR="00F9785E" w:rsidRPr="004C64A3">
        <w:rPr>
          <w:rFonts w:ascii="Arial" w:hAnsi="Arial" w:cs="Arial"/>
          <w:szCs w:val="24"/>
        </w:rPr>
        <w:t xml:space="preserve"> the oldest and largest serving professional services</w:t>
      </w:r>
      <w:r w:rsidRPr="004C64A3">
        <w:rPr>
          <w:rFonts w:ascii="Arial" w:hAnsi="Arial" w:cs="Arial"/>
          <w:szCs w:val="24"/>
        </w:rPr>
        <w:t xml:space="preserve"> in the UK and </w:t>
      </w:r>
      <w:r w:rsidR="003276D2" w:rsidRPr="004C64A3">
        <w:rPr>
          <w:rFonts w:ascii="Arial" w:hAnsi="Arial" w:cs="Arial"/>
          <w:szCs w:val="24"/>
        </w:rPr>
        <w:t>are</w:t>
      </w:r>
      <w:r w:rsidRPr="004C64A3">
        <w:rPr>
          <w:rFonts w:ascii="Arial" w:hAnsi="Arial" w:cs="Arial"/>
          <w:szCs w:val="24"/>
        </w:rPr>
        <w:t xml:space="preserve"> highly trusted by the people of the UK. The report will </w:t>
      </w:r>
      <w:r w:rsidR="003276D2" w:rsidRPr="004C64A3">
        <w:rPr>
          <w:rFonts w:ascii="Arial" w:hAnsi="Arial" w:cs="Arial"/>
          <w:szCs w:val="24"/>
        </w:rPr>
        <w:t xml:space="preserve">reflect on </w:t>
      </w:r>
      <w:r w:rsidR="00F9785E" w:rsidRPr="004C64A3">
        <w:rPr>
          <w:rFonts w:ascii="Arial" w:hAnsi="Arial" w:cs="Arial"/>
          <w:szCs w:val="24"/>
        </w:rPr>
        <w:t xml:space="preserve">Ernst and Young’s </w:t>
      </w:r>
      <w:r w:rsidR="003276D2" w:rsidRPr="004C64A3">
        <w:rPr>
          <w:rFonts w:ascii="Arial" w:hAnsi="Arial" w:cs="Arial"/>
          <w:szCs w:val="24"/>
        </w:rPr>
        <w:t xml:space="preserve">community engagement and how they communicate with them. Further, it will discuss the social projects and other campaigns which were started by </w:t>
      </w:r>
      <w:r w:rsidR="00F9785E" w:rsidRPr="004C64A3">
        <w:rPr>
          <w:rFonts w:ascii="Arial" w:hAnsi="Arial" w:cs="Arial"/>
          <w:szCs w:val="24"/>
        </w:rPr>
        <w:t xml:space="preserve">Ernst and Young </w:t>
      </w:r>
      <w:r w:rsidR="003276D2" w:rsidRPr="004C64A3">
        <w:rPr>
          <w:rFonts w:ascii="Arial" w:hAnsi="Arial" w:cs="Arial"/>
          <w:szCs w:val="24"/>
        </w:rPr>
        <w:t xml:space="preserve">and what efforts they put into their social welfare. </w:t>
      </w:r>
    </w:p>
    <w:p w:rsidR="003276D2" w:rsidRPr="004C64A3" w:rsidRDefault="00442589" w:rsidP="004C64A3">
      <w:pPr>
        <w:keepNext/>
        <w:spacing w:line="480" w:lineRule="auto"/>
        <w:jc w:val="center"/>
        <w:rPr>
          <w:rFonts w:ascii="Arial" w:hAnsi="Arial" w:cs="Arial"/>
          <w:szCs w:val="24"/>
        </w:rPr>
      </w:pPr>
      <w:r w:rsidRPr="004C64A3">
        <w:rPr>
          <w:rFonts w:ascii="Arial" w:hAnsi="Arial" w:cs="Arial"/>
          <w:noProof/>
          <w:szCs w:val="24"/>
          <w:lang w:val="en-GB" w:eastAsia="en-GB"/>
        </w:rPr>
        <w:lastRenderedPageBreak/>
        <w:drawing>
          <wp:inline distT="0" distB="0" distL="0" distR="0">
            <wp:extent cx="4349062" cy="3257550"/>
            <wp:effectExtent l="19050" t="0" r="0" b="0"/>
            <wp:docPr id="1" name="Picture 1" descr="Community Engagement – TREAT T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munity Engagement – TREAT TB"/>
                    <pic:cNvPicPr>
                      <a:picLocks noChangeAspect="1" noChangeArrowheads="1"/>
                    </pic:cNvPicPr>
                  </pic:nvPicPr>
                  <pic:blipFill>
                    <a:blip r:embed="rId9" cstate="print"/>
                    <a:stretch>
                      <a:fillRect/>
                    </a:stretch>
                  </pic:blipFill>
                  <pic:spPr bwMode="auto">
                    <a:xfrm>
                      <a:off x="0" y="0"/>
                      <a:ext cx="4352700" cy="3260275"/>
                    </a:xfrm>
                    <a:prstGeom prst="rect">
                      <a:avLst/>
                    </a:prstGeom>
                    <a:noFill/>
                    <a:ln w="9525">
                      <a:noFill/>
                      <a:miter lim="800000"/>
                      <a:headEnd/>
                      <a:tailEnd/>
                    </a:ln>
                  </pic:spPr>
                </pic:pic>
              </a:graphicData>
            </a:graphic>
          </wp:inline>
        </w:drawing>
      </w:r>
    </w:p>
    <w:p w:rsidR="003276D2" w:rsidRPr="004C64A3" w:rsidRDefault="00442589" w:rsidP="004C64A3">
      <w:pPr>
        <w:spacing w:line="480" w:lineRule="auto"/>
        <w:jc w:val="center"/>
        <w:rPr>
          <w:rFonts w:ascii="Arial" w:hAnsi="Arial" w:cs="Arial"/>
          <w:szCs w:val="24"/>
        </w:rPr>
      </w:pPr>
      <w:r w:rsidRPr="004C64A3">
        <w:rPr>
          <w:rFonts w:ascii="Arial" w:hAnsi="Arial" w:cs="Arial"/>
          <w:szCs w:val="24"/>
        </w:rPr>
        <w:t xml:space="preserve">Figure </w:t>
      </w:r>
      <w:r w:rsidR="007E6609" w:rsidRPr="004C64A3">
        <w:rPr>
          <w:rFonts w:ascii="Arial" w:hAnsi="Arial" w:cs="Arial"/>
          <w:szCs w:val="24"/>
        </w:rPr>
        <w:fldChar w:fldCharType="begin"/>
      </w:r>
      <w:r w:rsidRPr="004C64A3">
        <w:rPr>
          <w:rFonts w:ascii="Arial" w:hAnsi="Arial" w:cs="Arial"/>
          <w:szCs w:val="24"/>
        </w:rPr>
        <w:instrText xml:space="preserve"> SEQ Figure \* ARABIC </w:instrText>
      </w:r>
      <w:r w:rsidR="007E6609" w:rsidRPr="004C64A3">
        <w:rPr>
          <w:rFonts w:ascii="Arial" w:hAnsi="Arial" w:cs="Arial"/>
          <w:szCs w:val="24"/>
        </w:rPr>
        <w:fldChar w:fldCharType="separate"/>
      </w:r>
      <w:r w:rsidR="004705DA" w:rsidRPr="004C64A3">
        <w:rPr>
          <w:rFonts w:ascii="Arial" w:hAnsi="Arial" w:cs="Arial"/>
          <w:noProof/>
          <w:szCs w:val="24"/>
        </w:rPr>
        <w:t>1</w:t>
      </w:r>
      <w:r w:rsidR="007E6609" w:rsidRPr="004C64A3">
        <w:rPr>
          <w:rFonts w:ascii="Arial" w:hAnsi="Arial" w:cs="Arial"/>
          <w:noProof/>
          <w:szCs w:val="24"/>
        </w:rPr>
        <w:fldChar w:fldCharType="end"/>
      </w:r>
      <w:r w:rsidRPr="004C64A3">
        <w:rPr>
          <w:rFonts w:ascii="Arial" w:hAnsi="Arial" w:cs="Arial"/>
          <w:szCs w:val="24"/>
        </w:rPr>
        <w:t>: Community engagement</w:t>
      </w:r>
    </w:p>
    <w:p w:rsidR="003276D2" w:rsidRPr="004C64A3" w:rsidRDefault="00442589" w:rsidP="004C64A3">
      <w:pPr>
        <w:spacing w:line="480" w:lineRule="auto"/>
        <w:jc w:val="center"/>
        <w:rPr>
          <w:rFonts w:ascii="Arial" w:hAnsi="Arial" w:cs="Arial"/>
          <w:szCs w:val="24"/>
        </w:rPr>
      </w:pPr>
      <w:r w:rsidRPr="004C64A3">
        <w:rPr>
          <w:rFonts w:ascii="Arial" w:hAnsi="Arial" w:cs="Arial"/>
          <w:szCs w:val="24"/>
        </w:rPr>
        <w:t>(Source: Treat TB, 2021)</w:t>
      </w:r>
    </w:p>
    <w:p w:rsidR="00FB4FBC" w:rsidRPr="004C64A3" w:rsidRDefault="00442589" w:rsidP="004C64A3">
      <w:pPr>
        <w:pStyle w:val="Heading1"/>
        <w:spacing w:line="480" w:lineRule="auto"/>
        <w:rPr>
          <w:rFonts w:ascii="Arial" w:hAnsi="Arial" w:cs="Arial"/>
          <w:sz w:val="24"/>
          <w:szCs w:val="24"/>
        </w:rPr>
      </w:pPr>
      <w:bookmarkStart w:id="2" w:name="_Toc69346215"/>
      <w:r w:rsidRPr="004C64A3">
        <w:rPr>
          <w:rFonts w:ascii="Arial" w:hAnsi="Arial" w:cs="Arial"/>
          <w:sz w:val="24"/>
          <w:szCs w:val="24"/>
        </w:rPr>
        <w:t>Reflection on personal experience with reference to the social project/ business discussed in outcome 1</w:t>
      </w:r>
      <w:bookmarkEnd w:id="2"/>
    </w:p>
    <w:p w:rsidR="00836A02" w:rsidRPr="004C64A3" w:rsidRDefault="00F9785E" w:rsidP="004C64A3">
      <w:pPr>
        <w:spacing w:line="480" w:lineRule="auto"/>
        <w:rPr>
          <w:rFonts w:ascii="Arial" w:hAnsi="Arial" w:cs="Arial"/>
          <w:szCs w:val="24"/>
        </w:rPr>
      </w:pPr>
      <w:r w:rsidRPr="004C64A3">
        <w:rPr>
          <w:rFonts w:ascii="Arial" w:hAnsi="Arial" w:cs="Arial"/>
          <w:szCs w:val="24"/>
        </w:rPr>
        <w:t>Ernst and Young is a UK based multinational professional service networks and largest service network in world</w:t>
      </w:r>
      <w:r w:rsidR="00442589" w:rsidRPr="004C64A3">
        <w:rPr>
          <w:rFonts w:ascii="Arial" w:hAnsi="Arial" w:cs="Arial"/>
          <w:szCs w:val="24"/>
        </w:rPr>
        <w:t xml:space="preserve">. The headquarters of the firm is located in London, UK. In assessment 1, I have discussed various campaigns which were started by </w:t>
      </w:r>
      <w:r w:rsidRPr="004C64A3">
        <w:rPr>
          <w:rFonts w:ascii="Arial" w:hAnsi="Arial" w:cs="Arial"/>
          <w:szCs w:val="24"/>
        </w:rPr>
        <w:t>Ernst and Young, such as 'Transformative Age</w:t>
      </w:r>
      <w:r w:rsidR="00442589" w:rsidRPr="004C64A3">
        <w:rPr>
          <w:rFonts w:ascii="Arial" w:hAnsi="Arial" w:cs="Arial"/>
          <w:szCs w:val="24"/>
        </w:rPr>
        <w:t xml:space="preserve">' and highlighted the network partners. Further, I had also evaluated the relationship of </w:t>
      </w:r>
      <w:r w:rsidRPr="004C64A3">
        <w:rPr>
          <w:rFonts w:ascii="Arial" w:hAnsi="Arial" w:cs="Arial"/>
          <w:szCs w:val="24"/>
        </w:rPr>
        <w:t xml:space="preserve">Ernst and Young </w:t>
      </w:r>
      <w:r w:rsidR="00442589" w:rsidRPr="004C64A3">
        <w:rPr>
          <w:rFonts w:ascii="Arial" w:hAnsi="Arial" w:cs="Arial"/>
          <w:szCs w:val="24"/>
        </w:rPr>
        <w:t xml:space="preserve">with their stakeholders and how </w:t>
      </w:r>
      <w:r w:rsidRPr="004C64A3">
        <w:rPr>
          <w:rFonts w:ascii="Arial" w:hAnsi="Arial" w:cs="Arial"/>
          <w:szCs w:val="24"/>
        </w:rPr>
        <w:t>the firm</w:t>
      </w:r>
      <w:r w:rsidR="00442589" w:rsidRPr="004C64A3">
        <w:rPr>
          <w:rFonts w:ascii="Arial" w:hAnsi="Arial" w:cs="Arial"/>
          <w:szCs w:val="24"/>
        </w:rPr>
        <w:t xml:space="preserve"> engages with them. The main stakeholders of </w:t>
      </w:r>
      <w:r w:rsidRPr="004C64A3">
        <w:rPr>
          <w:rFonts w:ascii="Arial" w:hAnsi="Arial" w:cs="Arial"/>
          <w:szCs w:val="24"/>
        </w:rPr>
        <w:t>Ernst and Young are their lenders, suppliers, customers, employees</w:t>
      </w:r>
      <w:r w:rsidR="00442589" w:rsidRPr="004C64A3">
        <w:rPr>
          <w:rFonts w:ascii="Arial" w:hAnsi="Arial" w:cs="Arial"/>
          <w:szCs w:val="24"/>
        </w:rPr>
        <w:t xml:space="preserve"> and many others. I have also elaborated on the skills which the employees must possess them so that they can ensure the business </w:t>
      </w:r>
      <w:r w:rsidR="00442589" w:rsidRPr="004C64A3">
        <w:rPr>
          <w:rFonts w:ascii="Arial" w:hAnsi="Arial" w:cs="Arial"/>
          <w:szCs w:val="24"/>
        </w:rPr>
        <w:lastRenderedPageBreak/>
        <w:t xml:space="preserve">operations. The SWOT and PESTEL analysis of </w:t>
      </w:r>
      <w:r w:rsidRPr="004C64A3">
        <w:rPr>
          <w:rFonts w:ascii="Arial" w:hAnsi="Arial" w:cs="Arial"/>
          <w:szCs w:val="24"/>
        </w:rPr>
        <w:t xml:space="preserve">Ernst and Young </w:t>
      </w:r>
      <w:r w:rsidR="00442589" w:rsidRPr="004C64A3">
        <w:rPr>
          <w:rFonts w:ascii="Arial" w:hAnsi="Arial" w:cs="Arial"/>
          <w:szCs w:val="24"/>
        </w:rPr>
        <w:t>was also introduced in assessment 1. The reflective part of the assessment comprises of several points, which are mentioned below</w:t>
      </w:r>
      <w:r w:rsidR="00AE19DC" w:rsidRPr="004C64A3">
        <w:rPr>
          <w:rFonts w:ascii="Arial" w:hAnsi="Arial" w:cs="Arial"/>
          <w:szCs w:val="24"/>
        </w:rPr>
        <w:t xml:space="preserve"> (</w:t>
      </w:r>
      <w:r w:rsidR="00AE19DC" w:rsidRPr="004C64A3">
        <w:rPr>
          <w:rFonts w:ascii="Arial" w:hAnsi="Arial" w:cs="Arial"/>
          <w:szCs w:val="24"/>
          <w:shd w:val="clear" w:color="auto" w:fill="FFFFFF"/>
        </w:rPr>
        <w:t>Welch and Plaxton-Moore, 2017</w:t>
      </w:r>
      <w:r w:rsidR="00AE19DC" w:rsidRPr="004C64A3">
        <w:rPr>
          <w:rFonts w:ascii="Arial" w:hAnsi="Arial" w:cs="Arial"/>
          <w:szCs w:val="24"/>
        </w:rPr>
        <w:t>)</w:t>
      </w:r>
      <w:r w:rsidR="00442589" w:rsidRPr="004C64A3">
        <w:rPr>
          <w:rFonts w:ascii="Arial" w:hAnsi="Arial" w:cs="Arial"/>
          <w:szCs w:val="24"/>
        </w:rPr>
        <w:t xml:space="preserve">. </w:t>
      </w:r>
    </w:p>
    <w:p w:rsidR="00836A02" w:rsidRPr="004C64A3" w:rsidRDefault="00442589" w:rsidP="004C64A3">
      <w:pPr>
        <w:pStyle w:val="Heading2"/>
        <w:spacing w:line="480" w:lineRule="auto"/>
        <w:rPr>
          <w:rFonts w:ascii="Arial" w:hAnsi="Arial" w:cs="Arial"/>
          <w:szCs w:val="24"/>
        </w:rPr>
      </w:pPr>
      <w:bookmarkStart w:id="3" w:name="_Toc69346216"/>
      <w:bookmarkStart w:id="4" w:name="_Toc69245270"/>
      <w:r w:rsidRPr="004C64A3">
        <w:rPr>
          <w:rFonts w:ascii="Arial" w:hAnsi="Arial" w:cs="Arial"/>
          <w:szCs w:val="24"/>
        </w:rPr>
        <w:t>Range of skills, knowledge and strategies required by employees</w:t>
      </w:r>
      <w:bookmarkEnd w:id="3"/>
    </w:p>
    <w:p w:rsidR="00C91645" w:rsidRPr="004C64A3" w:rsidRDefault="00442589" w:rsidP="004C64A3">
      <w:pPr>
        <w:spacing w:line="480" w:lineRule="auto"/>
        <w:rPr>
          <w:rFonts w:ascii="Arial" w:hAnsi="Arial" w:cs="Arial"/>
          <w:szCs w:val="24"/>
        </w:rPr>
      </w:pPr>
      <w:r w:rsidRPr="004C64A3">
        <w:rPr>
          <w:rFonts w:ascii="Arial" w:hAnsi="Arial" w:cs="Arial"/>
          <w:szCs w:val="24"/>
        </w:rPr>
        <w:t xml:space="preserve">In assessment 1, I had discussed the skills which the employees must possess in them. In my opinion, employees can consider various theories of performance management and motivational theory. These theories help employees to meet the requirements of </w:t>
      </w:r>
      <w:r w:rsidR="00F9785E" w:rsidRPr="004C64A3">
        <w:rPr>
          <w:rFonts w:ascii="Arial" w:hAnsi="Arial" w:cs="Arial"/>
          <w:szCs w:val="24"/>
        </w:rPr>
        <w:t>Ernst and Young</w:t>
      </w:r>
      <w:r w:rsidRPr="004C64A3">
        <w:rPr>
          <w:rFonts w:ascii="Arial" w:hAnsi="Arial" w:cs="Arial"/>
          <w:szCs w:val="24"/>
        </w:rPr>
        <w:t xml:space="preserve">, and they can contribute towards the success of </w:t>
      </w:r>
      <w:r w:rsidR="00F9785E" w:rsidRPr="004C64A3">
        <w:rPr>
          <w:rFonts w:ascii="Arial" w:hAnsi="Arial" w:cs="Arial"/>
          <w:szCs w:val="24"/>
        </w:rPr>
        <w:t>their firm. According to me</w:t>
      </w:r>
      <w:r w:rsidRPr="004C64A3">
        <w:rPr>
          <w:rFonts w:ascii="Arial" w:hAnsi="Arial" w:cs="Arial"/>
          <w:szCs w:val="24"/>
        </w:rPr>
        <w:t xml:space="preserve">, the employees can follow the social cognitive theory of performance management. This helps them to work on their talent. Since </w:t>
      </w:r>
      <w:r w:rsidR="00F9785E" w:rsidRPr="004C64A3">
        <w:rPr>
          <w:rFonts w:ascii="Arial" w:hAnsi="Arial" w:cs="Arial"/>
          <w:szCs w:val="24"/>
        </w:rPr>
        <w:t xml:space="preserve">Ernst and Young </w:t>
      </w:r>
      <w:r w:rsidRPr="004C64A3">
        <w:rPr>
          <w:rFonts w:ascii="Arial" w:hAnsi="Arial" w:cs="Arial"/>
          <w:szCs w:val="24"/>
        </w:rPr>
        <w:t>organises different activities for the public and works for social welfare, the employees can ensure awareness program so that more people can engage towards this.</w:t>
      </w:r>
    </w:p>
    <w:p w:rsidR="00C91645" w:rsidRPr="004C64A3" w:rsidRDefault="00442589" w:rsidP="004C64A3">
      <w:pPr>
        <w:spacing w:line="480" w:lineRule="auto"/>
        <w:rPr>
          <w:rFonts w:ascii="Arial" w:hAnsi="Arial" w:cs="Arial"/>
          <w:szCs w:val="24"/>
        </w:rPr>
      </w:pPr>
      <w:r w:rsidRPr="004C64A3">
        <w:rPr>
          <w:rFonts w:ascii="Arial" w:hAnsi="Arial" w:cs="Arial"/>
          <w:szCs w:val="24"/>
        </w:rPr>
        <w:t>According to me, individuals must develop strategies and form a team so that they can divide their work accordingly and complete it before the deadline</w:t>
      </w:r>
      <w:r w:rsidR="00AE19DC" w:rsidRPr="004C64A3">
        <w:rPr>
          <w:rFonts w:ascii="Arial" w:hAnsi="Arial" w:cs="Arial"/>
          <w:szCs w:val="24"/>
        </w:rPr>
        <w:t xml:space="preserve"> (</w:t>
      </w:r>
      <w:r w:rsidR="00AE19DC" w:rsidRPr="004C64A3">
        <w:rPr>
          <w:rFonts w:ascii="Arial" w:hAnsi="Arial" w:cs="Arial"/>
          <w:szCs w:val="24"/>
          <w:shd w:val="clear" w:color="auto" w:fill="FFFFFF"/>
        </w:rPr>
        <w:t>Watanabe, 2021</w:t>
      </w:r>
      <w:r w:rsidR="00AE19DC" w:rsidRPr="004C64A3">
        <w:rPr>
          <w:rFonts w:ascii="Arial" w:hAnsi="Arial" w:cs="Arial"/>
          <w:szCs w:val="24"/>
        </w:rPr>
        <w:t>)</w:t>
      </w:r>
      <w:r w:rsidRPr="004C64A3">
        <w:rPr>
          <w:rFonts w:ascii="Arial" w:hAnsi="Arial" w:cs="Arial"/>
          <w:szCs w:val="24"/>
        </w:rPr>
        <w:t xml:space="preserve">. </w:t>
      </w:r>
      <w:r w:rsidR="00F40C3E" w:rsidRPr="004C64A3">
        <w:rPr>
          <w:rFonts w:ascii="Arial" w:hAnsi="Arial" w:cs="Arial"/>
          <w:szCs w:val="24"/>
        </w:rPr>
        <w:t xml:space="preserve">From the analysis of assessment 1, I can state that employees have good communication among them. I have stated this quality in that section, and the employees had worked on this. They are now confident enough to communicate with their customer and solve their problems. With consideration of this, they engage with their customers and assign the value of community engagement to them. </w:t>
      </w:r>
      <w:r w:rsidR="00CA0C58" w:rsidRPr="004C64A3">
        <w:rPr>
          <w:rFonts w:ascii="Arial" w:hAnsi="Arial" w:cs="Arial"/>
          <w:szCs w:val="24"/>
        </w:rPr>
        <w:t xml:space="preserve">In my opinion, the officials of </w:t>
      </w:r>
      <w:r w:rsidR="00F9785E" w:rsidRPr="004C64A3">
        <w:rPr>
          <w:rFonts w:ascii="Arial" w:hAnsi="Arial" w:cs="Arial"/>
          <w:szCs w:val="24"/>
        </w:rPr>
        <w:t xml:space="preserve">Ernst and Young </w:t>
      </w:r>
      <w:r w:rsidR="00CA0C58" w:rsidRPr="004C64A3">
        <w:rPr>
          <w:rFonts w:ascii="Arial" w:hAnsi="Arial" w:cs="Arial"/>
          <w:szCs w:val="24"/>
        </w:rPr>
        <w:t>had also played a major role in this, as they are communicating with their subordinates on a regular basis. This helps them to understand the needs of their employees, and they can fulfi</w:t>
      </w:r>
      <w:r w:rsidR="00F9785E" w:rsidRPr="004C64A3">
        <w:rPr>
          <w:rFonts w:ascii="Arial" w:hAnsi="Arial" w:cs="Arial"/>
          <w:szCs w:val="24"/>
        </w:rPr>
        <w:t>l their demands. According to me</w:t>
      </w:r>
      <w:r w:rsidR="00CA0C58" w:rsidRPr="004C64A3">
        <w:rPr>
          <w:rFonts w:ascii="Arial" w:hAnsi="Arial" w:cs="Arial"/>
          <w:szCs w:val="24"/>
        </w:rPr>
        <w:t xml:space="preserve">, these skills and strategies help employees to build a great image of their firm, </w:t>
      </w:r>
      <w:r w:rsidR="00CA0C58" w:rsidRPr="004C64A3">
        <w:rPr>
          <w:rFonts w:ascii="Arial" w:hAnsi="Arial" w:cs="Arial"/>
          <w:szCs w:val="24"/>
        </w:rPr>
        <w:lastRenderedPageBreak/>
        <w:t xml:space="preserve">and these are the best practical skills for employees of </w:t>
      </w:r>
      <w:r w:rsidR="00F9785E" w:rsidRPr="004C64A3">
        <w:rPr>
          <w:rFonts w:ascii="Arial" w:hAnsi="Arial" w:cs="Arial"/>
          <w:szCs w:val="24"/>
        </w:rPr>
        <w:t xml:space="preserve">Ernst and Young </w:t>
      </w:r>
      <w:r w:rsidR="00AE19DC" w:rsidRPr="004C64A3">
        <w:rPr>
          <w:rFonts w:ascii="Arial" w:hAnsi="Arial" w:cs="Arial"/>
          <w:szCs w:val="24"/>
        </w:rPr>
        <w:t>(</w:t>
      </w:r>
      <w:r w:rsidR="00AE19DC" w:rsidRPr="004C64A3">
        <w:rPr>
          <w:rFonts w:ascii="Arial" w:hAnsi="Arial" w:cs="Arial"/>
          <w:szCs w:val="24"/>
          <w:shd w:val="clear" w:color="auto" w:fill="FFFFFF"/>
        </w:rPr>
        <w:t>Scholar, 2021</w:t>
      </w:r>
      <w:r w:rsidR="00AE19DC" w:rsidRPr="004C64A3">
        <w:rPr>
          <w:rFonts w:ascii="Arial" w:hAnsi="Arial" w:cs="Arial"/>
          <w:szCs w:val="24"/>
        </w:rPr>
        <w:t>)</w:t>
      </w:r>
      <w:r w:rsidR="00CA0C58" w:rsidRPr="004C64A3">
        <w:rPr>
          <w:rFonts w:ascii="Arial" w:hAnsi="Arial" w:cs="Arial"/>
          <w:szCs w:val="24"/>
        </w:rPr>
        <w:t>.</w:t>
      </w:r>
    </w:p>
    <w:p w:rsidR="00EC4E28" w:rsidRPr="004C64A3" w:rsidRDefault="00442589" w:rsidP="004C64A3">
      <w:pPr>
        <w:keepNext/>
        <w:spacing w:line="480" w:lineRule="auto"/>
        <w:jc w:val="center"/>
        <w:rPr>
          <w:rFonts w:ascii="Arial" w:hAnsi="Arial" w:cs="Arial"/>
          <w:szCs w:val="24"/>
        </w:rPr>
      </w:pPr>
      <w:r w:rsidRPr="004C64A3">
        <w:rPr>
          <w:rFonts w:ascii="Arial" w:hAnsi="Arial" w:cs="Arial"/>
          <w:noProof/>
          <w:szCs w:val="24"/>
          <w:lang w:val="en-GB" w:eastAsia="en-GB"/>
        </w:rPr>
        <w:drawing>
          <wp:inline distT="0" distB="0" distL="0" distR="0">
            <wp:extent cx="3612931" cy="2409825"/>
            <wp:effectExtent l="19050" t="0" r="6569" b="0"/>
            <wp:docPr id="4" name="Picture 4" descr="7 Skills Your Instructors and Trainers Must Have - HR Daily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7 Skills Your Instructors and Trainers Must Have - HR Daily Advisor"/>
                    <pic:cNvPicPr>
                      <a:picLocks noChangeAspect="1" noChangeArrowheads="1"/>
                    </pic:cNvPicPr>
                  </pic:nvPicPr>
                  <pic:blipFill>
                    <a:blip r:embed="rId10" cstate="print"/>
                    <a:stretch>
                      <a:fillRect/>
                    </a:stretch>
                  </pic:blipFill>
                  <pic:spPr bwMode="auto">
                    <a:xfrm>
                      <a:off x="0" y="0"/>
                      <a:ext cx="3614737" cy="2411030"/>
                    </a:xfrm>
                    <a:prstGeom prst="rect">
                      <a:avLst/>
                    </a:prstGeom>
                    <a:noFill/>
                    <a:ln w="9525">
                      <a:noFill/>
                      <a:miter lim="800000"/>
                      <a:headEnd/>
                      <a:tailEnd/>
                    </a:ln>
                  </pic:spPr>
                </pic:pic>
              </a:graphicData>
            </a:graphic>
          </wp:inline>
        </w:drawing>
      </w:r>
    </w:p>
    <w:p w:rsidR="00EC4E28" w:rsidRPr="004C64A3" w:rsidRDefault="00442589" w:rsidP="004C64A3">
      <w:pPr>
        <w:spacing w:line="480" w:lineRule="auto"/>
        <w:jc w:val="center"/>
        <w:rPr>
          <w:rFonts w:ascii="Arial" w:hAnsi="Arial" w:cs="Arial"/>
          <w:szCs w:val="24"/>
        </w:rPr>
      </w:pPr>
      <w:r w:rsidRPr="004C64A3">
        <w:rPr>
          <w:rFonts w:ascii="Arial" w:hAnsi="Arial" w:cs="Arial"/>
          <w:szCs w:val="24"/>
        </w:rPr>
        <w:t xml:space="preserve">Figure </w:t>
      </w:r>
      <w:r w:rsidR="007E6609" w:rsidRPr="004C64A3">
        <w:rPr>
          <w:rFonts w:ascii="Arial" w:hAnsi="Arial" w:cs="Arial"/>
          <w:szCs w:val="24"/>
        </w:rPr>
        <w:fldChar w:fldCharType="begin"/>
      </w:r>
      <w:r w:rsidRPr="004C64A3">
        <w:rPr>
          <w:rFonts w:ascii="Arial" w:hAnsi="Arial" w:cs="Arial"/>
          <w:szCs w:val="24"/>
        </w:rPr>
        <w:instrText xml:space="preserve"> SEQ Figure \* ARABIC </w:instrText>
      </w:r>
      <w:r w:rsidR="007E6609" w:rsidRPr="004C64A3">
        <w:rPr>
          <w:rFonts w:ascii="Arial" w:hAnsi="Arial" w:cs="Arial"/>
          <w:szCs w:val="24"/>
        </w:rPr>
        <w:fldChar w:fldCharType="separate"/>
      </w:r>
      <w:r w:rsidR="004705DA" w:rsidRPr="004C64A3">
        <w:rPr>
          <w:rFonts w:ascii="Arial" w:hAnsi="Arial" w:cs="Arial"/>
          <w:noProof/>
          <w:szCs w:val="24"/>
        </w:rPr>
        <w:t>2</w:t>
      </w:r>
      <w:r w:rsidR="007E6609" w:rsidRPr="004C64A3">
        <w:rPr>
          <w:rFonts w:ascii="Arial" w:hAnsi="Arial" w:cs="Arial"/>
          <w:noProof/>
          <w:szCs w:val="24"/>
        </w:rPr>
        <w:fldChar w:fldCharType="end"/>
      </w:r>
      <w:r w:rsidRPr="004C64A3">
        <w:rPr>
          <w:rFonts w:ascii="Arial" w:hAnsi="Arial" w:cs="Arial"/>
          <w:szCs w:val="24"/>
        </w:rPr>
        <w:t>: Skills of an employee</w:t>
      </w:r>
    </w:p>
    <w:p w:rsidR="00EC4E28" w:rsidRPr="004C64A3" w:rsidRDefault="00442589" w:rsidP="004C64A3">
      <w:pPr>
        <w:spacing w:line="480" w:lineRule="auto"/>
        <w:jc w:val="center"/>
        <w:rPr>
          <w:rFonts w:ascii="Arial" w:hAnsi="Arial" w:cs="Arial"/>
          <w:szCs w:val="24"/>
        </w:rPr>
      </w:pPr>
      <w:r w:rsidRPr="004C64A3">
        <w:rPr>
          <w:rFonts w:ascii="Arial" w:hAnsi="Arial" w:cs="Arial"/>
          <w:szCs w:val="24"/>
        </w:rPr>
        <w:t>(Source: HR daily advisor, 2019)</w:t>
      </w:r>
    </w:p>
    <w:p w:rsidR="00836A02" w:rsidRPr="004C64A3" w:rsidRDefault="00442589" w:rsidP="004C64A3">
      <w:pPr>
        <w:pStyle w:val="Heading2"/>
        <w:spacing w:line="480" w:lineRule="auto"/>
        <w:rPr>
          <w:rFonts w:ascii="Arial" w:hAnsi="Arial" w:cs="Arial"/>
          <w:szCs w:val="24"/>
        </w:rPr>
      </w:pPr>
      <w:bookmarkStart w:id="5" w:name="_Toc69346217"/>
      <w:r w:rsidRPr="004C64A3">
        <w:rPr>
          <w:rFonts w:ascii="Arial" w:hAnsi="Arial" w:cs="Arial"/>
          <w:szCs w:val="24"/>
        </w:rPr>
        <w:t>External factors to be considered</w:t>
      </w:r>
      <w:bookmarkEnd w:id="5"/>
    </w:p>
    <w:p w:rsidR="00B73C9D" w:rsidRPr="004C64A3" w:rsidRDefault="00442589" w:rsidP="004C64A3">
      <w:pPr>
        <w:spacing w:line="480" w:lineRule="auto"/>
        <w:rPr>
          <w:rFonts w:ascii="Arial" w:hAnsi="Arial" w:cs="Arial"/>
          <w:szCs w:val="24"/>
        </w:rPr>
      </w:pPr>
      <w:r w:rsidRPr="004C64A3">
        <w:rPr>
          <w:rFonts w:ascii="Arial" w:hAnsi="Arial" w:cs="Arial"/>
          <w:szCs w:val="24"/>
        </w:rPr>
        <w:t xml:space="preserve">In the assessment 1, I had discussed the external factors and what is their impact on the business operations of </w:t>
      </w:r>
      <w:r w:rsidR="00F9785E" w:rsidRPr="004C64A3">
        <w:rPr>
          <w:rFonts w:ascii="Arial" w:hAnsi="Arial" w:cs="Arial"/>
          <w:szCs w:val="24"/>
        </w:rPr>
        <w:t>Ernst and Young</w:t>
      </w:r>
      <w:r w:rsidRPr="004C64A3">
        <w:rPr>
          <w:rFonts w:ascii="Arial" w:hAnsi="Arial" w:cs="Arial"/>
          <w:szCs w:val="24"/>
        </w:rPr>
        <w:t xml:space="preserve">. From the analysis of assessment 1, </w:t>
      </w:r>
      <w:r w:rsidR="00F9785E" w:rsidRPr="004C64A3">
        <w:rPr>
          <w:rFonts w:ascii="Arial" w:hAnsi="Arial" w:cs="Arial"/>
          <w:szCs w:val="24"/>
        </w:rPr>
        <w:t>Ernst and Young have</w:t>
      </w:r>
      <w:r w:rsidRPr="004C64A3">
        <w:rPr>
          <w:rFonts w:ascii="Arial" w:hAnsi="Arial" w:cs="Arial"/>
          <w:szCs w:val="24"/>
        </w:rPr>
        <w:t xml:space="preserve"> identified their external factors, and they have worked on it in an effective manner. I had discussed the SWOT and PESTEL analysis of </w:t>
      </w:r>
      <w:r w:rsidR="00F9785E" w:rsidRPr="004C64A3">
        <w:rPr>
          <w:rFonts w:ascii="Arial" w:hAnsi="Arial" w:cs="Arial"/>
          <w:szCs w:val="24"/>
        </w:rPr>
        <w:t>Ernst and Young</w:t>
      </w:r>
      <w:r w:rsidRPr="004C64A3">
        <w:rPr>
          <w:rFonts w:ascii="Arial" w:hAnsi="Arial" w:cs="Arial"/>
          <w:szCs w:val="24"/>
        </w:rPr>
        <w:t xml:space="preserve">. </w:t>
      </w:r>
      <w:r w:rsidR="00F9785E" w:rsidRPr="004C64A3">
        <w:rPr>
          <w:rFonts w:ascii="Arial" w:hAnsi="Arial" w:cs="Arial"/>
          <w:szCs w:val="24"/>
        </w:rPr>
        <w:t>The firm</w:t>
      </w:r>
      <w:r w:rsidR="00FF0A2F" w:rsidRPr="004C64A3">
        <w:rPr>
          <w:rFonts w:ascii="Arial" w:hAnsi="Arial" w:cs="Arial"/>
          <w:szCs w:val="24"/>
        </w:rPr>
        <w:t xml:space="preserve"> can analyse their external factors and link them together. With this, they can work on their factors and minimise the impact of negative factors on them. In my opinion, </w:t>
      </w:r>
      <w:r w:rsidR="00F9785E" w:rsidRPr="004C64A3">
        <w:rPr>
          <w:rFonts w:ascii="Arial" w:hAnsi="Arial" w:cs="Arial"/>
          <w:szCs w:val="24"/>
        </w:rPr>
        <w:t xml:space="preserve">Ernst and Young </w:t>
      </w:r>
      <w:r w:rsidR="00FF0A2F" w:rsidRPr="004C64A3">
        <w:rPr>
          <w:rFonts w:ascii="Arial" w:hAnsi="Arial" w:cs="Arial"/>
          <w:szCs w:val="24"/>
        </w:rPr>
        <w:t xml:space="preserve">had a brilliant opportunity of </w:t>
      </w:r>
      <w:r w:rsidR="00F9785E" w:rsidRPr="004C64A3">
        <w:rPr>
          <w:rFonts w:ascii="Arial" w:hAnsi="Arial" w:cs="Arial"/>
          <w:szCs w:val="24"/>
        </w:rPr>
        <w:t>expanding their business towards the emerging economies</w:t>
      </w:r>
      <w:r w:rsidR="00FF0A2F" w:rsidRPr="004C64A3">
        <w:rPr>
          <w:rFonts w:ascii="Arial" w:hAnsi="Arial" w:cs="Arial"/>
          <w:szCs w:val="24"/>
        </w:rPr>
        <w:t xml:space="preserve">, and with this, they can eliminate the threat of </w:t>
      </w:r>
      <w:r w:rsidR="00F9785E" w:rsidRPr="004C64A3">
        <w:rPr>
          <w:rFonts w:ascii="Arial" w:hAnsi="Arial" w:cs="Arial"/>
          <w:szCs w:val="24"/>
        </w:rPr>
        <w:t>global recession</w:t>
      </w:r>
      <w:r w:rsidR="00FF0A2F" w:rsidRPr="004C64A3">
        <w:rPr>
          <w:rFonts w:ascii="Arial" w:hAnsi="Arial" w:cs="Arial"/>
          <w:szCs w:val="24"/>
        </w:rPr>
        <w:t xml:space="preserve">. Also, they can consider the factors </w:t>
      </w:r>
      <w:r w:rsidR="00F9785E" w:rsidRPr="004C64A3">
        <w:rPr>
          <w:rFonts w:ascii="Arial" w:hAnsi="Arial" w:cs="Arial"/>
          <w:szCs w:val="24"/>
        </w:rPr>
        <w:t>which affect them, such as the slow growth</w:t>
      </w:r>
      <w:r w:rsidR="00FF0A2F" w:rsidRPr="004C64A3">
        <w:rPr>
          <w:rFonts w:ascii="Arial" w:hAnsi="Arial" w:cs="Arial"/>
          <w:szCs w:val="24"/>
        </w:rPr>
        <w:t xml:space="preserve"> rate and work on that</w:t>
      </w:r>
      <w:r w:rsidR="00AE19DC" w:rsidRPr="004C64A3">
        <w:rPr>
          <w:rFonts w:ascii="Arial" w:hAnsi="Arial" w:cs="Arial"/>
          <w:szCs w:val="24"/>
        </w:rPr>
        <w:t xml:space="preserve"> (</w:t>
      </w:r>
      <w:r w:rsidR="00AE19DC" w:rsidRPr="004C64A3">
        <w:rPr>
          <w:rFonts w:ascii="Arial" w:hAnsi="Arial" w:cs="Arial"/>
          <w:szCs w:val="24"/>
          <w:shd w:val="clear" w:color="auto" w:fill="FFFFFF"/>
        </w:rPr>
        <w:t>Mason, 2020</w:t>
      </w:r>
      <w:r w:rsidR="00AE19DC" w:rsidRPr="004C64A3">
        <w:rPr>
          <w:rFonts w:ascii="Arial" w:hAnsi="Arial" w:cs="Arial"/>
          <w:szCs w:val="24"/>
        </w:rPr>
        <w:t>)</w:t>
      </w:r>
      <w:r w:rsidR="00FF0A2F" w:rsidRPr="004C64A3">
        <w:rPr>
          <w:rFonts w:ascii="Arial" w:hAnsi="Arial" w:cs="Arial"/>
          <w:szCs w:val="24"/>
        </w:rPr>
        <w:t>.</w:t>
      </w:r>
    </w:p>
    <w:p w:rsidR="00FF0A2F" w:rsidRPr="004C64A3" w:rsidRDefault="00442589" w:rsidP="004C64A3">
      <w:pPr>
        <w:spacing w:line="480" w:lineRule="auto"/>
        <w:rPr>
          <w:rFonts w:ascii="Arial" w:hAnsi="Arial" w:cs="Arial"/>
          <w:szCs w:val="24"/>
        </w:rPr>
      </w:pPr>
      <w:r w:rsidRPr="004C64A3">
        <w:rPr>
          <w:rFonts w:ascii="Arial" w:hAnsi="Arial" w:cs="Arial"/>
          <w:szCs w:val="24"/>
        </w:rPr>
        <w:lastRenderedPageBreak/>
        <w:t xml:space="preserve">In my view, </w:t>
      </w:r>
      <w:r w:rsidR="00F9785E" w:rsidRPr="004C64A3">
        <w:rPr>
          <w:rFonts w:ascii="Arial" w:hAnsi="Arial" w:cs="Arial"/>
          <w:szCs w:val="24"/>
        </w:rPr>
        <w:t xml:space="preserve">Ernst and Young </w:t>
      </w:r>
      <w:r w:rsidRPr="004C64A3">
        <w:rPr>
          <w:rFonts w:ascii="Arial" w:hAnsi="Arial" w:cs="Arial"/>
          <w:szCs w:val="24"/>
        </w:rPr>
        <w:t xml:space="preserve">can convert their promising opportunities and strengths into their standards, and with that, they can overcome with macro-environmental factors. </w:t>
      </w:r>
      <w:r w:rsidR="00191E72" w:rsidRPr="004C64A3">
        <w:rPr>
          <w:rFonts w:ascii="Arial" w:hAnsi="Arial" w:cs="Arial"/>
          <w:szCs w:val="24"/>
        </w:rPr>
        <w:t xml:space="preserve">Since </w:t>
      </w:r>
      <w:r w:rsidR="00F9785E" w:rsidRPr="004C64A3">
        <w:rPr>
          <w:rFonts w:ascii="Arial" w:hAnsi="Arial" w:cs="Arial"/>
          <w:szCs w:val="24"/>
        </w:rPr>
        <w:t xml:space="preserve">Ernst and Young </w:t>
      </w:r>
      <w:r w:rsidR="00191E72" w:rsidRPr="004C64A3">
        <w:rPr>
          <w:rFonts w:ascii="Arial" w:hAnsi="Arial" w:cs="Arial"/>
          <w:szCs w:val="24"/>
        </w:rPr>
        <w:t xml:space="preserve">conducts training and development program for their employees, they can link it with their strengths. For instance, their strength is </w:t>
      </w:r>
      <w:r w:rsidR="00F9785E" w:rsidRPr="004C64A3">
        <w:rPr>
          <w:rFonts w:ascii="Arial" w:hAnsi="Arial" w:cs="Arial"/>
          <w:szCs w:val="24"/>
        </w:rPr>
        <w:t>their extensive global reach and strong balance sheet</w:t>
      </w:r>
      <w:r w:rsidR="00191E72" w:rsidRPr="004C64A3">
        <w:rPr>
          <w:rFonts w:ascii="Arial" w:hAnsi="Arial" w:cs="Arial"/>
          <w:szCs w:val="24"/>
        </w:rPr>
        <w:t xml:space="preserve">. Thus, </w:t>
      </w:r>
      <w:r w:rsidR="00F9785E" w:rsidRPr="004C64A3">
        <w:rPr>
          <w:rFonts w:ascii="Arial" w:hAnsi="Arial" w:cs="Arial"/>
          <w:szCs w:val="24"/>
        </w:rPr>
        <w:t xml:space="preserve">Ernst and Young </w:t>
      </w:r>
      <w:r w:rsidR="00191E72" w:rsidRPr="004C64A3">
        <w:rPr>
          <w:rFonts w:ascii="Arial" w:hAnsi="Arial" w:cs="Arial"/>
          <w:szCs w:val="24"/>
        </w:rPr>
        <w:t>can ensure the use of this in their programs</w:t>
      </w:r>
      <w:r w:rsidR="00F9785E" w:rsidRPr="004C64A3">
        <w:rPr>
          <w:rFonts w:ascii="Arial" w:hAnsi="Arial" w:cs="Arial"/>
          <w:szCs w:val="24"/>
        </w:rPr>
        <w:t>, as they can guide their employees with the help of their global reach and provide them international training and internship</w:t>
      </w:r>
      <w:r w:rsidR="00191E72" w:rsidRPr="004C64A3">
        <w:rPr>
          <w:rFonts w:ascii="Arial" w:hAnsi="Arial" w:cs="Arial"/>
          <w:szCs w:val="24"/>
        </w:rPr>
        <w:t>. With this, they can identify the threat in advance and work on it.</w:t>
      </w:r>
      <w:r w:rsidR="000742DB" w:rsidRPr="004C64A3">
        <w:rPr>
          <w:rFonts w:ascii="Arial" w:hAnsi="Arial" w:cs="Arial"/>
          <w:szCs w:val="24"/>
        </w:rPr>
        <w:t xml:space="preserve"> In my opinion, </w:t>
      </w:r>
      <w:r w:rsidR="00AD4751" w:rsidRPr="004C64A3">
        <w:rPr>
          <w:rFonts w:ascii="Arial" w:hAnsi="Arial" w:cs="Arial"/>
          <w:szCs w:val="24"/>
        </w:rPr>
        <w:t>Ernst and Young have</w:t>
      </w:r>
      <w:r w:rsidR="000742DB" w:rsidRPr="004C64A3">
        <w:rPr>
          <w:rFonts w:ascii="Arial" w:hAnsi="Arial" w:cs="Arial"/>
          <w:szCs w:val="24"/>
        </w:rPr>
        <w:t xml:space="preserve"> worked on their weakness, and they had developed a strong </w:t>
      </w:r>
      <w:r w:rsidR="00AD4751" w:rsidRPr="004C64A3">
        <w:rPr>
          <w:rFonts w:ascii="Arial" w:hAnsi="Arial" w:cs="Arial"/>
          <w:szCs w:val="24"/>
        </w:rPr>
        <w:t>policy which helps them to maintain their growth in competitive market and neglect the impact of political instability</w:t>
      </w:r>
      <w:r w:rsidR="000742DB" w:rsidRPr="004C64A3">
        <w:rPr>
          <w:rFonts w:ascii="Arial" w:hAnsi="Arial" w:cs="Arial"/>
          <w:szCs w:val="24"/>
        </w:rPr>
        <w:t>. This is because of their strong relationship with their networking partners, such as AWS</w:t>
      </w:r>
      <w:r w:rsidR="00AE19DC" w:rsidRPr="004C64A3">
        <w:rPr>
          <w:rFonts w:ascii="Arial" w:hAnsi="Arial" w:cs="Arial"/>
          <w:szCs w:val="24"/>
        </w:rPr>
        <w:t xml:space="preserve"> (</w:t>
      </w:r>
      <w:r w:rsidR="00AE19DC" w:rsidRPr="004C64A3">
        <w:rPr>
          <w:rFonts w:ascii="Arial" w:hAnsi="Arial" w:cs="Arial"/>
          <w:szCs w:val="24"/>
          <w:shd w:val="clear" w:color="auto" w:fill="FFFFFF"/>
        </w:rPr>
        <w:t>Stanley, 2020</w:t>
      </w:r>
      <w:r w:rsidR="00AE19DC" w:rsidRPr="004C64A3">
        <w:rPr>
          <w:rFonts w:ascii="Arial" w:hAnsi="Arial" w:cs="Arial"/>
          <w:szCs w:val="24"/>
        </w:rPr>
        <w:t>)</w:t>
      </w:r>
      <w:r w:rsidR="000742DB" w:rsidRPr="004C64A3">
        <w:rPr>
          <w:rFonts w:ascii="Arial" w:hAnsi="Arial" w:cs="Arial"/>
          <w:szCs w:val="24"/>
        </w:rPr>
        <w:t xml:space="preserve">. </w:t>
      </w:r>
    </w:p>
    <w:p w:rsidR="00836A02" w:rsidRPr="004C64A3" w:rsidRDefault="00442589" w:rsidP="004C64A3">
      <w:pPr>
        <w:pStyle w:val="Heading2"/>
        <w:spacing w:line="480" w:lineRule="auto"/>
        <w:rPr>
          <w:rFonts w:ascii="Arial" w:hAnsi="Arial" w:cs="Arial"/>
          <w:szCs w:val="24"/>
        </w:rPr>
      </w:pPr>
      <w:bookmarkStart w:id="6" w:name="_Toc69346218"/>
      <w:r w:rsidRPr="004C64A3">
        <w:rPr>
          <w:rFonts w:ascii="Arial" w:hAnsi="Arial" w:cs="Arial"/>
          <w:szCs w:val="24"/>
        </w:rPr>
        <w:t xml:space="preserve">Relationship of </w:t>
      </w:r>
      <w:r w:rsidR="00AD4751" w:rsidRPr="004C64A3">
        <w:rPr>
          <w:rFonts w:ascii="Arial" w:hAnsi="Arial" w:cs="Arial"/>
          <w:szCs w:val="24"/>
        </w:rPr>
        <w:t xml:space="preserve">Ernst and Young </w:t>
      </w:r>
      <w:r w:rsidRPr="004C64A3">
        <w:rPr>
          <w:rFonts w:ascii="Arial" w:hAnsi="Arial" w:cs="Arial"/>
          <w:szCs w:val="24"/>
        </w:rPr>
        <w:t>with their stakeholders and engagement with them</w:t>
      </w:r>
      <w:bookmarkEnd w:id="4"/>
      <w:bookmarkEnd w:id="6"/>
    </w:p>
    <w:p w:rsidR="00481D5C" w:rsidRPr="004C64A3" w:rsidRDefault="00442589" w:rsidP="004C64A3">
      <w:pPr>
        <w:spacing w:line="480" w:lineRule="auto"/>
        <w:rPr>
          <w:rFonts w:ascii="Arial" w:hAnsi="Arial" w:cs="Arial"/>
          <w:szCs w:val="24"/>
        </w:rPr>
      </w:pPr>
      <w:r w:rsidRPr="004C64A3">
        <w:rPr>
          <w:rFonts w:ascii="Arial" w:hAnsi="Arial" w:cs="Arial"/>
          <w:szCs w:val="24"/>
        </w:rPr>
        <w:t xml:space="preserve">In assessment 1, I had discussed various stakeholders of </w:t>
      </w:r>
      <w:r w:rsidR="00AD4751" w:rsidRPr="004C64A3">
        <w:rPr>
          <w:rFonts w:ascii="Arial" w:hAnsi="Arial" w:cs="Arial"/>
          <w:szCs w:val="24"/>
        </w:rPr>
        <w:t xml:space="preserve">Ernst and Young </w:t>
      </w:r>
      <w:r w:rsidRPr="004C64A3">
        <w:rPr>
          <w:rFonts w:ascii="Arial" w:hAnsi="Arial" w:cs="Arial"/>
          <w:szCs w:val="24"/>
        </w:rPr>
        <w:t xml:space="preserve">and how </w:t>
      </w:r>
      <w:r w:rsidR="00AD4751" w:rsidRPr="004C64A3">
        <w:rPr>
          <w:rFonts w:ascii="Arial" w:hAnsi="Arial" w:cs="Arial"/>
          <w:szCs w:val="24"/>
        </w:rPr>
        <w:t>they</w:t>
      </w:r>
      <w:r w:rsidRPr="004C64A3">
        <w:rPr>
          <w:rFonts w:ascii="Arial" w:hAnsi="Arial" w:cs="Arial"/>
          <w:szCs w:val="24"/>
        </w:rPr>
        <w:t xml:space="preserve"> implements relationship with them. In my opinion, they must work more on their bond. This is because they only have a short-term relationship with their stakeholders. For instance, the shareholders are engaged with </w:t>
      </w:r>
      <w:r w:rsidR="00AD4751" w:rsidRPr="004C64A3">
        <w:rPr>
          <w:rFonts w:ascii="Arial" w:hAnsi="Arial" w:cs="Arial"/>
          <w:szCs w:val="24"/>
        </w:rPr>
        <w:t>Ernst and Young</w:t>
      </w:r>
      <w:r w:rsidRPr="004C64A3">
        <w:rPr>
          <w:rFonts w:ascii="Arial" w:hAnsi="Arial" w:cs="Arial"/>
          <w:szCs w:val="24"/>
        </w:rPr>
        <w:t xml:space="preserve">, but they are not given that importance like of other </w:t>
      </w:r>
      <w:r w:rsidR="00AD4751" w:rsidRPr="004C64A3">
        <w:rPr>
          <w:rFonts w:ascii="Arial" w:hAnsi="Arial" w:cs="Arial"/>
          <w:szCs w:val="24"/>
        </w:rPr>
        <w:t>professional service</w:t>
      </w:r>
      <w:r w:rsidRPr="004C64A3">
        <w:rPr>
          <w:rFonts w:ascii="Arial" w:hAnsi="Arial" w:cs="Arial"/>
          <w:szCs w:val="24"/>
        </w:rPr>
        <w:t xml:space="preserve"> firms. Hence, they must develop policies that help them to develop long-term relationship with their stakeholders. Also, </w:t>
      </w:r>
      <w:r w:rsidR="00AD4751" w:rsidRPr="004C64A3">
        <w:rPr>
          <w:rFonts w:ascii="Arial" w:hAnsi="Arial" w:cs="Arial"/>
          <w:szCs w:val="24"/>
        </w:rPr>
        <w:t xml:space="preserve">Ernst and Young </w:t>
      </w:r>
      <w:r w:rsidRPr="004C64A3">
        <w:rPr>
          <w:rFonts w:ascii="Arial" w:hAnsi="Arial" w:cs="Arial"/>
          <w:szCs w:val="24"/>
        </w:rPr>
        <w:t xml:space="preserve">always </w:t>
      </w:r>
      <w:r w:rsidR="00AD4751" w:rsidRPr="004C64A3">
        <w:rPr>
          <w:rFonts w:ascii="Arial" w:hAnsi="Arial" w:cs="Arial"/>
          <w:szCs w:val="24"/>
        </w:rPr>
        <w:t>play</w:t>
      </w:r>
      <w:r w:rsidRPr="004C64A3">
        <w:rPr>
          <w:rFonts w:ascii="Arial" w:hAnsi="Arial" w:cs="Arial"/>
          <w:szCs w:val="24"/>
        </w:rPr>
        <w:t xml:space="preserve"> on the safe side and never take a risk with their stakeholders. Due to this, they sometimes get lack behind in community engagement. In my view, </w:t>
      </w:r>
      <w:r w:rsidR="00AD4751" w:rsidRPr="004C64A3">
        <w:rPr>
          <w:rFonts w:ascii="Arial" w:hAnsi="Arial" w:cs="Arial"/>
          <w:szCs w:val="24"/>
        </w:rPr>
        <w:t>Ernst and Young</w:t>
      </w:r>
      <w:r w:rsidRPr="004C64A3">
        <w:rPr>
          <w:rFonts w:ascii="Arial" w:hAnsi="Arial" w:cs="Arial"/>
          <w:szCs w:val="24"/>
        </w:rPr>
        <w:t xml:space="preserve"> must take risk sometimes, as they have a high brand value and work for social welfare</w:t>
      </w:r>
      <w:r w:rsidR="00AE19DC" w:rsidRPr="004C64A3">
        <w:rPr>
          <w:rFonts w:ascii="Arial" w:hAnsi="Arial" w:cs="Arial"/>
          <w:szCs w:val="24"/>
        </w:rPr>
        <w:t xml:space="preserve"> (</w:t>
      </w:r>
      <w:r w:rsidR="00AE19DC" w:rsidRPr="004C64A3">
        <w:rPr>
          <w:rFonts w:ascii="Arial" w:hAnsi="Arial" w:cs="Arial"/>
          <w:szCs w:val="24"/>
          <w:shd w:val="clear" w:color="auto" w:fill="FFFFFF"/>
        </w:rPr>
        <w:t>Birkinshaw, 2017</w:t>
      </w:r>
      <w:r w:rsidR="00AE19DC" w:rsidRPr="004C64A3">
        <w:rPr>
          <w:rFonts w:ascii="Arial" w:hAnsi="Arial" w:cs="Arial"/>
          <w:szCs w:val="24"/>
        </w:rPr>
        <w:t>)</w:t>
      </w:r>
      <w:r w:rsidRPr="004C64A3">
        <w:rPr>
          <w:rFonts w:ascii="Arial" w:hAnsi="Arial" w:cs="Arial"/>
          <w:szCs w:val="24"/>
        </w:rPr>
        <w:t>.</w:t>
      </w:r>
    </w:p>
    <w:p w:rsidR="00DB3C43" w:rsidRPr="004C64A3" w:rsidRDefault="00442589" w:rsidP="004C64A3">
      <w:pPr>
        <w:spacing w:line="480" w:lineRule="auto"/>
        <w:rPr>
          <w:rFonts w:ascii="Arial" w:hAnsi="Arial" w:cs="Arial"/>
          <w:szCs w:val="24"/>
        </w:rPr>
      </w:pPr>
      <w:r w:rsidRPr="004C64A3">
        <w:rPr>
          <w:rFonts w:ascii="Arial" w:hAnsi="Arial" w:cs="Arial"/>
          <w:szCs w:val="24"/>
        </w:rPr>
        <w:lastRenderedPageBreak/>
        <w:t xml:space="preserve">The </w:t>
      </w:r>
      <w:r w:rsidR="00EC3692" w:rsidRPr="004C64A3">
        <w:rPr>
          <w:rFonts w:ascii="Arial" w:hAnsi="Arial" w:cs="Arial"/>
          <w:szCs w:val="24"/>
        </w:rPr>
        <w:t xml:space="preserve">way of engagement with their stakeholders is also old. In assessment 1, I have stated that they bring in the use of social media platform to engage with them. But other than this, they must start the concept of video conferencing with their stakeholders once in a month. They must conduct more programs </w:t>
      </w:r>
      <w:r w:rsidR="00AD4751" w:rsidRPr="004C64A3">
        <w:rPr>
          <w:rFonts w:ascii="Arial" w:hAnsi="Arial" w:cs="Arial"/>
          <w:szCs w:val="24"/>
        </w:rPr>
        <w:t>and launch more reports of their firm which includes the project completed by them in particular year or goals achieved by them for community engagement</w:t>
      </w:r>
      <w:r w:rsidR="00EC3692" w:rsidRPr="004C64A3">
        <w:rPr>
          <w:rFonts w:ascii="Arial" w:hAnsi="Arial" w:cs="Arial"/>
          <w:szCs w:val="24"/>
        </w:rPr>
        <w:t xml:space="preserve">. According to me, they must develop policies and focus on reflective theory to engage with their stakeholders. With consideration of this, they can bring in accommodation of community engagement. Moreover, I had discussed how they use social media to promote their campaign, but to gain more </w:t>
      </w:r>
      <w:r w:rsidR="00EC7E40" w:rsidRPr="004C64A3">
        <w:rPr>
          <w:rFonts w:ascii="Arial" w:hAnsi="Arial" w:cs="Arial"/>
          <w:szCs w:val="24"/>
        </w:rPr>
        <w:t>followers;</w:t>
      </w:r>
      <w:r w:rsidR="00EC3692" w:rsidRPr="004C64A3">
        <w:rPr>
          <w:rFonts w:ascii="Arial" w:hAnsi="Arial" w:cs="Arial"/>
          <w:szCs w:val="24"/>
        </w:rPr>
        <w:t xml:space="preserve"> they must post effective content for their stakeholders. In this approach, they can relate them with </w:t>
      </w:r>
      <w:r w:rsidR="00AD4751" w:rsidRPr="004C64A3">
        <w:rPr>
          <w:rFonts w:ascii="Arial" w:hAnsi="Arial" w:cs="Arial"/>
          <w:szCs w:val="24"/>
        </w:rPr>
        <w:t xml:space="preserve">Ernst and Young </w:t>
      </w:r>
      <w:r w:rsidR="00EC3692" w:rsidRPr="004C64A3">
        <w:rPr>
          <w:rFonts w:ascii="Arial" w:hAnsi="Arial" w:cs="Arial"/>
          <w:szCs w:val="24"/>
        </w:rPr>
        <w:t xml:space="preserve">and successfully run their business. </w:t>
      </w:r>
      <w:r w:rsidRPr="004C64A3">
        <w:rPr>
          <w:rFonts w:ascii="Arial" w:hAnsi="Arial" w:cs="Arial"/>
          <w:szCs w:val="24"/>
        </w:rPr>
        <w:t xml:space="preserve"> </w:t>
      </w:r>
    </w:p>
    <w:p w:rsidR="00836A02" w:rsidRPr="004C64A3" w:rsidRDefault="00442589" w:rsidP="004C64A3">
      <w:pPr>
        <w:pStyle w:val="Heading2"/>
        <w:spacing w:line="480" w:lineRule="auto"/>
        <w:rPr>
          <w:rFonts w:ascii="Arial" w:hAnsi="Arial" w:cs="Arial"/>
          <w:szCs w:val="24"/>
        </w:rPr>
      </w:pPr>
      <w:bookmarkStart w:id="7" w:name="_Toc69245273"/>
      <w:bookmarkStart w:id="8" w:name="_Toc69346219"/>
      <w:r w:rsidRPr="004C64A3">
        <w:rPr>
          <w:rFonts w:ascii="Arial" w:hAnsi="Arial" w:cs="Arial"/>
          <w:szCs w:val="24"/>
        </w:rPr>
        <w:t xml:space="preserve">Training and development programs organised by </w:t>
      </w:r>
      <w:bookmarkEnd w:id="7"/>
      <w:r w:rsidR="00AD4751" w:rsidRPr="004C64A3">
        <w:rPr>
          <w:rFonts w:ascii="Arial" w:hAnsi="Arial" w:cs="Arial"/>
          <w:szCs w:val="24"/>
        </w:rPr>
        <w:t>Ernst and Young</w:t>
      </w:r>
      <w:bookmarkEnd w:id="8"/>
    </w:p>
    <w:p w:rsidR="005D3365" w:rsidRPr="004C64A3" w:rsidRDefault="00AD4751" w:rsidP="004C64A3">
      <w:pPr>
        <w:spacing w:line="480" w:lineRule="auto"/>
        <w:rPr>
          <w:rFonts w:ascii="Arial" w:hAnsi="Arial" w:cs="Arial"/>
          <w:szCs w:val="24"/>
        </w:rPr>
      </w:pPr>
      <w:r w:rsidRPr="004C64A3">
        <w:rPr>
          <w:rFonts w:ascii="Arial" w:hAnsi="Arial" w:cs="Arial"/>
          <w:szCs w:val="24"/>
        </w:rPr>
        <w:t xml:space="preserve">Ernst and Young is the professional service networking sector </w:t>
      </w:r>
      <w:r w:rsidR="00442589" w:rsidRPr="004C64A3">
        <w:rPr>
          <w:rFonts w:ascii="Arial" w:hAnsi="Arial" w:cs="Arial"/>
          <w:szCs w:val="24"/>
        </w:rPr>
        <w:t>with a high brand value and market share. To be at this position, they organise training and development programs for the one who had joined their firm recently</w:t>
      </w:r>
      <w:r w:rsidR="00AE19DC" w:rsidRPr="004C64A3">
        <w:rPr>
          <w:rFonts w:ascii="Arial" w:hAnsi="Arial" w:cs="Arial"/>
          <w:szCs w:val="24"/>
        </w:rPr>
        <w:t xml:space="preserve"> (</w:t>
      </w:r>
      <w:r w:rsidR="00AE19DC" w:rsidRPr="004C64A3">
        <w:rPr>
          <w:rFonts w:ascii="Arial" w:hAnsi="Arial" w:cs="Arial"/>
          <w:szCs w:val="24"/>
          <w:shd w:val="clear" w:color="auto" w:fill="FFFFFF"/>
        </w:rPr>
        <w:t>Cathro et al., 2017</w:t>
      </w:r>
      <w:r w:rsidR="00AE19DC" w:rsidRPr="004C64A3">
        <w:rPr>
          <w:rFonts w:ascii="Arial" w:hAnsi="Arial" w:cs="Arial"/>
          <w:szCs w:val="24"/>
        </w:rPr>
        <w:t>)</w:t>
      </w:r>
      <w:r w:rsidR="00442589" w:rsidRPr="004C64A3">
        <w:rPr>
          <w:rFonts w:ascii="Arial" w:hAnsi="Arial" w:cs="Arial"/>
          <w:szCs w:val="24"/>
        </w:rPr>
        <w:t xml:space="preserve">. According to me, this is the most effective method through which they can motivate their employees and work on performance management. But after the analysis, the employees are not trained at that level. Their level of personal and professional skill is at the same level after attending the program. This needs to resolve by </w:t>
      </w:r>
      <w:r w:rsidRPr="004C64A3">
        <w:rPr>
          <w:rFonts w:ascii="Arial" w:hAnsi="Arial" w:cs="Arial"/>
          <w:szCs w:val="24"/>
        </w:rPr>
        <w:t>Ernst and Young</w:t>
      </w:r>
      <w:r w:rsidR="00442589" w:rsidRPr="004C64A3">
        <w:rPr>
          <w:rFonts w:ascii="Arial" w:hAnsi="Arial" w:cs="Arial"/>
          <w:szCs w:val="24"/>
        </w:rPr>
        <w:t xml:space="preserve">. According to me, they can acquire the use of a reflective learning cycle in their training and development program. </w:t>
      </w:r>
    </w:p>
    <w:p w:rsidR="00A649B0" w:rsidRPr="004C64A3" w:rsidRDefault="00442589" w:rsidP="004C64A3">
      <w:pPr>
        <w:spacing w:line="480" w:lineRule="auto"/>
        <w:rPr>
          <w:rFonts w:ascii="Arial" w:hAnsi="Arial" w:cs="Arial"/>
          <w:szCs w:val="24"/>
        </w:rPr>
      </w:pPr>
      <w:r w:rsidRPr="004C64A3">
        <w:rPr>
          <w:rFonts w:ascii="Arial" w:hAnsi="Arial" w:cs="Arial"/>
          <w:szCs w:val="24"/>
        </w:rPr>
        <w:t xml:space="preserve">The reflective learning cycle is the process in which the employees get training, and then they self-observe them. With this, they can analyse the elements they have </w:t>
      </w:r>
      <w:r w:rsidRPr="004C64A3">
        <w:rPr>
          <w:rFonts w:ascii="Arial" w:hAnsi="Arial" w:cs="Arial"/>
          <w:szCs w:val="24"/>
        </w:rPr>
        <w:lastRenderedPageBreak/>
        <w:t xml:space="preserve">learned and what are their area of improvement. In my opinion, </w:t>
      </w:r>
      <w:r w:rsidR="00AD4751" w:rsidRPr="004C64A3">
        <w:rPr>
          <w:rFonts w:ascii="Arial" w:hAnsi="Arial" w:cs="Arial"/>
          <w:szCs w:val="24"/>
        </w:rPr>
        <w:t xml:space="preserve">Ernst and Young </w:t>
      </w:r>
      <w:r w:rsidRPr="004C64A3">
        <w:rPr>
          <w:rFonts w:ascii="Arial" w:hAnsi="Arial" w:cs="Arial"/>
          <w:szCs w:val="24"/>
        </w:rPr>
        <w:t>must start this practice in their tra</w:t>
      </w:r>
      <w:r w:rsidR="00AD4751" w:rsidRPr="004C64A3">
        <w:rPr>
          <w:rFonts w:ascii="Arial" w:hAnsi="Arial" w:cs="Arial"/>
          <w:szCs w:val="24"/>
        </w:rPr>
        <w:t xml:space="preserve">ining and development program. Other than this, they had a high global reach, so they must utilise the resources which are available worldwide. They must introduce the employees with these tools and equipments. Moreover, Ernst and Young can also accommodate them with their strong brand value and helps employees to stay focused.  </w:t>
      </w:r>
      <w:r w:rsidRPr="004C64A3">
        <w:rPr>
          <w:rFonts w:ascii="Arial" w:hAnsi="Arial" w:cs="Arial"/>
          <w:szCs w:val="24"/>
        </w:rPr>
        <w:t>With this, the employees can get an idea of their performance, and they can work on their area of improvement</w:t>
      </w:r>
      <w:r w:rsidR="00AE19DC" w:rsidRPr="004C64A3">
        <w:rPr>
          <w:rFonts w:ascii="Arial" w:hAnsi="Arial" w:cs="Arial"/>
          <w:szCs w:val="24"/>
        </w:rPr>
        <w:t xml:space="preserve"> (</w:t>
      </w:r>
      <w:r w:rsidR="00AE19DC" w:rsidRPr="004C64A3">
        <w:rPr>
          <w:rFonts w:ascii="Arial" w:hAnsi="Arial" w:cs="Arial"/>
          <w:szCs w:val="24"/>
          <w:shd w:val="clear" w:color="auto" w:fill="FFFFFF"/>
        </w:rPr>
        <w:t>Kolb and Kolb, 2018</w:t>
      </w:r>
      <w:r w:rsidR="00AE19DC" w:rsidRPr="004C64A3">
        <w:rPr>
          <w:rFonts w:ascii="Arial" w:hAnsi="Arial" w:cs="Arial"/>
          <w:szCs w:val="24"/>
        </w:rPr>
        <w:t>)</w:t>
      </w:r>
      <w:r w:rsidRPr="004C64A3">
        <w:rPr>
          <w:rFonts w:ascii="Arial" w:hAnsi="Arial" w:cs="Arial"/>
          <w:szCs w:val="24"/>
        </w:rPr>
        <w:t xml:space="preserve">. In my view, and with the help of assessment 1 analysis, </w:t>
      </w:r>
      <w:r w:rsidR="00AD4751" w:rsidRPr="004C64A3">
        <w:rPr>
          <w:rFonts w:ascii="Arial" w:hAnsi="Arial" w:cs="Arial"/>
          <w:szCs w:val="24"/>
        </w:rPr>
        <w:t xml:space="preserve">Ernst and Young </w:t>
      </w:r>
      <w:r w:rsidRPr="004C64A3">
        <w:rPr>
          <w:rFonts w:ascii="Arial" w:hAnsi="Arial" w:cs="Arial"/>
          <w:szCs w:val="24"/>
        </w:rPr>
        <w:t xml:space="preserve">must take their program towards social and cultural activities. With consideration of this, the employees can make their presence towards socio-cultural programs, and </w:t>
      </w:r>
      <w:r w:rsidR="00AD4751" w:rsidRPr="004C64A3">
        <w:rPr>
          <w:rFonts w:ascii="Arial" w:hAnsi="Arial" w:cs="Arial"/>
          <w:szCs w:val="24"/>
        </w:rPr>
        <w:t xml:space="preserve">Ernst and Young </w:t>
      </w:r>
      <w:r w:rsidRPr="004C64A3">
        <w:rPr>
          <w:rFonts w:ascii="Arial" w:hAnsi="Arial" w:cs="Arial"/>
          <w:szCs w:val="24"/>
        </w:rPr>
        <w:t xml:space="preserve">can effectively manage their responsibility towards community engagement. </w:t>
      </w:r>
    </w:p>
    <w:p w:rsidR="00105CCD" w:rsidRPr="004C64A3" w:rsidRDefault="00442589" w:rsidP="004C64A3">
      <w:pPr>
        <w:keepNext/>
        <w:spacing w:line="480" w:lineRule="auto"/>
        <w:jc w:val="center"/>
        <w:rPr>
          <w:rFonts w:ascii="Arial" w:hAnsi="Arial" w:cs="Arial"/>
          <w:szCs w:val="24"/>
        </w:rPr>
      </w:pPr>
      <w:r w:rsidRPr="004C64A3">
        <w:rPr>
          <w:rFonts w:ascii="Arial" w:hAnsi="Arial" w:cs="Arial"/>
          <w:noProof/>
          <w:szCs w:val="24"/>
          <w:lang w:val="en-GB" w:eastAsia="en-GB"/>
        </w:rPr>
        <w:drawing>
          <wp:inline distT="0" distB="0" distL="0" distR="0">
            <wp:extent cx="2857500" cy="3200400"/>
            <wp:effectExtent l="19050" t="0" r="0" b="0"/>
            <wp:docPr id="7" name="Picture 7"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Reflective Practice - University Study - Study Skills - 301 - SSiD - The  University of Sheffield"/>
                    <pic:cNvPicPr>
                      <a:picLocks noChangeAspect="1" noChangeArrowheads="1"/>
                    </pic:cNvPicPr>
                  </pic:nvPicPr>
                  <pic:blipFill>
                    <a:blip r:embed="rId11" cstate="print"/>
                    <a:stretch>
                      <a:fillRect/>
                    </a:stretch>
                  </pic:blipFill>
                  <pic:spPr bwMode="auto">
                    <a:xfrm>
                      <a:off x="0" y="0"/>
                      <a:ext cx="2857500" cy="3200400"/>
                    </a:xfrm>
                    <a:prstGeom prst="rect">
                      <a:avLst/>
                    </a:prstGeom>
                    <a:noFill/>
                    <a:ln w="9525">
                      <a:noFill/>
                      <a:miter lim="800000"/>
                      <a:headEnd/>
                      <a:tailEnd/>
                    </a:ln>
                  </pic:spPr>
                </pic:pic>
              </a:graphicData>
            </a:graphic>
          </wp:inline>
        </w:drawing>
      </w:r>
    </w:p>
    <w:p w:rsidR="00105CCD" w:rsidRPr="004C64A3" w:rsidRDefault="00442589" w:rsidP="004C64A3">
      <w:pPr>
        <w:spacing w:line="480" w:lineRule="auto"/>
        <w:jc w:val="center"/>
        <w:rPr>
          <w:rFonts w:ascii="Arial" w:hAnsi="Arial" w:cs="Arial"/>
          <w:szCs w:val="24"/>
        </w:rPr>
      </w:pPr>
      <w:r w:rsidRPr="004C64A3">
        <w:rPr>
          <w:rFonts w:ascii="Arial" w:hAnsi="Arial" w:cs="Arial"/>
          <w:szCs w:val="24"/>
        </w:rPr>
        <w:t xml:space="preserve">Figure </w:t>
      </w:r>
      <w:r w:rsidR="007E6609" w:rsidRPr="004C64A3">
        <w:rPr>
          <w:rFonts w:ascii="Arial" w:hAnsi="Arial" w:cs="Arial"/>
          <w:szCs w:val="24"/>
        </w:rPr>
        <w:fldChar w:fldCharType="begin"/>
      </w:r>
      <w:r w:rsidRPr="004C64A3">
        <w:rPr>
          <w:rFonts w:ascii="Arial" w:hAnsi="Arial" w:cs="Arial"/>
          <w:szCs w:val="24"/>
        </w:rPr>
        <w:instrText xml:space="preserve"> SEQ Figure \* ARABIC </w:instrText>
      </w:r>
      <w:r w:rsidR="007E6609" w:rsidRPr="004C64A3">
        <w:rPr>
          <w:rFonts w:ascii="Arial" w:hAnsi="Arial" w:cs="Arial"/>
          <w:szCs w:val="24"/>
        </w:rPr>
        <w:fldChar w:fldCharType="separate"/>
      </w:r>
      <w:r w:rsidR="004705DA" w:rsidRPr="004C64A3">
        <w:rPr>
          <w:rFonts w:ascii="Arial" w:hAnsi="Arial" w:cs="Arial"/>
          <w:noProof/>
          <w:szCs w:val="24"/>
        </w:rPr>
        <w:t>3</w:t>
      </w:r>
      <w:r w:rsidR="007E6609" w:rsidRPr="004C64A3">
        <w:rPr>
          <w:rFonts w:ascii="Arial" w:hAnsi="Arial" w:cs="Arial"/>
          <w:noProof/>
          <w:szCs w:val="24"/>
        </w:rPr>
        <w:fldChar w:fldCharType="end"/>
      </w:r>
      <w:r w:rsidRPr="004C64A3">
        <w:rPr>
          <w:rFonts w:ascii="Arial" w:hAnsi="Arial" w:cs="Arial"/>
          <w:szCs w:val="24"/>
        </w:rPr>
        <w:t>: Reflective learning cycle</w:t>
      </w:r>
    </w:p>
    <w:p w:rsidR="00105CCD" w:rsidRPr="004C64A3" w:rsidRDefault="00442589" w:rsidP="004C64A3">
      <w:pPr>
        <w:spacing w:line="480" w:lineRule="auto"/>
        <w:jc w:val="center"/>
        <w:rPr>
          <w:rFonts w:ascii="Arial" w:hAnsi="Arial" w:cs="Arial"/>
          <w:szCs w:val="24"/>
        </w:rPr>
      </w:pPr>
      <w:r w:rsidRPr="004C64A3">
        <w:rPr>
          <w:rFonts w:ascii="Arial" w:hAnsi="Arial" w:cs="Arial"/>
          <w:szCs w:val="24"/>
        </w:rPr>
        <w:t>(Source: The University of Sheffield, 2021)</w:t>
      </w:r>
    </w:p>
    <w:p w:rsidR="00D6610B" w:rsidRPr="004C64A3" w:rsidRDefault="00442589" w:rsidP="004C64A3">
      <w:pPr>
        <w:pStyle w:val="Heading2"/>
        <w:spacing w:line="480" w:lineRule="auto"/>
        <w:rPr>
          <w:rFonts w:ascii="Arial" w:hAnsi="Arial" w:cs="Arial"/>
          <w:szCs w:val="24"/>
        </w:rPr>
      </w:pPr>
      <w:bookmarkStart w:id="9" w:name="_Toc69346220"/>
      <w:r w:rsidRPr="004C64A3">
        <w:rPr>
          <w:rFonts w:ascii="Arial" w:hAnsi="Arial" w:cs="Arial"/>
          <w:szCs w:val="24"/>
        </w:rPr>
        <w:lastRenderedPageBreak/>
        <w:t xml:space="preserve">Relationship between </w:t>
      </w:r>
      <w:r w:rsidR="00AD4751" w:rsidRPr="004C64A3">
        <w:rPr>
          <w:rFonts w:ascii="Arial" w:hAnsi="Arial" w:cs="Arial"/>
          <w:szCs w:val="24"/>
        </w:rPr>
        <w:t xml:space="preserve">Ernst and Young </w:t>
      </w:r>
      <w:r w:rsidRPr="004C64A3">
        <w:rPr>
          <w:rFonts w:ascii="Arial" w:hAnsi="Arial" w:cs="Arial"/>
          <w:szCs w:val="24"/>
        </w:rPr>
        <w:t>and its network partners</w:t>
      </w:r>
      <w:bookmarkEnd w:id="9"/>
    </w:p>
    <w:p w:rsidR="00190664" w:rsidRPr="004C64A3" w:rsidRDefault="00442589" w:rsidP="004C64A3">
      <w:pPr>
        <w:spacing w:line="480" w:lineRule="auto"/>
        <w:rPr>
          <w:rFonts w:ascii="Arial" w:hAnsi="Arial" w:cs="Arial"/>
          <w:szCs w:val="24"/>
        </w:rPr>
      </w:pPr>
      <w:r w:rsidRPr="004C64A3">
        <w:rPr>
          <w:rFonts w:ascii="Arial" w:hAnsi="Arial" w:cs="Arial"/>
          <w:szCs w:val="24"/>
        </w:rPr>
        <w:t xml:space="preserve">In assessment 1, I had discussed the relationship of </w:t>
      </w:r>
      <w:r w:rsidR="00AD4751" w:rsidRPr="004C64A3">
        <w:rPr>
          <w:rFonts w:ascii="Arial" w:hAnsi="Arial" w:cs="Arial"/>
          <w:szCs w:val="24"/>
        </w:rPr>
        <w:t>Ernst and Young with its</w:t>
      </w:r>
      <w:r w:rsidRPr="004C64A3">
        <w:rPr>
          <w:rFonts w:ascii="Arial" w:hAnsi="Arial" w:cs="Arial"/>
          <w:szCs w:val="24"/>
        </w:rPr>
        <w:t xml:space="preserve"> networking partners. They had a strong bond with AWS, and they both compile together to run different campaigns for their community engagement. In my opinion, they must increase their networking partners because of their chain. They had offices all over the UK, and it becomes quite difficult for them to manage all of them together. Hence, network partners make it easy for them and enhance their networking progress</w:t>
      </w:r>
      <w:r w:rsidR="00AE19DC" w:rsidRPr="004C64A3">
        <w:rPr>
          <w:rFonts w:ascii="Arial" w:hAnsi="Arial" w:cs="Arial"/>
          <w:szCs w:val="24"/>
        </w:rPr>
        <w:t xml:space="preserve"> (</w:t>
      </w:r>
      <w:r w:rsidR="00AE19DC" w:rsidRPr="004C64A3">
        <w:rPr>
          <w:rFonts w:ascii="Arial" w:hAnsi="Arial" w:cs="Arial"/>
          <w:szCs w:val="24"/>
          <w:shd w:val="clear" w:color="auto" w:fill="FFFFFF"/>
        </w:rPr>
        <w:t>Adeani et al., 2021</w:t>
      </w:r>
      <w:r w:rsidR="00AE19DC" w:rsidRPr="004C64A3">
        <w:rPr>
          <w:rFonts w:ascii="Arial" w:hAnsi="Arial" w:cs="Arial"/>
          <w:szCs w:val="24"/>
        </w:rPr>
        <w:t>)</w:t>
      </w:r>
      <w:r w:rsidRPr="004C64A3">
        <w:rPr>
          <w:rFonts w:ascii="Arial" w:hAnsi="Arial" w:cs="Arial"/>
          <w:szCs w:val="24"/>
        </w:rPr>
        <w:t xml:space="preserve">. </w:t>
      </w:r>
    </w:p>
    <w:p w:rsidR="00190664" w:rsidRPr="004C64A3" w:rsidRDefault="00442589" w:rsidP="004C64A3">
      <w:pPr>
        <w:spacing w:line="480" w:lineRule="auto"/>
        <w:rPr>
          <w:rFonts w:ascii="Arial" w:hAnsi="Arial" w:cs="Arial"/>
          <w:szCs w:val="24"/>
        </w:rPr>
      </w:pPr>
      <w:r w:rsidRPr="004C64A3">
        <w:rPr>
          <w:rFonts w:ascii="Arial" w:hAnsi="Arial" w:cs="Arial"/>
          <w:szCs w:val="24"/>
        </w:rPr>
        <w:t xml:space="preserve">According to me, </w:t>
      </w:r>
      <w:r w:rsidR="00AD4751" w:rsidRPr="004C64A3">
        <w:rPr>
          <w:rFonts w:ascii="Arial" w:hAnsi="Arial" w:cs="Arial"/>
          <w:szCs w:val="24"/>
        </w:rPr>
        <w:t xml:space="preserve">Ernst and Young </w:t>
      </w:r>
      <w:r w:rsidRPr="004C64A3">
        <w:rPr>
          <w:rFonts w:ascii="Arial" w:hAnsi="Arial" w:cs="Arial"/>
          <w:szCs w:val="24"/>
        </w:rPr>
        <w:t xml:space="preserve">must invest more in this department after the analysis, and they are still not strong enough to handle their network operations. With the help of investment in this sector, they can also strengthen their weakness of </w:t>
      </w:r>
      <w:r w:rsidR="00AD4751" w:rsidRPr="004C64A3">
        <w:rPr>
          <w:rFonts w:ascii="Arial" w:hAnsi="Arial" w:cs="Arial"/>
          <w:szCs w:val="24"/>
        </w:rPr>
        <w:t>slow growth rate</w:t>
      </w:r>
      <w:r w:rsidRPr="004C64A3">
        <w:rPr>
          <w:rFonts w:ascii="Arial" w:hAnsi="Arial" w:cs="Arial"/>
          <w:szCs w:val="24"/>
        </w:rPr>
        <w:t>.</w:t>
      </w:r>
      <w:r w:rsidR="00AD4751" w:rsidRPr="004C64A3">
        <w:rPr>
          <w:rFonts w:ascii="Arial" w:hAnsi="Arial" w:cs="Arial"/>
          <w:szCs w:val="24"/>
        </w:rPr>
        <w:t xml:space="preserve"> Networking partners helps Ernst and Young to work on their growth rate and they can work on it. With consideration of this, they can boost their growth rate and expand their business operations towards community engagement.</w:t>
      </w:r>
      <w:r w:rsidRPr="004C64A3">
        <w:rPr>
          <w:rFonts w:ascii="Arial" w:hAnsi="Arial" w:cs="Arial"/>
          <w:szCs w:val="24"/>
        </w:rPr>
        <w:t xml:space="preserve"> Further, in my opinion, </w:t>
      </w:r>
      <w:r w:rsidR="00AD4751" w:rsidRPr="004C64A3">
        <w:rPr>
          <w:rFonts w:ascii="Arial" w:hAnsi="Arial" w:cs="Arial"/>
          <w:szCs w:val="24"/>
        </w:rPr>
        <w:t xml:space="preserve">Ernst and Young </w:t>
      </w:r>
      <w:r w:rsidRPr="004C64A3">
        <w:rPr>
          <w:rFonts w:ascii="Arial" w:hAnsi="Arial" w:cs="Arial"/>
          <w:szCs w:val="24"/>
        </w:rPr>
        <w:t xml:space="preserve">must continue their strong bond with its networking partners and join hands with more agencies for their community engagement. </w:t>
      </w:r>
    </w:p>
    <w:p w:rsidR="00836A02" w:rsidRPr="004C64A3" w:rsidRDefault="00442589" w:rsidP="004C64A3">
      <w:pPr>
        <w:pStyle w:val="Heading2"/>
        <w:spacing w:line="480" w:lineRule="auto"/>
        <w:rPr>
          <w:rFonts w:ascii="Arial" w:hAnsi="Arial" w:cs="Arial"/>
          <w:szCs w:val="24"/>
        </w:rPr>
      </w:pPr>
      <w:bookmarkStart w:id="10" w:name="_Toc69346221"/>
      <w:r w:rsidRPr="004C64A3">
        <w:rPr>
          <w:rFonts w:ascii="Arial" w:hAnsi="Arial" w:cs="Arial"/>
          <w:szCs w:val="24"/>
        </w:rPr>
        <w:t xml:space="preserve">Use of social media platform by </w:t>
      </w:r>
      <w:r w:rsidR="00D71C9F" w:rsidRPr="004C64A3">
        <w:rPr>
          <w:rFonts w:ascii="Arial" w:hAnsi="Arial" w:cs="Arial"/>
          <w:szCs w:val="24"/>
        </w:rPr>
        <w:t>Ernst and Young</w:t>
      </w:r>
      <w:bookmarkEnd w:id="10"/>
    </w:p>
    <w:p w:rsidR="00011C60" w:rsidRPr="004C64A3" w:rsidRDefault="00D71C9F" w:rsidP="004C64A3">
      <w:pPr>
        <w:spacing w:line="480" w:lineRule="auto"/>
        <w:rPr>
          <w:rFonts w:ascii="Arial" w:hAnsi="Arial" w:cs="Arial"/>
          <w:szCs w:val="24"/>
        </w:rPr>
      </w:pPr>
      <w:r w:rsidRPr="004C64A3">
        <w:rPr>
          <w:rFonts w:ascii="Arial" w:hAnsi="Arial" w:cs="Arial"/>
          <w:szCs w:val="24"/>
        </w:rPr>
        <w:t>Ernst and Young acquire</w:t>
      </w:r>
      <w:r w:rsidR="00442589" w:rsidRPr="004C64A3">
        <w:rPr>
          <w:rFonts w:ascii="Arial" w:hAnsi="Arial" w:cs="Arial"/>
          <w:szCs w:val="24"/>
        </w:rPr>
        <w:t xml:space="preserve"> the use of social media platforms in their business operations, and they are active on most of the platforms. I had discussed in assessment 1 that how </w:t>
      </w:r>
      <w:r w:rsidRPr="004C64A3">
        <w:rPr>
          <w:rFonts w:ascii="Arial" w:hAnsi="Arial" w:cs="Arial"/>
          <w:szCs w:val="24"/>
        </w:rPr>
        <w:t>Ernst and Young acquire</w:t>
      </w:r>
      <w:r w:rsidR="00442589" w:rsidRPr="004C64A3">
        <w:rPr>
          <w:rFonts w:ascii="Arial" w:hAnsi="Arial" w:cs="Arial"/>
          <w:szCs w:val="24"/>
        </w:rPr>
        <w:t xml:space="preserve"> the use of Facebook, YouTube, Twitter and other platforms. In my opinion, they are working very strong towards their social media profile. They had started a campaign, na</w:t>
      </w:r>
      <w:r w:rsidRPr="004C64A3">
        <w:rPr>
          <w:rFonts w:ascii="Arial" w:hAnsi="Arial" w:cs="Arial"/>
          <w:szCs w:val="24"/>
        </w:rPr>
        <w:t>mely '</w:t>
      </w:r>
      <w:r w:rsidRPr="004C64A3">
        <w:rPr>
          <w:rFonts w:ascii="Arial" w:hAnsi="Arial" w:cs="Arial"/>
          <w:i/>
          <w:szCs w:val="24"/>
        </w:rPr>
        <w:t>Transformative Age</w:t>
      </w:r>
      <w:r w:rsidR="00442589" w:rsidRPr="004C64A3">
        <w:rPr>
          <w:rFonts w:ascii="Arial" w:hAnsi="Arial" w:cs="Arial"/>
          <w:szCs w:val="24"/>
        </w:rPr>
        <w:t>', and they promote it using social media platforms</w:t>
      </w:r>
      <w:r w:rsidR="00AE19DC" w:rsidRPr="004C64A3">
        <w:rPr>
          <w:rFonts w:ascii="Arial" w:hAnsi="Arial" w:cs="Arial"/>
          <w:szCs w:val="24"/>
        </w:rPr>
        <w:t xml:space="preserve"> (</w:t>
      </w:r>
      <w:r w:rsidR="00DD4E49" w:rsidRPr="004C64A3">
        <w:rPr>
          <w:rFonts w:ascii="Arial" w:hAnsi="Arial" w:cs="Arial"/>
          <w:szCs w:val="24"/>
          <w:shd w:val="clear" w:color="auto" w:fill="FFFFFF"/>
        </w:rPr>
        <w:t>James and Al-Kofahy, 2020</w:t>
      </w:r>
      <w:r w:rsidR="00AE19DC" w:rsidRPr="004C64A3">
        <w:rPr>
          <w:rFonts w:ascii="Arial" w:hAnsi="Arial" w:cs="Arial"/>
          <w:szCs w:val="24"/>
        </w:rPr>
        <w:t>)</w:t>
      </w:r>
      <w:r w:rsidR="00442589" w:rsidRPr="004C64A3">
        <w:rPr>
          <w:rFonts w:ascii="Arial" w:hAnsi="Arial" w:cs="Arial"/>
          <w:szCs w:val="24"/>
        </w:rPr>
        <w:t xml:space="preserve">. They post regular content on their </w:t>
      </w:r>
      <w:r w:rsidR="00442589" w:rsidRPr="004C64A3">
        <w:rPr>
          <w:rFonts w:ascii="Arial" w:hAnsi="Arial" w:cs="Arial"/>
          <w:szCs w:val="24"/>
        </w:rPr>
        <w:lastRenderedPageBreak/>
        <w:t xml:space="preserve">platforms and </w:t>
      </w:r>
      <w:r w:rsidR="000A3AA8" w:rsidRPr="004C64A3">
        <w:rPr>
          <w:rFonts w:ascii="Arial" w:hAnsi="Arial" w:cs="Arial"/>
          <w:szCs w:val="24"/>
        </w:rPr>
        <w:t>attract</w:t>
      </w:r>
      <w:r w:rsidR="00442589" w:rsidRPr="004C64A3">
        <w:rPr>
          <w:rFonts w:ascii="Arial" w:hAnsi="Arial" w:cs="Arial"/>
          <w:szCs w:val="24"/>
        </w:rPr>
        <w:t xml:space="preserve"> more followers to their post. </w:t>
      </w:r>
      <w:r w:rsidR="000A3AA8" w:rsidRPr="004C64A3">
        <w:rPr>
          <w:rFonts w:ascii="Arial" w:hAnsi="Arial" w:cs="Arial"/>
          <w:szCs w:val="24"/>
        </w:rPr>
        <w:t xml:space="preserve">Moreover, in my view, they can invest some amount of their profit in social media platform. With this, they can get access to the analytics and business tools available on social media. </w:t>
      </w:r>
    </w:p>
    <w:p w:rsidR="000A3AA8" w:rsidRPr="004C64A3" w:rsidRDefault="00442589" w:rsidP="004C64A3">
      <w:pPr>
        <w:spacing w:line="480" w:lineRule="auto"/>
        <w:rPr>
          <w:rFonts w:ascii="Arial" w:hAnsi="Arial" w:cs="Arial"/>
          <w:szCs w:val="24"/>
        </w:rPr>
      </w:pPr>
      <w:r w:rsidRPr="004C64A3">
        <w:rPr>
          <w:rFonts w:ascii="Arial" w:hAnsi="Arial" w:cs="Arial"/>
          <w:szCs w:val="24"/>
        </w:rPr>
        <w:t xml:space="preserve">In my opinion, social media can bring more customers to </w:t>
      </w:r>
      <w:r w:rsidR="00D71C9F" w:rsidRPr="004C64A3">
        <w:rPr>
          <w:rFonts w:ascii="Arial" w:hAnsi="Arial" w:cs="Arial"/>
          <w:szCs w:val="24"/>
        </w:rPr>
        <w:t xml:space="preserve">Ernst and Young </w:t>
      </w:r>
      <w:r w:rsidRPr="004C64A3">
        <w:rPr>
          <w:rFonts w:ascii="Arial" w:hAnsi="Arial" w:cs="Arial"/>
          <w:szCs w:val="24"/>
        </w:rPr>
        <w:t xml:space="preserve">and helps them to increase their customer base. Also, </w:t>
      </w:r>
      <w:r w:rsidR="00D71C9F" w:rsidRPr="004C64A3">
        <w:rPr>
          <w:rFonts w:ascii="Arial" w:hAnsi="Arial" w:cs="Arial"/>
          <w:szCs w:val="24"/>
        </w:rPr>
        <w:t xml:space="preserve">Ernst and Young </w:t>
      </w:r>
      <w:r w:rsidRPr="004C64A3">
        <w:rPr>
          <w:rFonts w:ascii="Arial" w:hAnsi="Arial" w:cs="Arial"/>
          <w:szCs w:val="24"/>
        </w:rPr>
        <w:t xml:space="preserve">can grab the value of social media and enhance their management towards the community. Social media is the platform where things come in trend easily, and it gets spread over social media within no days or weeks. According to me, they can ensure the importance of social media in their community and provide their community with various pages to post their content. </w:t>
      </w:r>
      <w:r w:rsidR="004266DE" w:rsidRPr="004C64A3">
        <w:rPr>
          <w:rFonts w:ascii="Arial" w:hAnsi="Arial" w:cs="Arial"/>
          <w:szCs w:val="24"/>
        </w:rPr>
        <w:t>Also, they can look for more social welfare through the help of social media and join hands with various NGOs that are active on these platforms</w:t>
      </w:r>
      <w:r w:rsidR="00AE19DC" w:rsidRPr="004C64A3">
        <w:rPr>
          <w:rFonts w:ascii="Arial" w:hAnsi="Arial" w:cs="Arial"/>
          <w:szCs w:val="24"/>
        </w:rPr>
        <w:t xml:space="preserve"> (</w:t>
      </w:r>
      <w:r w:rsidR="00DD4E49" w:rsidRPr="004C64A3">
        <w:rPr>
          <w:rFonts w:ascii="Arial" w:hAnsi="Arial" w:cs="Arial"/>
          <w:szCs w:val="24"/>
          <w:shd w:val="clear" w:color="auto" w:fill="FFFFFF"/>
        </w:rPr>
        <w:t>Williams and Zeman, 2020</w:t>
      </w:r>
      <w:r w:rsidR="00AE19DC" w:rsidRPr="004C64A3">
        <w:rPr>
          <w:rFonts w:ascii="Arial" w:hAnsi="Arial" w:cs="Arial"/>
          <w:szCs w:val="24"/>
        </w:rPr>
        <w:t>)</w:t>
      </w:r>
      <w:r w:rsidR="004266DE" w:rsidRPr="004C64A3">
        <w:rPr>
          <w:rFonts w:ascii="Arial" w:hAnsi="Arial" w:cs="Arial"/>
          <w:szCs w:val="24"/>
        </w:rPr>
        <w:t>.</w:t>
      </w:r>
    </w:p>
    <w:p w:rsidR="00301442" w:rsidRPr="004C64A3" w:rsidRDefault="00301442" w:rsidP="004C64A3">
      <w:pPr>
        <w:pStyle w:val="Heading1"/>
        <w:spacing w:line="480" w:lineRule="auto"/>
        <w:rPr>
          <w:rFonts w:ascii="Arial" w:hAnsi="Arial" w:cs="Arial"/>
          <w:sz w:val="24"/>
          <w:szCs w:val="24"/>
        </w:rPr>
        <w:sectPr w:rsidR="00301442" w:rsidRPr="004C64A3" w:rsidSect="00FE34DB">
          <w:footerReference w:type="default" r:id="rId12"/>
          <w:pgSz w:w="12240" w:h="15840"/>
          <w:pgMar w:top="1440" w:right="1440" w:bottom="1440" w:left="1440" w:header="720" w:footer="720" w:gutter="0"/>
          <w:pgNumType w:start="1"/>
          <w:cols w:space="720"/>
          <w:docGrid w:linePitch="360"/>
        </w:sectPr>
      </w:pPr>
    </w:p>
    <w:p w:rsidR="00FB4FBC" w:rsidRPr="004C64A3" w:rsidRDefault="00442589" w:rsidP="004C64A3">
      <w:pPr>
        <w:pStyle w:val="Heading1"/>
        <w:spacing w:line="480" w:lineRule="auto"/>
        <w:rPr>
          <w:rFonts w:ascii="Arial" w:hAnsi="Arial" w:cs="Arial"/>
          <w:sz w:val="24"/>
          <w:szCs w:val="24"/>
        </w:rPr>
      </w:pPr>
      <w:bookmarkStart w:id="11" w:name="_Toc69346222"/>
      <w:r w:rsidRPr="004C64A3">
        <w:rPr>
          <w:rFonts w:ascii="Arial" w:hAnsi="Arial" w:cs="Arial"/>
          <w:sz w:val="24"/>
          <w:szCs w:val="24"/>
        </w:rPr>
        <w:lastRenderedPageBreak/>
        <w:t>Conclusion</w:t>
      </w:r>
      <w:bookmarkEnd w:id="11"/>
    </w:p>
    <w:p w:rsidR="00301442" w:rsidRPr="004C64A3" w:rsidRDefault="00442589" w:rsidP="004C64A3">
      <w:pPr>
        <w:spacing w:line="480" w:lineRule="auto"/>
        <w:rPr>
          <w:rFonts w:ascii="Arial" w:hAnsi="Arial" w:cs="Arial"/>
          <w:b/>
          <w:szCs w:val="24"/>
        </w:rPr>
      </w:pPr>
      <w:r w:rsidRPr="004C64A3">
        <w:rPr>
          <w:rFonts w:ascii="Arial" w:hAnsi="Arial" w:cs="Arial"/>
          <w:szCs w:val="24"/>
        </w:rPr>
        <w:t xml:space="preserve">The above report is based on the analysis of community engagement. It is a reflective report which reflects the idea of </w:t>
      </w:r>
      <w:r w:rsidR="00DD4E49" w:rsidRPr="004C64A3">
        <w:rPr>
          <w:rFonts w:ascii="Arial" w:hAnsi="Arial" w:cs="Arial"/>
          <w:szCs w:val="24"/>
        </w:rPr>
        <w:t xml:space="preserve">Ernst and Young </w:t>
      </w:r>
      <w:r w:rsidRPr="004C64A3">
        <w:rPr>
          <w:rFonts w:ascii="Arial" w:hAnsi="Arial" w:cs="Arial"/>
          <w:szCs w:val="24"/>
        </w:rPr>
        <w:t xml:space="preserve">and their role towards the community engagement. </w:t>
      </w:r>
      <w:r w:rsidR="00B04960" w:rsidRPr="004C64A3">
        <w:rPr>
          <w:rFonts w:ascii="Arial" w:hAnsi="Arial" w:cs="Arial"/>
          <w:szCs w:val="24"/>
        </w:rPr>
        <w:t xml:space="preserve">It is concluded that </w:t>
      </w:r>
      <w:r w:rsidR="00DD4E49" w:rsidRPr="004C64A3">
        <w:rPr>
          <w:rFonts w:ascii="Arial" w:hAnsi="Arial" w:cs="Arial"/>
          <w:szCs w:val="24"/>
        </w:rPr>
        <w:t xml:space="preserve">Ernst and Young </w:t>
      </w:r>
      <w:r w:rsidR="00B04960" w:rsidRPr="004C64A3">
        <w:rPr>
          <w:rFonts w:ascii="Arial" w:hAnsi="Arial" w:cs="Arial"/>
          <w:szCs w:val="24"/>
        </w:rPr>
        <w:t xml:space="preserve">maintains their community engagement in a beautiful approach, and they maintain a high relationship with their stakeholders. Also, the report had provided some suggestions for </w:t>
      </w:r>
      <w:r w:rsidR="00DD4E49" w:rsidRPr="004C64A3">
        <w:rPr>
          <w:rFonts w:ascii="Arial" w:hAnsi="Arial" w:cs="Arial"/>
          <w:szCs w:val="24"/>
        </w:rPr>
        <w:t xml:space="preserve">Ernst and Young </w:t>
      </w:r>
      <w:r w:rsidR="00B04960" w:rsidRPr="004C64A3">
        <w:rPr>
          <w:rFonts w:ascii="Arial" w:hAnsi="Arial" w:cs="Arial"/>
          <w:szCs w:val="24"/>
        </w:rPr>
        <w:t xml:space="preserve">which they can consider to increase the performance and skills of their employees. It is concluded that the reflective learning cycle is very effective for </w:t>
      </w:r>
      <w:r w:rsidR="00DD4E49" w:rsidRPr="004C64A3">
        <w:rPr>
          <w:rFonts w:ascii="Arial" w:hAnsi="Arial" w:cs="Arial"/>
          <w:szCs w:val="24"/>
        </w:rPr>
        <w:t xml:space="preserve">Ernst and Young </w:t>
      </w:r>
      <w:r w:rsidR="00B04960" w:rsidRPr="004C64A3">
        <w:rPr>
          <w:rFonts w:ascii="Arial" w:hAnsi="Arial" w:cs="Arial"/>
          <w:szCs w:val="24"/>
        </w:rPr>
        <w:t xml:space="preserve">to ensure their business operations and helps to maintain their relationship with their networking partners. </w:t>
      </w:r>
    </w:p>
    <w:p w:rsidR="00721707" w:rsidRPr="004C64A3" w:rsidRDefault="00721707" w:rsidP="004C64A3">
      <w:pPr>
        <w:pStyle w:val="Heading1"/>
        <w:spacing w:line="480" w:lineRule="auto"/>
        <w:rPr>
          <w:rFonts w:ascii="Arial" w:hAnsi="Arial" w:cs="Arial"/>
          <w:sz w:val="24"/>
          <w:szCs w:val="24"/>
        </w:rPr>
        <w:sectPr w:rsidR="00721707" w:rsidRPr="004C64A3" w:rsidSect="001D7B24">
          <w:pgSz w:w="12240" w:h="15840"/>
          <w:pgMar w:top="1440" w:right="1440" w:bottom="1440" w:left="1440" w:header="720" w:footer="720" w:gutter="0"/>
          <w:cols w:space="720"/>
          <w:docGrid w:linePitch="360"/>
        </w:sectPr>
      </w:pPr>
    </w:p>
    <w:p w:rsidR="00FB4FBC" w:rsidRPr="004C64A3" w:rsidRDefault="00442589" w:rsidP="004C64A3">
      <w:pPr>
        <w:pStyle w:val="Heading1"/>
        <w:spacing w:line="480" w:lineRule="auto"/>
        <w:rPr>
          <w:rFonts w:ascii="Arial" w:hAnsi="Arial" w:cs="Arial"/>
          <w:sz w:val="24"/>
          <w:szCs w:val="24"/>
        </w:rPr>
      </w:pPr>
      <w:bookmarkStart w:id="12" w:name="_Toc69346223"/>
      <w:r w:rsidRPr="004C64A3">
        <w:rPr>
          <w:rFonts w:ascii="Arial" w:hAnsi="Arial" w:cs="Arial"/>
          <w:sz w:val="24"/>
          <w:szCs w:val="24"/>
        </w:rPr>
        <w:lastRenderedPageBreak/>
        <w:t>References</w:t>
      </w:r>
      <w:bookmarkEnd w:id="12"/>
    </w:p>
    <w:p w:rsidR="00FB4FBC" w:rsidRPr="004C64A3" w:rsidRDefault="00442589" w:rsidP="004C64A3">
      <w:pPr>
        <w:pStyle w:val="Heading2"/>
        <w:spacing w:line="480" w:lineRule="auto"/>
        <w:rPr>
          <w:rFonts w:ascii="Arial" w:hAnsi="Arial" w:cs="Arial"/>
          <w:szCs w:val="24"/>
        </w:rPr>
      </w:pPr>
      <w:bookmarkStart w:id="13" w:name="_Toc69346224"/>
      <w:r w:rsidRPr="004C64A3">
        <w:rPr>
          <w:rFonts w:ascii="Arial" w:hAnsi="Arial" w:cs="Arial"/>
          <w:szCs w:val="24"/>
        </w:rPr>
        <w:t>Books and Journals</w:t>
      </w:r>
      <w:bookmarkEnd w:id="13"/>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Welch, M. and Plaxton-Moore, S., 2017. Faculty development for advancing community engagement in higher education: Current trends and future directions. </w:t>
      </w:r>
      <w:r w:rsidRPr="004C64A3">
        <w:rPr>
          <w:rFonts w:ascii="Arial" w:hAnsi="Arial" w:cs="Arial"/>
          <w:i/>
          <w:iCs/>
          <w:szCs w:val="24"/>
          <w:shd w:val="clear" w:color="auto" w:fill="FFFFFF"/>
        </w:rPr>
        <w:t>Journal of Higher Education Outreach and Engagement</w:t>
      </w:r>
      <w:r w:rsidRPr="004C64A3">
        <w:rPr>
          <w:rFonts w:ascii="Arial" w:hAnsi="Arial" w:cs="Arial"/>
          <w:szCs w:val="24"/>
          <w:shd w:val="clear" w:color="auto" w:fill="FFFFFF"/>
        </w:rPr>
        <w:t>, </w:t>
      </w:r>
      <w:r w:rsidRPr="004C64A3">
        <w:rPr>
          <w:rFonts w:ascii="Arial" w:hAnsi="Arial" w:cs="Arial"/>
          <w:i/>
          <w:iCs/>
          <w:szCs w:val="24"/>
          <w:shd w:val="clear" w:color="auto" w:fill="FFFFFF"/>
        </w:rPr>
        <w:t>21</w:t>
      </w:r>
      <w:r w:rsidRPr="004C64A3">
        <w:rPr>
          <w:rFonts w:ascii="Arial" w:hAnsi="Arial" w:cs="Arial"/>
          <w:szCs w:val="24"/>
          <w:shd w:val="clear" w:color="auto" w:fill="FFFFFF"/>
        </w:rPr>
        <w:t>(2), pp.131-166.</w:t>
      </w:r>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Watanabe, P.Y., 2021. Reflections on the Field: Community Engagement and Excluded History. </w:t>
      </w:r>
      <w:r w:rsidRPr="004C64A3">
        <w:rPr>
          <w:rFonts w:ascii="Arial" w:hAnsi="Arial" w:cs="Arial"/>
          <w:i/>
          <w:iCs/>
          <w:szCs w:val="24"/>
          <w:shd w:val="clear" w:color="auto" w:fill="FFFFFF"/>
        </w:rPr>
        <w:t>PS: Political Science &amp; Politics</w:t>
      </w:r>
      <w:r w:rsidRPr="004C64A3">
        <w:rPr>
          <w:rFonts w:ascii="Arial" w:hAnsi="Arial" w:cs="Arial"/>
          <w:szCs w:val="24"/>
          <w:shd w:val="clear" w:color="auto" w:fill="FFFFFF"/>
        </w:rPr>
        <w:t>, </w:t>
      </w:r>
      <w:r w:rsidRPr="004C64A3">
        <w:rPr>
          <w:rFonts w:ascii="Arial" w:hAnsi="Arial" w:cs="Arial"/>
          <w:i/>
          <w:iCs/>
          <w:szCs w:val="24"/>
          <w:shd w:val="clear" w:color="auto" w:fill="FFFFFF"/>
        </w:rPr>
        <w:t>54</w:t>
      </w:r>
      <w:r w:rsidRPr="004C64A3">
        <w:rPr>
          <w:rFonts w:ascii="Arial" w:hAnsi="Arial" w:cs="Arial"/>
          <w:szCs w:val="24"/>
          <w:shd w:val="clear" w:color="auto" w:fill="FFFFFF"/>
        </w:rPr>
        <w:t>(2), pp.238-239.</w:t>
      </w:r>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Scholar, S.P.P., 2021. The Limits to Our Capacity: Reflections on Resiliency, Community Engagement, &amp; Recovery in 21 st Century Crises.</w:t>
      </w:r>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Mason, E., 2020. ‘You’re Not Alone’: An Interview with Tom Deans about Supporting Community Engagement. </w:t>
      </w:r>
      <w:r w:rsidRPr="004C64A3">
        <w:rPr>
          <w:rFonts w:ascii="Arial" w:hAnsi="Arial" w:cs="Arial"/>
          <w:i/>
          <w:iCs/>
          <w:szCs w:val="24"/>
          <w:shd w:val="clear" w:color="auto" w:fill="FFFFFF"/>
        </w:rPr>
        <w:t>Reflections</w:t>
      </w:r>
      <w:r w:rsidRPr="004C64A3">
        <w:rPr>
          <w:rFonts w:ascii="Arial" w:hAnsi="Arial" w:cs="Arial"/>
          <w:szCs w:val="24"/>
          <w:shd w:val="clear" w:color="auto" w:fill="FFFFFF"/>
        </w:rPr>
        <w:t>, </w:t>
      </w:r>
      <w:r w:rsidRPr="004C64A3">
        <w:rPr>
          <w:rFonts w:ascii="Arial" w:hAnsi="Arial" w:cs="Arial"/>
          <w:i/>
          <w:iCs/>
          <w:szCs w:val="24"/>
          <w:shd w:val="clear" w:color="auto" w:fill="FFFFFF"/>
        </w:rPr>
        <w:t>20</w:t>
      </w:r>
      <w:r w:rsidRPr="004C64A3">
        <w:rPr>
          <w:rFonts w:ascii="Arial" w:hAnsi="Arial" w:cs="Arial"/>
          <w:szCs w:val="24"/>
          <w:shd w:val="clear" w:color="auto" w:fill="FFFFFF"/>
        </w:rPr>
        <w:t>(1).</w:t>
      </w:r>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Stanley, B.L., 2020. Reflexive Narrative and Community Engagement With Vulnerable Populations: Reflections and Lessons Learned. SAGE Publications Ltd.</w:t>
      </w:r>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Birkinshaw, J., 2017. Reflections on open strategy. </w:t>
      </w:r>
      <w:r w:rsidRPr="004C64A3">
        <w:rPr>
          <w:rFonts w:ascii="Arial" w:hAnsi="Arial" w:cs="Arial"/>
          <w:i/>
          <w:iCs/>
          <w:szCs w:val="24"/>
          <w:shd w:val="clear" w:color="auto" w:fill="FFFFFF"/>
        </w:rPr>
        <w:t>Long Range Planning</w:t>
      </w:r>
      <w:r w:rsidRPr="004C64A3">
        <w:rPr>
          <w:rFonts w:ascii="Arial" w:hAnsi="Arial" w:cs="Arial"/>
          <w:szCs w:val="24"/>
          <w:shd w:val="clear" w:color="auto" w:fill="FFFFFF"/>
        </w:rPr>
        <w:t>, </w:t>
      </w:r>
      <w:r w:rsidRPr="004C64A3">
        <w:rPr>
          <w:rFonts w:ascii="Arial" w:hAnsi="Arial" w:cs="Arial"/>
          <w:i/>
          <w:iCs/>
          <w:szCs w:val="24"/>
          <w:shd w:val="clear" w:color="auto" w:fill="FFFFFF"/>
        </w:rPr>
        <w:t>50</w:t>
      </w:r>
      <w:r w:rsidRPr="004C64A3">
        <w:rPr>
          <w:rFonts w:ascii="Arial" w:hAnsi="Arial" w:cs="Arial"/>
          <w:szCs w:val="24"/>
          <w:shd w:val="clear" w:color="auto" w:fill="FFFFFF"/>
        </w:rPr>
        <w:t>(3), pp.423-426.</w:t>
      </w:r>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Cathro, V., O’Kane, P. and Gilbertson, D., 2017. Assessing reflection: Understanding skill development through reflective learning journals. </w:t>
      </w:r>
      <w:r w:rsidRPr="004C64A3">
        <w:rPr>
          <w:rFonts w:ascii="Arial" w:hAnsi="Arial" w:cs="Arial"/>
          <w:i/>
          <w:iCs/>
          <w:szCs w:val="24"/>
          <w:shd w:val="clear" w:color="auto" w:fill="FFFFFF"/>
        </w:rPr>
        <w:t>Education+ Training</w:t>
      </w:r>
      <w:r w:rsidRPr="004C64A3">
        <w:rPr>
          <w:rFonts w:ascii="Arial" w:hAnsi="Arial" w:cs="Arial"/>
          <w:szCs w:val="24"/>
          <w:shd w:val="clear" w:color="auto" w:fill="FFFFFF"/>
        </w:rPr>
        <w:t>.</w:t>
      </w:r>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Kolb, A. and Kolb, D., 2018. Eight important things to know about the experiential learning cycle. </w:t>
      </w:r>
      <w:r w:rsidRPr="004C64A3">
        <w:rPr>
          <w:rFonts w:ascii="Arial" w:hAnsi="Arial" w:cs="Arial"/>
          <w:i/>
          <w:iCs/>
          <w:szCs w:val="24"/>
          <w:shd w:val="clear" w:color="auto" w:fill="FFFFFF"/>
        </w:rPr>
        <w:t>Australian educational leader</w:t>
      </w:r>
      <w:r w:rsidRPr="004C64A3">
        <w:rPr>
          <w:rFonts w:ascii="Arial" w:hAnsi="Arial" w:cs="Arial"/>
          <w:szCs w:val="24"/>
          <w:shd w:val="clear" w:color="auto" w:fill="FFFFFF"/>
        </w:rPr>
        <w:t>, </w:t>
      </w:r>
      <w:r w:rsidRPr="004C64A3">
        <w:rPr>
          <w:rFonts w:ascii="Arial" w:hAnsi="Arial" w:cs="Arial"/>
          <w:i/>
          <w:iCs/>
          <w:szCs w:val="24"/>
          <w:shd w:val="clear" w:color="auto" w:fill="FFFFFF"/>
        </w:rPr>
        <w:t>40</w:t>
      </w:r>
      <w:r w:rsidRPr="004C64A3">
        <w:rPr>
          <w:rFonts w:ascii="Arial" w:hAnsi="Arial" w:cs="Arial"/>
          <w:szCs w:val="24"/>
          <w:shd w:val="clear" w:color="auto" w:fill="FFFFFF"/>
        </w:rPr>
        <w:t>(3), pp.8-14.</w:t>
      </w:r>
    </w:p>
    <w:p w:rsidR="00AE19DC" w:rsidRPr="004C64A3" w:rsidRDefault="0044258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lastRenderedPageBreak/>
        <w:t>Adeani, I.S., Febriani, R.B., Syafryadin, S., Mangana, A.V., Kurniawan, E., Ananda, J. and Maryam, S., 2021. Using GIBBS reflective cycle in making reflections of literary analysis. </w:t>
      </w:r>
      <w:r w:rsidRPr="004C64A3">
        <w:rPr>
          <w:rFonts w:ascii="Arial" w:hAnsi="Arial" w:cs="Arial"/>
          <w:i/>
          <w:iCs/>
          <w:szCs w:val="24"/>
          <w:shd w:val="clear" w:color="auto" w:fill="FFFFFF"/>
        </w:rPr>
        <w:t>Indonesian EFL Journal (IEFLJ)</w:t>
      </w:r>
      <w:r w:rsidRPr="004C64A3">
        <w:rPr>
          <w:rFonts w:ascii="Arial" w:hAnsi="Arial" w:cs="Arial"/>
          <w:szCs w:val="24"/>
          <w:shd w:val="clear" w:color="auto" w:fill="FFFFFF"/>
        </w:rPr>
        <w:t>, </w:t>
      </w:r>
      <w:r w:rsidRPr="004C64A3">
        <w:rPr>
          <w:rFonts w:ascii="Arial" w:hAnsi="Arial" w:cs="Arial"/>
          <w:i/>
          <w:iCs/>
          <w:szCs w:val="24"/>
          <w:shd w:val="clear" w:color="auto" w:fill="FFFFFF"/>
        </w:rPr>
        <w:t>6</w:t>
      </w:r>
      <w:r w:rsidRPr="004C64A3">
        <w:rPr>
          <w:rFonts w:ascii="Arial" w:hAnsi="Arial" w:cs="Arial"/>
          <w:szCs w:val="24"/>
          <w:shd w:val="clear" w:color="auto" w:fill="FFFFFF"/>
        </w:rPr>
        <w:t>(2), pp.139-148.</w:t>
      </w:r>
    </w:p>
    <w:p w:rsidR="00DD4E49" w:rsidRPr="004C64A3" w:rsidRDefault="00DD4E4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James, L. and Al-Kofahy, L., 2020. Cultivating Cultural Competence Through Academic Community Engagement and Clinical Reflection. </w:t>
      </w:r>
      <w:r w:rsidRPr="004C64A3">
        <w:rPr>
          <w:rFonts w:ascii="Arial" w:hAnsi="Arial" w:cs="Arial"/>
          <w:i/>
          <w:iCs/>
          <w:szCs w:val="24"/>
          <w:shd w:val="clear" w:color="auto" w:fill="FFFFFF"/>
        </w:rPr>
        <w:t>Journal of Transcultural Nursing</w:t>
      </w:r>
      <w:r w:rsidRPr="004C64A3">
        <w:rPr>
          <w:rFonts w:ascii="Arial" w:hAnsi="Arial" w:cs="Arial"/>
          <w:szCs w:val="24"/>
          <w:shd w:val="clear" w:color="auto" w:fill="FFFFFF"/>
        </w:rPr>
        <w:t xml:space="preserve">, p.1043659620971699. </w:t>
      </w:r>
    </w:p>
    <w:p w:rsidR="00DD4E49" w:rsidRPr="004C64A3" w:rsidRDefault="00DD4E49" w:rsidP="004C64A3">
      <w:pPr>
        <w:spacing w:line="480" w:lineRule="auto"/>
        <w:rPr>
          <w:rFonts w:ascii="Arial" w:hAnsi="Arial" w:cs="Arial"/>
          <w:szCs w:val="24"/>
          <w:shd w:val="clear" w:color="auto" w:fill="FFFFFF"/>
        </w:rPr>
      </w:pPr>
      <w:r w:rsidRPr="004C64A3">
        <w:rPr>
          <w:rFonts w:ascii="Arial" w:hAnsi="Arial" w:cs="Arial"/>
          <w:szCs w:val="24"/>
          <w:shd w:val="clear" w:color="auto" w:fill="FFFFFF"/>
        </w:rPr>
        <w:t>Williams, D. and Zeman, C., 2020. Using Self-reflection and Community Engagement Opportunities to Combat Social Justice Issues.</w:t>
      </w:r>
    </w:p>
    <w:p w:rsidR="00FB4FBC" w:rsidRPr="004C64A3" w:rsidRDefault="00442589" w:rsidP="004C64A3">
      <w:pPr>
        <w:pStyle w:val="Heading2"/>
        <w:spacing w:line="480" w:lineRule="auto"/>
        <w:rPr>
          <w:rFonts w:ascii="Arial" w:hAnsi="Arial" w:cs="Arial"/>
          <w:szCs w:val="24"/>
        </w:rPr>
      </w:pPr>
      <w:bookmarkStart w:id="14" w:name="_Toc69346225"/>
      <w:r w:rsidRPr="004C64A3">
        <w:rPr>
          <w:rFonts w:ascii="Arial" w:hAnsi="Arial" w:cs="Arial"/>
          <w:szCs w:val="24"/>
        </w:rPr>
        <w:t>Online</w:t>
      </w:r>
      <w:bookmarkEnd w:id="14"/>
    </w:p>
    <w:p w:rsidR="003276D2" w:rsidRPr="004C64A3" w:rsidRDefault="00442589" w:rsidP="004C64A3">
      <w:pPr>
        <w:spacing w:line="480" w:lineRule="auto"/>
        <w:rPr>
          <w:rFonts w:ascii="Arial" w:hAnsi="Arial" w:cs="Arial"/>
          <w:szCs w:val="24"/>
        </w:rPr>
      </w:pPr>
      <w:r w:rsidRPr="004C64A3">
        <w:rPr>
          <w:rFonts w:ascii="Arial" w:hAnsi="Arial" w:cs="Arial"/>
          <w:szCs w:val="24"/>
        </w:rPr>
        <w:t xml:space="preserve">Treat TB, 2021 [Online] [Accessed through] &lt; </w:t>
      </w:r>
      <w:hyperlink r:id="rId13" w:history="1">
        <w:r w:rsidRPr="004C64A3">
          <w:rPr>
            <w:rStyle w:val="Hyperlink"/>
            <w:rFonts w:ascii="Arial" w:hAnsi="Arial" w:cs="Arial"/>
            <w:color w:val="auto"/>
            <w:szCs w:val="24"/>
          </w:rPr>
          <w:t>https://treattb.org/our-work/stream-trial/community-engagement/</w:t>
        </w:r>
      </w:hyperlink>
      <w:r w:rsidRPr="004C64A3">
        <w:rPr>
          <w:rFonts w:ascii="Arial" w:hAnsi="Arial" w:cs="Arial"/>
          <w:szCs w:val="24"/>
        </w:rPr>
        <w:t>&gt; [Accessed on 14</w:t>
      </w:r>
      <w:r w:rsidRPr="004C64A3">
        <w:rPr>
          <w:rFonts w:ascii="Arial" w:hAnsi="Arial" w:cs="Arial"/>
          <w:szCs w:val="24"/>
          <w:vertAlign w:val="superscript"/>
        </w:rPr>
        <w:t>th</w:t>
      </w:r>
      <w:r w:rsidRPr="004C64A3">
        <w:rPr>
          <w:rFonts w:ascii="Arial" w:hAnsi="Arial" w:cs="Arial"/>
          <w:szCs w:val="24"/>
        </w:rPr>
        <w:t xml:space="preserve"> April 2021]</w:t>
      </w:r>
    </w:p>
    <w:p w:rsidR="00EC4E28" w:rsidRPr="004C64A3" w:rsidRDefault="00442589" w:rsidP="004C64A3">
      <w:pPr>
        <w:spacing w:line="480" w:lineRule="auto"/>
        <w:rPr>
          <w:rFonts w:ascii="Arial" w:hAnsi="Arial" w:cs="Arial"/>
          <w:szCs w:val="24"/>
        </w:rPr>
      </w:pPr>
      <w:r w:rsidRPr="004C64A3">
        <w:rPr>
          <w:rFonts w:ascii="Arial" w:hAnsi="Arial" w:cs="Arial"/>
          <w:szCs w:val="24"/>
        </w:rPr>
        <w:t>HR daily advisor, 2019 [Online] [Accessed through] &lt;</w:t>
      </w:r>
      <w:hyperlink r:id="rId14" w:history="1">
        <w:r w:rsidRPr="004C64A3">
          <w:rPr>
            <w:rStyle w:val="Hyperlink"/>
            <w:rFonts w:ascii="Arial" w:hAnsi="Arial" w:cs="Arial"/>
            <w:color w:val="auto"/>
            <w:szCs w:val="24"/>
          </w:rPr>
          <w:t>https://hrdailyadvisor.blr.com/2019/03/22/7-skills-your-instructors-and-trainers-must-have/</w:t>
        </w:r>
      </w:hyperlink>
      <w:r w:rsidRPr="004C64A3">
        <w:rPr>
          <w:rFonts w:ascii="Arial" w:hAnsi="Arial" w:cs="Arial"/>
          <w:szCs w:val="24"/>
        </w:rPr>
        <w:t>&gt; [Accessed on 14</w:t>
      </w:r>
      <w:r w:rsidRPr="004C64A3">
        <w:rPr>
          <w:rFonts w:ascii="Arial" w:hAnsi="Arial" w:cs="Arial"/>
          <w:szCs w:val="24"/>
          <w:vertAlign w:val="superscript"/>
        </w:rPr>
        <w:t>th</w:t>
      </w:r>
      <w:r w:rsidRPr="004C64A3">
        <w:rPr>
          <w:rFonts w:ascii="Arial" w:hAnsi="Arial" w:cs="Arial"/>
          <w:szCs w:val="24"/>
        </w:rPr>
        <w:t xml:space="preserve"> April 2021]</w:t>
      </w:r>
    </w:p>
    <w:p w:rsidR="004705DA" w:rsidRPr="004C64A3" w:rsidRDefault="00442589" w:rsidP="004C64A3">
      <w:pPr>
        <w:spacing w:line="480" w:lineRule="auto"/>
        <w:rPr>
          <w:rFonts w:ascii="Arial" w:hAnsi="Arial" w:cs="Arial"/>
          <w:szCs w:val="24"/>
        </w:rPr>
      </w:pPr>
      <w:r w:rsidRPr="004C64A3">
        <w:rPr>
          <w:rFonts w:ascii="Arial" w:hAnsi="Arial" w:cs="Arial"/>
          <w:szCs w:val="24"/>
        </w:rPr>
        <w:t>The University of Sheffield, 2021 [Online] [Accessed through] &lt;</w:t>
      </w:r>
      <w:hyperlink r:id="rId15" w:history="1">
        <w:r w:rsidRPr="004C64A3">
          <w:rPr>
            <w:rStyle w:val="Hyperlink"/>
            <w:rFonts w:ascii="Arial" w:hAnsi="Arial" w:cs="Arial"/>
            <w:color w:val="auto"/>
            <w:szCs w:val="24"/>
          </w:rPr>
          <w:t>https://www.sheffield.ac.uk/ssid/301/study-skills/university-study/reflective-practice</w:t>
        </w:r>
      </w:hyperlink>
      <w:r w:rsidRPr="004C64A3">
        <w:rPr>
          <w:rFonts w:ascii="Arial" w:hAnsi="Arial" w:cs="Arial"/>
          <w:szCs w:val="24"/>
        </w:rPr>
        <w:t>&gt; [Accessed on 14</w:t>
      </w:r>
      <w:r w:rsidRPr="004C64A3">
        <w:rPr>
          <w:rFonts w:ascii="Arial" w:hAnsi="Arial" w:cs="Arial"/>
          <w:szCs w:val="24"/>
          <w:vertAlign w:val="superscript"/>
        </w:rPr>
        <w:t>th</w:t>
      </w:r>
      <w:r w:rsidRPr="004C64A3">
        <w:rPr>
          <w:rFonts w:ascii="Arial" w:hAnsi="Arial" w:cs="Arial"/>
          <w:szCs w:val="24"/>
        </w:rPr>
        <w:t xml:space="preserve"> April 2021]</w:t>
      </w:r>
    </w:p>
    <w:sectPr w:rsidR="004705DA" w:rsidRPr="004C64A3" w:rsidSect="001D7B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2F54" w:rsidRDefault="00452F54" w:rsidP="00A62D8C">
      <w:pPr>
        <w:spacing w:after="0" w:line="240" w:lineRule="auto"/>
      </w:pPr>
      <w:r>
        <w:separator/>
      </w:r>
    </w:p>
  </w:endnote>
  <w:endnote w:type="continuationSeparator" w:id="0">
    <w:p w:rsidR="00452F54" w:rsidRDefault="00452F54" w:rsidP="00A62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534917286"/>
      <w:docPartObj>
        <w:docPartGallery w:val="Page Numbers (Bottom of Page)"/>
        <w:docPartUnique/>
      </w:docPartObj>
    </w:sdtPr>
    <w:sdtEndPr>
      <w:rPr>
        <w:rStyle w:val="PageNumber"/>
      </w:rPr>
    </w:sdtEndPr>
    <w:sdtContent>
      <w:p w:rsidR="004C64A3" w:rsidRDefault="004C64A3" w:rsidP="003F62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C64A3" w:rsidRDefault="004C64A3" w:rsidP="004C64A3">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875816528"/>
      <w:docPartObj>
        <w:docPartGallery w:val="Page Numbers (Bottom of Page)"/>
        <w:docPartUnique/>
      </w:docPartObj>
    </w:sdtPr>
    <w:sdtEndPr>
      <w:rPr>
        <w:rStyle w:val="PageNumber"/>
      </w:rPr>
    </w:sdtEndPr>
    <w:sdtContent>
      <w:p w:rsidR="004C64A3" w:rsidRDefault="004C64A3" w:rsidP="003F62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F299C">
          <w:rPr>
            <w:rStyle w:val="PageNumber"/>
            <w:noProof/>
          </w:rPr>
          <w:t>1</w:t>
        </w:r>
        <w:r>
          <w:rPr>
            <w:rStyle w:val="PageNumber"/>
          </w:rPr>
          <w:fldChar w:fldCharType="end"/>
        </w:r>
      </w:p>
    </w:sdtContent>
  </w:sdt>
  <w:p w:rsidR="004C64A3" w:rsidRDefault="004C64A3" w:rsidP="004C64A3">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6141604"/>
      <w:docPartObj>
        <w:docPartGallery w:val="Page Numbers (Bottom of Page)"/>
        <w:docPartUnique/>
      </w:docPartObj>
    </w:sdtPr>
    <w:sdtEndPr/>
    <w:sdtContent>
      <w:p w:rsidR="00AD4751" w:rsidRDefault="00047291">
        <w:pPr>
          <w:pStyle w:val="Footer"/>
          <w:jc w:val="right"/>
        </w:pPr>
        <w:r>
          <w:fldChar w:fldCharType="begin"/>
        </w:r>
        <w:r>
          <w:instrText xml:space="preserve"> PAGE   \* MERGEFORMAT </w:instrText>
        </w:r>
        <w:r>
          <w:fldChar w:fldCharType="separate"/>
        </w:r>
        <w:r w:rsidR="00CF299C">
          <w:rPr>
            <w:noProof/>
          </w:rPr>
          <w:t>1</w:t>
        </w:r>
        <w:r>
          <w:rPr>
            <w:noProof/>
          </w:rPr>
          <w:fldChar w:fldCharType="end"/>
        </w:r>
      </w:p>
    </w:sdtContent>
  </w:sdt>
  <w:p w:rsidR="00AD4751" w:rsidRDefault="00AD47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2F54" w:rsidRDefault="00452F54" w:rsidP="00A62D8C">
      <w:pPr>
        <w:spacing w:after="0" w:line="240" w:lineRule="auto"/>
      </w:pPr>
      <w:r>
        <w:separator/>
      </w:r>
    </w:p>
  </w:footnote>
  <w:footnote w:type="continuationSeparator" w:id="0">
    <w:p w:rsidR="00452F54" w:rsidRDefault="00452F54" w:rsidP="00A62D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B4FBC"/>
    <w:rsid w:val="00011C60"/>
    <w:rsid w:val="00046A8D"/>
    <w:rsid w:val="00047291"/>
    <w:rsid w:val="000742DB"/>
    <w:rsid w:val="000A3AA8"/>
    <w:rsid w:val="00105CCD"/>
    <w:rsid w:val="00146880"/>
    <w:rsid w:val="00190664"/>
    <w:rsid w:val="00191E72"/>
    <w:rsid w:val="00194BA9"/>
    <w:rsid w:val="001D7B24"/>
    <w:rsid w:val="00301442"/>
    <w:rsid w:val="003276D2"/>
    <w:rsid w:val="004266DE"/>
    <w:rsid w:val="00442589"/>
    <w:rsid w:val="00452F54"/>
    <w:rsid w:val="004705DA"/>
    <w:rsid w:val="00470B97"/>
    <w:rsid w:val="00481D5C"/>
    <w:rsid w:val="004C64A3"/>
    <w:rsid w:val="005D3365"/>
    <w:rsid w:val="005E7F3F"/>
    <w:rsid w:val="0068345A"/>
    <w:rsid w:val="00721707"/>
    <w:rsid w:val="0075204C"/>
    <w:rsid w:val="007E6609"/>
    <w:rsid w:val="00836A02"/>
    <w:rsid w:val="00910F56"/>
    <w:rsid w:val="00A02021"/>
    <w:rsid w:val="00A62D8C"/>
    <w:rsid w:val="00A649B0"/>
    <w:rsid w:val="00A664E8"/>
    <w:rsid w:val="00AA0C9E"/>
    <w:rsid w:val="00AD4751"/>
    <w:rsid w:val="00AE19DC"/>
    <w:rsid w:val="00B04960"/>
    <w:rsid w:val="00B73C9D"/>
    <w:rsid w:val="00C07AAC"/>
    <w:rsid w:val="00C4459D"/>
    <w:rsid w:val="00C47ACB"/>
    <w:rsid w:val="00C91645"/>
    <w:rsid w:val="00CA0C58"/>
    <w:rsid w:val="00CF299C"/>
    <w:rsid w:val="00D6610B"/>
    <w:rsid w:val="00D71C9F"/>
    <w:rsid w:val="00DB3C43"/>
    <w:rsid w:val="00DD4E49"/>
    <w:rsid w:val="00EC3692"/>
    <w:rsid w:val="00EC4E28"/>
    <w:rsid w:val="00EC7E40"/>
    <w:rsid w:val="00F044BF"/>
    <w:rsid w:val="00F40C3E"/>
    <w:rsid w:val="00F9785E"/>
    <w:rsid w:val="00FB4FBC"/>
    <w:rsid w:val="00FE34DB"/>
    <w:rsid w:val="00FF0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44B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044B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F044BF"/>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4B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F044BF"/>
    <w:rPr>
      <w:rFonts w:ascii="Times New Roman" w:eastAsiaTheme="majorEastAsia" w:hAnsi="Times New Roman" w:cstheme="majorBidi"/>
      <w:bCs/>
      <w:sz w:val="24"/>
      <w:szCs w:val="26"/>
      <w:u w:val="single"/>
    </w:rPr>
  </w:style>
  <w:style w:type="paragraph" w:styleId="BalloonText">
    <w:name w:val="Balloon Text"/>
    <w:basedOn w:val="Normal"/>
    <w:link w:val="BalloonTextChar"/>
    <w:uiPriority w:val="99"/>
    <w:semiHidden/>
    <w:unhideWhenUsed/>
    <w:rsid w:val="003276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76D2"/>
    <w:rPr>
      <w:rFonts w:ascii="Tahoma" w:hAnsi="Tahoma" w:cs="Tahoma"/>
      <w:sz w:val="16"/>
      <w:szCs w:val="16"/>
    </w:rPr>
  </w:style>
  <w:style w:type="paragraph" w:styleId="Caption">
    <w:name w:val="caption"/>
    <w:basedOn w:val="Normal"/>
    <w:next w:val="Normal"/>
    <w:uiPriority w:val="35"/>
    <w:unhideWhenUsed/>
    <w:qFormat/>
    <w:rsid w:val="003276D2"/>
    <w:pPr>
      <w:spacing w:line="240" w:lineRule="auto"/>
    </w:pPr>
    <w:rPr>
      <w:b/>
      <w:bCs/>
      <w:color w:val="4F81BD" w:themeColor="accent1"/>
      <w:sz w:val="18"/>
      <w:szCs w:val="18"/>
    </w:rPr>
  </w:style>
  <w:style w:type="character" w:styleId="Hyperlink">
    <w:name w:val="Hyperlink"/>
    <w:basedOn w:val="DefaultParagraphFont"/>
    <w:uiPriority w:val="99"/>
    <w:unhideWhenUsed/>
    <w:rsid w:val="003276D2"/>
    <w:rPr>
      <w:color w:val="0000FF" w:themeColor="hyperlink"/>
      <w:u w:val="single"/>
    </w:rPr>
  </w:style>
  <w:style w:type="paragraph" w:styleId="TOCHeading">
    <w:name w:val="TOC Heading"/>
    <w:basedOn w:val="Heading1"/>
    <w:next w:val="Normal"/>
    <w:uiPriority w:val="39"/>
    <w:semiHidden/>
    <w:unhideWhenUsed/>
    <w:qFormat/>
    <w:rsid w:val="00FE34D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E34DB"/>
    <w:pPr>
      <w:spacing w:after="100"/>
    </w:pPr>
  </w:style>
  <w:style w:type="paragraph" w:styleId="TOC2">
    <w:name w:val="toc 2"/>
    <w:basedOn w:val="Normal"/>
    <w:next w:val="Normal"/>
    <w:autoRedefine/>
    <w:uiPriority w:val="39"/>
    <w:unhideWhenUsed/>
    <w:rsid w:val="00FE34DB"/>
    <w:pPr>
      <w:spacing w:after="100"/>
      <w:ind w:left="240"/>
    </w:pPr>
  </w:style>
  <w:style w:type="paragraph" w:styleId="Header">
    <w:name w:val="header"/>
    <w:basedOn w:val="Normal"/>
    <w:link w:val="HeaderChar"/>
    <w:uiPriority w:val="99"/>
    <w:semiHidden/>
    <w:unhideWhenUsed/>
    <w:rsid w:val="00FE34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E34DB"/>
    <w:rPr>
      <w:rFonts w:ascii="Times New Roman" w:hAnsi="Times New Roman"/>
      <w:sz w:val="24"/>
    </w:rPr>
  </w:style>
  <w:style w:type="paragraph" w:styleId="Footer">
    <w:name w:val="footer"/>
    <w:basedOn w:val="Normal"/>
    <w:link w:val="FooterChar"/>
    <w:uiPriority w:val="99"/>
    <w:unhideWhenUsed/>
    <w:rsid w:val="00FE34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34DB"/>
    <w:rPr>
      <w:rFonts w:ascii="Times New Roman" w:hAnsi="Times New Roman"/>
      <w:sz w:val="24"/>
    </w:rPr>
  </w:style>
  <w:style w:type="paragraph" w:styleId="Title">
    <w:name w:val="Title"/>
    <w:basedOn w:val="Normal"/>
    <w:next w:val="Normal"/>
    <w:link w:val="TitleChar"/>
    <w:uiPriority w:val="10"/>
    <w:qFormat/>
    <w:rsid w:val="00AA0C9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A0C9E"/>
    <w:rPr>
      <w:rFonts w:asciiTheme="majorHAnsi" w:eastAsiaTheme="majorEastAsia" w:hAnsiTheme="majorHAnsi" w:cstheme="majorBidi"/>
      <w:color w:val="17365D" w:themeColor="text2" w:themeShade="BF"/>
      <w:spacing w:val="5"/>
      <w:kern w:val="28"/>
      <w:sz w:val="52"/>
      <w:szCs w:val="52"/>
    </w:rPr>
  </w:style>
  <w:style w:type="character" w:styleId="PageNumber">
    <w:name w:val="page number"/>
    <w:basedOn w:val="DefaultParagraphFont"/>
    <w:uiPriority w:val="99"/>
    <w:semiHidden/>
    <w:unhideWhenUsed/>
    <w:rsid w:val="004C64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treattb.org/our-work/stream-trial/community-engagement/"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www.sheffield.ac.uk/ssid/301/study-skills/university-study/reflective-practice"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hrdailyadvisor.blr.com/2019/03/22/7-skills-your-instructors-and-trainers-must-h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60BD80-024D-45D7-8FDC-9FB677142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2565</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2021-04-15T18:40:00Z</dcterms:created>
  <dcterms:modified xsi:type="dcterms:W3CDTF">2021-05-13T20:38:00Z</dcterms:modified>
</cp:coreProperties>
</file>