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B9992" w14:textId="77777777" w:rsidR="007A0324" w:rsidRPr="007A0324" w:rsidRDefault="007A0324" w:rsidP="007A0324">
      <w:pPr>
        <w:suppressAutoHyphens/>
        <w:spacing w:line="360" w:lineRule="auto"/>
        <w:jc w:val="center"/>
        <w:rPr>
          <w:rFonts w:ascii="Arial" w:eastAsia="Calibri" w:hAnsi="Arial" w:cs="Times New Roman"/>
          <w:color w:val="000000"/>
          <w:kern w:val="0"/>
          <w:sz w:val="24"/>
          <w:lang w:eastAsia="ar-SA"/>
          <w14:ligatures w14:val="none"/>
        </w:rPr>
      </w:pPr>
      <w:r w:rsidRPr="007A0324">
        <w:rPr>
          <w:rFonts w:ascii="Arial" w:eastAsia="Calibri" w:hAnsi="Arial" w:cs="Times New Roman"/>
          <w:noProof/>
          <w:color w:val="000000"/>
          <w:kern w:val="0"/>
          <w:sz w:val="24"/>
          <w:lang w:eastAsia="ar-SA"/>
          <w14:ligatures w14:val="none"/>
        </w:rPr>
        <w:drawing>
          <wp:inline distT="0" distB="0" distL="0" distR="0" wp14:anchorId="1A0617AF" wp14:editId="76C75875">
            <wp:extent cx="4140200" cy="16256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5">
                      <a:extLst>
                        <a:ext uri="{28A0092B-C50C-407E-A947-70E740481C1C}">
                          <a14:useLocalDpi xmlns:a14="http://schemas.microsoft.com/office/drawing/2010/main" val="0"/>
                        </a:ext>
                      </a:extLst>
                    </a:blip>
                    <a:srcRect t="14088" b="15242"/>
                    <a:stretch>
                      <a:fillRect/>
                    </a:stretch>
                  </pic:blipFill>
                  <pic:spPr bwMode="auto">
                    <a:xfrm>
                      <a:off x="0" y="0"/>
                      <a:ext cx="4140200" cy="1625600"/>
                    </a:xfrm>
                    <a:prstGeom prst="rect">
                      <a:avLst/>
                    </a:prstGeom>
                    <a:noFill/>
                    <a:ln>
                      <a:noFill/>
                    </a:ln>
                  </pic:spPr>
                </pic:pic>
              </a:graphicData>
            </a:graphic>
          </wp:inline>
        </w:drawing>
      </w:r>
    </w:p>
    <w:p w14:paraId="0A9F4D09" w14:textId="0B3B2FC2" w:rsidR="007A0324" w:rsidRPr="007A0324" w:rsidRDefault="007A0324" w:rsidP="007A0324">
      <w:pPr>
        <w:suppressAutoHyphens/>
        <w:spacing w:line="360" w:lineRule="auto"/>
        <w:jc w:val="center"/>
        <w:rPr>
          <w:rFonts w:ascii="Arial" w:eastAsia="Calibri" w:hAnsi="Arial" w:cs="Times New Roman"/>
          <w:color w:val="000000"/>
          <w:kern w:val="0"/>
          <w:sz w:val="40"/>
          <w:szCs w:val="40"/>
          <w:lang w:eastAsia="ar-SA"/>
          <w14:ligatures w14:val="none"/>
        </w:rPr>
      </w:pPr>
    </w:p>
    <w:p w14:paraId="1C5B0154" w14:textId="77777777" w:rsidR="007A0324" w:rsidRPr="007A0324" w:rsidRDefault="007A0324" w:rsidP="007A0324">
      <w:pPr>
        <w:suppressAutoHyphens/>
        <w:spacing w:line="360" w:lineRule="auto"/>
        <w:jc w:val="center"/>
        <w:rPr>
          <w:rFonts w:ascii="Arial" w:eastAsia="Calibri" w:hAnsi="Arial" w:cs="Times New Roman"/>
          <w:b/>
          <w:bCs/>
          <w:color w:val="000000"/>
          <w:kern w:val="0"/>
          <w:sz w:val="40"/>
          <w:szCs w:val="40"/>
          <w:lang w:eastAsia="ar-SA"/>
          <w14:ligatures w14:val="none"/>
        </w:rPr>
      </w:pPr>
    </w:p>
    <w:p w14:paraId="6A4EA9B0" w14:textId="77777777" w:rsidR="007A0324" w:rsidRPr="007A0324" w:rsidRDefault="007A0324" w:rsidP="007A0324">
      <w:pPr>
        <w:suppressAutoHyphens/>
        <w:spacing w:line="360" w:lineRule="auto"/>
        <w:jc w:val="center"/>
        <w:rPr>
          <w:rFonts w:ascii="Arial" w:eastAsia="Calibri" w:hAnsi="Arial" w:cs="Times New Roman"/>
          <w:b/>
          <w:bCs/>
          <w:color w:val="000000"/>
          <w:kern w:val="0"/>
          <w:sz w:val="40"/>
          <w:szCs w:val="40"/>
          <w:lang w:eastAsia="ar-SA"/>
          <w14:ligatures w14:val="none"/>
        </w:rPr>
      </w:pPr>
    </w:p>
    <w:p w14:paraId="66D0AB4A" w14:textId="77777777" w:rsidR="007A0324" w:rsidRPr="007A0324" w:rsidRDefault="007A0324" w:rsidP="007A0324">
      <w:pPr>
        <w:suppressAutoHyphens/>
        <w:spacing w:line="360" w:lineRule="auto"/>
        <w:jc w:val="center"/>
        <w:rPr>
          <w:rFonts w:ascii="Arial" w:eastAsia="Calibri" w:hAnsi="Arial" w:cs="Times New Roman"/>
          <w:b/>
          <w:bCs/>
          <w:color w:val="000000"/>
          <w:kern w:val="0"/>
          <w:sz w:val="40"/>
          <w:szCs w:val="40"/>
          <w:lang w:eastAsia="ar-SA"/>
          <w14:ligatures w14:val="none"/>
        </w:rPr>
      </w:pPr>
      <w:r w:rsidRPr="007A0324">
        <w:rPr>
          <w:rFonts w:ascii="Arial" w:eastAsia="Calibri" w:hAnsi="Arial" w:cs="Times New Roman"/>
          <w:b/>
          <w:bCs/>
          <w:color w:val="000000"/>
          <w:kern w:val="0"/>
          <w:sz w:val="40"/>
          <w:szCs w:val="40"/>
          <w:lang w:eastAsia="ar-SA"/>
          <w14:ligatures w14:val="none"/>
        </w:rPr>
        <w:t xml:space="preserve">Module Code: LCMB7011 </w:t>
      </w:r>
    </w:p>
    <w:p w14:paraId="6E48145D" w14:textId="77777777" w:rsidR="007A0324" w:rsidRPr="007A0324" w:rsidRDefault="007A0324" w:rsidP="007A0324">
      <w:pPr>
        <w:suppressAutoHyphens/>
        <w:spacing w:line="360" w:lineRule="auto"/>
        <w:jc w:val="center"/>
        <w:rPr>
          <w:rFonts w:ascii="Arial" w:eastAsia="Calibri" w:hAnsi="Arial" w:cs="Times New Roman"/>
          <w:b/>
          <w:bCs/>
          <w:color w:val="000000"/>
          <w:kern w:val="0"/>
          <w:sz w:val="40"/>
          <w:szCs w:val="40"/>
          <w:lang w:eastAsia="ar-SA"/>
          <w14:ligatures w14:val="none"/>
        </w:rPr>
      </w:pPr>
      <w:r w:rsidRPr="007A0324">
        <w:rPr>
          <w:rFonts w:ascii="Arial" w:eastAsia="Calibri" w:hAnsi="Arial" w:cs="Times New Roman"/>
          <w:b/>
          <w:bCs/>
          <w:color w:val="000000"/>
          <w:kern w:val="0"/>
          <w:sz w:val="40"/>
          <w:szCs w:val="40"/>
          <w:lang w:eastAsia="ar-SA"/>
          <w14:ligatures w14:val="none"/>
        </w:rPr>
        <w:t xml:space="preserve">Module Title: Managing People </w:t>
      </w:r>
    </w:p>
    <w:p w14:paraId="5E4235DC" w14:textId="77777777" w:rsidR="007A0324" w:rsidRPr="007A0324" w:rsidRDefault="007A0324" w:rsidP="007A0324">
      <w:pPr>
        <w:suppressAutoHyphens/>
        <w:spacing w:line="360" w:lineRule="auto"/>
        <w:jc w:val="center"/>
        <w:rPr>
          <w:rFonts w:ascii="Arial" w:eastAsia="Calibri" w:hAnsi="Arial" w:cs="Times New Roman"/>
          <w:b/>
          <w:bCs/>
          <w:color w:val="000000"/>
          <w:kern w:val="0"/>
          <w:sz w:val="40"/>
          <w:szCs w:val="40"/>
          <w:lang w:eastAsia="ar-SA"/>
          <w14:ligatures w14:val="none"/>
        </w:rPr>
      </w:pPr>
    </w:p>
    <w:p w14:paraId="37D47EC9" w14:textId="77777777" w:rsidR="007A0324" w:rsidRPr="007A0324" w:rsidRDefault="007A0324" w:rsidP="000C3EA4">
      <w:pPr>
        <w:suppressAutoHyphens/>
        <w:spacing w:line="360" w:lineRule="auto"/>
        <w:rPr>
          <w:rFonts w:ascii="Arial" w:eastAsia="Calibri" w:hAnsi="Arial" w:cs="Times New Roman"/>
          <w:b/>
          <w:bCs/>
          <w:color w:val="000000"/>
          <w:kern w:val="0"/>
          <w:sz w:val="40"/>
          <w:szCs w:val="40"/>
          <w:lang w:eastAsia="ar-SA"/>
          <w14:ligatures w14:val="none"/>
        </w:rPr>
      </w:pPr>
    </w:p>
    <w:p w14:paraId="6E10BC9C" w14:textId="77777777" w:rsidR="007A0324" w:rsidRPr="007A0324" w:rsidRDefault="007A0324" w:rsidP="007A0324">
      <w:pPr>
        <w:suppressAutoHyphens/>
        <w:spacing w:line="360" w:lineRule="auto"/>
        <w:jc w:val="both"/>
        <w:rPr>
          <w:rFonts w:ascii="Arial" w:eastAsia="Calibri" w:hAnsi="Arial" w:cs="Times New Roman"/>
          <w:b/>
          <w:bCs/>
          <w:color w:val="000000"/>
          <w:kern w:val="0"/>
          <w:sz w:val="40"/>
          <w:szCs w:val="40"/>
          <w:lang w:eastAsia="ar-SA"/>
          <w14:ligatures w14:val="none"/>
        </w:rPr>
      </w:pPr>
    </w:p>
    <w:p w14:paraId="1320937A" w14:textId="77777777" w:rsidR="007A0324" w:rsidRPr="007A0324" w:rsidRDefault="007A0324" w:rsidP="007A0324">
      <w:pPr>
        <w:suppressAutoHyphens/>
        <w:spacing w:line="360" w:lineRule="auto"/>
        <w:jc w:val="both"/>
        <w:rPr>
          <w:rFonts w:ascii="Arial" w:eastAsia="Calibri" w:hAnsi="Arial" w:cs="Times New Roman"/>
          <w:b/>
          <w:bCs/>
          <w:color w:val="000000"/>
          <w:kern w:val="0"/>
          <w:sz w:val="40"/>
          <w:szCs w:val="40"/>
          <w:lang w:eastAsia="ar-SA"/>
          <w14:ligatures w14:val="none"/>
        </w:rPr>
      </w:pPr>
    </w:p>
    <w:p w14:paraId="63C66AE3" w14:textId="77777777" w:rsidR="007A0324" w:rsidRPr="007A0324" w:rsidRDefault="007A0324" w:rsidP="007A0324">
      <w:pPr>
        <w:suppressAutoHyphens/>
        <w:spacing w:line="360" w:lineRule="auto"/>
        <w:jc w:val="both"/>
        <w:rPr>
          <w:rFonts w:ascii="Arial" w:eastAsia="Calibri" w:hAnsi="Arial" w:cs="Times New Roman"/>
          <w:b/>
          <w:bCs/>
          <w:color w:val="000000"/>
          <w:kern w:val="0"/>
          <w:sz w:val="40"/>
          <w:szCs w:val="40"/>
          <w:lang w:eastAsia="ar-SA"/>
          <w14:ligatures w14:val="none"/>
        </w:rPr>
      </w:pPr>
      <w:r w:rsidRPr="007A0324">
        <w:rPr>
          <w:rFonts w:ascii="Arial" w:eastAsia="Calibri" w:hAnsi="Arial" w:cs="Times New Roman"/>
          <w:b/>
          <w:bCs/>
          <w:color w:val="000000"/>
          <w:kern w:val="0"/>
          <w:sz w:val="40"/>
          <w:szCs w:val="40"/>
          <w:lang w:eastAsia="ar-SA"/>
          <w14:ligatures w14:val="none"/>
        </w:rPr>
        <w:t xml:space="preserve">Student Name: Rimsha Shaikh </w:t>
      </w:r>
    </w:p>
    <w:p w14:paraId="4DFF6FD0" w14:textId="77777777" w:rsidR="007A0324" w:rsidRPr="007A0324" w:rsidRDefault="007A0324" w:rsidP="007A0324">
      <w:pPr>
        <w:suppressAutoHyphens/>
        <w:spacing w:line="360" w:lineRule="auto"/>
        <w:jc w:val="both"/>
        <w:rPr>
          <w:rFonts w:ascii="Arial" w:eastAsia="Calibri" w:hAnsi="Arial" w:cs="Times New Roman"/>
          <w:b/>
          <w:bCs/>
          <w:color w:val="000000"/>
          <w:kern w:val="0"/>
          <w:sz w:val="40"/>
          <w:szCs w:val="40"/>
          <w:lang w:eastAsia="ar-SA"/>
          <w14:ligatures w14:val="none"/>
        </w:rPr>
      </w:pPr>
      <w:r w:rsidRPr="007A0324">
        <w:rPr>
          <w:rFonts w:ascii="Arial" w:eastAsia="Calibri" w:hAnsi="Arial" w:cs="Times New Roman"/>
          <w:b/>
          <w:bCs/>
          <w:color w:val="000000"/>
          <w:kern w:val="0"/>
          <w:sz w:val="40"/>
          <w:szCs w:val="40"/>
          <w:lang w:eastAsia="ar-SA"/>
          <w14:ligatures w14:val="none"/>
        </w:rPr>
        <w:t>Student ID: 2223423</w:t>
      </w:r>
    </w:p>
    <w:p w14:paraId="5B71673C" w14:textId="77777777" w:rsidR="007A0324" w:rsidRPr="007A0324" w:rsidRDefault="007A0324" w:rsidP="007A0324">
      <w:pPr>
        <w:suppressAutoHyphens/>
        <w:spacing w:line="360" w:lineRule="auto"/>
        <w:jc w:val="both"/>
        <w:rPr>
          <w:rFonts w:ascii="Arial" w:eastAsia="Calibri" w:hAnsi="Arial" w:cs="Times New Roman"/>
          <w:b/>
          <w:bCs/>
          <w:color w:val="000000"/>
          <w:kern w:val="0"/>
          <w:sz w:val="40"/>
          <w:szCs w:val="40"/>
          <w:lang w:eastAsia="ar-SA"/>
          <w14:ligatures w14:val="none"/>
        </w:rPr>
      </w:pPr>
      <w:r w:rsidRPr="007A0324">
        <w:rPr>
          <w:rFonts w:ascii="Arial" w:eastAsia="Calibri" w:hAnsi="Arial" w:cs="Times New Roman"/>
          <w:b/>
          <w:bCs/>
          <w:color w:val="000000"/>
          <w:kern w:val="0"/>
          <w:sz w:val="40"/>
          <w:szCs w:val="40"/>
          <w:lang w:eastAsia="ar-SA"/>
          <w14:ligatures w14:val="none"/>
        </w:rPr>
        <w:t xml:space="preserve">Word Count: 5000 Words </w:t>
      </w:r>
    </w:p>
    <w:p w14:paraId="7CB367B4" w14:textId="099E7049" w:rsidR="000C3EA4" w:rsidRDefault="007A0324" w:rsidP="007A0324">
      <w:pPr>
        <w:suppressAutoHyphens/>
        <w:spacing w:line="360" w:lineRule="auto"/>
        <w:jc w:val="both"/>
        <w:rPr>
          <w:rFonts w:ascii="Arial" w:eastAsia="Calibri" w:hAnsi="Arial" w:cs="Times New Roman"/>
          <w:b/>
          <w:bCs/>
          <w:color w:val="000000"/>
          <w:kern w:val="0"/>
          <w:sz w:val="40"/>
          <w:szCs w:val="40"/>
          <w:lang w:eastAsia="ar-SA"/>
          <w14:ligatures w14:val="none"/>
        </w:rPr>
      </w:pPr>
      <w:r w:rsidRPr="007A0324">
        <w:rPr>
          <w:rFonts w:ascii="Arial" w:eastAsia="Calibri" w:hAnsi="Arial" w:cs="Times New Roman"/>
          <w:b/>
          <w:bCs/>
          <w:color w:val="000000"/>
          <w:kern w:val="0"/>
          <w:sz w:val="40"/>
          <w:szCs w:val="40"/>
          <w:lang w:eastAsia="ar-SA"/>
          <w14:ligatures w14:val="none"/>
        </w:rPr>
        <w:t>Submission Date: 21-08-2023</w:t>
      </w:r>
    </w:p>
    <w:p w14:paraId="3EEB3C17" w14:textId="77777777" w:rsidR="000C3EA4" w:rsidRPr="007A0324" w:rsidRDefault="000C3EA4" w:rsidP="00C36429">
      <w:pPr>
        <w:suppressAutoHyphens/>
        <w:spacing w:line="360" w:lineRule="auto"/>
        <w:jc w:val="both"/>
        <w:rPr>
          <w:rFonts w:ascii="Arial" w:eastAsia="Calibri" w:hAnsi="Arial" w:cs="Times New Roman"/>
          <w:b/>
          <w:bCs/>
          <w:color w:val="000000"/>
          <w:kern w:val="0"/>
          <w:sz w:val="40"/>
          <w:szCs w:val="40"/>
          <w:lang w:eastAsia="ar-SA"/>
          <w14:ligatures w14:val="none"/>
        </w:rPr>
      </w:pPr>
      <w:r w:rsidRPr="007A0324">
        <w:rPr>
          <w:rFonts w:ascii="Arial" w:eastAsia="Calibri" w:hAnsi="Arial" w:cs="Times New Roman"/>
          <w:b/>
          <w:bCs/>
          <w:color w:val="000000"/>
          <w:kern w:val="0"/>
          <w:sz w:val="40"/>
          <w:szCs w:val="40"/>
          <w:lang w:eastAsia="ar-SA"/>
          <w14:ligatures w14:val="none"/>
        </w:rPr>
        <w:t xml:space="preserve">Tutor Name: </w:t>
      </w:r>
      <w:proofErr w:type="spellStart"/>
      <w:r w:rsidRPr="007A0324">
        <w:rPr>
          <w:rFonts w:ascii="Arial" w:eastAsia="Calibri" w:hAnsi="Arial" w:cs="Times New Roman"/>
          <w:b/>
          <w:bCs/>
          <w:color w:val="000000"/>
          <w:kern w:val="0"/>
          <w:sz w:val="40"/>
          <w:szCs w:val="40"/>
          <w:lang w:eastAsia="ar-SA"/>
          <w14:ligatures w14:val="none"/>
        </w:rPr>
        <w:t>Rexon</w:t>
      </w:r>
      <w:proofErr w:type="spellEnd"/>
      <w:r w:rsidRPr="007A0324">
        <w:rPr>
          <w:rFonts w:ascii="Arial" w:eastAsia="Calibri" w:hAnsi="Arial" w:cs="Times New Roman"/>
          <w:b/>
          <w:bCs/>
          <w:color w:val="000000"/>
          <w:kern w:val="0"/>
          <w:sz w:val="40"/>
          <w:szCs w:val="40"/>
          <w:lang w:eastAsia="ar-SA"/>
          <w14:ligatures w14:val="none"/>
        </w:rPr>
        <w:t xml:space="preserve"> </w:t>
      </w:r>
      <w:proofErr w:type="spellStart"/>
      <w:r w:rsidRPr="007A0324">
        <w:rPr>
          <w:rFonts w:ascii="Arial" w:eastAsia="Calibri" w:hAnsi="Arial" w:cs="Times New Roman"/>
          <w:b/>
          <w:bCs/>
          <w:color w:val="000000"/>
          <w:kern w:val="0"/>
          <w:sz w:val="40"/>
          <w:szCs w:val="40"/>
          <w:lang w:eastAsia="ar-SA"/>
          <w14:ligatures w14:val="none"/>
        </w:rPr>
        <w:t>Nting</w:t>
      </w:r>
      <w:proofErr w:type="spellEnd"/>
      <w:r w:rsidRPr="007A0324">
        <w:rPr>
          <w:rFonts w:ascii="Arial" w:eastAsia="Calibri" w:hAnsi="Arial" w:cs="Times New Roman"/>
          <w:b/>
          <w:bCs/>
          <w:color w:val="000000"/>
          <w:kern w:val="0"/>
          <w:sz w:val="40"/>
          <w:szCs w:val="40"/>
          <w:lang w:eastAsia="ar-SA"/>
          <w14:ligatures w14:val="none"/>
        </w:rPr>
        <w:t xml:space="preserve"> </w:t>
      </w:r>
    </w:p>
    <w:p w14:paraId="0BC92709" w14:textId="77777777" w:rsidR="000C3EA4" w:rsidRPr="007A0324" w:rsidRDefault="000C3EA4" w:rsidP="007A0324">
      <w:pPr>
        <w:suppressAutoHyphens/>
        <w:spacing w:line="360" w:lineRule="auto"/>
        <w:jc w:val="both"/>
        <w:rPr>
          <w:rFonts w:ascii="Arial" w:eastAsia="Calibri" w:hAnsi="Arial" w:cs="Times New Roman"/>
          <w:b/>
          <w:bCs/>
          <w:color w:val="000000"/>
          <w:kern w:val="0"/>
          <w:sz w:val="40"/>
          <w:szCs w:val="40"/>
          <w:lang w:eastAsia="ar-SA"/>
          <w14:ligatures w14:val="none"/>
        </w:rPr>
      </w:pPr>
    </w:p>
    <w:p w14:paraId="6A5F75C2" w14:textId="77777777" w:rsidR="007A0324" w:rsidRPr="007A0324" w:rsidRDefault="007A0324" w:rsidP="007A0324">
      <w:pPr>
        <w:keepNext/>
        <w:keepLines/>
        <w:spacing w:before="480" w:line="360" w:lineRule="auto"/>
        <w:jc w:val="center"/>
        <w:rPr>
          <w:rFonts w:ascii="Cambria" w:eastAsia="Times New Roman" w:hAnsi="Cambria" w:cs="Mangal"/>
          <w:b/>
          <w:bCs/>
          <w:color w:val="365F91"/>
          <w:kern w:val="0"/>
          <w:sz w:val="28"/>
          <w:szCs w:val="28"/>
          <w:lang w:val="en-US" w:eastAsia="en-US"/>
          <w14:ligatures w14:val="none"/>
        </w:rPr>
      </w:pPr>
      <w:r w:rsidRPr="007A0324">
        <w:rPr>
          <w:rFonts w:ascii="Cambria" w:eastAsia="Times New Roman" w:hAnsi="Cambria" w:cs="Mangal"/>
          <w:b/>
          <w:bCs/>
          <w:color w:val="365F91"/>
          <w:kern w:val="0"/>
          <w:sz w:val="28"/>
          <w:szCs w:val="28"/>
          <w:lang w:val="en-US" w:eastAsia="en-US"/>
          <w14:ligatures w14:val="none"/>
        </w:rPr>
        <w:t>Table of Contents</w:t>
      </w:r>
    </w:p>
    <w:p w14:paraId="6B357ED9" w14:textId="77777777" w:rsidR="007A0324" w:rsidRPr="007A0324" w:rsidRDefault="007A0324" w:rsidP="007A0324">
      <w:pPr>
        <w:suppressLineNumbers/>
        <w:tabs>
          <w:tab w:val="right" w:leader="dot" w:pos="9360"/>
        </w:tabs>
        <w:suppressAutoHyphens/>
        <w:spacing w:line="360" w:lineRule="auto"/>
        <w:jc w:val="both"/>
        <w:rPr>
          <w:rFonts w:ascii="Calibri" w:eastAsia="Times New Roman" w:hAnsi="Calibri" w:cs="Times New Roman"/>
          <w:noProof/>
          <w:lang w:val="en-IN" w:eastAsia="en-IN"/>
          <w14:ligatures w14:val="none"/>
        </w:rPr>
      </w:pPr>
      <w:r w:rsidRPr="007A0324">
        <w:rPr>
          <w:rFonts w:ascii="Arial" w:eastAsia="Calibri" w:hAnsi="Arial" w:cs="DejaVu Sans"/>
          <w:color w:val="000000"/>
          <w:kern w:val="0"/>
          <w:sz w:val="24"/>
          <w:lang w:eastAsia="ar-SA"/>
          <w14:ligatures w14:val="none"/>
        </w:rPr>
        <w:fldChar w:fldCharType="begin"/>
      </w:r>
      <w:r w:rsidRPr="007A0324">
        <w:rPr>
          <w:rFonts w:ascii="Arial" w:eastAsia="Calibri" w:hAnsi="Arial" w:cs="DejaVu Sans"/>
          <w:color w:val="000000"/>
          <w:kern w:val="0"/>
          <w:sz w:val="24"/>
          <w:lang w:eastAsia="ar-SA"/>
          <w14:ligatures w14:val="none"/>
        </w:rPr>
        <w:instrText xml:space="preserve"> TOC \o "1-3" \h \z \u </w:instrText>
      </w:r>
      <w:r w:rsidRPr="007A0324">
        <w:rPr>
          <w:rFonts w:ascii="Arial" w:eastAsia="Calibri" w:hAnsi="Arial" w:cs="DejaVu Sans"/>
          <w:color w:val="000000"/>
          <w:kern w:val="0"/>
          <w:sz w:val="24"/>
          <w:lang w:eastAsia="ar-SA"/>
          <w14:ligatures w14:val="none"/>
        </w:rPr>
        <w:fldChar w:fldCharType="separate"/>
      </w:r>
      <w:hyperlink w:anchor="_Toc143382892" w:history="1">
        <w:r w:rsidRPr="007A0324">
          <w:rPr>
            <w:rFonts w:ascii="Arial" w:eastAsia="Calibri" w:hAnsi="Arial" w:cs="DejaVu Sans"/>
            <w:noProof/>
            <w:color w:val="000080"/>
            <w:kern w:val="0"/>
            <w:sz w:val="24"/>
            <w:u w:val="single"/>
            <w:lang/>
            <w14:ligatures w14:val="none"/>
          </w:rPr>
          <w:t>INTRODUCTION</w:t>
        </w:r>
        <w:r w:rsidRPr="007A0324">
          <w:rPr>
            <w:rFonts w:ascii="Arial" w:eastAsia="Calibri" w:hAnsi="Arial" w:cs="DejaVu Sans"/>
            <w:noProof/>
            <w:webHidden/>
            <w:color w:val="000000"/>
            <w:kern w:val="0"/>
            <w:sz w:val="24"/>
            <w:lang w:eastAsia="ar-SA"/>
            <w14:ligatures w14:val="none"/>
          </w:rPr>
          <w:tab/>
        </w:r>
        <w:r w:rsidRPr="007A0324">
          <w:rPr>
            <w:rFonts w:ascii="Arial" w:eastAsia="Calibri" w:hAnsi="Arial" w:cs="DejaVu Sans"/>
            <w:noProof/>
            <w:webHidden/>
            <w:color w:val="000000"/>
            <w:kern w:val="0"/>
            <w:sz w:val="24"/>
            <w:lang w:eastAsia="ar-SA"/>
            <w14:ligatures w14:val="none"/>
          </w:rPr>
          <w:fldChar w:fldCharType="begin"/>
        </w:r>
        <w:r w:rsidRPr="007A0324">
          <w:rPr>
            <w:rFonts w:ascii="Arial" w:eastAsia="Calibri" w:hAnsi="Arial" w:cs="DejaVu Sans"/>
            <w:noProof/>
            <w:webHidden/>
            <w:color w:val="000000"/>
            <w:kern w:val="0"/>
            <w:sz w:val="24"/>
            <w:lang w:eastAsia="ar-SA"/>
            <w14:ligatures w14:val="none"/>
          </w:rPr>
          <w:instrText xml:space="preserve"> PAGEREF _Toc143382892 \h </w:instrText>
        </w:r>
        <w:r w:rsidRPr="007A0324">
          <w:rPr>
            <w:rFonts w:ascii="Arial" w:eastAsia="Calibri" w:hAnsi="Arial" w:cs="DejaVu Sans"/>
            <w:noProof/>
            <w:webHidden/>
            <w:color w:val="000000"/>
            <w:kern w:val="0"/>
            <w:sz w:val="24"/>
            <w:lang w:eastAsia="ar-SA"/>
            <w14:ligatures w14:val="none"/>
          </w:rPr>
        </w:r>
        <w:r w:rsidRPr="007A0324">
          <w:rPr>
            <w:rFonts w:ascii="Arial" w:eastAsia="Calibri" w:hAnsi="Arial" w:cs="DejaVu Sans"/>
            <w:noProof/>
            <w:webHidden/>
            <w:color w:val="000000"/>
            <w:kern w:val="0"/>
            <w:sz w:val="24"/>
            <w:lang w:eastAsia="ar-SA"/>
            <w14:ligatures w14:val="none"/>
          </w:rPr>
          <w:fldChar w:fldCharType="separate"/>
        </w:r>
        <w:r w:rsidRPr="007A0324">
          <w:rPr>
            <w:rFonts w:ascii="Arial" w:eastAsia="Calibri" w:hAnsi="Arial" w:cs="DejaVu Sans"/>
            <w:noProof/>
            <w:webHidden/>
            <w:color w:val="000000"/>
            <w:kern w:val="0"/>
            <w:sz w:val="24"/>
            <w:lang w:eastAsia="ar-SA"/>
            <w14:ligatures w14:val="none"/>
          </w:rPr>
          <w:t>1</w:t>
        </w:r>
        <w:r w:rsidRPr="007A0324">
          <w:rPr>
            <w:rFonts w:ascii="Arial" w:eastAsia="Calibri" w:hAnsi="Arial" w:cs="DejaVu Sans"/>
            <w:noProof/>
            <w:webHidden/>
            <w:color w:val="000000"/>
            <w:kern w:val="0"/>
            <w:sz w:val="24"/>
            <w:lang w:eastAsia="ar-SA"/>
            <w14:ligatures w14:val="none"/>
          </w:rPr>
          <w:fldChar w:fldCharType="end"/>
        </w:r>
      </w:hyperlink>
    </w:p>
    <w:p w14:paraId="7E502FD5" w14:textId="77777777" w:rsidR="007A0324" w:rsidRPr="007A0324" w:rsidRDefault="007A0324" w:rsidP="007A0324">
      <w:pPr>
        <w:suppressLineNumbers/>
        <w:tabs>
          <w:tab w:val="right" w:leader="dot" w:pos="9360"/>
        </w:tabs>
        <w:suppressAutoHyphens/>
        <w:spacing w:line="360" w:lineRule="auto"/>
        <w:jc w:val="both"/>
        <w:rPr>
          <w:rFonts w:ascii="Calibri" w:eastAsia="Times New Roman" w:hAnsi="Calibri" w:cs="Times New Roman"/>
          <w:noProof/>
          <w:lang w:val="en-IN" w:eastAsia="en-IN"/>
          <w14:ligatures w14:val="none"/>
        </w:rPr>
      </w:pPr>
      <w:hyperlink w:anchor="_Toc143382893" w:history="1">
        <w:r w:rsidRPr="007A0324">
          <w:rPr>
            <w:rFonts w:ascii="Arial" w:eastAsia="Calibri" w:hAnsi="Arial" w:cs="DejaVu Sans"/>
            <w:noProof/>
            <w:color w:val="000080"/>
            <w:kern w:val="0"/>
            <w:sz w:val="24"/>
            <w:u w:val="single"/>
            <w:lang/>
            <w14:ligatures w14:val="none"/>
          </w:rPr>
          <w:t>MAIN BODY</w:t>
        </w:r>
        <w:r w:rsidRPr="007A0324">
          <w:rPr>
            <w:rFonts w:ascii="Arial" w:eastAsia="Calibri" w:hAnsi="Arial" w:cs="DejaVu Sans"/>
            <w:noProof/>
            <w:webHidden/>
            <w:color w:val="000000"/>
            <w:kern w:val="0"/>
            <w:sz w:val="24"/>
            <w:lang w:eastAsia="ar-SA"/>
            <w14:ligatures w14:val="none"/>
          </w:rPr>
          <w:tab/>
        </w:r>
        <w:r w:rsidRPr="007A0324">
          <w:rPr>
            <w:rFonts w:ascii="Arial" w:eastAsia="Calibri" w:hAnsi="Arial" w:cs="DejaVu Sans"/>
            <w:noProof/>
            <w:webHidden/>
            <w:color w:val="000000"/>
            <w:kern w:val="0"/>
            <w:sz w:val="24"/>
            <w:lang w:eastAsia="ar-SA"/>
            <w14:ligatures w14:val="none"/>
          </w:rPr>
          <w:fldChar w:fldCharType="begin"/>
        </w:r>
        <w:r w:rsidRPr="007A0324">
          <w:rPr>
            <w:rFonts w:ascii="Arial" w:eastAsia="Calibri" w:hAnsi="Arial" w:cs="DejaVu Sans"/>
            <w:noProof/>
            <w:webHidden/>
            <w:color w:val="000000"/>
            <w:kern w:val="0"/>
            <w:sz w:val="24"/>
            <w:lang w:eastAsia="ar-SA"/>
            <w14:ligatures w14:val="none"/>
          </w:rPr>
          <w:instrText xml:space="preserve"> PAGEREF _Toc143382893 \h </w:instrText>
        </w:r>
        <w:r w:rsidRPr="007A0324">
          <w:rPr>
            <w:rFonts w:ascii="Arial" w:eastAsia="Calibri" w:hAnsi="Arial" w:cs="DejaVu Sans"/>
            <w:noProof/>
            <w:webHidden/>
            <w:color w:val="000000"/>
            <w:kern w:val="0"/>
            <w:sz w:val="24"/>
            <w:lang w:eastAsia="ar-SA"/>
            <w14:ligatures w14:val="none"/>
          </w:rPr>
        </w:r>
        <w:r w:rsidRPr="007A0324">
          <w:rPr>
            <w:rFonts w:ascii="Arial" w:eastAsia="Calibri" w:hAnsi="Arial" w:cs="DejaVu Sans"/>
            <w:noProof/>
            <w:webHidden/>
            <w:color w:val="000000"/>
            <w:kern w:val="0"/>
            <w:sz w:val="24"/>
            <w:lang w:eastAsia="ar-SA"/>
            <w14:ligatures w14:val="none"/>
          </w:rPr>
          <w:fldChar w:fldCharType="separate"/>
        </w:r>
        <w:r w:rsidRPr="007A0324">
          <w:rPr>
            <w:rFonts w:ascii="Arial" w:eastAsia="Calibri" w:hAnsi="Arial" w:cs="DejaVu Sans"/>
            <w:noProof/>
            <w:webHidden/>
            <w:color w:val="000000"/>
            <w:kern w:val="0"/>
            <w:sz w:val="24"/>
            <w:lang w:eastAsia="ar-SA"/>
            <w14:ligatures w14:val="none"/>
          </w:rPr>
          <w:t>2</w:t>
        </w:r>
        <w:r w:rsidRPr="007A0324">
          <w:rPr>
            <w:rFonts w:ascii="Arial" w:eastAsia="Calibri" w:hAnsi="Arial" w:cs="DejaVu Sans"/>
            <w:noProof/>
            <w:webHidden/>
            <w:color w:val="000000"/>
            <w:kern w:val="0"/>
            <w:sz w:val="24"/>
            <w:lang w:eastAsia="ar-SA"/>
            <w14:ligatures w14:val="none"/>
          </w:rPr>
          <w:fldChar w:fldCharType="end"/>
        </w:r>
      </w:hyperlink>
    </w:p>
    <w:p w14:paraId="6547F8E2" w14:textId="77777777" w:rsidR="007A0324" w:rsidRPr="007A0324" w:rsidRDefault="007A0324" w:rsidP="007A0324">
      <w:pPr>
        <w:suppressLineNumbers/>
        <w:tabs>
          <w:tab w:val="right" w:leader="dot" w:pos="9077"/>
        </w:tabs>
        <w:suppressAutoHyphens/>
        <w:spacing w:line="360" w:lineRule="auto"/>
        <w:ind w:left="283"/>
        <w:jc w:val="both"/>
        <w:rPr>
          <w:rFonts w:ascii="Calibri" w:eastAsia="Times New Roman" w:hAnsi="Calibri" w:cs="Times New Roman"/>
          <w:noProof/>
          <w:lang w:val="en-IN" w:eastAsia="en-IN"/>
          <w14:ligatures w14:val="none"/>
        </w:rPr>
      </w:pPr>
      <w:hyperlink w:anchor="_Toc143382894" w:history="1">
        <w:r w:rsidRPr="007A0324">
          <w:rPr>
            <w:rFonts w:ascii="Arial" w:eastAsia="Calibri" w:hAnsi="Arial" w:cs="DejaVu Sans"/>
            <w:noProof/>
            <w:color w:val="000080"/>
            <w:kern w:val="0"/>
            <w:sz w:val="24"/>
            <w:u w:val="single"/>
            <w:lang/>
            <w14:ligatures w14:val="none"/>
          </w:rPr>
          <w:t>1. The Legal Aspects Impacting Due to Changing Contractual Employment Terms – British Gas</w:t>
        </w:r>
        <w:r w:rsidRPr="007A0324">
          <w:rPr>
            <w:rFonts w:ascii="Arial" w:eastAsia="Calibri" w:hAnsi="Arial" w:cs="DejaVu Sans"/>
            <w:noProof/>
            <w:webHidden/>
            <w:color w:val="000000"/>
            <w:kern w:val="0"/>
            <w:sz w:val="24"/>
            <w:lang w:eastAsia="ar-SA"/>
            <w14:ligatures w14:val="none"/>
          </w:rPr>
          <w:tab/>
        </w:r>
        <w:r w:rsidRPr="007A0324">
          <w:rPr>
            <w:rFonts w:ascii="Arial" w:eastAsia="Calibri" w:hAnsi="Arial" w:cs="DejaVu Sans"/>
            <w:noProof/>
            <w:webHidden/>
            <w:color w:val="000000"/>
            <w:kern w:val="0"/>
            <w:sz w:val="24"/>
            <w:lang w:eastAsia="ar-SA"/>
            <w14:ligatures w14:val="none"/>
          </w:rPr>
          <w:fldChar w:fldCharType="begin"/>
        </w:r>
        <w:r w:rsidRPr="007A0324">
          <w:rPr>
            <w:rFonts w:ascii="Arial" w:eastAsia="Calibri" w:hAnsi="Arial" w:cs="DejaVu Sans"/>
            <w:noProof/>
            <w:webHidden/>
            <w:color w:val="000000"/>
            <w:kern w:val="0"/>
            <w:sz w:val="24"/>
            <w:lang w:eastAsia="ar-SA"/>
            <w14:ligatures w14:val="none"/>
          </w:rPr>
          <w:instrText xml:space="preserve"> PAGEREF _Toc143382894 \h </w:instrText>
        </w:r>
        <w:r w:rsidRPr="007A0324">
          <w:rPr>
            <w:rFonts w:ascii="Arial" w:eastAsia="Calibri" w:hAnsi="Arial" w:cs="DejaVu Sans"/>
            <w:noProof/>
            <w:webHidden/>
            <w:color w:val="000000"/>
            <w:kern w:val="0"/>
            <w:sz w:val="24"/>
            <w:lang w:eastAsia="ar-SA"/>
            <w14:ligatures w14:val="none"/>
          </w:rPr>
        </w:r>
        <w:r w:rsidRPr="007A0324">
          <w:rPr>
            <w:rFonts w:ascii="Arial" w:eastAsia="Calibri" w:hAnsi="Arial" w:cs="DejaVu Sans"/>
            <w:noProof/>
            <w:webHidden/>
            <w:color w:val="000000"/>
            <w:kern w:val="0"/>
            <w:sz w:val="24"/>
            <w:lang w:eastAsia="ar-SA"/>
            <w14:ligatures w14:val="none"/>
          </w:rPr>
          <w:fldChar w:fldCharType="separate"/>
        </w:r>
        <w:r w:rsidRPr="007A0324">
          <w:rPr>
            <w:rFonts w:ascii="Arial" w:eastAsia="Calibri" w:hAnsi="Arial" w:cs="DejaVu Sans"/>
            <w:noProof/>
            <w:webHidden/>
            <w:color w:val="000000"/>
            <w:kern w:val="0"/>
            <w:sz w:val="24"/>
            <w:lang w:eastAsia="ar-SA"/>
            <w14:ligatures w14:val="none"/>
          </w:rPr>
          <w:t>2</w:t>
        </w:r>
        <w:r w:rsidRPr="007A0324">
          <w:rPr>
            <w:rFonts w:ascii="Arial" w:eastAsia="Calibri" w:hAnsi="Arial" w:cs="DejaVu Sans"/>
            <w:noProof/>
            <w:webHidden/>
            <w:color w:val="000000"/>
            <w:kern w:val="0"/>
            <w:sz w:val="24"/>
            <w:lang w:eastAsia="ar-SA"/>
            <w14:ligatures w14:val="none"/>
          </w:rPr>
          <w:fldChar w:fldCharType="end"/>
        </w:r>
      </w:hyperlink>
    </w:p>
    <w:p w14:paraId="1523F5B5" w14:textId="77777777" w:rsidR="007A0324" w:rsidRPr="007A0324" w:rsidRDefault="007A0324" w:rsidP="007A0324">
      <w:pPr>
        <w:suppressLineNumbers/>
        <w:tabs>
          <w:tab w:val="right" w:leader="dot" w:pos="9077"/>
        </w:tabs>
        <w:suppressAutoHyphens/>
        <w:spacing w:line="360" w:lineRule="auto"/>
        <w:ind w:left="283"/>
        <w:jc w:val="both"/>
        <w:rPr>
          <w:rFonts w:ascii="Calibri" w:eastAsia="Times New Roman" w:hAnsi="Calibri" w:cs="Times New Roman"/>
          <w:noProof/>
          <w:lang w:val="en-IN" w:eastAsia="en-IN"/>
          <w14:ligatures w14:val="none"/>
        </w:rPr>
      </w:pPr>
      <w:hyperlink w:anchor="_Toc143382895" w:history="1">
        <w:r w:rsidRPr="007A0324">
          <w:rPr>
            <w:rFonts w:ascii="Arial" w:eastAsia="Calibri" w:hAnsi="Arial" w:cs="DejaVu Sans"/>
            <w:noProof/>
            <w:color w:val="000080"/>
            <w:kern w:val="0"/>
            <w:sz w:val="24"/>
            <w:u w:val="single"/>
            <w:lang/>
            <w14:ligatures w14:val="none"/>
          </w:rPr>
          <w:t>2. The Impact of Changes Due to Changing Contractual Employment Terms on Employee Engagement</w:t>
        </w:r>
        <w:r w:rsidRPr="007A0324">
          <w:rPr>
            <w:rFonts w:ascii="Arial" w:eastAsia="Calibri" w:hAnsi="Arial" w:cs="DejaVu Sans"/>
            <w:noProof/>
            <w:webHidden/>
            <w:color w:val="000000"/>
            <w:kern w:val="0"/>
            <w:sz w:val="24"/>
            <w:lang w:eastAsia="ar-SA"/>
            <w14:ligatures w14:val="none"/>
          </w:rPr>
          <w:tab/>
        </w:r>
        <w:r w:rsidRPr="007A0324">
          <w:rPr>
            <w:rFonts w:ascii="Arial" w:eastAsia="Calibri" w:hAnsi="Arial" w:cs="DejaVu Sans"/>
            <w:noProof/>
            <w:webHidden/>
            <w:color w:val="000000"/>
            <w:kern w:val="0"/>
            <w:sz w:val="24"/>
            <w:lang w:eastAsia="ar-SA"/>
            <w14:ligatures w14:val="none"/>
          </w:rPr>
          <w:fldChar w:fldCharType="begin"/>
        </w:r>
        <w:r w:rsidRPr="007A0324">
          <w:rPr>
            <w:rFonts w:ascii="Arial" w:eastAsia="Calibri" w:hAnsi="Arial" w:cs="DejaVu Sans"/>
            <w:noProof/>
            <w:webHidden/>
            <w:color w:val="000000"/>
            <w:kern w:val="0"/>
            <w:sz w:val="24"/>
            <w:lang w:eastAsia="ar-SA"/>
            <w14:ligatures w14:val="none"/>
          </w:rPr>
          <w:instrText xml:space="preserve"> PAGEREF _Toc143382895 \h </w:instrText>
        </w:r>
        <w:r w:rsidRPr="007A0324">
          <w:rPr>
            <w:rFonts w:ascii="Arial" w:eastAsia="Calibri" w:hAnsi="Arial" w:cs="DejaVu Sans"/>
            <w:noProof/>
            <w:webHidden/>
            <w:color w:val="000000"/>
            <w:kern w:val="0"/>
            <w:sz w:val="24"/>
            <w:lang w:eastAsia="ar-SA"/>
            <w14:ligatures w14:val="none"/>
          </w:rPr>
        </w:r>
        <w:r w:rsidRPr="007A0324">
          <w:rPr>
            <w:rFonts w:ascii="Arial" w:eastAsia="Calibri" w:hAnsi="Arial" w:cs="DejaVu Sans"/>
            <w:noProof/>
            <w:webHidden/>
            <w:color w:val="000000"/>
            <w:kern w:val="0"/>
            <w:sz w:val="24"/>
            <w:lang w:eastAsia="ar-SA"/>
            <w14:ligatures w14:val="none"/>
          </w:rPr>
          <w:fldChar w:fldCharType="separate"/>
        </w:r>
        <w:r w:rsidRPr="007A0324">
          <w:rPr>
            <w:rFonts w:ascii="Arial" w:eastAsia="Calibri" w:hAnsi="Arial" w:cs="DejaVu Sans"/>
            <w:noProof/>
            <w:webHidden/>
            <w:color w:val="000000"/>
            <w:kern w:val="0"/>
            <w:sz w:val="24"/>
            <w:lang w:eastAsia="ar-SA"/>
            <w14:ligatures w14:val="none"/>
          </w:rPr>
          <w:t>5</w:t>
        </w:r>
        <w:r w:rsidRPr="007A0324">
          <w:rPr>
            <w:rFonts w:ascii="Arial" w:eastAsia="Calibri" w:hAnsi="Arial" w:cs="DejaVu Sans"/>
            <w:noProof/>
            <w:webHidden/>
            <w:color w:val="000000"/>
            <w:kern w:val="0"/>
            <w:sz w:val="24"/>
            <w:lang w:eastAsia="ar-SA"/>
            <w14:ligatures w14:val="none"/>
          </w:rPr>
          <w:fldChar w:fldCharType="end"/>
        </w:r>
      </w:hyperlink>
    </w:p>
    <w:p w14:paraId="1F95E10B" w14:textId="77777777" w:rsidR="007A0324" w:rsidRPr="007A0324" w:rsidRDefault="007A0324" w:rsidP="007A0324">
      <w:pPr>
        <w:suppressLineNumbers/>
        <w:tabs>
          <w:tab w:val="right" w:leader="dot" w:pos="9077"/>
        </w:tabs>
        <w:suppressAutoHyphens/>
        <w:spacing w:line="360" w:lineRule="auto"/>
        <w:ind w:left="283"/>
        <w:jc w:val="both"/>
        <w:rPr>
          <w:rFonts w:ascii="Calibri" w:eastAsia="Times New Roman" w:hAnsi="Calibri" w:cs="Times New Roman"/>
          <w:noProof/>
          <w:lang w:val="en-IN" w:eastAsia="en-IN"/>
          <w14:ligatures w14:val="none"/>
        </w:rPr>
      </w:pPr>
      <w:hyperlink w:anchor="_Toc143382896" w:history="1">
        <w:r w:rsidRPr="007A0324">
          <w:rPr>
            <w:rFonts w:ascii="Arial" w:eastAsia="Calibri" w:hAnsi="Arial" w:cs="DejaVu Sans"/>
            <w:noProof/>
            <w:color w:val="000080"/>
            <w:kern w:val="0"/>
            <w:sz w:val="24"/>
            <w:u w:val="single"/>
            <w:lang/>
            <w14:ligatures w14:val="none"/>
          </w:rPr>
          <w:t>3. Evaluation of HR Involvement in the Issue and Considering Whether Traditional Models of HRM Provide Adequate Framework for Managing Contemporary Employment Relations</w:t>
        </w:r>
        <w:r w:rsidRPr="007A0324">
          <w:rPr>
            <w:rFonts w:ascii="Arial" w:eastAsia="Calibri" w:hAnsi="Arial" w:cs="DejaVu Sans"/>
            <w:noProof/>
            <w:webHidden/>
            <w:color w:val="000000"/>
            <w:kern w:val="0"/>
            <w:sz w:val="24"/>
            <w:lang w:eastAsia="ar-SA"/>
            <w14:ligatures w14:val="none"/>
          </w:rPr>
          <w:tab/>
        </w:r>
        <w:r w:rsidRPr="007A0324">
          <w:rPr>
            <w:rFonts w:ascii="Arial" w:eastAsia="Calibri" w:hAnsi="Arial" w:cs="DejaVu Sans"/>
            <w:noProof/>
            <w:webHidden/>
            <w:color w:val="000000"/>
            <w:kern w:val="0"/>
            <w:sz w:val="24"/>
            <w:lang w:eastAsia="ar-SA"/>
            <w14:ligatures w14:val="none"/>
          </w:rPr>
          <w:fldChar w:fldCharType="begin"/>
        </w:r>
        <w:r w:rsidRPr="007A0324">
          <w:rPr>
            <w:rFonts w:ascii="Arial" w:eastAsia="Calibri" w:hAnsi="Arial" w:cs="DejaVu Sans"/>
            <w:noProof/>
            <w:webHidden/>
            <w:color w:val="000000"/>
            <w:kern w:val="0"/>
            <w:sz w:val="24"/>
            <w:lang w:eastAsia="ar-SA"/>
            <w14:ligatures w14:val="none"/>
          </w:rPr>
          <w:instrText xml:space="preserve"> PAGEREF _Toc143382896 \h </w:instrText>
        </w:r>
        <w:r w:rsidRPr="007A0324">
          <w:rPr>
            <w:rFonts w:ascii="Arial" w:eastAsia="Calibri" w:hAnsi="Arial" w:cs="DejaVu Sans"/>
            <w:noProof/>
            <w:webHidden/>
            <w:color w:val="000000"/>
            <w:kern w:val="0"/>
            <w:sz w:val="24"/>
            <w:lang w:eastAsia="ar-SA"/>
            <w14:ligatures w14:val="none"/>
          </w:rPr>
        </w:r>
        <w:r w:rsidRPr="007A0324">
          <w:rPr>
            <w:rFonts w:ascii="Arial" w:eastAsia="Calibri" w:hAnsi="Arial" w:cs="DejaVu Sans"/>
            <w:noProof/>
            <w:webHidden/>
            <w:color w:val="000000"/>
            <w:kern w:val="0"/>
            <w:sz w:val="24"/>
            <w:lang w:eastAsia="ar-SA"/>
            <w14:ligatures w14:val="none"/>
          </w:rPr>
          <w:fldChar w:fldCharType="separate"/>
        </w:r>
        <w:r w:rsidRPr="007A0324">
          <w:rPr>
            <w:rFonts w:ascii="Arial" w:eastAsia="Calibri" w:hAnsi="Arial" w:cs="DejaVu Sans"/>
            <w:noProof/>
            <w:webHidden/>
            <w:color w:val="000000"/>
            <w:kern w:val="0"/>
            <w:sz w:val="24"/>
            <w:lang w:eastAsia="ar-SA"/>
            <w14:ligatures w14:val="none"/>
          </w:rPr>
          <w:t>10</w:t>
        </w:r>
        <w:r w:rsidRPr="007A0324">
          <w:rPr>
            <w:rFonts w:ascii="Arial" w:eastAsia="Calibri" w:hAnsi="Arial" w:cs="DejaVu Sans"/>
            <w:noProof/>
            <w:webHidden/>
            <w:color w:val="000000"/>
            <w:kern w:val="0"/>
            <w:sz w:val="24"/>
            <w:lang w:eastAsia="ar-SA"/>
            <w14:ligatures w14:val="none"/>
          </w:rPr>
          <w:fldChar w:fldCharType="end"/>
        </w:r>
      </w:hyperlink>
    </w:p>
    <w:p w14:paraId="53E736FD" w14:textId="77777777" w:rsidR="007A0324" w:rsidRPr="007A0324" w:rsidRDefault="007A0324" w:rsidP="007A0324">
      <w:pPr>
        <w:suppressLineNumbers/>
        <w:tabs>
          <w:tab w:val="right" w:leader="dot" w:pos="9360"/>
        </w:tabs>
        <w:suppressAutoHyphens/>
        <w:spacing w:line="360" w:lineRule="auto"/>
        <w:jc w:val="both"/>
        <w:rPr>
          <w:rFonts w:ascii="Calibri" w:eastAsia="Times New Roman" w:hAnsi="Calibri" w:cs="Times New Roman"/>
          <w:noProof/>
          <w:lang w:val="en-IN" w:eastAsia="en-IN"/>
          <w14:ligatures w14:val="none"/>
        </w:rPr>
      </w:pPr>
      <w:hyperlink w:anchor="_Toc143382897" w:history="1">
        <w:r w:rsidRPr="007A0324">
          <w:rPr>
            <w:rFonts w:ascii="Arial" w:eastAsia="Calibri" w:hAnsi="Arial" w:cs="DejaVu Sans"/>
            <w:noProof/>
            <w:color w:val="000080"/>
            <w:kern w:val="0"/>
            <w:sz w:val="24"/>
            <w:u w:val="single"/>
            <w:lang/>
            <w14:ligatures w14:val="none"/>
          </w:rPr>
          <w:t>CONCLUSION</w:t>
        </w:r>
        <w:r w:rsidRPr="007A0324">
          <w:rPr>
            <w:rFonts w:ascii="Arial" w:eastAsia="Calibri" w:hAnsi="Arial" w:cs="DejaVu Sans"/>
            <w:noProof/>
            <w:webHidden/>
            <w:color w:val="000000"/>
            <w:kern w:val="0"/>
            <w:sz w:val="24"/>
            <w:lang w:eastAsia="ar-SA"/>
            <w14:ligatures w14:val="none"/>
          </w:rPr>
          <w:tab/>
        </w:r>
        <w:r w:rsidRPr="007A0324">
          <w:rPr>
            <w:rFonts w:ascii="Arial" w:eastAsia="Calibri" w:hAnsi="Arial" w:cs="DejaVu Sans"/>
            <w:noProof/>
            <w:webHidden/>
            <w:color w:val="000000"/>
            <w:kern w:val="0"/>
            <w:sz w:val="24"/>
            <w:lang w:eastAsia="ar-SA"/>
            <w14:ligatures w14:val="none"/>
          </w:rPr>
          <w:fldChar w:fldCharType="begin"/>
        </w:r>
        <w:r w:rsidRPr="007A0324">
          <w:rPr>
            <w:rFonts w:ascii="Arial" w:eastAsia="Calibri" w:hAnsi="Arial" w:cs="DejaVu Sans"/>
            <w:noProof/>
            <w:webHidden/>
            <w:color w:val="000000"/>
            <w:kern w:val="0"/>
            <w:sz w:val="24"/>
            <w:lang w:eastAsia="ar-SA"/>
            <w14:ligatures w14:val="none"/>
          </w:rPr>
          <w:instrText xml:space="preserve"> PAGEREF _Toc143382897 \h </w:instrText>
        </w:r>
        <w:r w:rsidRPr="007A0324">
          <w:rPr>
            <w:rFonts w:ascii="Arial" w:eastAsia="Calibri" w:hAnsi="Arial" w:cs="DejaVu Sans"/>
            <w:noProof/>
            <w:webHidden/>
            <w:color w:val="000000"/>
            <w:kern w:val="0"/>
            <w:sz w:val="24"/>
            <w:lang w:eastAsia="ar-SA"/>
            <w14:ligatures w14:val="none"/>
          </w:rPr>
        </w:r>
        <w:r w:rsidRPr="007A0324">
          <w:rPr>
            <w:rFonts w:ascii="Arial" w:eastAsia="Calibri" w:hAnsi="Arial" w:cs="DejaVu Sans"/>
            <w:noProof/>
            <w:webHidden/>
            <w:color w:val="000000"/>
            <w:kern w:val="0"/>
            <w:sz w:val="24"/>
            <w:lang w:eastAsia="ar-SA"/>
            <w14:ligatures w14:val="none"/>
          </w:rPr>
          <w:fldChar w:fldCharType="separate"/>
        </w:r>
        <w:r w:rsidRPr="007A0324">
          <w:rPr>
            <w:rFonts w:ascii="Arial" w:eastAsia="Calibri" w:hAnsi="Arial" w:cs="DejaVu Sans"/>
            <w:noProof/>
            <w:webHidden/>
            <w:color w:val="000000"/>
            <w:kern w:val="0"/>
            <w:sz w:val="24"/>
            <w:lang w:eastAsia="ar-SA"/>
            <w14:ligatures w14:val="none"/>
          </w:rPr>
          <w:t>14</w:t>
        </w:r>
        <w:r w:rsidRPr="007A0324">
          <w:rPr>
            <w:rFonts w:ascii="Arial" w:eastAsia="Calibri" w:hAnsi="Arial" w:cs="DejaVu Sans"/>
            <w:noProof/>
            <w:webHidden/>
            <w:color w:val="000000"/>
            <w:kern w:val="0"/>
            <w:sz w:val="24"/>
            <w:lang w:eastAsia="ar-SA"/>
            <w14:ligatures w14:val="none"/>
          </w:rPr>
          <w:fldChar w:fldCharType="end"/>
        </w:r>
      </w:hyperlink>
    </w:p>
    <w:p w14:paraId="68357980" w14:textId="77777777" w:rsidR="007A0324" w:rsidRPr="007A0324" w:rsidRDefault="007A0324" w:rsidP="007A0324">
      <w:pPr>
        <w:suppressLineNumbers/>
        <w:tabs>
          <w:tab w:val="right" w:leader="dot" w:pos="9360"/>
        </w:tabs>
        <w:suppressAutoHyphens/>
        <w:spacing w:line="360" w:lineRule="auto"/>
        <w:jc w:val="both"/>
        <w:rPr>
          <w:rFonts w:ascii="Calibri" w:eastAsia="Times New Roman" w:hAnsi="Calibri" w:cs="Times New Roman"/>
          <w:noProof/>
          <w:lang w:val="en-IN" w:eastAsia="en-IN"/>
          <w14:ligatures w14:val="none"/>
        </w:rPr>
      </w:pPr>
      <w:hyperlink w:anchor="_Toc143382898" w:history="1">
        <w:r w:rsidRPr="007A0324">
          <w:rPr>
            <w:rFonts w:ascii="Arial" w:eastAsia="Calibri" w:hAnsi="Arial" w:cs="DejaVu Sans"/>
            <w:noProof/>
            <w:color w:val="000080"/>
            <w:kern w:val="0"/>
            <w:sz w:val="24"/>
            <w:u w:val="single"/>
            <w:lang/>
            <w14:ligatures w14:val="none"/>
          </w:rPr>
          <w:t>REFERENCES</w:t>
        </w:r>
        <w:r w:rsidRPr="007A0324">
          <w:rPr>
            <w:rFonts w:ascii="Arial" w:eastAsia="Calibri" w:hAnsi="Arial" w:cs="DejaVu Sans"/>
            <w:noProof/>
            <w:webHidden/>
            <w:color w:val="000000"/>
            <w:kern w:val="0"/>
            <w:sz w:val="24"/>
            <w:lang w:eastAsia="ar-SA"/>
            <w14:ligatures w14:val="none"/>
          </w:rPr>
          <w:tab/>
        </w:r>
        <w:r w:rsidRPr="007A0324">
          <w:rPr>
            <w:rFonts w:ascii="Arial" w:eastAsia="Calibri" w:hAnsi="Arial" w:cs="DejaVu Sans"/>
            <w:noProof/>
            <w:webHidden/>
            <w:color w:val="000000"/>
            <w:kern w:val="0"/>
            <w:sz w:val="24"/>
            <w:lang w:eastAsia="ar-SA"/>
            <w14:ligatures w14:val="none"/>
          </w:rPr>
          <w:fldChar w:fldCharType="begin"/>
        </w:r>
        <w:r w:rsidRPr="007A0324">
          <w:rPr>
            <w:rFonts w:ascii="Arial" w:eastAsia="Calibri" w:hAnsi="Arial" w:cs="DejaVu Sans"/>
            <w:noProof/>
            <w:webHidden/>
            <w:color w:val="000000"/>
            <w:kern w:val="0"/>
            <w:sz w:val="24"/>
            <w:lang w:eastAsia="ar-SA"/>
            <w14:ligatures w14:val="none"/>
          </w:rPr>
          <w:instrText xml:space="preserve"> PAGEREF _Toc143382898 \h </w:instrText>
        </w:r>
        <w:r w:rsidRPr="007A0324">
          <w:rPr>
            <w:rFonts w:ascii="Arial" w:eastAsia="Calibri" w:hAnsi="Arial" w:cs="DejaVu Sans"/>
            <w:noProof/>
            <w:webHidden/>
            <w:color w:val="000000"/>
            <w:kern w:val="0"/>
            <w:sz w:val="24"/>
            <w:lang w:eastAsia="ar-SA"/>
            <w14:ligatures w14:val="none"/>
          </w:rPr>
        </w:r>
        <w:r w:rsidRPr="007A0324">
          <w:rPr>
            <w:rFonts w:ascii="Arial" w:eastAsia="Calibri" w:hAnsi="Arial" w:cs="DejaVu Sans"/>
            <w:noProof/>
            <w:webHidden/>
            <w:color w:val="000000"/>
            <w:kern w:val="0"/>
            <w:sz w:val="24"/>
            <w:lang w:eastAsia="ar-SA"/>
            <w14:ligatures w14:val="none"/>
          </w:rPr>
          <w:fldChar w:fldCharType="separate"/>
        </w:r>
        <w:r w:rsidRPr="007A0324">
          <w:rPr>
            <w:rFonts w:ascii="Arial" w:eastAsia="Calibri" w:hAnsi="Arial" w:cs="DejaVu Sans"/>
            <w:noProof/>
            <w:webHidden/>
            <w:color w:val="000000"/>
            <w:kern w:val="0"/>
            <w:sz w:val="24"/>
            <w:lang w:eastAsia="ar-SA"/>
            <w14:ligatures w14:val="none"/>
          </w:rPr>
          <w:t>15</w:t>
        </w:r>
        <w:r w:rsidRPr="007A0324">
          <w:rPr>
            <w:rFonts w:ascii="Arial" w:eastAsia="Calibri" w:hAnsi="Arial" w:cs="DejaVu Sans"/>
            <w:noProof/>
            <w:webHidden/>
            <w:color w:val="000000"/>
            <w:kern w:val="0"/>
            <w:sz w:val="24"/>
            <w:lang w:eastAsia="ar-SA"/>
            <w14:ligatures w14:val="none"/>
          </w:rPr>
          <w:fldChar w:fldCharType="end"/>
        </w:r>
      </w:hyperlink>
    </w:p>
    <w:p w14:paraId="66830B6C"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b/>
          <w:bCs/>
          <w:noProof/>
          <w:color w:val="000000"/>
          <w:kern w:val="0"/>
          <w:sz w:val="24"/>
          <w:lang w:eastAsia="ar-SA"/>
          <w14:ligatures w14:val="none"/>
        </w:rPr>
        <w:fldChar w:fldCharType="end"/>
      </w:r>
    </w:p>
    <w:p w14:paraId="4C5A2BF7" w14:textId="77777777" w:rsidR="007A0324" w:rsidRPr="007A0324" w:rsidRDefault="007A0324" w:rsidP="007A0324">
      <w:pPr>
        <w:suppressAutoHyphens/>
        <w:spacing w:line="360" w:lineRule="auto"/>
        <w:jc w:val="both"/>
        <w:rPr>
          <w:rFonts w:ascii="Arial" w:eastAsia="Calibri" w:hAnsi="Arial" w:cs="Times New Roman"/>
          <w:b/>
          <w:bCs/>
          <w:i/>
          <w:iCs/>
          <w:color w:val="000000"/>
          <w:kern w:val="0"/>
          <w:sz w:val="88"/>
          <w:szCs w:val="88"/>
          <w:u w:val="single"/>
          <w:lang w:eastAsia="ar-SA"/>
          <w14:ligatures w14:val="none"/>
        </w:rPr>
      </w:pPr>
    </w:p>
    <w:p w14:paraId="3A5574A1" w14:textId="77777777" w:rsidR="007A0324" w:rsidRPr="007A0324" w:rsidRDefault="007A0324" w:rsidP="007A0324">
      <w:pPr>
        <w:suppressAutoHyphens/>
        <w:spacing w:line="360" w:lineRule="auto"/>
        <w:jc w:val="center"/>
        <w:rPr>
          <w:rFonts w:ascii="Arial" w:eastAsia="Calibri" w:hAnsi="Arial" w:cs="Times New Roman"/>
          <w:b/>
          <w:bCs/>
          <w:i/>
          <w:iCs/>
          <w:color w:val="000000"/>
          <w:kern w:val="0"/>
          <w:sz w:val="88"/>
          <w:szCs w:val="88"/>
          <w:u w:val="single"/>
          <w:lang w:eastAsia="ar-SA"/>
          <w14:ligatures w14:val="none"/>
        </w:rPr>
      </w:pPr>
    </w:p>
    <w:p w14:paraId="7B680C6B" w14:textId="77777777" w:rsidR="007A0324" w:rsidRPr="007A0324" w:rsidRDefault="007A0324" w:rsidP="007A0324">
      <w:pPr>
        <w:suppressAutoHyphens/>
        <w:spacing w:line="100" w:lineRule="atLeast"/>
        <w:rPr>
          <w:rFonts w:ascii="Times New Roman" w:eastAsia="Droid Sans" w:hAnsi="Times New Roman" w:cs="Times New Roman"/>
          <w:b/>
          <w:bCs/>
          <w:color w:val="000000"/>
          <w:kern w:val="0"/>
          <w:sz w:val="96"/>
          <w:szCs w:val="96"/>
          <w:lang w:eastAsia="hi-IN" w:bidi="hi-IN"/>
          <w14:ligatures w14:val="none"/>
        </w:rPr>
      </w:pPr>
    </w:p>
    <w:p w14:paraId="61B14D18" w14:textId="77777777" w:rsidR="007A0324" w:rsidRPr="007A0324" w:rsidRDefault="007A0324" w:rsidP="007A0324">
      <w:pPr>
        <w:suppressAutoHyphens/>
        <w:spacing w:line="100" w:lineRule="atLeast"/>
        <w:rPr>
          <w:rFonts w:ascii="Times New Roman" w:eastAsia="Droid Sans" w:hAnsi="Times New Roman" w:cs="Times New Roman"/>
          <w:b/>
          <w:bCs/>
          <w:color w:val="000000"/>
          <w:kern w:val="0"/>
          <w:sz w:val="72"/>
          <w:szCs w:val="72"/>
          <w:lang w:eastAsia="hi-IN" w:bidi="hi-IN"/>
          <w14:ligatures w14:val="none"/>
        </w:rPr>
      </w:pPr>
    </w:p>
    <w:p w14:paraId="69E78508" w14:textId="77777777" w:rsidR="007A0324" w:rsidRPr="007A0324" w:rsidRDefault="007A0324" w:rsidP="007A0324">
      <w:pPr>
        <w:keepNext/>
        <w:keepLines/>
        <w:pageBreakBefore/>
        <w:suppressAutoHyphens/>
        <w:spacing w:before="113" w:line="360" w:lineRule="auto"/>
        <w:jc w:val="both"/>
        <w:outlineLvl w:val="0"/>
        <w:rPr>
          <w:rFonts w:ascii="Arial" w:eastAsia="Times New Roman" w:hAnsi="Arial" w:cs="Times New Roman"/>
          <w:b/>
          <w:bCs/>
          <w:color w:val="000000"/>
          <w:kern w:val="0"/>
          <w:sz w:val="28"/>
          <w:szCs w:val="28"/>
          <w:lang w:eastAsia="ar-SA"/>
          <w14:ligatures w14:val="none"/>
        </w:rPr>
        <w:sectPr w:rsidR="007A0324" w:rsidRPr="007A0324" w:rsidSect="00ED728A">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600" w:charSpace="32768"/>
        </w:sectPr>
      </w:pPr>
      <w:bookmarkStart w:id="0" w:name="_Toc24213560"/>
    </w:p>
    <w:p w14:paraId="71E772A6" w14:textId="77777777" w:rsidR="007A0324" w:rsidRPr="007A0324" w:rsidRDefault="007A0324" w:rsidP="007A0324">
      <w:pPr>
        <w:keepNext/>
        <w:keepLines/>
        <w:pageBreakBefore/>
        <w:suppressAutoHyphens/>
        <w:spacing w:before="113" w:line="360" w:lineRule="auto"/>
        <w:jc w:val="both"/>
        <w:outlineLvl w:val="0"/>
        <w:rPr>
          <w:rFonts w:ascii="Arial" w:eastAsia="Times New Roman" w:hAnsi="Arial" w:cs="Times New Roman"/>
          <w:b/>
          <w:bCs/>
          <w:color w:val="000000"/>
          <w:kern w:val="0"/>
          <w:sz w:val="28"/>
          <w:szCs w:val="28"/>
          <w:lang w:eastAsia="ar-SA"/>
          <w14:ligatures w14:val="none"/>
        </w:rPr>
      </w:pPr>
      <w:bookmarkStart w:id="1" w:name="_Toc143382892"/>
      <w:r w:rsidRPr="007A0324">
        <w:rPr>
          <w:rFonts w:ascii="Arial" w:eastAsia="Times New Roman" w:hAnsi="Arial" w:cs="Times New Roman"/>
          <w:b/>
          <w:bCs/>
          <w:color w:val="000000"/>
          <w:kern w:val="0"/>
          <w:sz w:val="28"/>
          <w:szCs w:val="28"/>
          <w:lang w:eastAsia="ar-SA"/>
          <w14:ligatures w14:val="none"/>
        </w:rPr>
        <w:lastRenderedPageBreak/>
        <w:t>INTRODUCTION</w:t>
      </w:r>
      <w:bookmarkEnd w:id="0"/>
      <w:bookmarkEnd w:id="1"/>
      <w:r w:rsidRPr="007A0324">
        <w:rPr>
          <w:rFonts w:ascii="Arial" w:eastAsia="Times New Roman" w:hAnsi="Arial" w:cs="Times New Roman"/>
          <w:b/>
          <w:bCs/>
          <w:color w:val="000000"/>
          <w:kern w:val="0"/>
          <w:sz w:val="28"/>
          <w:szCs w:val="28"/>
          <w:lang w:eastAsia="ar-SA"/>
          <w14:ligatures w14:val="none"/>
        </w:rPr>
        <w:t xml:space="preserve"> </w:t>
      </w:r>
    </w:p>
    <w:p w14:paraId="572635FA"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People management is the process of recruiting, training, engaging, and retaining employees to maximise their talents and the company's aggregate productivity. Individuals' needs, special skills, and career aspirations are considered in human resource management strategies, while also ensuring that these factors correlate with those of the organisation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Sharipov</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proofErr w:type="spellStart"/>
      <w:r w:rsidRPr="007A0324">
        <w:rPr>
          <w:rFonts w:ascii="Arial" w:eastAsia="Calibri" w:hAnsi="Arial" w:cs="Arial"/>
          <w:color w:val="000000"/>
          <w:kern w:val="0"/>
          <w:sz w:val="24"/>
          <w:szCs w:val="24"/>
          <w:shd w:val="clear" w:color="auto" w:fill="FFFFFF"/>
          <w:lang w:eastAsia="ar-SA"/>
          <w14:ligatures w14:val="none"/>
        </w:rPr>
        <w:t>Krotenko</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Dyakonova</w:t>
      </w:r>
      <w:proofErr w:type="spellEnd"/>
      <w:r w:rsidRPr="007A0324">
        <w:rPr>
          <w:rFonts w:ascii="Arial" w:eastAsia="Calibri" w:hAnsi="Arial" w:cs="Arial"/>
          <w:color w:val="000000"/>
          <w:kern w:val="0"/>
          <w:sz w:val="24"/>
          <w:szCs w:val="24"/>
          <w:shd w:val="clear" w:color="auto" w:fill="FFFFFF"/>
          <w:lang w:eastAsia="ar-SA"/>
          <w14:ligatures w14:val="none"/>
        </w:rPr>
        <w:t>, 2021)</w:t>
      </w:r>
      <w:r w:rsidRPr="007A0324">
        <w:rPr>
          <w:rFonts w:ascii="Arial" w:eastAsia="Calibri" w:hAnsi="Arial" w:cs="Times New Roman"/>
          <w:color w:val="000000"/>
          <w:kern w:val="0"/>
          <w:sz w:val="24"/>
          <w:lang w:eastAsia="ar-SA"/>
          <w14:ligatures w14:val="none"/>
        </w:rPr>
        <w:t xml:space="preserve">. Strategies for managing people have the potential to determine whether an employee's experience is poor, average, good, or exceptional. </w:t>
      </w:r>
    </w:p>
    <w:p w14:paraId="6FF19268"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Due to the recent modifications to the operation of HR systems and procedures, the essence, extent, and scope of people management have all shifted (</w:t>
      </w:r>
      <w:r w:rsidRPr="007A0324">
        <w:rPr>
          <w:rFonts w:ascii="Arial" w:eastAsia="Calibri" w:hAnsi="Arial" w:cs="Arial"/>
          <w:color w:val="000000"/>
          <w:kern w:val="0"/>
          <w:sz w:val="24"/>
          <w:szCs w:val="24"/>
          <w:shd w:val="clear" w:color="auto" w:fill="FFFFFF"/>
          <w:lang w:eastAsia="ar-SA"/>
          <w14:ligatures w14:val="none"/>
        </w:rPr>
        <w:t xml:space="preserve">King and </w:t>
      </w:r>
      <w:proofErr w:type="spellStart"/>
      <w:r w:rsidRPr="007A0324">
        <w:rPr>
          <w:rFonts w:ascii="Arial" w:eastAsia="Calibri" w:hAnsi="Arial" w:cs="Arial"/>
          <w:color w:val="000000"/>
          <w:kern w:val="0"/>
          <w:sz w:val="24"/>
          <w:szCs w:val="24"/>
          <w:shd w:val="clear" w:color="auto" w:fill="FFFFFF"/>
          <w:lang w:eastAsia="ar-SA"/>
          <w14:ligatures w14:val="none"/>
        </w:rPr>
        <w:t>Vaiman</w:t>
      </w:r>
      <w:proofErr w:type="spellEnd"/>
      <w:r w:rsidRPr="007A0324">
        <w:rPr>
          <w:rFonts w:ascii="Arial" w:eastAsia="Calibri" w:hAnsi="Arial" w:cs="Arial"/>
          <w:color w:val="000000"/>
          <w:kern w:val="0"/>
          <w:sz w:val="24"/>
          <w:szCs w:val="24"/>
          <w:shd w:val="clear" w:color="auto" w:fill="FFFFFF"/>
          <w:lang w:eastAsia="ar-SA"/>
          <w14:ligatures w14:val="none"/>
        </w:rPr>
        <w:t>, 2019</w:t>
      </w:r>
      <w:r w:rsidRPr="007A0324">
        <w:rPr>
          <w:rFonts w:ascii="Arial" w:eastAsia="Calibri" w:hAnsi="Arial" w:cs="Times New Roman"/>
          <w:color w:val="000000"/>
          <w:kern w:val="0"/>
          <w:sz w:val="24"/>
          <w:lang w:eastAsia="ar-SA"/>
          <w14:ligatures w14:val="none"/>
        </w:rPr>
        <w:t xml:space="preserve">). Additional examples include safety, wellness, communication, benefits, and administration. Effective people management requires a comprehensive understanding of the individuals who comprise an organisation, including their personalities, motivations, and personal and professional goals. </w:t>
      </w:r>
    </w:p>
    <w:p w14:paraId="218A90C6"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Individuals and groups can achieve deeper mutual comprehension by cultivating empathy, attentive listening, and a people-centric perspective. The company chosen for the completion of the current report is British Gas, founded in the year 1997 and headquartered in Staines-upon-Thames, England, United Kingdom. The area in which British Gas serves is the United Kingdom only with their main products/services as gas, electricity, boilers, and central heating, plumbing and drains, renewable energy and home appliance services for meeting the needs and requirements of customers. </w:t>
      </w:r>
    </w:p>
    <w:p w14:paraId="5BE0D278" w14:textId="77777777" w:rsidR="007A0324" w:rsidRPr="007A0324" w:rsidRDefault="007A0324" w:rsidP="007A0324">
      <w:pPr>
        <w:keepNext/>
        <w:suppressAutoHyphens/>
        <w:spacing w:line="360" w:lineRule="auto"/>
        <w:jc w:val="center"/>
        <w:rPr>
          <w:rFonts w:ascii="Arial" w:eastAsia="Calibri" w:hAnsi="Arial" w:cs="Times New Roman"/>
          <w:color w:val="000000"/>
          <w:kern w:val="0"/>
          <w:sz w:val="24"/>
          <w:lang w:eastAsia="ar-SA"/>
          <w14:ligatures w14:val="none"/>
        </w:rPr>
      </w:pPr>
      <w:r w:rsidRPr="007A0324">
        <w:rPr>
          <w:rFonts w:ascii="Arial" w:eastAsia="Calibri" w:hAnsi="Arial" w:cs="Times New Roman"/>
          <w:noProof/>
          <w:color w:val="000000"/>
          <w:kern w:val="0"/>
          <w:sz w:val="24"/>
          <w:lang w:eastAsia="ar-SA"/>
          <w14:ligatures w14:val="none"/>
        </w:rPr>
        <w:drawing>
          <wp:inline distT="0" distB="0" distL="0" distR="0" wp14:anchorId="58997012" wp14:editId="116D4E37">
            <wp:extent cx="4178300" cy="1600200"/>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78300" cy="1600200"/>
                    </a:xfrm>
                    <a:prstGeom prst="rect">
                      <a:avLst/>
                    </a:prstGeom>
                    <a:noFill/>
                    <a:ln>
                      <a:noFill/>
                    </a:ln>
                  </pic:spPr>
                </pic:pic>
              </a:graphicData>
            </a:graphic>
          </wp:inline>
        </w:drawing>
      </w:r>
    </w:p>
    <w:p w14:paraId="5AF73DED" w14:textId="77777777" w:rsidR="007A0324" w:rsidRPr="007A0324" w:rsidRDefault="007A0324" w:rsidP="007A0324">
      <w:pPr>
        <w:suppressLineNumbers/>
        <w:suppressAutoHyphens/>
        <w:spacing w:before="120" w:after="120" w:line="360" w:lineRule="auto"/>
        <w:jc w:val="center"/>
        <w:rPr>
          <w:rFonts w:ascii="Arial" w:eastAsia="Calibri" w:hAnsi="Arial" w:cs="DejaVu Sans"/>
          <w:i/>
          <w:iCs/>
          <w:color w:val="000000"/>
          <w:kern w:val="0"/>
          <w:sz w:val="24"/>
          <w:szCs w:val="24"/>
          <w:lang w:eastAsia="ar-SA"/>
          <w14:ligatures w14:val="none"/>
        </w:rPr>
      </w:pPr>
      <w:r w:rsidRPr="007A0324">
        <w:rPr>
          <w:rFonts w:ascii="Arial" w:eastAsia="Calibri" w:hAnsi="Arial" w:cs="DejaVu Sans"/>
          <w:i/>
          <w:iCs/>
          <w:color w:val="000000"/>
          <w:kern w:val="0"/>
          <w:sz w:val="24"/>
          <w:szCs w:val="24"/>
          <w:lang w:eastAsia="ar-SA"/>
          <w14:ligatures w14:val="none"/>
        </w:rPr>
        <w:t xml:space="preserve">Figure </w:t>
      </w:r>
      <w:r w:rsidRPr="007A0324">
        <w:rPr>
          <w:rFonts w:ascii="Arial" w:eastAsia="Calibri" w:hAnsi="Arial" w:cs="DejaVu Sans"/>
          <w:i/>
          <w:iCs/>
          <w:color w:val="000000"/>
          <w:kern w:val="0"/>
          <w:sz w:val="24"/>
          <w:szCs w:val="24"/>
          <w:lang w:eastAsia="ar-SA"/>
          <w14:ligatures w14:val="none"/>
        </w:rPr>
        <w:fldChar w:fldCharType="begin"/>
      </w:r>
      <w:r w:rsidRPr="007A0324">
        <w:rPr>
          <w:rFonts w:ascii="Arial" w:eastAsia="Calibri" w:hAnsi="Arial" w:cs="DejaVu Sans"/>
          <w:i/>
          <w:iCs/>
          <w:color w:val="000000"/>
          <w:kern w:val="0"/>
          <w:sz w:val="24"/>
          <w:szCs w:val="24"/>
          <w:lang w:eastAsia="ar-SA"/>
          <w14:ligatures w14:val="none"/>
        </w:rPr>
        <w:instrText xml:space="preserve"> SEQ Figure \* ARABIC </w:instrText>
      </w:r>
      <w:r w:rsidRPr="007A0324">
        <w:rPr>
          <w:rFonts w:ascii="Arial" w:eastAsia="Calibri" w:hAnsi="Arial" w:cs="DejaVu Sans"/>
          <w:i/>
          <w:iCs/>
          <w:color w:val="000000"/>
          <w:kern w:val="0"/>
          <w:sz w:val="24"/>
          <w:szCs w:val="24"/>
          <w:lang w:eastAsia="ar-SA"/>
          <w14:ligatures w14:val="none"/>
        </w:rPr>
        <w:fldChar w:fldCharType="separate"/>
      </w:r>
      <w:r w:rsidRPr="007A0324">
        <w:rPr>
          <w:rFonts w:ascii="Arial" w:eastAsia="Calibri" w:hAnsi="Arial" w:cs="DejaVu Sans"/>
          <w:i/>
          <w:iCs/>
          <w:noProof/>
          <w:color w:val="000000"/>
          <w:kern w:val="0"/>
          <w:sz w:val="24"/>
          <w:szCs w:val="24"/>
          <w:lang w:eastAsia="ar-SA"/>
          <w14:ligatures w14:val="none"/>
        </w:rPr>
        <w:t>1</w:t>
      </w:r>
      <w:r w:rsidRPr="007A0324">
        <w:rPr>
          <w:rFonts w:ascii="Arial" w:eastAsia="Calibri" w:hAnsi="Arial" w:cs="DejaVu Sans"/>
          <w:i/>
          <w:iCs/>
          <w:color w:val="000000"/>
          <w:kern w:val="0"/>
          <w:sz w:val="24"/>
          <w:szCs w:val="24"/>
          <w:lang w:eastAsia="ar-SA"/>
          <w14:ligatures w14:val="none"/>
        </w:rPr>
        <w:fldChar w:fldCharType="end"/>
      </w:r>
      <w:r w:rsidRPr="007A0324">
        <w:rPr>
          <w:rFonts w:ascii="Arial" w:eastAsia="Calibri" w:hAnsi="Arial" w:cs="DejaVu Sans"/>
          <w:i/>
          <w:iCs/>
          <w:color w:val="000000"/>
          <w:kern w:val="0"/>
          <w:sz w:val="24"/>
          <w:szCs w:val="24"/>
          <w:lang w:eastAsia="ar-SA"/>
          <w14:ligatures w14:val="none"/>
        </w:rPr>
        <w:t>: British Gas Logo, 2023</w:t>
      </w:r>
    </w:p>
    <w:p w14:paraId="5A0FA25C" w14:textId="77777777" w:rsidR="007A0324" w:rsidRPr="007A0324" w:rsidRDefault="007A0324" w:rsidP="007A0324">
      <w:pPr>
        <w:suppressLineNumbers/>
        <w:suppressAutoHyphens/>
        <w:spacing w:before="120" w:after="120" w:line="360" w:lineRule="auto"/>
        <w:jc w:val="center"/>
        <w:rPr>
          <w:rFonts w:ascii="Arial" w:eastAsia="Calibri" w:hAnsi="Arial" w:cs="DejaVu Sans"/>
          <w:i/>
          <w:iCs/>
          <w:color w:val="000000"/>
          <w:kern w:val="0"/>
          <w:sz w:val="24"/>
          <w:szCs w:val="24"/>
          <w:lang w:eastAsia="ar-SA"/>
          <w14:ligatures w14:val="none"/>
        </w:rPr>
      </w:pPr>
      <w:r w:rsidRPr="007A0324">
        <w:rPr>
          <w:rFonts w:ascii="Arial" w:eastAsia="Calibri" w:hAnsi="Arial" w:cs="DejaVu Sans"/>
          <w:i/>
          <w:iCs/>
          <w:color w:val="000000"/>
          <w:kern w:val="0"/>
          <w:sz w:val="24"/>
          <w:szCs w:val="24"/>
          <w:lang w:eastAsia="ar-SA"/>
          <w14:ligatures w14:val="none"/>
        </w:rPr>
        <w:t>Source: Logos.net, 2023</w:t>
      </w:r>
    </w:p>
    <w:p w14:paraId="24D48787"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lastRenderedPageBreak/>
        <w:t xml:space="preserve">The industry in which British Gas deals is the utility industry. Considering the issues that have been faced by the company, it is related to managing staff costs which is a constant factor for organisations as they focus on their position retention in the markets. This makes it crucial for the companies to focus on developing efficiency and effectiveness for scrutinising working practises and reward strategies for meeting business needs and requirements. </w:t>
      </w:r>
    </w:p>
    <w:p w14:paraId="0860134C" w14:textId="77777777" w:rsidR="007A0324" w:rsidRPr="007A0324" w:rsidRDefault="007A0324" w:rsidP="007A0324">
      <w:pPr>
        <w:keepNext/>
        <w:keepLines/>
        <w:suppressAutoHyphens/>
        <w:spacing w:before="113" w:line="360" w:lineRule="auto"/>
        <w:jc w:val="both"/>
        <w:outlineLvl w:val="0"/>
        <w:rPr>
          <w:rFonts w:ascii="Arial" w:eastAsia="Times New Roman" w:hAnsi="Arial" w:cs="Times New Roman"/>
          <w:b/>
          <w:bCs/>
          <w:color w:val="000000"/>
          <w:kern w:val="0"/>
          <w:sz w:val="28"/>
          <w:szCs w:val="28"/>
          <w:lang w:eastAsia="ar-SA"/>
          <w14:ligatures w14:val="none"/>
        </w:rPr>
      </w:pPr>
      <w:bookmarkStart w:id="2" w:name="_Toc143382893"/>
      <w:r w:rsidRPr="007A0324">
        <w:rPr>
          <w:rFonts w:ascii="Arial" w:eastAsia="Times New Roman" w:hAnsi="Arial" w:cs="Times New Roman"/>
          <w:b/>
          <w:bCs/>
          <w:color w:val="000000"/>
          <w:kern w:val="0"/>
          <w:sz w:val="28"/>
          <w:szCs w:val="28"/>
          <w:lang w:eastAsia="ar-SA"/>
          <w14:ligatures w14:val="none"/>
        </w:rPr>
        <w:t>MAIN BODY</w:t>
      </w:r>
      <w:bookmarkEnd w:id="2"/>
    </w:p>
    <w:p w14:paraId="68D1087F" w14:textId="77777777" w:rsidR="007A0324" w:rsidRPr="007A0324" w:rsidRDefault="007A0324" w:rsidP="007A0324">
      <w:pPr>
        <w:keepNext/>
        <w:keepLines/>
        <w:suppressAutoHyphens/>
        <w:spacing w:before="113" w:line="360" w:lineRule="auto"/>
        <w:jc w:val="both"/>
        <w:outlineLvl w:val="1"/>
        <w:rPr>
          <w:rFonts w:ascii="Arial" w:eastAsia="Times New Roman" w:hAnsi="Arial" w:cs="Times New Roman"/>
          <w:bCs/>
          <w:color w:val="000000"/>
          <w:kern w:val="0"/>
          <w:sz w:val="24"/>
          <w:szCs w:val="26"/>
          <w:u w:val="single"/>
          <w:lang w:eastAsia="ar-SA"/>
          <w14:ligatures w14:val="none"/>
        </w:rPr>
      </w:pPr>
      <w:bookmarkStart w:id="3" w:name="_Toc143382894"/>
      <w:r w:rsidRPr="007A0324">
        <w:rPr>
          <w:rFonts w:ascii="Arial" w:eastAsia="Times New Roman" w:hAnsi="Arial" w:cs="Times New Roman"/>
          <w:bCs/>
          <w:color w:val="000000"/>
          <w:kern w:val="0"/>
          <w:sz w:val="24"/>
          <w:szCs w:val="26"/>
          <w:u w:val="single"/>
          <w:lang w:eastAsia="ar-SA"/>
          <w14:ligatures w14:val="none"/>
        </w:rPr>
        <w:t>1. The Legal Aspects Impacting Due to Changing Contractual Employment Terms – British Gas</w:t>
      </w:r>
      <w:bookmarkEnd w:id="3"/>
      <w:r w:rsidRPr="007A0324">
        <w:rPr>
          <w:rFonts w:ascii="Arial" w:eastAsia="Times New Roman" w:hAnsi="Arial" w:cs="Times New Roman"/>
          <w:bCs/>
          <w:color w:val="000000"/>
          <w:kern w:val="0"/>
          <w:sz w:val="24"/>
          <w:szCs w:val="26"/>
          <w:u w:val="single"/>
          <w:lang w:eastAsia="ar-SA"/>
          <w14:ligatures w14:val="none"/>
        </w:rPr>
        <w:t xml:space="preserve"> </w:t>
      </w:r>
    </w:p>
    <w:p w14:paraId="363FF1B0"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Contractual employees are individuals who receive a fixed fee to work for a specified timeframe or on a certain project. Companies may also refer to these types of employees as independent contractors, contract workers, freelancers, or work-for-hire staffers (</w:t>
      </w:r>
      <w:proofErr w:type="spellStart"/>
      <w:r w:rsidRPr="007A0324">
        <w:rPr>
          <w:rFonts w:ascii="Arial" w:eastAsia="Calibri" w:hAnsi="Arial" w:cs="Arial"/>
          <w:color w:val="000000"/>
          <w:kern w:val="0"/>
          <w:sz w:val="24"/>
          <w:szCs w:val="24"/>
          <w:shd w:val="clear" w:color="auto" w:fill="FFFFFF"/>
          <w:lang w:eastAsia="ar-SA"/>
          <w14:ligatures w14:val="none"/>
        </w:rPr>
        <w:t>Haak-Saheem</w:t>
      </w:r>
      <w:proofErr w:type="spellEnd"/>
      <w:r w:rsidRPr="007A0324">
        <w:rPr>
          <w:rFonts w:ascii="Arial" w:eastAsia="Calibri" w:hAnsi="Arial" w:cs="Arial"/>
          <w:color w:val="000000"/>
          <w:kern w:val="0"/>
          <w:sz w:val="24"/>
          <w:szCs w:val="24"/>
          <w:shd w:val="clear" w:color="auto" w:fill="FFFFFF"/>
          <w:lang w:eastAsia="ar-SA"/>
          <w14:ligatures w14:val="none"/>
        </w:rPr>
        <w:t>, 2020</w:t>
      </w:r>
      <w:r w:rsidRPr="007A0324">
        <w:rPr>
          <w:rFonts w:ascii="Arial" w:eastAsia="Calibri" w:hAnsi="Arial" w:cs="Times New Roman"/>
          <w:color w:val="000000"/>
          <w:kern w:val="0"/>
          <w:sz w:val="24"/>
          <w:lang w:eastAsia="ar-SA"/>
          <w14:ligatures w14:val="none"/>
        </w:rPr>
        <w:t xml:space="preserve">). Companies often hire contractual employees for their expertise in a particular area, like writing or illustration. When contractual employees work on short-term projects, they receive pay on a weekly, bi-weekly, or monthly basis or upon completion of a project. </w:t>
      </w:r>
    </w:p>
    <w:p w14:paraId="4E27C8F3"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The term "fire and rehire" refers to a situation in which a company fires an employee and then offers them a new contract on different, often less advantageous terms. The government has made it abundantly clear that it disapproves of this practice as a negotiating tactic, and it has also made it abundantly clear how it expects companies to treat their employees (</w:t>
      </w:r>
      <w:proofErr w:type="spellStart"/>
      <w:r w:rsidRPr="007A0324">
        <w:rPr>
          <w:rFonts w:ascii="Arial" w:eastAsia="Calibri" w:hAnsi="Arial" w:cs="Arial"/>
          <w:color w:val="000000"/>
          <w:kern w:val="0"/>
          <w:sz w:val="24"/>
          <w:szCs w:val="24"/>
          <w:shd w:val="clear" w:color="auto" w:fill="FFFFFF"/>
          <w:lang w:eastAsia="ar-SA"/>
          <w14:ligatures w14:val="none"/>
        </w:rPr>
        <w:t>Hongal</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Kinange</w:t>
      </w:r>
      <w:proofErr w:type="spellEnd"/>
      <w:r w:rsidRPr="007A0324">
        <w:rPr>
          <w:rFonts w:ascii="Arial" w:eastAsia="Calibri" w:hAnsi="Arial" w:cs="Arial"/>
          <w:color w:val="000000"/>
          <w:kern w:val="0"/>
          <w:sz w:val="24"/>
          <w:szCs w:val="24"/>
          <w:shd w:val="clear" w:color="auto" w:fill="FFFFFF"/>
          <w:lang w:eastAsia="ar-SA"/>
          <w14:ligatures w14:val="none"/>
        </w:rPr>
        <w:t>, 2020</w:t>
      </w:r>
      <w:r w:rsidRPr="007A0324">
        <w:rPr>
          <w:rFonts w:ascii="Arial" w:eastAsia="Calibri" w:hAnsi="Arial" w:cs="Times New Roman"/>
          <w:color w:val="000000"/>
          <w:kern w:val="0"/>
          <w:sz w:val="24"/>
          <w:lang w:eastAsia="ar-SA"/>
          <w14:ligatures w14:val="none"/>
        </w:rPr>
        <w:t>). This will be accomplished through a proposed legislative code of practice. The government is cracking down on employers who employ contentious dismissal strategies (</w:t>
      </w:r>
      <w:proofErr w:type="spellStart"/>
      <w:r w:rsidRPr="007A0324">
        <w:rPr>
          <w:rFonts w:ascii="Arial" w:eastAsia="Calibri" w:hAnsi="Arial" w:cs="Arial"/>
          <w:color w:val="000000"/>
          <w:kern w:val="0"/>
          <w:sz w:val="24"/>
          <w:szCs w:val="24"/>
          <w:shd w:val="clear" w:color="auto" w:fill="FFFFFF"/>
          <w:lang w:eastAsia="ar-SA"/>
          <w14:ligatures w14:val="none"/>
        </w:rPr>
        <w:t>Mousa</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Ayoubi</w:t>
      </w:r>
      <w:proofErr w:type="spellEnd"/>
      <w:r w:rsidRPr="007A0324">
        <w:rPr>
          <w:rFonts w:ascii="Arial" w:eastAsia="Calibri" w:hAnsi="Arial" w:cs="Arial"/>
          <w:color w:val="000000"/>
          <w:kern w:val="0"/>
          <w:sz w:val="24"/>
          <w:szCs w:val="24"/>
          <w:shd w:val="clear" w:color="auto" w:fill="FFFFFF"/>
          <w:lang w:eastAsia="ar-SA"/>
          <w14:ligatures w14:val="none"/>
        </w:rPr>
        <w:t>, 2019</w:t>
      </w:r>
      <w:r w:rsidRPr="007A0324">
        <w:rPr>
          <w:rFonts w:ascii="Arial" w:eastAsia="Calibri" w:hAnsi="Arial" w:cs="Times New Roman"/>
          <w:color w:val="000000"/>
          <w:kern w:val="0"/>
          <w:sz w:val="24"/>
          <w:lang w:eastAsia="ar-SA"/>
          <w14:ligatures w14:val="none"/>
        </w:rPr>
        <w:t xml:space="preserve">). The policy, which is subject to a consultation period, will make it abundantly clear to employers that they cannot use the threat of firing workers to coerce them into adopting new conditions, and that they are required to engage in open and honest dialogues with their employees and representatives </w:t>
      </w:r>
      <w:r w:rsidRPr="007A0324">
        <w:rPr>
          <w:rFonts w:ascii="Arial" w:eastAsia="Calibri" w:hAnsi="Arial" w:cs="Arial"/>
          <w:color w:val="000000"/>
          <w:kern w:val="0"/>
          <w:sz w:val="24"/>
          <w:szCs w:val="24"/>
          <w:shd w:val="clear" w:color="auto" w:fill="FFFFFF"/>
          <w:lang w:eastAsia="ar-SA"/>
          <w14:ligatures w14:val="none"/>
        </w:rPr>
        <w:t xml:space="preserve">(Craig and De </w:t>
      </w:r>
      <w:proofErr w:type="spellStart"/>
      <w:r w:rsidRPr="007A0324">
        <w:rPr>
          <w:rFonts w:ascii="Arial" w:eastAsia="Calibri" w:hAnsi="Arial" w:cs="Arial"/>
          <w:color w:val="000000"/>
          <w:kern w:val="0"/>
          <w:sz w:val="24"/>
          <w:szCs w:val="24"/>
          <w:shd w:val="clear" w:color="auto" w:fill="FFFFFF"/>
          <w:lang w:eastAsia="ar-SA"/>
          <w14:ligatures w14:val="none"/>
        </w:rPr>
        <w:t>Búrca</w:t>
      </w:r>
      <w:proofErr w:type="spellEnd"/>
      <w:r w:rsidRPr="007A0324">
        <w:rPr>
          <w:rFonts w:ascii="Arial" w:eastAsia="Calibri" w:hAnsi="Arial" w:cs="Arial"/>
          <w:color w:val="000000"/>
          <w:kern w:val="0"/>
          <w:sz w:val="24"/>
          <w:szCs w:val="24"/>
          <w:shd w:val="clear" w:color="auto" w:fill="FFFFFF"/>
          <w:lang w:eastAsia="ar-SA"/>
          <w14:ligatures w14:val="none"/>
        </w:rPr>
        <w:t>, 2020)</w:t>
      </w:r>
      <w:r w:rsidRPr="007A0324">
        <w:rPr>
          <w:rFonts w:ascii="Arial" w:eastAsia="Calibri" w:hAnsi="Arial" w:cs="Times New Roman"/>
          <w:color w:val="000000"/>
          <w:kern w:val="0"/>
          <w:sz w:val="24"/>
          <w:lang w:eastAsia="ar-SA"/>
          <w14:ligatures w14:val="none"/>
        </w:rPr>
        <w:t xml:space="preserve">. </w:t>
      </w:r>
    </w:p>
    <w:p w14:paraId="6754EE36"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There may be legal consequences associated with the procedure of being dismissed and then rehired. If an employee has more than two years of service, they may be able to submit a claim for unjust termination if their current contract is terminated, as this is the </w:t>
      </w:r>
      <w:r w:rsidRPr="007A0324">
        <w:rPr>
          <w:rFonts w:ascii="Arial" w:eastAsia="Calibri" w:hAnsi="Arial" w:cs="Times New Roman"/>
          <w:color w:val="000000"/>
          <w:kern w:val="0"/>
          <w:sz w:val="24"/>
          <w:lang w:eastAsia="ar-SA"/>
          <w14:ligatures w14:val="none"/>
        </w:rPr>
        <w:lastRenderedPageBreak/>
        <w:t>same as dismissing them. This is true even if an employee consent to the modifications, despite the likelihood that the value of any claim in such a scenario would be substantially diminished. Due to the COVID-19 epidemic, the problematic practice of dismissal and re-employment has gained prominence (</w:t>
      </w:r>
      <w:proofErr w:type="spellStart"/>
      <w:r w:rsidRPr="007A0324">
        <w:rPr>
          <w:rFonts w:ascii="Arial" w:eastAsia="Calibri" w:hAnsi="Arial" w:cs="Times New Roman"/>
          <w:color w:val="000000"/>
          <w:kern w:val="0"/>
          <w:sz w:val="24"/>
          <w:lang w:eastAsia="ar-SA"/>
          <w14:ligatures w14:val="none"/>
        </w:rPr>
        <w:t>Doorley</w:t>
      </w:r>
      <w:proofErr w:type="spellEnd"/>
      <w:r w:rsidRPr="007A0324">
        <w:rPr>
          <w:rFonts w:ascii="Arial" w:eastAsia="Calibri" w:hAnsi="Arial" w:cs="Times New Roman"/>
          <w:color w:val="000000"/>
          <w:kern w:val="0"/>
          <w:sz w:val="24"/>
          <w:lang w:eastAsia="ar-SA"/>
          <w14:ligatures w14:val="none"/>
        </w:rPr>
        <w:t xml:space="preserve"> and Garcia, 2020). In contrast, in October 2021, the government thwarted an attempt to enact a law that would have made it unlawful for companies to dismiss workers and then rehire them under less advantageous terms. Instead, towards the end of 2021, ACAS issued more guidance to businesses on how to avoid having to lay off and then rehire former employees.</w:t>
      </w:r>
    </w:p>
    <w:p w14:paraId="404388F3"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In the current situation, British Gas has initiated to make use of the fire and rehire policy for making employees agree to the new terms and conditions for working. some of the main legal implications for changing the contractual employment terms of British Gas have been provided in the report:  </w:t>
      </w:r>
    </w:p>
    <w:p w14:paraId="79E9AB5D" w14:textId="77777777" w:rsidR="007A0324" w:rsidRPr="007A0324" w:rsidRDefault="007A0324" w:rsidP="007A0324">
      <w:pPr>
        <w:numPr>
          <w:ilvl w:val="0"/>
          <w:numId w:val="5"/>
        </w:num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In case, the initial employment contracts contained specific provisions guaranteeing specific benefits, remuneration, or working conditions, changing these terms without sufficient agreement could be considered a breach of contract. This is since altering the terms would violate the original employment contracts. There is a chance that employees have legal grounds for contesting the changes </w:t>
      </w:r>
      <w:r w:rsidRPr="007A0324">
        <w:rPr>
          <w:rFonts w:ascii="Arial" w:eastAsia="Calibri" w:hAnsi="Arial" w:cs="Arial"/>
          <w:color w:val="000000"/>
          <w:kern w:val="0"/>
          <w:sz w:val="24"/>
          <w:szCs w:val="24"/>
          <w:shd w:val="clear" w:color="auto" w:fill="FFFFFF"/>
          <w:lang w:eastAsia="ar-SA"/>
          <w14:ligatures w14:val="none"/>
        </w:rPr>
        <w:t>(Gregory, 2020)</w:t>
      </w:r>
      <w:r w:rsidRPr="007A0324">
        <w:rPr>
          <w:rFonts w:ascii="Arial" w:eastAsia="Calibri" w:hAnsi="Arial" w:cs="Times New Roman"/>
          <w:color w:val="000000"/>
          <w:kern w:val="0"/>
          <w:sz w:val="24"/>
          <w:lang w:eastAsia="ar-SA"/>
          <w14:ligatures w14:val="none"/>
        </w:rPr>
        <w:t>. The specific provision or terms that have been violated will determine the type of contract breach that has occurred, as well as its repercussions. If the transgression is of a condition that is essential to the performance of the contract, this is known as a "</w:t>
      </w:r>
      <w:proofErr w:type="spellStart"/>
      <w:r w:rsidRPr="007A0324">
        <w:rPr>
          <w:rFonts w:ascii="Arial" w:eastAsia="Calibri" w:hAnsi="Arial" w:cs="Times New Roman"/>
          <w:color w:val="000000"/>
          <w:kern w:val="0"/>
          <w:sz w:val="24"/>
          <w:lang w:eastAsia="ar-SA"/>
          <w14:ligatures w14:val="none"/>
        </w:rPr>
        <w:t>repudiatory</w:t>
      </w:r>
      <w:proofErr w:type="spellEnd"/>
      <w:r w:rsidRPr="007A0324">
        <w:rPr>
          <w:rFonts w:ascii="Arial" w:eastAsia="Calibri" w:hAnsi="Arial" w:cs="Times New Roman"/>
          <w:color w:val="000000"/>
          <w:kern w:val="0"/>
          <w:sz w:val="24"/>
          <w:lang w:eastAsia="ar-SA"/>
          <w14:ligatures w14:val="none"/>
        </w:rPr>
        <w:t xml:space="preserve"> breach," and the other party has the right to terminate the performance of the contract.</w:t>
      </w:r>
    </w:p>
    <w:p w14:paraId="14600DDE" w14:textId="77777777" w:rsidR="007A0324" w:rsidRPr="007A0324" w:rsidRDefault="007A0324" w:rsidP="007A0324">
      <w:pPr>
        <w:numPr>
          <w:ilvl w:val="0"/>
          <w:numId w:val="5"/>
        </w:num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 practice of terminating employees and then rehiring them under less favourable terms could be considered unlawful dismissal, especially if it is perceived to circumvent employment regulations or discriminate against employees </w:t>
      </w:r>
      <w:r w:rsidRPr="007A0324">
        <w:rPr>
          <w:rFonts w:ascii="Arial" w:eastAsia="Calibri" w:hAnsi="Arial" w:cs="Arial"/>
          <w:color w:val="000000"/>
          <w:kern w:val="0"/>
          <w:sz w:val="24"/>
          <w:szCs w:val="24"/>
          <w:shd w:val="clear" w:color="auto" w:fill="FFFFFF"/>
          <w:lang w:eastAsia="ar-SA"/>
          <w14:ligatures w14:val="none"/>
        </w:rPr>
        <w:t xml:space="preserve">(Bastos and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w:t>
      </w:r>
      <w:r w:rsidRPr="007A0324">
        <w:rPr>
          <w:rFonts w:ascii="Arial" w:eastAsia="Calibri" w:hAnsi="Arial" w:cs="Times New Roman"/>
          <w:color w:val="000000"/>
          <w:kern w:val="0"/>
          <w:sz w:val="24"/>
          <w:lang w:eastAsia="ar-SA"/>
          <w14:ligatures w14:val="none"/>
        </w:rPr>
        <w:t xml:space="preserve">. If an employee believes they were terminated without cause, they have the legal right to submit a claim for unjust dismissal against their employer. Typically, they have three months from the date their employment was terminated (i.e., the date they were dismissed) to file a complaint with an employment tribunal. This is the date of their dismissal. </w:t>
      </w:r>
    </w:p>
    <w:p w14:paraId="4400B386" w14:textId="77777777" w:rsidR="007A0324" w:rsidRPr="007A0324" w:rsidRDefault="007A0324" w:rsidP="007A0324">
      <w:pPr>
        <w:numPr>
          <w:ilvl w:val="0"/>
          <w:numId w:val="5"/>
        </w:num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lastRenderedPageBreak/>
        <w:t>The "fire and rehire" policy may give rise to claims of discrimination if it has the effect of negatively affecting a particular group of employees, such as those of a certain age, gender, ethnicity, or other protected characteristic. Any kind of discrimination that is prohibited under the Equality Act is illegal. You have the right to take legal action under the Act if you feel that you have been subjected to illegal discrimination.</w:t>
      </w:r>
    </w:p>
    <w:p w14:paraId="69F3E628" w14:textId="77777777" w:rsidR="007A0324" w:rsidRPr="007A0324" w:rsidRDefault="007A0324" w:rsidP="007A0324">
      <w:pPr>
        <w:numPr>
          <w:ilvl w:val="0"/>
          <w:numId w:val="5"/>
        </w:num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Before making substantial adjustments to employment contracts, businesses are required by law in several nations to consult with the affected workforce or a representative of that workforce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Mbah</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Wasum</w:t>
      </w:r>
      <w:proofErr w:type="spellEnd"/>
      <w:r w:rsidRPr="007A0324">
        <w:rPr>
          <w:rFonts w:ascii="Arial" w:eastAsia="Calibri" w:hAnsi="Arial" w:cs="Arial"/>
          <w:color w:val="000000"/>
          <w:kern w:val="0"/>
          <w:sz w:val="24"/>
          <w:szCs w:val="24"/>
          <w:shd w:val="clear" w:color="auto" w:fill="FFFFFF"/>
          <w:lang w:eastAsia="ar-SA"/>
          <w14:ligatures w14:val="none"/>
        </w:rPr>
        <w:t>, 2022)</w:t>
      </w:r>
      <w:r w:rsidRPr="007A0324">
        <w:rPr>
          <w:rFonts w:ascii="Arial" w:eastAsia="Calibri" w:hAnsi="Arial" w:cs="Times New Roman"/>
          <w:color w:val="000000"/>
          <w:kern w:val="0"/>
          <w:sz w:val="24"/>
          <w:lang w:eastAsia="ar-SA"/>
          <w14:ligatures w14:val="none"/>
        </w:rPr>
        <w:t>. Employers could also be required to provide sufficient notice of any proposed modifications.</w:t>
      </w:r>
    </w:p>
    <w:p w14:paraId="4CD17B80" w14:textId="77777777" w:rsidR="007A0324" w:rsidRPr="007A0324" w:rsidRDefault="007A0324" w:rsidP="007A0324">
      <w:pPr>
        <w:numPr>
          <w:ilvl w:val="0"/>
          <w:numId w:val="5"/>
        </w:num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Legal public relations have the potential to substantially alter a legal practice's profile and reputation. It is possible to influence public opinion and make significant progress in enhancing the image of a law firm. It may help a law firm stand out in a competitive market, and it can establish credibility and leadership in novel ways. These are all advantages obtained by employing this strategy. Legal public relations are a rapidly expanding industry that is closely related to law tech. </w:t>
      </w:r>
    </w:p>
    <w:p w14:paraId="1B7BB7B7" w14:textId="77777777" w:rsidR="007A0324" w:rsidRPr="007A0324" w:rsidRDefault="007A0324" w:rsidP="007A0324">
      <w:pPr>
        <w:numPr>
          <w:ilvl w:val="0"/>
          <w:numId w:val="5"/>
        </w:num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PR has always been associated with large corporations and substantial financial resources. Smaller businesses, on the other hand, have realised the importance of investing in public relations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Bently</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2022)</w:t>
      </w:r>
      <w:r w:rsidRPr="007A0324">
        <w:rPr>
          <w:rFonts w:ascii="Arial" w:eastAsia="Calibri" w:hAnsi="Arial" w:cs="Times New Roman"/>
          <w:color w:val="000000"/>
          <w:kern w:val="0"/>
          <w:sz w:val="24"/>
          <w:lang w:eastAsia="ar-SA"/>
          <w14:ligatures w14:val="none"/>
        </w:rPr>
        <w:t>. The employees are part of a union, the union will probably need to first approve any proposed changes to their terms and conditions of employment by the collective bargaining agreement.</w:t>
      </w:r>
    </w:p>
    <w:p w14:paraId="7443B5A1" w14:textId="77777777" w:rsidR="007A0324" w:rsidRPr="007A0324" w:rsidRDefault="007A0324" w:rsidP="007A0324">
      <w:pPr>
        <w:numPr>
          <w:ilvl w:val="0"/>
          <w:numId w:val="5"/>
        </w:num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Employees may assert that the changes are so significant that they amount to a de facto dismissal. A constructive dismissal occurs when an employee resigns due to a contract violation by the employer. Employees may argue that the changes are so substantial that they constitute a de facto dismissal. The implementation of a programme known as "fire and rehire" may have negative effects on the company's public image and reputation, leading to consumer boycotts or other forms of public response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Quesenberry</w:t>
      </w:r>
      <w:proofErr w:type="spellEnd"/>
      <w:r w:rsidRPr="007A0324">
        <w:rPr>
          <w:rFonts w:ascii="Arial" w:eastAsia="Calibri" w:hAnsi="Arial" w:cs="Arial"/>
          <w:color w:val="000000"/>
          <w:kern w:val="0"/>
          <w:sz w:val="24"/>
          <w:szCs w:val="24"/>
          <w:shd w:val="clear" w:color="auto" w:fill="FFFFFF"/>
          <w:lang w:eastAsia="ar-SA"/>
          <w14:ligatures w14:val="none"/>
        </w:rPr>
        <w:t>, 2020)</w:t>
      </w:r>
      <w:r w:rsidRPr="007A0324">
        <w:rPr>
          <w:rFonts w:ascii="Arial" w:eastAsia="Calibri" w:hAnsi="Arial" w:cs="Times New Roman"/>
          <w:color w:val="000000"/>
          <w:kern w:val="0"/>
          <w:sz w:val="24"/>
          <w:lang w:eastAsia="ar-SA"/>
          <w14:ligatures w14:val="none"/>
        </w:rPr>
        <w:t>.</w:t>
      </w:r>
    </w:p>
    <w:p w14:paraId="649BCCA2"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 xml:space="preserve">Other Cases Related to the Implementation of Fire and Rehire Strategy </w:t>
      </w:r>
    </w:p>
    <w:p w14:paraId="48065950"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lastRenderedPageBreak/>
        <w:t xml:space="preserve">The case of </w:t>
      </w:r>
      <w:proofErr w:type="spellStart"/>
      <w:r w:rsidRPr="007A0324">
        <w:rPr>
          <w:rFonts w:ascii="Arial" w:eastAsia="Calibri" w:hAnsi="Arial" w:cs="Times New Roman"/>
          <w:color w:val="000000"/>
          <w:kern w:val="0"/>
          <w:sz w:val="24"/>
          <w:lang w:eastAsia="ar-SA"/>
          <w14:ligatures w14:val="none"/>
        </w:rPr>
        <w:t>Khatun</w:t>
      </w:r>
      <w:proofErr w:type="spellEnd"/>
      <w:r w:rsidRPr="007A0324">
        <w:rPr>
          <w:rFonts w:ascii="Arial" w:eastAsia="Calibri" w:hAnsi="Arial" w:cs="Times New Roman"/>
          <w:color w:val="000000"/>
          <w:kern w:val="0"/>
          <w:sz w:val="24"/>
          <w:lang w:eastAsia="ar-SA"/>
          <w14:ligatures w14:val="none"/>
        </w:rPr>
        <w:t xml:space="preserve"> v. Winn Solicitors Ltd. is a great example of what can occur when a fire-and-rehire strategy is inadequately managed, and it is instructive to examine the case's outcome. An employment tribunal determined that there had been no substantive consultation, even though the employer had a valid business reason for wanting to alter employment contracts (</w:t>
      </w:r>
      <w:r w:rsidRPr="007A0324">
        <w:rPr>
          <w:rFonts w:ascii="Arial" w:eastAsia="Calibri" w:hAnsi="Arial" w:cs="Arial"/>
          <w:color w:val="000000"/>
          <w:kern w:val="0"/>
          <w:sz w:val="24"/>
          <w:szCs w:val="24"/>
          <w:shd w:val="clear" w:color="auto" w:fill="FFFFFF"/>
          <w:lang w:eastAsia="ar-SA"/>
          <w14:ligatures w14:val="none"/>
        </w:rPr>
        <w:t>Stevens, 2022</w:t>
      </w:r>
      <w:r w:rsidRPr="007A0324">
        <w:rPr>
          <w:rFonts w:ascii="Arial" w:eastAsia="Calibri" w:hAnsi="Arial" w:cs="Times New Roman"/>
          <w:color w:val="000000"/>
          <w:kern w:val="0"/>
          <w:sz w:val="24"/>
          <w:lang w:eastAsia="ar-SA"/>
          <w14:ligatures w14:val="none"/>
        </w:rPr>
        <w:t xml:space="preserve">). This was the determination made by the employment tribunal. Ms </w:t>
      </w:r>
      <w:proofErr w:type="spellStart"/>
      <w:r w:rsidRPr="007A0324">
        <w:rPr>
          <w:rFonts w:ascii="Arial" w:eastAsia="Calibri" w:hAnsi="Arial" w:cs="Times New Roman"/>
          <w:color w:val="000000"/>
          <w:kern w:val="0"/>
          <w:sz w:val="24"/>
          <w:lang w:eastAsia="ar-SA"/>
          <w14:ligatures w14:val="none"/>
        </w:rPr>
        <w:t>Khatun</w:t>
      </w:r>
      <w:proofErr w:type="spellEnd"/>
      <w:r w:rsidRPr="007A0324">
        <w:rPr>
          <w:rFonts w:ascii="Arial" w:eastAsia="Calibri" w:hAnsi="Arial" w:cs="Times New Roman"/>
          <w:color w:val="000000"/>
          <w:kern w:val="0"/>
          <w:sz w:val="24"/>
          <w:lang w:eastAsia="ar-SA"/>
          <w14:ligatures w14:val="none"/>
        </w:rPr>
        <w:t xml:space="preserve"> was given one day (24 hours) to accept the changes or face the possibility of termination; she was not permitted to contest the decision. </w:t>
      </w:r>
    </w:p>
    <w:p w14:paraId="369D3292"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This led to the conclusion that she should not have been dismissed. Importantly, once the Statutory Code on Fire and Rehire has been published, employment tribunals and courts examining relevant claims, such as unjust dismissal, will be required to investigate whether an employer has followed the advice (</w:t>
      </w:r>
      <w:r w:rsidRPr="007A0324">
        <w:rPr>
          <w:rFonts w:ascii="Arial" w:eastAsia="Calibri" w:hAnsi="Arial" w:cs="Arial"/>
          <w:color w:val="000000"/>
          <w:kern w:val="0"/>
          <w:sz w:val="24"/>
          <w:szCs w:val="24"/>
          <w:shd w:val="clear" w:color="auto" w:fill="FFFFFF"/>
          <w:lang w:eastAsia="ar-SA"/>
          <w14:ligatures w14:val="none"/>
        </w:rPr>
        <w:t>Johnstone, 2023</w:t>
      </w:r>
      <w:r w:rsidRPr="007A0324">
        <w:rPr>
          <w:rFonts w:ascii="Arial" w:eastAsia="Calibri" w:hAnsi="Arial" w:cs="Times New Roman"/>
          <w:color w:val="000000"/>
          <w:kern w:val="0"/>
          <w:sz w:val="24"/>
          <w:lang w:eastAsia="ar-SA"/>
          <w14:ligatures w14:val="none"/>
        </w:rPr>
        <w:t xml:space="preserve">). This is something that must be remembered. </w:t>
      </w:r>
    </w:p>
    <w:p w14:paraId="47A9E314"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In addition, they will have the authority to increase an employee's pay by up to 25 per cent if an employer violates the code during a termination or rehiring process. A plan involving the termination and rehiring of employees has the potential to harm employee engagement and morale, particularly if employees are not kept informed throughout the process (</w:t>
      </w:r>
      <w:proofErr w:type="spellStart"/>
      <w:r w:rsidRPr="007A0324">
        <w:rPr>
          <w:rFonts w:ascii="Arial" w:eastAsia="Calibri" w:hAnsi="Arial" w:cs="Arial"/>
          <w:color w:val="000000"/>
          <w:kern w:val="0"/>
          <w:sz w:val="24"/>
          <w:szCs w:val="24"/>
          <w:shd w:val="clear" w:color="auto" w:fill="FFFFFF"/>
          <w:lang w:eastAsia="ar-SA"/>
          <w14:ligatures w14:val="none"/>
        </w:rPr>
        <w:t>Lansley</w:t>
      </w:r>
      <w:proofErr w:type="spellEnd"/>
      <w:r w:rsidRPr="007A0324">
        <w:rPr>
          <w:rFonts w:ascii="Arial" w:eastAsia="Calibri" w:hAnsi="Arial" w:cs="Arial"/>
          <w:color w:val="000000"/>
          <w:kern w:val="0"/>
          <w:sz w:val="24"/>
          <w:szCs w:val="24"/>
          <w:shd w:val="clear" w:color="auto" w:fill="FFFFFF"/>
          <w:lang w:eastAsia="ar-SA"/>
          <w14:ligatures w14:val="none"/>
        </w:rPr>
        <w:t>, 2021</w:t>
      </w:r>
      <w:r w:rsidRPr="007A0324">
        <w:rPr>
          <w:rFonts w:ascii="Arial" w:eastAsia="Calibri" w:hAnsi="Arial" w:cs="Times New Roman"/>
          <w:color w:val="000000"/>
          <w:kern w:val="0"/>
          <w:sz w:val="24"/>
          <w:lang w:eastAsia="ar-SA"/>
          <w14:ligatures w14:val="none"/>
        </w:rPr>
        <w:t xml:space="preserve">). In addition to the prospect of legal action, this risk exists. It is also capable of causing significant damage to a person's reputation and, in some industries, may result in the prospect of industrial action. </w:t>
      </w:r>
    </w:p>
    <w:p w14:paraId="5B796083" w14:textId="77777777" w:rsidR="007A0324" w:rsidRPr="007A0324" w:rsidRDefault="007A0324" w:rsidP="007A0324">
      <w:pPr>
        <w:keepNext/>
        <w:keepLines/>
        <w:suppressAutoHyphens/>
        <w:spacing w:before="113" w:line="360" w:lineRule="auto"/>
        <w:jc w:val="both"/>
        <w:outlineLvl w:val="1"/>
        <w:rPr>
          <w:rFonts w:ascii="Arial" w:eastAsia="Times New Roman" w:hAnsi="Arial" w:cs="Times New Roman"/>
          <w:bCs/>
          <w:color w:val="000000"/>
          <w:kern w:val="0"/>
          <w:sz w:val="24"/>
          <w:szCs w:val="26"/>
          <w:u w:val="single"/>
          <w:lang w:eastAsia="ar-SA"/>
          <w14:ligatures w14:val="none"/>
        </w:rPr>
      </w:pPr>
      <w:bookmarkStart w:id="4" w:name="_Toc143382895"/>
      <w:r w:rsidRPr="007A0324">
        <w:rPr>
          <w:rFonts w:ascii="Arial" w:eastAsia="Times New Roman" w:hAnsi="Arial" w:cs="Times New Roman"/>
          <w:bCs/>
          <w:color w:val="000000"/>
          <w:kern w:val="0"/>
          <w:sz w:val="24"/>
          <w:szCs w:val="26"/>
          <w:u w:val="single"/>
          <w:lang w:eastAsia="ar-SA"/>
          <w14:ligatures w14:val="none"/>
        </w:rPr>
        <w:t>2. The Impact of Changes Due to Changing Contractual Employment Terms on Employee Engagement</w:t>
      </w:r>
      <w:bookmarkEnd w:id="4"/>
      <w:r w:rsidRPr="007A0324">
        <w:rPr>
          <w:rFonts w:ascii="Arial" w:eastAsia="Times New Roman" w:hAnsi="Arial" w:cs="Times New Roman"/>
          <w:bCs/>
          <w:color w:val="000000"/>
          <w:kern w:val="0"/>
          <w:sz w:val="24"/>
          <w:szCs w:val="26"/>
          <w:u w:val="single"/>
          <w:lang w:eastAsia="ar-SA"/>
          <w14:ligatures w14:val="none"/>
        </w:rPr>
        <w:t xml:space="preserve"> </w:t>
      </w:r>
    </w:p>
    <w:p w14:paraId="5A787128"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 term "employee engagement" is used to describe the extent to which an employee is enthusiastic about his or her employment, is committed to the organisation for which he or she works, and tries to fulfil their responsibilities. Engaged employees exhibit self-efficacy, a high level of optimism and resilience, and the belief that they can influence and succeed in their profession by possessing self-respect </w:t>
      </w:r>
      <w:r w:rsidRPr="007A0324">
        <w:rPr>
          <w:rFonts w:ascii="Arial" w:eastAsia="Calibri" w:hAnsi="Arial" w:cs="Arial"/>
          <w:color w:val="000000"/>
          <w:kern w:val="0"/>
          <w:sz w:val="24"/>
          <w:szCs w:val="24"/>
          <w:shd w:val="clear" w:color="auto" w:fill="FFFFFF"/>
          <w:lang w:eastAsia="ar-SA"/>
          <w14:ligatures w14:val="none"/>
        </w:rPr>
        <w:t xml:space="preserve">(Braganza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2021)</w:t>
      </w:r>
      <w:r w:rsidRPr="007A0324">
        <w:rPr>
          <w:rFonts w:ascii="Arial" w:eastAsia="Calibri" w:hAnsi="Arial" w:cs="Times New Roman"/>
          <w:color w:val="000000"/>
          <w:kern w:val="0"/>
          <w:sz w:val="24"/>
          <w:lang w:eastAsia="ar-SA"/>
          <w14:ligatures w14:val="none"/>
        </w:rPr>
        <w:t xml:space="preserve">. As a result, managers at all levels are strongly encouraged to examine the perspectives of their employees concerning the psychological contract. This study examines the perspectives of line managers regarding the influence of the psychological contract, which outlines the obligations and expectations of both employees and employers, on employee </w:t>
      </w:r>
      <w:r w:rsidRPr="007A0324">
        <w:rPr>
          <w:rFonts w:ascii="Arial" w:eastAsia="Calibri" w:hAnsi="Arial" w:cs="Times New Roman"/>
          <w:color w:val="000000"/>
          <w:kern w:val="0"/>
          <w:sz w:val="24"/>
          <w:lang w:eastAsia="ar-SA"/>
          <w14:ligatures w14:val="none"/>
        </w:rPr>
        <w:lastRenderedPageBreak/>
        <w:t xml:space="preserve">engagement </w:t>
      </w:r>
      <w:r w:rsidRPr="007A0324">
        <w:rPr>
          <w:rFonts w:ascii="Arial" w:eastAsia="Calibri" w:hAnsi="Arial" w:cs="Arial"/>
          <w:color w:val="000000"/>
          <w:kern w:val="0"/>
          <w:sz w:val="24"/>
          <w:szCs w:val="24"/>
          <w:shd w:val="clear" w:color="auto" w:fill="FFFFFF"/>
          <w:lang w:eastAsia="ar-SA"/>
          <w14:ligatures w14:val="none"/>
        </w:rPr>
        <w:t>(Gordon, 2020)</w:t>
      </w:r>
      <w:r w:rsidRPr="007A0324">
        <w:rPr>
          <w:rFonts w:ascii="Arial" w:eastAsia="Calibri" w:hAnsi="Arial" w:cs="Times New Roman"/>
          <w:color w:val="000000"/>
          <w:kern w:val="0"/>
          <w:sz w:val="24"/>
          <w:lang w:eastAsia="ar-SA"/>
          <w14:ligatures w14:val="none"/>
        </w:rPr>
        <w:t>. The psychological contract describes the obligations and expectations of both employees and employers.</w:t>
      </w:r>
    </w:p>
    <w:p w14:paraId="5999F721"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Emotional involvement necessitates establishing genuine relationships with both colleagues and supervisors within the organisation. When employees believe their supervisors are invested in their professional development, they are more likely to contribute to the company's success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Soares</w:t>
      </w:r>
      <w:proofErr w:type="spellEnd"/>
      <w:r w:rsidRPr="007A0324">
        <w:rPr>
          <w:rFonts w:ascii="Arial" w:eastAsia="Calibri" w:hAnsi="Arial" w:cs="Arial"/>
          <w:color w:val="000000"/>
          <w:kern w:val="0"/>
          <w:sz w:val="24"/>
          <w:szCs w:val="24"/>
          <w:shd w:val="clear" w:color="auto" w:fill="FFFFFF"/>
          <w:lang w:eastAsia="ar-SA"/>
          <w14:ligatures w14:val="none"/>
        </w:rPr>
        <w:t xml:space="preserve"> and Mosquera, 2019)</w:t>
      </w:r>
      <w:r w:rsidRPr="007A0324">
        <w:rPr>
          <w:rFonts w:ascii="Arial" w:eastAsia="Calibri" w:hAnsi="Arial" w:cs="Times New Roman"/>
          <w:color w:val="000000"/>
          <w:kern w:val="0"/>
          <w:sz w:val="24"/>
          <w:lang w:eastAsia="ar-SA"/>
          <w14:ligatures w14:val="none"/>
        </w:rPr>
        <w:t xml:space="preserve">. When employees believe their work contributes to the success of the company, they are more motivated to exert extra effort, work harder, and deliver superior performance. The factors that have the greatest impact on employee engagement are emotional satisfaction, perception of justice, personal development and culture, transparent communication, and financial recompense </w:t>
      </w:r>
      <w:r w:rsidRPr="007A0324">
        <w:rPr>
          <w:rFonts w:ascii="Arial" w:eastAsia="Calibri" w:hAnsi="Arial" w:cs="Arial"/>
          <w:color w:val="000000"/>
          <w:kern w:val="0"/>
          <w:sz w:val="24"/>
          <w:szCs w:val="24"/>
          <w:shd w:val="clear" w:color="auto" w:fill="FFFFFF"/>
          <w:lang w:eastAsia="ar-SA"/>
          <w14:ligatures w14:val="none"/>
        </w:rPr>
        <w:t>(MM, 2021)</w:t>
      </w:r>
      <w:r w:rsidRPr="007A0324">
        <w:rPr>
          <w:rFonts w:ascii="Arial" w:eastAsia="Calibri" w:hAnsi="Arial" w:cs="Times New Roman"/>
          <w:color w:val="000000"/>
          <w:kern w:val="0"/>
          <w:sz w:val="24"/>
          <w:lang w:eastAsia="ar-SA"/>
          <w14:ligatures w14:val="none"/>
        </w:rPr>
        <w:t>.</w:t>
      </w:r>
    </w:p>
    <w:p w14:paraId="02AA808A"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Employment contract modifications can impact working-life quality, job insecurity, health, and work-related attitudes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Arslan</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Roudaki</w:t>
      </w:r>
      <w:proofErr w:type="spellEnd"/>
      <w:r w:rsidRPr="007A0324">
        <w:rPr>
          <w:rFonts w:ascii="Arial" w:eastAsia="Calibri" w:hAnsi="Arial" w:cs="Arial"/>
          <w:color w:val="000000"/>
          <w:kern w:val="0"/>
          <w:sz w:val="24"/>
          <w:szCs w:val="24"/>
          <w:shd w:val="clear" w:color="auto" w:fill="FFFFFF"/>
          <w:lang w:eastAsia="ar-SA"/>
          <w14:ligatures w14:val="none"/>
        </w:rPr>
        <w:t>, 2019)</w:t>
      </w:r>
      <w:r w:rsidRPr="007A0324">
        <w:rPr>
          <w:rFonts w:ascii="Arial" w:eastAsia="Calibri" w:hAnsi="Arial" w:cs="Times New Roman"/>
          <w:color w:val="000000"/>
          <w:kern w:val="0"/>
          <w:sz w:val="24"/>
          <w:lang w:eastAsia="ar-SA"/>
          <w14:ligatures w14:val="none"/>
        </w:rPr>
        <w:t xml:space="preserve">. Core employees are essential to the company's operation because it is difficult to replace them due to the scarcity of the skills, knowledge, and experience they possess, in contrast to secondary segment employees, who are more easily replaced. Employees who are essential to the operation obtain employment that is both more stable (permanent) and of a higher quality (characterised by enhanced working conditions, job content, work relations, and terms of employment) as a direct result of this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Alshaabani</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2021)</w:t>
      </w:r>
      <w:r w:rsidRPr="007A0324">
        <w:rPr>
          <w:rFonts w:ascii="Arial" w:eastAsia="Calibri" w:hAnsi="Arial" w:cs="Times New Roman"/>
          <w:color w:val="000000"/>
          <w:kern w:val="0"/>
          <w:sz w:val="24"/>
          <w:lang w:eastAsia="ar-SA"/>
          <w14:ligatures w14:val="none"/>
        </w:rPr>
        <w:t xml:space="preserve">. Consequently, the latter frequently obtain impermanent employment contracts. In the paper, it is stated that the impact that modifying contractual employment conditions may have on employee engagement within the organisation should be considered: </w:t>
      </w:r>
    </w:p>
    <w:p w14:paraId="6211CF8D" w14:textId="77777777" w:rsidR="007A0324" w:rsidRPr="007A0324" w:rsidRDefault="007A0324" w:rsidP="007A0324">
      <w:pPr>
        <w:suppressAutoHyphens/>
        <w:spacing w:line="360" w:lineRule="auto"/>
        <w:jc w:val="both"/>
        <w:rPr>
          <w:rFonts w:ascii="Arial" w:eastAsia="Calibri" w:hAnsi="Arial" w:cs="Times New Roman"/>
          <w:b/>
          <w:bCs/>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 xml:space="preserve">Concerns Regarding Employment Security </w:t>
      </w:r>
    </w:p>
    <w:p w14:paraId="60542E83"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Permanent employees typically enjoy greater job security than contract employees. When employees are employed on a contract basis, they risk having their employment terminated after the contract's term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Kutaula</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proofErr w:type="spellStart"/>
      <w:r w:rsidRPr="007A0324">
        <w:rPr>
          <w:rFonts w:ascii="Arial" w:eastAsia="Calibri" w:hAnsi="Arial" w:cs="Arial"/>
          <w:color w:val="000000"/>
          <w:kern w:val="0"/>
          <w:sz w:val="24"/>
          <w:szCs w:val="24"/>
          <w:shd w:val="clear" w:color="auto" w:fill="FFFFFF"/>
          <w:lang w:eastAsia="ar-SA"/>
          <w14:ligatures w14:val="none"/>
        </w:rPr>
        <w:t>Gillani</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Budhwar</w:t>
      </w:r>
      <w:proofErr w:type="spellEnd"/>
      <w:r w:rsidRPr="007A0324">
        <w:rPr>
          <w:rFonts w:ascii="Arial" w:eastAsia="Calibri" w:hAnsi="Arial" w:cs="Arial"/>
          <w:color w:val="000000"/>
          <w:kern w:val="0"/>
          <w:sz w:val="24"/>
          <w:szCs w:val="24"/>
          <w:shd w:val="clear" w:color="auto" w:fill="FFFFFF"/>
          <w:lang w:eastAsia="ar-SA"/>
          <w14:ligatures w14:val="none"/>
        </w:rPr>
        <w:t>, 2020)</w:t>
      </w:r>
      <w:r w:rsidRPr="007A0324">
        <w:rPr>
          <w:rFonts w:ascii="Arial" w:eastAsia="Calibri" w:hAnsi="Arial" w:cs="Times New Roman"/>
          <w:color w:val="000000"/>
          <w:kern w:val="0"/>
          <w:sz w:val="24"/>
          <w:lang w:eastAsia="ar-SA"/>
          <w14:ligatures w14:val="none"/>
        </w:rPr>
        <w:t>. This uncertainty may cause anxiety and a decrease in employee engagement, as workers may be hesitant to devote themselves fully to their jobs if they believe their efforts may not yield long-term benefits.</w:t>
      </w:r>
    </w:p>
    <w:p w14:paraId="188943B7" w14:textId="77777777" w:rsidR="007A0324" w:rsidRPr="007A0324" w:rsidRDefault="007A0324" w:rsidP="007A0324">
      <w:pPr>
        <w:suppressAutoHyphens/>
        <w:spacing w:line="360" w:lineRule="auto"/>
        <w:jc w:val="both"/>
        <w:rPr>
          <w:rFonts w:ascii="Arial" w:eastAsia="Calibri" w:hAnsi="Arial" w:cs="Times New Roman"/>
          <w:b/>
          <w:bCs/>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 xml:space="preserve">Dedication and Loyalty to the Organisation </w:t>
      </w:r>
    </w:p>
    <w:p w14:paraId="64F77B13"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lastRenderedPageBreak/>
        <w:t xml:space="preserve">Permanent employees frequently have a stronger sense of commitment and loyalty to their employer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Davidescu</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w:t>
      </w:r>
      <w:r w:rsidRPr="007A0324">
        <w:rPr>
          <w:rFonts w:ascii="Arial" w:eastAsia="Calibri" w:hAnsi="Arial" w:cs="Times New Roman"/>
          <w:color w:val="000000"/>
          <w:kern w:val="0"/>
          <w:sz w:val="24"/>
          <w:lang w:eastAsia="ar-SA"/>
          <w14:ligatures w14:val="none"/>
        </w:rPr>
        <w:t xml:space="preserve">. Due to the brief duration of their employment, contract employees may feel less connected to the </w:t>
      </w:r>
      <w:proofErr w:type="spellStart"/>
      <w:r w:rsidRPr="007A0324">
        <w:rPr>
          <w:rFonts w:ascii="Arial" w:eastAsia="Calibri" w:hAnsi="Arial" w:cs="Times New Roman"/>
          <w:color w:val="000000"/>
          <w:kern w:val="0"/>
          <w:sz w:val="24"/>
          <w:lang w:eastAsia="ar-SA"/>
          <w14:ligatures w14:val="none"/>
        </w:rPr>
        <w:t>organization's</w:t>
      </w:r>
      <w:proofErr w:type="spellEnd"/>
      <w:r w:rsidRPr="007A0324">
        <w:rPr>
          <w:rFonts w:ascii="Arial" w:eastAsia="Calibri" w:hAnsi="Arial" w:cs="Times New Roman"/>
          <w:color w:val="000000"/>
          <w:kern w:val="0"/>
          <w:sz w:val="24"/>
          <w:lang w:eastAsia="ar-SA"/>
          <w14:ligatures w14:val="none"/>
        </w:rPr>
        <w:t xml:space="preserve"> overall mission and values. It has been demonstrated that a diminished sense of belonging is associated with diminished levels of engagement.</w:t>
      </w:r>
    </w:p>
    <w:p w14:paraId="05397F91" w14:textId="77777777" w:rsidR="007A0324" w:rsidRPr="007A0324" w:rsidRDefault="007A0324" w:rsidP="007A0324">
      <w:pPr>
        <w:suppressAutoHyphens/>
        <w:spacing w:line="360" w:lineRule="auto"/>
        <w:jc w:val="both"/>
        <w:rPr>
          <w:rFonts w:ascii="Arial" w:eastAsia="Calibri" w:hAnsi="Arial" w:cs="Times New Roman"/>
          <w:b/>
          <w:bCs/>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Advantages and Perks</w:t>
      </w:r>
    </w:p>
    <w:p w14:paraId="09DF943A"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Permanent employees typically have greater access to benefits, such as health insurance, retirement programmes, and paid time off. Moreover, permanent employees usually receive a higher salary. It is possible that contract employees will not be eligible for these benefits or will receive them at a reduced level. Their level of participation may be affected by their perception that they are receiving unequal advantages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Riyanto</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proofErr w:type="spellStart"/>
      <w:r w:rsidRPr="007A0324">
        <w:rPr>
          <w:rFonts w:ascii="Arial" w:eastAsia="Calibri" w:hAnsi="Arial" w:cs="Arial"/>
          <w:color w:val="000000"/>
          <w:kern w:val="0"/>
          <w:sz w:val="24"/>
          <w:szCs w:val="24"/>
          <w:shd w:val="clear" w:color="auto" w:fill="FFFFFF"/>
          <w:lang w:eastAsia="ar-SA"/>
          <w14:ligatures w14:val="none"/>
        </w:rPr>
        <w:t>Endri</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Herlisha</w:t>
      </w:r>
      <w:proofErr w:type="spellEnd"/>
      <w:r w:rsidRPr="007A0324">
        <w:rPr>
          <w:rFonts w:ascii="Arial" w:eastAsia="Calibri" w:hAnsi="Arial" w:cs="Arial"/>
          <w:color w:val="000000"/>
          <w:kern w:val="0"/>
          <w:sz w:val="24"/>
          <w:szCs w:val="24"/>
          <w:shd w:val="clear" w:color="auto" w:fill="FFFFFF"/>
          <w:lang w:eastAsia="ar-SA"/>
          <w14:ligatures w14:val="none"/>
        </w:rPr>
        <w:t>, 2021)</w:t>
      </w:r>
      <w:r w:rsidRPr="007A0324">
        <w:rPr>
          <w:rFonts w:ascii="Arial" w:eastAsia="Calibri" w:hAnsi="Arial" w:cs="Times New Roman"/>
          <w:color w:val="000000"/>
          <w:kern w:val="0"/>
          <w:sz w:val="24"/>
          <w:lang w:eastAsia="ar-SA"/>
          <w14:ligatures w14:val="none"/>
        </w:rPr>
        <w:t>. Permanent employees typically have access to a greater variety of opportunities for professional advancement and advancement within the organisation. Contract employees may have fewer opportunities for advancement, which may contribute to a sense of being trapped in a routine and a decrease in engagement with their work.</w:t>
      </w:r>
    </w:p>
    <w:p w14:paraId="61463189" w14:textId="77777777" w:rsidR="007A0324" w:rsidRPr="007A0324" w:rsidRDefault="007A0324" w:rsidP="007A0324">
      <w:pPr>
        <w:suppressAutoHyphens/>
        <w:spacing w:line="360" w:lineRule="auto"/>
        <w:jc w:val="both"/>
        <w:rPr>
          <w:rFonts w:ascii="Arial" w:eastAsia="Calibri" w:hAnsi="Arial" w:cs="Times New Roman"/>
          <w:b/>
          <w:bCs/>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Establishing Relationships</w:t>
      </w:r>
    </w:p>
    <w:p w14:paraId="5CE74503"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Due to the short duration of their employment, contract workers may not put forth as much effort in cultivating solid connections, which may have a negative impact on cooperation and collaboration </w:t>
      </w:r>
      <w:r w:rsidRPr="007A0324">
        <w:rPr>
          <w:rFonts w:ascii="Arial" w:eastAsia="Calibri" w:hAnsi="Arial" w:cs="Arial"/>
          <w:color w:val="000000"/>
          <w:kern w:val="0"/>
          <w:sz w:val="24"/>
          <w:szCs w:val="24"/>
          <w:shd w:val="clear" w:color="auto" w:fill="FFFFFF"/>
          <w:lang w:eastAsia="ar-SA"/>
          <w14:ligatures w14:val="none"/>
        </w:rPr>
        <w:t xml:space="preserve">(Liu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w:t>
      </w:r>
      <w:r w:rsidRPr="007A0324">
        <w:rPr>
          <w:rFonts w:ascii="Arial" w:eastAsia="Calibri" w:hAnsi="Arial" w:cs="Times New Roman"/>
          <w:color w:val="000000"/>
          <w:kern w:val="0"/>
          <w:sz w:val="24"/>
          <w:lang w:eastAsia="ar-SA"/>
          <w14:ligatures w14:val="none"/>
        </w:rPr>
        <w:t>.</w:t>
      </w:r>
    </w:p>
    <w:p w14:paraId="2F4F61AD" w14:textId="77777777" w:rsidR="007A0324" w:rsidRPr="007A0324" w:rsidRDefault="007A0324" w:rsidP="007A0324">
      <w:pPr>
        <w:suppressAutoHyphens/>
        <w:spacing w:line="360" w:lineRule="auto"/>
        <w:jc w:val="both"/>
        <w:rPr>
          <w:rFonts w:ascii="Arial" w:eastAsia="Calibri" w:hAnsi="Arial" w:cs="Times New Roman"/>
          <w:b/>
          <w:bCs/>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Inspiration and Efficiency</w:t>
      </w:r>
    </w:p>
    <w:p w14:paraId="1362FEAB"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Permanent personnel may be motivated to excel in their professions and perform to the best of their abilities by the prospect of job security and advancement. Conversely, contract employees may not feel as motivated to perform to the best of their abilities if they believe their contributions will not have an enduring impact on their career advancement </w:t>
      </w:r>
      <w:r w:rsidRPr="007A0324">
        <w:rPr>
          <w:rFonts w:ascii="Arial" w:eastAsia="Calibri" w:hAnsi="Arial" w:cs="Arial"/>
          <w:color w:val="000000"/>
          <w:kern w:val="0"/>
          <w:sz w:val="24"/>
          <w:szCs w:val="24"/>
          <w:shd w:val="clear" w:color="auto" w:fill="FFFFFF"/>
          <w:lang w:eastAsia="ar-SA"/>
          <w14:ligatures w14:val="none"/>
        </w:rPr>
        <w:t xml:space="preserve">(Liu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w:t>
      </w:r>
      <w:r w:rsidRPr="007A0324">
        <w:rPr>
          <w:rFonts w:ascii="Arial" w:eastAsia="Calibri" w:hAnsi="Arial" w:cs="Times New Roman"/>
          <w:color w:val="000000"/>
          <w:kern w:val="0"/>
          <w:sz w:val="24"/>
          <w:lang w:eastAsia="ar-SA"/>
          <w14:ligatures w14:val="none"/>
        </w:rPr>
        <w:t>. Permanent Employees are more likely to engage in discretionary actions that benefit the organisation beyond their primary responsibilities. This behaviour is known as organisational citizenship. This behaviour, also known as organisational citizenship behaviour, may be less apparent among contract employees due to their perception that their relationship with the organisation is transient.</w:t>
      </w:r>
    </w:p>
    <w:p w14:paraId="57D0B146" w14:textId="77777777" w:rsidR="007A0324" w:rsidRPr="007A0324" w:rsidRDefault="007A0324" w:rsidP="007A0324">
      <w:pPr>
        <w:suppressAutoHyphens/>
        <w:spacing w:line="360" w:lineRule="auto"/>
        <w:jc w:val="both"/>
        <w:rPr>
          <w:rFonts w:ascii="Arial" w:eastAsia="Calibri" w:hAnsi="Arial" w:cs="Times New Roman"/>
          <w:b/>
          <w:bCs/>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lastRenderedPageBreak/>
        <w:t xml:space="preserve">Communication and Participation </w:t>
      </w:r>
    </w:p>
    <w:p w14:paraId="7C2DAB62"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There is a possibility that contract employees will not be as involved in crucial corporate messages, activities, and decisions as permanent employees. This feeling of exclusion may result in decreased participation and the perception that one's contributions are undervalued (</w:t>
      </w:r>
      <w:r w:rsidRPr="007A0324">
        <w:rPr>
          <w:rFonts w:ascii="Arial" w:eastAsia="Calibri" w:hAnsi="Arial" w:cs="Arial"/>
          <w:color w:val="000000"/>
          <w:kern w:val="0"/>
          <w:sz w:val="24"/>
          <w:szCs w:val="24"/>
          <w:shd w:val="clear" w:color="auto" w:fill="FFFFFF"/>
          <w:lang w:eastAsia="ar-SA"/>
          <w14:ligatures w14:val="none"/>
        </w:rPr>
        <w:t xml:space="preserve">Braganza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2021</w:t>
      </w:r>
      <w:r w:rsidRPr="007A0324">
        <w:rPr>
          <w:rFonts w:ascii="Arial" w:eastAsia="Calibri" w:hAnsi="Arial" w:cs="Times New Roman"/>
          <w:color w:val="000000"/>
          <w:kern w:val="0"/>
          <w:sz w:val="24"/>
          <w:lang w:eastAsia="ar-SA"/>
          <w14:ligatures w14:val="none"/>
        </w:rPr>
        <w:t>).</w:t>
      </w:r>
    </w:p>
    <w:p w14:paraId="7F14D073" w14:textId="77777777" w:rsidR="007A0324" w:rsidRPr="007A0324" w:rsidRDefault="007A0324" w:rsidP="007A0324">
      <w:pPr>
        <w:suppressAutoHyphens/>
        <w:spacing w:line="360" w:lineRule="auto"/>
        <w:jc w:val="both"/>
        <w:rPr>
          <w:rFonts w:ascii="Arial" w:eastAsia="Calibri" w:hAnsi="Arial" w:cs="Times New Roman"/>
          <w:b/>
          <w:bCs/>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 xml:space="preserve">Employee Turnover and Institutional Knowledge </w:t>
      </w:r>
    </w:p>
    <w:p w14:paraId="5C8DC3BC"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Loss Contract labourers may lose institutional knowledge and continuity due to their high turnover rate. This attrition can lead to disorganised teams, decreased productivity, and an atmosphere of constant change, all of which have a negative effect on employee engagement.</w:t>
      </w:r>
    </w:p>
    <w:p w14:paraId="459AFC28" w14:textId="77777777" w:rsidR="007A0324" w:rsidRPr="007A0324" w:rsidRDefault="007A0324" w:rsidP="007A0324">
      <w:pPr>
        <w:suppressAutoHyphens/>
        <w:spacing w:line="360" w:lineRule="auto"/>
        <w:jc w:val="both"/>
        <w:rPr>
          <w:rFonts w:ascii="Arial" w:eastAsia="Calibri" w:hAnsi="Arial" w:cs="Times New Roman"/>
          <w:b/>
          <w:bCs/>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Adaptability and Independence</w:t>
      </w:r>
    </w:p>
    <w:p w14:paraId="65C863D8"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On the plus side, there is a chance that some contract employees will embrace the autonomy and flexibility that contract work can offer. When individuals perceive that their working arrangement satisfies their specific preferences and needs, they may be more invested in their work (</w:t>
      </w:r>
      <w:r w:rsidRPr="007A0324">
        <w:rPr>
          <w:rFonts w:ascii="Arial" w:eastAsia="Calibri" w:hAnsi="Arial" w:cs="Arial"/>
          <w:color w:val="000000"/>
          <w:kern w:val="0"/>
          <w:sz w:val="24"/>
          <w:szCs w:val="24"/>
          <w:shd w:val="clear" w:color="auto" w:fill="FFFFFF"/>
          <w:lang w:eastAsia="ar-SA"/>
          <w14:ligatures w14:val="none"/>
        </w:rPr>
        <w:t>MM, 2021</w:t>
      </w:r>
      <w:r w:rsidRPr="007A0324">
        <w:rPr>
          <w:rFonts w:ascii="Arial" w:eastAsia="Calibri" w:hAnsi="Arial" w:cs="Times New Roman"/>
          <w:color w:val="000000"/>
          <w:kern w:val="0"/>
          <w:sz w:val="24"/>
          <w:lang w:eastAsia="ar-SA"/>
          <w14:ligatures w14:val="none"/>
        </w:rPr>
        <w:t xml:space="preserve">). </w:t>
      </w:r>
    </w:p>
    <w:p w14:paraId="53AB4317"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In extreme circumstances, the employer may move to terminate the employee's contract and rehire the employee under a new contract with different terms and conditions. This process is known as "firing and rehiring." The employer is responsible for ensuring that the proper procedure for termination is followed. This course of action is deemed high-risk because it is commonly believed to be detrimental to labour relations and the employer brand, while also exposing the employer to potential litigation for unjust termination and breach of contract. If all other options have been exhausted, employers always have the option of terminating a contract and rehiring an employee under new terms and conditions (</w:t>
      </w:r>
      <w:proofErr w:type="spellStart"/>
      <w:r w:rsidRPr="007A0324">
        <w:rPr>
          <w:rFonts w:ascii="Arial" w:eastAsia="Calibri" w:hAnsi="Arial" w:cs="Arial"/>
          <w:color w:val="000000"/>
          <w:kern w:val="0"/>
          <w:sz w:val="24"/>
          <w:szCs w:val="24"/>
          <w:shd w:val="clear" w:color="auto" w:fill="FFFFFF"/>
          <w:lang w:eastAsia="ar-SA"/>
          <w14:ligatures w14:val="none"/>
        </w:rPr>
        <w:t>Kutaula</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proofErr w:type="spellStart"/>
      <w:r w:rsidRPr="007A0324">
        <w:rPr>
          <w:rFonts w:ascii="Arial" w:eastAsia="Calibri" w:hAnsi="Arial" w:cs="Arial"/>
          <w:color w:val="000000"/>
          <w:kern w:val="0"/>
          <w:sz w:val="24"/>
          <w:szCs w:val="24"/>
          <w:shd w:val="clear" w:color="auto" w:fill="FFFFFF"/>
          <w:lang w:eastAsia="ar-SA"/>
          <w14:ligatures w14:val="none"/>
        </w:rPr>
        <w:t>Gillani</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Budhwar</w:t>
      </w:r>
      <w:proofErr w:type="spellEnd"/>
      <w:r w:rsidRPr="007A0324">
        <w:rPr>
          <w:rFonts w:ascii="Arial" w:eastAsia="Calibri" w:hAnsi="Arial" w:cs="Arial"/>
          <w:color w:val="000000"/>
          <w:kern w:val="0"/>
          <w:sz w:val="24"/>
          <w:szCs w:val="24"/>
          <w:shd w:val="clear" w:color="auto" w:fill="FFFFFF"/>
          <w:lang w:eastAsia="ar-SA"/>
          <w14:ligatures w14:val="none"/>
        </w:rPr>
        <w:t>, 2020</w:t>
      </w:r>
      <w:r w:rsidRPr="007A0324">
        <w:rPr>
          <w:rFonts w:ascii="Arial" w:eastAsia="Calibri" w:hAnsi="Arial" w:cs="Times New Roman"/>
          <w:color w:val="000000"/>
          <w:kern w:val="0"/>
          <w:sz w:val="24"/>
          <w:lang w:eastAsia="ar-SA"/>
          <w14:ligatures w14:val="none"/>
        </w:rPr>
        <w:t>).</w:t>
      </w:r>
    </w:p>
    <w:p w14:paraId="6C39993A"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Employers and employees use a variety of employment contracts in the current labour market. These include contracts for permanent full-time or part-time work, contracts for a specified period, contracts for a specific number of hours per week, and contracts for agency personnel, freelancers, consultants, and contractors. Permanent employment contracts are applicable in the following scenarios: a person is employed for regular hours at a wage or hourly rate for an indefinite period until either the employer or the employee </w:t>
      </w:r>
      <w:r w:rsidRPr="007A0324">
        <w:rPr>
          <w:rFonts w:ascii="Arial" w:eastAsia="Calibri" w:hAnsi="Arial" w:cs="Times New Roman"/>
          <w:color w:val="000000"/>
          <w:kern w:val="0"/>
          <w:sz w:val="24"/>
          <w:lang w:eastAsia="ar-SA"/>
          <w14:ligatures w14:val="none"/>
        </w:rPr>
        <w:lastRenderedPageBreak/>
        <w:t>no longer desires to continue the job (</w:t>
      </w:r>
      <w:proofErr w:type="spellStart"/>
      <w:r w:rsidRPr="007A0324">
        <w:rPr>
          <w:rFonts w:ascii="Arial" w:eastAsia="Calibri" w:hAnsi="Arial" w:cs="Arial"/>
          <w:color w:val="000000"/>
          <w:kern w:val="0"/>
          <w:sz w:val="24"/>
          <w:szCs w:val="24"/>
          <w:shd w:val="clear" w:color="auto" w:fill="FFFFFF"/>
          <w:lang w:eastAsia="ar-SA"/>
          <w14:ligatures w14:val="none"/>
        </w:rPr>
        <w:t>Riyanto</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proofErr w:type="spellStart"/>
      <w:r w:rsidRPr="007A0324">
        <w:rPr>
          <w:rFonts w:ascii="Arial" w:eastAsia="Calibri" w:hAnsi="Arial" w:cs="Arial"/>
          <w:color w:val="000000"/>
          <w:kern w:val="0"/>
          <w:sz w:val="24"/>
          <w:szCs w:val="24"/>
          <w:shd w:val="clear" w:color="auto" w:fill="FFFFFF"/>
          <w:lang w:eastAsia="ar-SA"/>
          <w14:ligatures w14:val="none"/>
        </w:rPr>
        <w:t>Endri</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Herlisha</w:t>
      </w:r>
      <w:proofErr w:type="spellEnd"/>
      <w:r w:rsidRPr="007A0324">
        <w:rPr>
          <w:rFonts w:ascii="Arial" w:eastAsia="Calibri" w:hAnsi="Arial" w:cs="Arial"/>
          <w:color w:val="000000"/>
          <w:kern w:val="0"/>
          <w:sz w:val="24"/>
          <w:szCs w:val="24"/>
          <w:shd w:val="clear" w:color="auto" w:fill="FFFFFF"/>
          <w:lang w:eastAsia="ar-SA"/>
          <w14:ligatures w14:val="none"/>
        </w:rPr>
        <w:t>, 2021</w:t>
      </w:r>
      <w:r w:rsidRPr="007A0324">
        <w:rPr>
          <w:rFonts w:ascii="Arial" w:eastAsia="Calibri" w:hAnsi="Arial" w:cs="Times New Roman"/>
          <w:color w:val="000000"/>
          <w:kern w:val="0"/>
          <w:sz w:val="24"/>
          <w:lang w:eastAsia="ar-SA"/>
          <w14:ligatures w14:val="none"/>
        </w:rPr>
        <w:t>). Permanent contracts may be offered to full-time or part-time employees. Permanently employed workers are accorded all the employment privileges guaranteed by law.</w:t>
      </w:r>
      <w:r w:rsidRPr="007A0324">
        <w:rPr>
          <w:rFonts w:ascii="Arial" w:eastAsia="Calibri" w:hAnsi="Arial" w:cs="Times New Roman"/>
          <w:color w:val="000000"/>
          <w:kern w:val="0"/>
          <w:sz w:val="24"/>
          <w:lang w:eastAsia="ar-SA"/>
          <w14:ligatures w14:val="none"/>
        </w:rPr>
        <w:cr/>
        <w:t xml:space="preserve"> Fixed-term contracts are employment agreements in which the employee and the employer consent to a specific end date or termination point for the contract of work. Usually, the period may be extended through mutual agreement (</w:t>
      </w:r>
      <w:proofErr w:type="spellStart"/>
      <w:r w:rsidRPr="007A0324">
        <w:rPr>
          <w:rFonts w:ascii="Arial" w:eastAsia="Calibri" w:hAnsi="Arial" w:cs="Arial"/>
          <w:color w:val="000000"/>
          <w:kern w:val="0"/>
          <w:sz w:val="24"/>
          <w:szCs w:val="24"/>
          <w:shd w:val="clear" w:color="auto" w:fill="FFFFFF"/>
          <w:lang w:eastAsia="ar-SA"/>
          <w14:ligatures w14:val="none"/>
        </w:rPr>
        <w:t>Alshaabani</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2021</w:t>
      </w:r>
      <w:r w:rsidRPr="007A0324">
        <w:rPr>
          <w:rFonts w:ascii="Arial" w:eastAsia="Calibri" w:hAnsi="Arial" w:cs="Times New Roman"/>
          <w:color w:val="000000"/>
          <w:kern w:val="0"/>
          <w:sz w:val="24"/>
          <w:lang w:eastAsia="ar-SA"/>
          <w14:ligatures w14:val="none"/>
        </w:rPr>
        <w:t>). Transient workers are entitled to the same legal protections and privileges as permanent workers, and they should not be subjected to less favourable working conditions due to their transient status (</w:t>
      </w:r>
      <w:proofErr w:type="spellStart"/>
      <w:r w:rsidRPr="007A0324">
        <w:rPr>
          <w:rFonts w:ascii="Arial" w:eastAsia="Calibri" w:hAnsi="Arial" w:cs="Arial"/>
          <w:color w:val="000000"/>
          <w:kern w:val="0"/>
          <w:sz w:val="24"/>
          <w:szCs w:val="24"/>
          <w:shd w:val="clear" w:color="auto" w:fill="FFFFFF"/>
          <w:lang w:eastAsia="ar-SA"/>
          <w14:ligatures w14:val="none"/>
        </w:rPr>
        <w:t>Arslan</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t>Roudaki</w:t>
      </w:r>
      <w:proofErr w:type="spellEnd"/>
      <w:r w:rsidRPr="007A0324">
        <w:rPr>
          <w:rFonts w:ascii="Arial" w:eastAsia="Calibri" w:hAnsi="Arial" w:cs="Arial"/>
          <w:color w:val="000000"/>
          <w:kern w:val="0"/>
          <w:sz w:val="24"/>
          <w:szCs w:val="24"/>
          <w:shd w:val="clear" w:color="auto" w:fill="FFFFFF"/>
          <w:lang w:eastAsia="ar-SA"/>
          <w14:ligatures w14:val="none"/>
        </w:rPr>
        <w:t>, 2019</w:t>
      </w:r>
      <w:r w:rsidRPr="007A0324">
        <w:rPr>
          <w:rFonts w:ascii="Arial" w:eastAsia="Calibri" w:hAnsi="Arial" w:cs="Times New Roman"/>
          <w:color w:val="000000"/>
          <w:kern w:val="0"/>
          <w:sz w:val="24"/>
          <w:lang w:eastAsia="ar-SA"/>
          <w14:ligatures w14:val="none"/>
        </w:rPr>
        <w:t xml:space="preserve">). Zero-hour contracts, also known as 'casual' contracts, are used when an employer is interested in employing an individual but cannot guarantee a minimum or consistent number of hours worked by that individual. Workers paid on a zero-hour basis are nonetheless entitled to the employment protections guaranteed by law, such as the minimum wage, statutory ill pay (if they qualify), and statutory minimum notice periods. </w:t>
      </w:r>
    </w:p>
    <w:p w14:paraId="78B83808"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Although a written employment contract is not required, it is standard practice to provide all employees with a written agreement outlining the terms and conditions of their employment. Although a written employment agreement is not obligatory, it is standard practice. This clarifies the rights and responsibilities of both the employer and the employee, helping to reduce misunderstandings that could lead to a dispute. In addition to including standard terms and conditions, employment contracts should be structured to provide maximal protection for the employer (</w:t>
      </w:r>
      <w:proofErr w:type="spellStart"/>
      <w:r w:rsidRPr="007A0324">
        <w:rPr>
          <w:rFonts w:ascii="Arial" w:eastAsia="Calibri" w:hAnsi="Arial" w:cs="Arial"/>
          <w:color w:val="000000"/>
          <w:kern w:val="0"/>
          <w:sz w:val="24"/>
          <w:szCs w:val="24"/>
          <w:shd w:val="clear" w:color="auto" w:fill="FFFFFF"/>
          <w:lang w:eastAsia="ar-SA"/>
          <w14:ligatures w14:val="none"/>
        </w:rPr>
        <w:t>Davidescu</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w:t>
      </w:r>
      <w:r w:rsidRPr="007A0324">
        <w:rPr>
          <w:rFonts w:ascii="Arial" w:eastAsia="Calibri" w:hAnsi="Arial" w:cs="Times New Roman"/>
          <w:color w:val="000000"/>
          <w:kern w:val="0"/>
          <w:sz w:val="24"/>
          <w:lang w:eastAsia="ar-SA"/>
          <w14:ligatures w14:val="none"/>
        </w:rPr>
        <w:t xml:space="preserve">). </w:t>
      </w:r>
    </w:p>
    <w:p w14:paraId="4E4A95BF"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Employment contracts should include pertinent and suitable elements such as flexibility clauses, mobility clauses, and restrictive covenants. It is in your best interest to have a qualified expert evaluate and draught your contracts so that your interests are protected (</w:t>
      </w:r>
      <w:r w:rsidRPr="007A0324">
        <w:rPr>
          <w:rFonts w:ascii="Arial" w:eastAsia="Calibri" w:hAnsi="Arial" w:cs="Arial"/>
          <w:color w:val="000000"/>
          <w:kern w:val="0"/>
          <w:sz w:val="24"/>
          <w:szCs w:val="24"/>
          <w:shd w:val="clear" w:color="auto" w:fill="FFFFFF"/>
          <w:lang w:eastAsia="ar-SA"/>
          <w14:ligatures w14:val="none"/>
        </w:rPr>
        <w:t xml:space="preserve">Liu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w:t>
      </w:r>
      <w:r w:rsidRPr="007A0324">
        <w:rPr>
          <w:rFonts w:ascii="Arial" w:eastAsia="Calibri" w:hAnsi="Arial" w:cs="Times New Roman"/>
          <w:color w:val="000000"/>
          <w:kern w:val="0"/>
          <w:sz w:val="24"/>
          <w:lang w:eastAsia="ar-SA"/>
          <w14:ligatures w14:val="none"/>
        </w:rPr>
        <w:t>). Workers with employment contracts of one month or longer are required by law to receive a written statement of particulars at the start of their employment. The document should include specific job-related information, such as the employee's and employer's names, the employment start date, holiday entitlement, work location, and whether relocation is required (</w:t>
      </w:r>
      <w:r w:rsidRPr="007A0324">
        <w:rPr>
          <w:rFonts w:ascii="Arial" w:eastAsia="Calibri" w:hAnsi="Arial" w:cs="Arial"/>
          <w:color w:val="000000"/>
          <w:kern w:val="0"/>
          <w:sz w:val="24"/>
          <w:szCs w:val="24"/>
          <w:shd w:val="clear" w:color="auto" w:fill="FFFFFF"/>
          <w:lang w:eastAsia="ar-SA"/>
          <w14:ligatures w14:val="none"/>
        </w:rPr>
        <w:t xml:space="preserve">Braganza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2021</w:t>
      </w:r>
      <w:r w:rsidRPr="007A0324">
        <w:rPr>
          <w:rFonts w:ascii="Arial" w:eastAsia="Calibri" w:hAnsi="Arial" w:cs="Times New Roman"/>
          <w:color w:val="000000"/>
          <w:kern w:val="0"/>
          <w:sz w:val="24"/>
          <w:lang w:eastAsia="ar-SA"/>
          <w14:ligatures w14:val="none"/>
        </w:rPr>
        <w:t>). These are merely some of the components that must be included.</w:t>
      </w:r>
    </w:p>
    <w:p w14:paraId="1E5FB08F" w14:textId="77777777" w:rsidR="007A0324" w:rsidRPr="007A0324" w:rsidRDefault="007A0324" w:rsidP="007A0324">
      <w:pPr>
        <w:keepNext/>
        <w:keepLines/>
        <w:suppressAutoHyphens/>
        <w:spacing w:before="113" w:line="360" w:lineRule="auto"/>
        <w:jc w:val="both"/>
        <w:outlineLvl w:val="1"/>
        <w:rPr>
          <w:rFonts w:ascii="Arial" w:eastAsia="Times New Roman" w:hAnsi="Arial" w:cs="Times New Roman"/>
          <w:bCs/>
          <w:color w:val="000000"/>
          <w:kern w:val="0"/>
          <w:sz w:val="24"/>
          <w:szCs w:val="26"/>
          <w:u w:val="single"/>
          <w:lang w:eastAsia="ar-SA"/>
          <w14:ligatures w14:val="none"/>
        </w:rPr>
      </w:pPr>
      <w:bookmarkStart w:id="5" w:name="_Toc143382896"/>
      <w:r w:rsidRPr="007A0324">
        <w:rPr>
          <w:rFonts w:ascii="Arial" w:eastAsia="Times New Roman" w:hAnsi="Arial" w:cs="Times New Roman"/>
          <w:bCs/>
          <w:color w:val="000000"/>
          <w:kern w:val="0"/>
          <w:sz w:val="24"/>
          <w:szCs w:val="26"/>
          <w:u w:val="single"/>
          <w:lang w:eastAsia="ar-SA"/>
          <w14:ligatures w14:val="none"/>
        </w:rPr>
        <w:lastRenderedPageBreak/>
        <w:t>3. Evaluation of HR Involvement in the Issue and Considering Whether Traditional Models of HRM Provide Adequate Framework for Managing Contemporary Employment Relations</w:t>
      </w:r>
      <w:bookmarkEnd w:id="5"/>
      <w:r w:rsidRPr="007A0324">
        <w:rPr>
          <w:rFonts w:ascii="Arial" w:eastAsia="Times New Roman" w:hAnsi="Arial" w:cs="Times New Roman"/>
          <w:bCs/>
          <w:color w:val="000000"/>
          <w:kern w:val="0"/>
          <w:sz w:val="24"/>
          <w:szCs w:val="26"/>
          <w:u w:val="single"/>
          <w:lang w:eastAsia="ar-SA"/>
          <w14:ligatures w14:val="none"/>
        </w:rPr>
        <w:t xml:space="preserve"> </w:t>
      </w:r>
    </w:p>
    <w:p w14:paraId="58050E34"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 xml:space="preserve">Evaluation of HR Involvement in the Fire and Rehire Strategy Implemented in the British Gas </w:t>
      </w:r>
    </w:p>
    <w:p w14:paraId="54FEB9D4"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 contentious employment practise known as "Fire and Rehire" refers to a method in which companies terminate the current contracts of their employees and then offer them new contracts with potentially less favourable terms and conditions </w:t>
      </w:r>
      <w:r w:rsidRPr="007A0324">
        <w:rPr>
          <w:rFonts w:ascii="Arial" w:eastAsia="Calibri" w:hAnsi="Arial" w:cs="Arial"/>
          <w:color w:val="000000"/>
          <w:kern w:val="0"/>
          <w:sz w:val="24"/>
          <w:szCs w:val="24"/>
          <w:shd w:val="clear" w:color="auto" w:fill="FFFFFF"/>
          <w:lang w:eastAsia="ar-SA"/>
          <w14:ligatures w14:val="none"/>
        </w:rPr>
        <w:t>(Troth and Guest, 2020)</w:t>
      </w:r>
      <w:r w:rsidRPr="007A0324">
        <w:rPr>
          <w:rFonts w:ascii="Arial" w:eastAsia="Calibri" w:hAnsi="Arial" w:cs="Times New Roman"/>
          <w:color w:val="000000"/>
          <w:kern w:val="0"/>
          <w:sz w:val="24"/>
          <w:lang w:eastAsia="ar-SA"/>
          <w14:ligatures w14:val="none"/>
        </w:rPr>
        <w:t xml:space="preserve">. The technique has been criticised for its impact on the general morale of employees, employment security, and workplace relationships. When examining the HR involvement in the British Gas issue, which included the implementation of such a plan, multiple perspectives must be considered </w:t>
      </w:r>
      <w:r w:rsidRPr="007A0324">
        <w:rPr>
          <w:rFonts w:ascii="Arial" w:eastAsia="Calibri" w:hAnsi="Arial" w:cs="Arial"/>
          <w:color w:val="000000"/>
          <w:kern w:val="0"/>
          <w:sz w:val="24"/>
          <w:szCs w:val="24"/>
          <w:shd w:val="clear" w:color="auto" w:fill="FFFFFF"/>
          <w:lang w:eastAsia="ar-SA"/>
          <w14:ligatures w14:val="none"/>
        </w:rPr>
        <w:t xml:space="preserve">(Kwon and </w:t>
      </w:r>
      <w:proofErr w:type="spellStart"/>
      <w:r w:rsidRPr="007A0324">
        <w:rPr>
          <w:rFonts w:ascii="Arial" w:eastAsia="Calibri" w:hAnsi="Arial" w:cs="Arial"/>
          <w:color w:val="000000"/>
          <w:kern w:val="0"/>
          <w:sz w:val="24"/>
          <w:szCs w:val="24"/>
          <w:shd w:val="clear" w:color="auto" w:fill="FFFFFF"/>
          <w:lang w:eastAsia="ar-SA"/>
          <w14:ligatures w14:val="none"/>
        </w:rPr>
        <w:t>Jang</w:t>
      </w:r>
      <w:proofErr w:type="spellEnd"/>
      <w:r w:rsidRPr="007A0324">
        <w:rPr>
          <w:rFonts w:ascii="Arial" w:eastAsia="Calibri" w:hAnsi="Arial" w:cs="Arial"/>
          <w:color w:val="000000"/>
          <w:kern w:val="0"/>
          <w:sz w:val="24"/>
          <w:szCs w:val="24"/>
          <w:shd w:val="clear" w:color="auto" w:fill="FFFFFF"/>
          <w:lang w:eastAsia="ar-SA"/>
          <w14:ligatures w14:val="none"/>
        </w:rPr>
        <w:t>, 2022)</w:t>
      </w:r>
      <w:r w:rsidRPr="007A0324">
        <w:rPr>
          <w:rFonts w:ascii="Arial" w:eastAsia="Calibri" w:hAnsi="Arial" w:cs="Times New Roman"/>
          <w:color w:val="000000"/>
          <w:kern w:val="0"/>
          <w:sz w:val="24"/>
          <w:lang w:eastAsia="ar-SA"/>
          <w14:ligatures w14:val="none"/>
        </w:rPr>
        <w:t xml:space="preserve">. HR departments are responsible for ensuring that hiring procedures adhere to all applicable employment rules and regulations. </w:t>
      </w:r>
    </w:p>
    <w:p w14:paraId="4B2BEB28"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 HR department was involved, it is reasonable to assume that they ensured the plan was executed within the legal constraints, thereby preventing any potential legal challenges. If the company was experiencing financial difficulties or needed to adapt to changing market conditions, HR may have been able to justify the strategy as a necessary step for the company's survival and market competitiveness </w:t>
      </w:r>
      <w:r w:rsidRPr="007A0324">
        <w:rPr>
          <w:rFonts w:ascii="Arial" w:eastAsia="Calibri" w:hAnsi="Arial" w:cs="Arial"/>
          <w:color w:val="000000"/>
          <w:kern w:val="0"/>
          <w:sz w:val="24"/>
          <w:szCs w:val="24"/>
          <w:shd w:val="clear" w:color="auto" w:fill="FFFFFF"/>
          <w:lang w:eastAsia="ar-SA"/>
          <w14:ligatures w14:val="none"/>
        </w:rPr>
        <w:t>(Budd, 2020)</w:t>
      </w:r>
      <w:r w:rsidRPr="007A0324">
        <w:rPr>
          <w:rFonts w:ascii="Arial" w:eastAsia="Calibri" w:hAnsi="Arial" w:cs="Times New Roman"/>
          <w:color w:val="000000"/>
          <w:kern w:val="0"/>
          <w:sz w:val="24"/>
          <w:lang w:eastAsia="ar-SA"/>
          <w14:ligatures w14:val="none"/>
        </w:rPr>
        <w:t xml:space="preserve">. HR specialists may be indispensable when it comes to managing communication during periods of transition. It is conceivable that they were responsible for explaining the rationale behind the plan to the staff, thereby alleviating their anxiety and confusion. They may have also provided training or seminars for employees to help them fathom the changes and their significance. </w:t>
      </w:r>
    </w:p>
    <w:p w14:paraId="6EE94202"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It is good knowledge that the tactic of "Fire and Rehire" puts a strain on ties between employers and their workforce. It is possible that workers would have had a negative reaction to HR's active involvement, which would have caused a breach of trust and loyalty on their part </w:t>
      </w:r>
      <w:r w:rsidRPr="007A0324">
        <w:rPr>
          <w:rFonts w:ascii="Arial" w:eastAsia="Calibri" w:hAnsi="Arial" w:cs="Arial"/>
          <w:color w:val="000000"/>
          <w:kern w:val="0"/>
          <w:sz w:val="24"/>
          <w:szCs w:val="24"/>
          <w:shd w:val="clear" w:color="auto" w:fill="FFFFFF"/>
          <w:lang w:eastAsia="ar-SA"/>
          <w14:ligatures w14:val="none"/>
        </w:rPr>
        <w:t>(Cheng and Hackett, 2021)</w:t>
      </w:r>
      <w:r w:rsidRPr="007A0324">
        <w:rPr>
          <w:rFonts w:ascii="Arial" w:eastAsia="Calibri" w:hAnsi="Arial" w:cs="Times New Roman"/>
          <w:color w:val="000000"/>
          <w:kern w:val="0"/>
          <w:sz w:val="24"/>
          <w:lang w:eastAsia="ar-SA"/>
          <w14:ligatures w14:val="none"/>
        </w:rPr>
        <w:t xml:space="preserve">. Employees that are required to adhere to such a policy often suffer from poorer morale and less production as a direct result of </w:t>
      </w:r>
      <w:r w:rsidRPr="007A0324">
        <w:rPr>
          <w:rFonts w:ascii="Arial" w:eastAsia="Calibri" w:hAnsi="Arial" w:cs="Times New Roman"/>
          <w:color w:val="000000"/>
          <w:kern w:val="0"/>
          <w:sz w:val="24"/>
          <w:lang w:eastAsia="ar-SA"/>
          <w14:ligatures w14:val="none"/>
        </w:rPr>
        <w:lastRenderedPageBreak/>
        <w:t xml:space="preserve">the uncertainty and job instability they are required to endure. There is a possibility that the engagement of HR was unable to address all these adverse effects completely. </w:t>
      </w:r>
    </w:p>
    <w:p w14:paraId="059636D3"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 engagement of HR in a strategy that is seen to be aggressive and unjust may have a bad impact on the image of the firm, both among workers and the general public. Due to this, it is possible that in the future we will not be able to successfully recruit and keep the best talent </w:t>
      </w:r>
      <w:r w:rsidRPr="007A0324">
        <w:rPr>
          <w:rFonts w:ascii="Arial" w:eastAsia="Calibri" w:hAnsi="Arial" w:cs="Arial"/>
          <w:color w:val="000000"/>
          <w:kern w:val="0"/>
          <w:sz w:val="24"/>
          <w:szCs w:val="24"/>
          <w:shd w:val="clear" w:color="auto" w:fill="FFFFFF"/>
          <w:lang w:eastAsia="ar-SA"/>
          <w14:ligatures w14:val="none"/>
        </w:rPr>
        <w:t xml:space="preserve">(Morales-Sánchez and </w:t>
      </w:r>
      <w:proofErr w:type="spellStart"/>
      <w:r w:rsidRPr="007A0324">
        <w:rPr>
          <w:rFonts w:ascii="Arial" w:eastAsia="Calibri" w:hAnsi="Arial" w:cs="Arial"/>
          <w:color w:val="000000"/>
          <w:kern w:val="0"/>
          <w:sz w:val="24"/>
          <w:szCs w:val="24"/>
          <w:shd w:val="clear" w:color="auto" w:fill="FFFFFF"/>
          <w:lang w:eastAsia="ar-SA"/>
          <w14:ligatures w14:val="none"/>
        </w:rPr>
        <w:t>Pasamar</w:t>
      </w:r>
      <w:proofErr w:type="spellEnd"/>
      <w:r w:rsidRPr="007A0324">
        <w:rPr>
          <w:rFonts w:ascii="Arial" w:eastAsia="Calibri" w:hAnsi="Arial" w:cs="Arial"/>
          <w:color w:val="000000"/>
          <w:kern w:val="0"/>
          <w:sz w:val="24"/>
          <w:szCs w:val="24"/>
          <w:shd w:val="clear" w:color="auto" w:fill="FFFFFF"/>
          <w:lang w:eastAsia="ar-SA"/>
          <w14:ligatures w14:val="none"/>
        </w:rPr>
        <w:t>, 2020)</w:t>
      </w:r>
      <w:r w:rsidRPr="007A0324">
        <w:rPr>
          <w:rFonts w:ascii="Arial" w:eastAsia="Calibri" w:hAnsi="Arial" w:cs="Times New Roman"/>
          <w:color w:val="000000"/>
          <w:kern w:val="0"/>
          <w:sz w:val="24"/>
          <w:lang w:eastAsia="ar-SA"/>
          <w14:ligatures w14:val="none"/>
        </w:rPr>
        <w:t>. Any possible benefits in the near term might be outweighed by potential drawbacks in the long run, such as increased staff turnover, increased difficulties in recruiting fresh talent, and potential legal problems. It is possible that HR's participation did not give these repercussions its full attention.</w:t>
      </w:r>
    </w:p>
    <w:p w14:paraId="6EC1E5EF"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 UK government is developing a new code of practice on dismissal and re-engagement to stamp out unfair fire-and-rehire practices. For HR professionals, it will mean sharpening their skills and minding their language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Alzoubi</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r w:rsidRPr="007A0324">
        <w:rPr>
          <w:rFonts w:ascii="Arial" w:eastAsia="Calibri" w:hAnsi="Arial" w:cs="Arial"/>
          <w:i/>
          <w:iCs/>
          <w:color w:val="000000"/>
          <w:kern w:val="0"/>
          <w:sz w:val="24"/>
          <w:szCs w:val="24"/>
          <w:shd w:val="clear" w:color="auto" w:fill="FFFFFF"/>
          <w:lang w:eastAsia="ar-SA"/>
          <w14:ligatures w14:val="none"/>
        </w:rPr>
        <w:t xml:space="preserve">et al., </w:t>
      </w:r>
      <w:r w:rsidRPr="007A0324">
        <w:rPr>
          <w:rFonts w:ascii="Arial" w:eastAsia="Calibri" w:hAnsi="Arial" w:cs="Arial"/>
          <w:color w:val="000000"/>
          <w:kern w:val="0"/>
          <w:sz w:val="24"/>
          <w:szCs w:val="24"/>
          <w:shd w:val="clear" w:color="auto" w:fill="FFFFFF"/>
          <w:lang w:eastAsia="ar-SA"/>
          <w14:ligatures w14:val="none"/>
        </w:rPr>
        <w:t>2022)</w:t>
      </w:r>
      <w:r w:rsidRPr="007A0324">
        <w:rPr>
          <w:rFonts w:ascii="Arial" w:eastAsia="Calibri" w:hAnsi="Arial" w:cs="Times New Roman"/>
          <w:color w:val="000000"/>
          <w:kern w:val="0"/>
          <w:sz w:val="24"/>
          <w:lang w:eastAsia="ar-SA"/>
          <w14:ligatures w14:val="none"/>
        </w:rPr>
        <w:t xml:space="preserve">. Fire and rehire has become such a toxic policy since the P&amp;O scandal that, according to one poll last year, three-quarters of the UK population believe that it should be banned. While it is not proposing to go that far, the government is looking to crack down on it with a new statutory code of practice on dismissal and re-engagement. </w:t>
      </w:r>
    </w:p>
    <w:p w14:paraId="1F9F0540" w14:textId="77777777" w:rsidR="007A0324" w:rsidRPr="007A0324" w:rsidRDefault="007A0324" w:rsidP="007A0324">
      <w:pPr>
        <w:suppressAutoHyphens/>
        <w:spacing w:line="360" w:lineRule="auto"/>
        <w:jc w:val="both"/>
        <w:rPr>
          <w:rFonts w:ascii="Arial" w:eastAsia="Calibri" w:hAnsi="Arial" w:cs="Times New Roman"/>
          <w:b/>
          <w:bCs/>
          <w:color w:val="000000"/>
          <w:kern w:val="0"/>
          <w:sz w:val="24"/>
          <w:lang w:eastAsia="ar-SA"/>
          <w14:ligatures w14:val="none"/>
        </w:rPr>
      </w:pPr>
      <w:r w:rsidRPr="007A0324">
        <w:rPr>
          <w:rFonts w:ascii="Arial" w:eastAsia="Calibri" w:hAnsi="Arial" w:cs="Times New Roman"/>
          <w:b/>
          <w:bCs/>
          <w:color w:val="000000"/>
          <w:kern w:val="0"/>
          <w:sz w:val="24"/>
          <w:lang w:eastAsia="ar-SA"/>
          <w14:ligatures w14:val="none"/>
        </w:rPr>
        <w:t xml:space="preserve">Effectiveness of the Traditional Model of HRM and its Ability to Manage Contemporary Employee Relations </w:t>
      </w:r>
    </w:p>
    <w:p w14:paraId="329932A8"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To manage effectively to employee relations, the implementation of the traditional model of HRM can be considered but only to an extent as they help in the identification and guide HR managers on how effective relations can be developed between employees and the business. In a typical HR management function, the HR professional works in a reactive manner. This means that they do not teach employees about their duties or how their work will be done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Lopez-Cabrales</w:t>
      </w:r>
      <w:proofErr w:type="spellEnd"/>
      <w:r w:rsidRPr="007A0324">
        <w:rPr>
          <w:rFonts w:ascii="Arial" w:eastAsia="Calibri" w:hAnsi="Arial" w:cs="Arial"/>
          <w:color w:val="000000"/>
          <w:kern w:val="0"/>
          <w:sz w:val="24"/>
          <w:szCs w:val="24"/>
          <w:shd w:val="clear" w:color="auto" w:fill="FFFFFF"/>
          <w:lang w:eastAsia="ar-SA"/>
          <w14:ligatures w14:val="none"/>
        </w:rPr>
        <w:t xml:space="preserve"> and Valle-Cabrera, 2020)</w:t>
      </w:r>
      <w:r w:rsidRPr="007A0324">
        <w:rPr>
          <w:rFonts w:ascii="Arial" w:eastAsia="Calibri" w:hAnsi="Arial" w:cs="Times New Roman"/>
          <w:color w:val="000000"/>
          <w:kern w:val="0"/>
          <w:sz w:val="24"/>
          <w:lang w:eastAsia="ar-SA"/>
          <w14:ligatures w14:val="none"/>
        </w:rPr>
        <w:t xml:space="preserve">. Instead, they anticipate that their supervisors will go over their work and that the employee would pick up the training while they are on the job. </w:t>
      </w:r>
    </w:p>
    <w:p w14:paraId="3A3918AB"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 term "industrial model" refers to a controlled work environment characterised by precise job descriptions, rules, and procedures. This type of workplace is characteristic of the conventional approach to human resource management (HRM). Blue-collar manufacturing employees would do well to adopt this philosophy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Tanova</w:t>
      </w:r>
      <w:proofErr w:type="spellEnd"/>
      <w:r w:rsidRPr="007A0324">
        <w:rPr>
          <w:rFonts w:ascii="Arial" w:eastAsia="Calibri" w:hAnsi="Arial" w:cs="Arial"/>
          <w:color w:val="000000"/>
          <w:kern w:val="0"/>
          <w:sz w:val="24"/>
          <w:szCs w:val="24"/>
          <w:shd w:val="clear" w:color="auto" w:fill="FFFFFF"/>
          <w:lang w:eastAsia="ar-SA"/>
          <w14:ligatures w14:val="none"/>
        </w:rPr>
        <w:t xml:space="preserve"> and </w:t>
      </w:r>
      <w:proofErr w:type="spellStart"/>
      <w:r w:rsidRPr="007A0324">
        <w:rPr>
          <w:rFonts w:ascii="Arial" w:eastAsia="Calibri" w:hAnsi="Arial" w:cs="Arial"/>
          <w:color w:val="000000"/>
          <w:kern w:val="0"/>
          <w:sz w:val="24"/>
          <w:szCs w:val="24"/>
          <w:shd w:val="clear" w:color="auto" w:fill="FFFFFF"/>
          <w:lang w:eastAsia="ar-SA"/>
          <w14:ligatures w14:val="none"/>
        </w:rPr>
        <w:lastRenderedPageBreak/>
        <w:t>Bayighomog</w:t>
      </w:r>
      <w:proofErr w:type="spellEnd"/>
      <w:r w:rsidRPr="007A0324">
        <w:rPr>
          <w:rFonts w:ascii="Arial" w:eastAsia="Calibri" w:hAnsi="Arial" w:cs="Arial"/>
          <w:color w:val="000000"/>
          <w:kern w:val="0"/>
          <w:sz w:val="24"/>
          <w:szCs w:val="24"/>
          <w:shd w:val="clear" w:color="auto" w:fill="FFFFFF"/>
          <w:lang w:eastAsia="ar-SA"/>
          <w14:ligatures w14:val="none"/>
        </w:rPr>
        <w:t>, 2022)</w:t>
      </w:r>
      <w:r w:rsidRPr="007A0324">
        <w:rPr>
          <w:rFonts w:ascii="Arial" w:eastAsia="Calibri" w:hAnsi="Arial" w:cs="Times New Roman"/>
          <w:color w:val="000000"/>
          <w:kern w:val="0"/>
          <w:sz w:val="24"/>
          <w:lang w:eastAsia="ar-SA"/>
          <w14:ligatures w14:val="none"/>
        </w:rPr>
        <w:t xml:space="preserve">. Employees have a great deal of discretion in their day-to-day operations, but they risk disciplinary action if they violate established policies and procedures. The management team will retain their discretionary authority as a personal privilege. </w:t>
      </w:r>
    </w:p>
    <w:p w14:paraId="3B743675"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When it comes to collective bargaining agreements that define seniority-based pay scales and advancement opportunities, the position of the labour union is frequently dominant. By the salaried model of the conventional approach to human resource management, which applies to white-collar jobs, employment conditions are less stringent and job descriptions are more broadly defined </w:t>
      </w:r>
      <w:r w:rsidRPr="007A0324">
        <w:rPr>
          <w:rFonts w:ascii="Arial" w:eastAsia="Calibri" w:hAnsi="Arial" w:cs="Arial"/>
          <w:color w:val="000000"/>
          <w:kern w:val="0"/>
          <w:sz w:val="24"/>
          <w:szCs w:val="24"/>
          <w:shd w:val="clear" w:color="auto" w:fill="FFFFFF"/>
          <w:lang w:eastAsia="ar-SA"/>
          <w14:ligatures w14:val="none"/>
        </w:rPr>
        <w:t>(</w:t>
      </w:r>
      <w:proofErr w:type="spellStart"/>
      <w:r w:rsidRPr="007A0324">
        <w:rPr>
          <w:rFonts w:ascii="Arial" w:eastAsia="Calibri" w:hAnsi="Arial" w:cs="Arial"/>
          <w:color w:val="000000"/>
          <w:kern w:val="0"/>
          <w:sz w:val="24"/>
          <w:szCs w:val="24"/>
          <w:shd w:val="clear" w:color="auto" w:fill="FFFFFF"/>
          <w:lang w:eastAsia="ar-SA"/>
          <w14:ligatures w14:val="none"/>
        </w:rPr>
        <w:t>Farndale</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w:t>
      </w:r>
      <w:r w:rsidRPr="007A0324">
        <w:rPr>
          <w:rFonts w:ascii="Arial" w:eastAsia="Calibri" w:hAnsi="Arial" w:cs="Times New Roman"/>
          <w:color w:val="000000"/>
          <w:kern w:val="0"/>
          <w:sz w:val="24"/>
          <w:lang w:eastAsia="ar-SA"/>
          <w14:ligatures w14:val="none"/>
        </w:rPr>
        <w:t xml:space="preserve">. This human resource management model is suitable for white-collar positions. Even so, the fundamental concept of a well-defined work organisation in terms of stated job tasks and adherence to the brief remains unchanged, and only senior managers are regarded as competent to make crucial decisions. </w:t>
      </w:r>
    </w:p>
    <w:p w14:paraId="7459F447"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 most important factor in determining who is promoted and how much people are paid is merit, as measured by the performance review procedure and educational requirements. Additionally, merit plays the most significant role in determining who is promoted. The conventional approach to human resource management emphasises the establishment of rules, procedures, contracts, and guidelines </w:t>
      </w:r>
      <w:r w:rsidRPr="007A0324">
        <w:rPr>
          <w:rFonts w:ascii="Arial" w:eastAsia="Calibri" w:hAnsi="Arial" w:cs="Arial"/>
          <w:color w:val="000000"/>
          <w:kern w:val="0"/>
          <w:sz w:val="24"/>
          <w:szCs w:val="24"/>
          <w:shd w:val="clear" w:color="auto" w:fill="FFFFFF"/>
          <w:lang w:eastAsia="ar-SA"/>
          <w14:ligatures w14:val="none"/>
        </w:rPr>
        <w:t xml:space="preserve">(Connelly </w:t>
      </w:r>
      <w:r w:rsidRPr="007A0324">
        <w:rPr>
          <w:rFonts w:ascii="Arial" w:eastAsia="Calibri" w:hAnsi="Arial" w:cs="Arial"/>
          <w:i/>
          <w:iCs/>
          <w:color w:val="000000"/>
          <w:kern w:val="0"/>
          <w:sz w:val="24"/>
          <w:szCs w:val="24"/>
          <w:shd w:val="clear" w:color="auto" w:fill="FFFFFF"/>
          <w:lang w:eastAsia="ar-SA"/>
          <w14:ligatures w14:val="none"/>
        </w:rPr>
        <w:t xml:space="preserve">et al., </w:t>
      </w:r>
      <w:r w:rsidRPr="007A0324">
        <w:rPr>
          <w:rFonts w:ascii="Arial" w:eastAsia="Calibri" w:hAnsi="Arial" w:cs="Arial"/>
          <w:color w:val="000000"/>
          <w:kern w:val="0"/>
          <w:sz w:val="24"/>
          <w:szCs w:val="24"/>
          <w:shd w:val="clear" w:color="auto" w:fill="FFFFFF"/>
          <w:lang w:eastAsia="ar-SA"/>
          <w14:ligatures w14:val="none"/>
        </w:rPr>
        <w:t>2021)</w:t>
      </w:r>
      <w:r w:rsidRPr="007A0324">
        <w:rPr>
          <w:rFonts w:ascii="Arial" w:eastAsia="Calibri" w:hAnsi="Arial" w:cs="Times New Roman"/>
          <w:color w:val="000000"/>
          <w:kern w:val="0"/>
          <w:sz w:val="24"/>
          <w:lang w:eastAsia="ar-SA"/>
          <w14:ligatures w14:val="none"/>
        </w:rPr>
        <w:t xml:space="preserve">. This is because the conventional method is regarded as the gold standard. By requiring employees to adhere to such well-written documents, this strategy seeks to improve employee performance and achieve the organisation's objectives. A more traditional approach to human resource management would place a significant emphasis on monitoring and supervising the workforce to ensure that employees adhere to the predefined rules, procedures, and standards, as well as employment contracts </w:t>
      </w:r>
      <w:r w:rsidRPr="007A0324">
        <w:rPr>
          <w:rFonts w:ascii="Arial" w:eastAsia="Calibri" w:hAnsi="Arial" w:cs="Arial"/>
          <w:color w:val="000000"/>
          <w:kern w:val="0"/>
          <w:sz w:val="24"/>
          <w:szCs w:val="24"/>
          <w:shd w:val="clear" w:color="auto" w:fill="FFFFFF"/>
          <w:lang w:eastAsia="ar-SA"/>
          <w14:ligatures w14:val="none"/>
        </w:rPr>
        <w:t xml:space="preserve">(Connelly </w:t>
      </w:r>
      <w:r w:rsidRPr="007A0324">
        <w:rPr>
          <w:rFonts w:ascii="Arial" w:eastAsia="Calibri" w:hAnsi="Arial" w:cs="Arial"/>
          <w:i/>
          <w:iCs/>
          <w:color w:val="000000"/>
          <w:kern w:val="0"/>
          <w:sz w:val="24"/>
          <w:szCs w:val="24"/>
          <w:shd w:val="clear" w:color="auto" w:fill="FFFFFF"/>
          <w:lang w:eastAsia="ar-SA"/>
          <w14:ligatures w14:val="none"/>
        </w:rPr>
        <w:t xml:space="preserve">et al., </w:t>
      </w:r>
      <w:r w:rsidRPr="007A0324">
        <w:rPr>
          <w:rFonts w:ascii="Arial" w:eastAsia="Calibri" w:hAnsi="Arial" w:cs="Arial"/>
          <w:color w:val="000000"/>
          <w:kern w:val="0"/>
          <w:sz w:val="24"/>
          <w:szCs w:val="24"/>
          <w:shd w:val="clear" w:color="auto" w:fill="FFFFFF"/>
          <w:lang w:eastAsia="ar-SA"/>
          <w14:ligatures w14:val="none"/>
        </w:rPr>
        <w:t>2021)</w:t>
      </w:r>
      <w:r w:rsidRPr="007A0324">
        <w:rPr>
          <w:rFonts w:ascii="Arial" w:eastAsia="Calibri" w:hAnsi="Arial" w:cs="Times New Roman"/>
          <w:color w:val="000000"/>
          <w:kern w:val="0"/>
          <w:sz w:val="24"/>
          <w:lang w:eastAsia="ar-SA"/>
          <w14:ligatures w14:val="none"/>
        </w:rPr>
        <w:t xml:space="preserve">. </w:t>
      </w:r>
    </w:p>
    <w:p w14:paraId="39FD3676"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Rather than individual facilitation, which is the driving force behind the adoption of such laws and regulations, group negotiation and collective bargaining are the primary forces that drive this process. Contracts, grades, and benefits rarely deviate from the standard model, nor is </w:t>
      </w:r>
      <w:proofErr w:type="spellStart"/>
      <w:r w:rsidRPr="007A0324">
        <w:rPr>
          <w:rFonts w:ascii="Arial" w:eastAsia="Calibri" w:hAnsi="Arial" w:cs="Times New Roman"/>
          <w:color w:val="000000"/>
          <w:kern w:val="0"/>
          <w:sz w:val="24"/>
          <w:lang w:eastAsia="ar-SA"/>
          <w14:ligatures w14:val="none"/>
        </w:rPr>
        <w:t>individualization</w:t>
      </w:r>
      <w:proofErr w:type="spellEnd"/>
      <w:r w:rsidRPr="007A0324">
        <w:rPr>
          <w:rFonts w:ascii="Arial" w:eastAsia="Calibri" w:hAnsi="Arial" w:cs="Times New Roman"/>
          <w:color w:val="000000"/>
          <w:kern w:val="0"/>
          <w:sz w:val="24"/>
          <w:lang w:eastAsia="ar-SA"/>
          <w14:ligatures w14:val="none"/>
        </w:rPr>
        <w:t xml:space="preserve"> actively encouraged. Inadequately, the management of human resources does not consist solely of the formulation of policies for the </w:t>
      </w:r>
      <w:r w:rsidRPr="007A0324">
        <w:rPr>
          <w:rFonts w:ascii="Arial" w:eastAsia="Calibri" w:hAnsi="Arial" w:cs="Times New Roman"/>
          <w:color w:val="000000"/>
          <w:kern w:val="0"/>
          <w:sz w:val="24"/>
          <w:lang w:eastAsia="ar-SA"/>
          <w14:ligatures w14:val="none"/>
        </w:rPr>
        <w:lastRenderedPageBreak/>
        <w:t>organisation's benefit, to the exclusion of the personnel's aspirations and objectives (</w:t>
      </w:r>
      <w:r w:rsidRPr="007A0324">
        <w:rPr>
          <w:rFonts w:ascii="Arial" w:eastAsia="Calibri" w:hAnsi="Arial" w:cs="Arial"/>
          <w:color w:val="000000"/>
          <w:kern w:val="0"/>
          <w:sz w:val="24"/>
          <w:szCs w:val="24"/>
          <w:shd w:val="clear" w:color="auto" w:fill="FFFFFF"/>
          <w:lang w:eastAsia="ar-SA"/>
          <w14:ligatures w14:val="none"/>
        </w:rPr>
        <w:t xml:space="preserve">Kwon and </w:t>
      </w:r>
      <w:proofErr w:type="spellStart"/>
      <w:r w:rsidRPr="007A0324">
        <w:rPr>
          <w:rFonts w:ascii="Arial" w:eastAsia="Calibri" w:hAnsi="Arial" w:cs="Arial"/>
          <w:color w:val="000000"/>
          <w:kern w:val="0"/>
          <w:sz w:val="24"/>
          <w:szCs w:val="24"/>
          <w:shd w:val="clear" w:color="auto" w:fill="FFFFFF"/>
          <w:lang w:eastAsia="ar-SA"/>
          <w14:ligatures w14:val="none"/>
        </w:rPr>
        <w:t>Jang</w:t>
      </w:r>
      <w:proofErr w:type="spellEnd"/>
      <w:r w:rsidRPr="007A0324">
        <w:rPr>
          <w:rFonts w:ascii="Arial" w:eastAsia="Calibri" w:hAnsi="Arial" w:cs="Arial"/>
          <w:color w:val="000000"/>
          <w:kern w:val="0"/>
          <w:sz w:val="24"/>
          <w:szCs w:val="24"/>
          <w:shd w:val="clear" w:color="auto" w:fill="FFFFFF"/>
          <w:lang w:eastAsia="ar-SA"/>
          <w14:ligatures w14:val="none"/>
        </w:rPr>
        <w:t>, 2022</w:t>
      </w:r>
      <w:r w:rsidRPr="007A0324">
        <w:rPr>
          <w:rFonts w:ascii="Arial" w:eastAsia="Calibri" w:hAnsi="Arial" w:cs="Times New Roman"/>
          <w:color w:val="000000"/>
          <w:kern w:val="0"/>
          <w:sz w:val="24"/>
          <w:lang w:eastAsia="ar-SA"/>
          <w14:ligatures w14:val="none"/>
        </w:rPr>
        <w:t xml:space="preserve">). Procedures are designed to meet not only the requirements of the workforce but also the business's overall objectives. To achieve the best possible results, human resource management should prioritise finding a balance between the needs of the organisation and the needs of its employees. </w:t>
      </w:r>
    </w:p>
    <w:p w14:paraId="421F31A5"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The employees are managed solely by the company's objectives, which is not the case with people management or standard HR practices. Rather, this is true of the administration of the entire workforce. In this instance, consideration must be given to the organisation's needs (</w:t>
      </w:r>
      <w:r w:rsidRPr="007A0324">
        <w:rPr>
          <w:rFonts w:ascii="Arial" w:eastAsia="Calibri" w:hAnsi="Arial" w:cs="Arial"/>
          <w:color w:val="000000"/>
          <w:kern w:val="0"/>
          <w:sz w:val="24"/>
          <w:szCs w:val="24"/>
          <w:shd w:val="clear" w:color="auto" w:fill="FFFFFF"/>
          <w:lang w:eastAsia="ar-SA"/>
          <w14:ligatures w14:val="none"/>
        </w:rPr>
        <w:t>Budd, 2020</w:t>
      </w:r>
      <w:r w:rsidRPr="007A0324">
        <w:rPr>
          <w:rFonts w:ascii="Arial" w:eastAsia="Calibri" w:hAnsi="Arial" w:cs="Times New Roman"/>
          <w:color w:val="000000"/>
          <w:kern w:val="0"/>
          <w:sz w:val="24"/>
          <w:lang w:eastAsia="ar-SA"/>
          <w14:ligatures w14:val="none"/>
        </w:rPr>
        <w:t xml:space="preserve">). When drafting company policies and operating procedures, the organisation's interests are prioritised and meticulously considered throughout the entire procedure. Personnel management does not have a particularly in-depth perspective on employees or people in general, whereas human resource management views people as assets vital to the success of the organisation's employees. </w:t>
      </w:r>
    </w:p>
    <w:p w14:paraId="41C06C8B"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Human resource management recognises individuals as crucial to an organisation's success. They view employees as exactly what is necessary and an integral part of the process to provide the best possible situation and outcome for the company. Human resource management, which serves as the foundation upon which all other positions are constructed, accords a great deal of importance to teamwork (</w:t>
      </w:r>
      <w:r w:rsidRPr="007A0324">
        <w:rPr>
          <w:rFonts w:ascii="Arial" w:eastAsia="Calibri" w:hAnsi="Arial" w:cs="Arial"/>
          <w:color w:val="000000"/>
          <w:kern w:val="0"/>
          <w:sz w:val="24"/>
          <w:szCs w:val="24"/>
          <w:shd w:val="clear" w:color="auto" w:fill="FFFFFF"/>
          <w:lang w:eastAsia="ar-SA"/>
          <w14:ligatures w14:val="none"/>
        </w:rPr>
        <w:t>Cheng and Hackett, 2021</w:t>
      </w:r>
      <w:r w:rsidRPr="007A0324">
        <w:rPr>
          <w:rFonts w:ascii="Arial" w:eastAsia="Calibri" w:hAnsi="Arial" w:cs="Times New Roman"/>
          <w:color w:val="000000"/>
          <w:kern w:val="0"/>
          <w:sz w:val="24"/>
          <w:lang w:eastAsia="ar-SA"/>
          <w14:ligatures w14:val="none"/>
        </w:rPr>
        <w:t xml:space="preserve">). The most essential aspect of managing employees is allocating various responsibilities to the available workforce. The conventional resource strategy employs a resource-centred approach to ensure that the organisation has sufficient and appropriate resources to achieve its goals. This strategy's objective is to ensure that the organisation can meet its needs. </w:t>
      </w:r>
    </w:p>
    <w:p w14:paraId="0E10F607"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On the other hand, they do not fully identify with the interests of management and try to comprehend and articulate the goals and perspectives of the workforce to management, just as sales representatives comprehend and articulate the goals and perspectives of customers to management (</w:t>
      </w:r>
      <w:r w:rsidRPr="007A0324">
        <w:rPr>
          <w:rFonts w:ascii="Arial" w:eastAsia="Calibri" w:hAnsi="Arial" w:cs="Arial"/>
          <w:color w:val="000000"/>
          <w:kern w:val="0"/>
          <w:sz w:val="24"/>
          <w:szCs w:val="24"/>
          <w:shd w:val="clear" w:color="auto" w:fill="FFFFFF"/>
          <w:lang w:eastAsia="ar-SA"/>
          <w14:ligatures w14:val="none"/>
        </w:rPr>
        <w:t xml:space="preserve">Morales-Sánchez and </w:t>
      </w:r>
      <w:proofErr w:type="spellStart"/>
      <w:r w:rsidRPr="007A0324">
        <w:rPr>
          <w:rFonts w:ascii="Arial" w:eastAsia="Calibri" w:hAnsi="Arial" w:cs="Arial"/>
          <w:color w:val="000000"/>
          <w:kern w:val="0"/>
          <w:sz w:val="24"/>
          <w:szCs w:val="24"/>
          <w:shd w:val="clear" w:color="auto" w:fill="FFFFFF"/>
          <w:lang w:eastAsia="ar-SA"/>
          <w14:ligatures w14:val="none"/>
        </w:rPr>
        <w:t>Pasamar</w:t>
      </w:r>
      <w:proofErr w:type="spellEnd"/>
      <w:r w:rsidRPr="007A0324">
        <w:rPr>
          <w:rFonts w:ascii="Arial" w:eastAsia="Calibri" w:hAnsi="Arial" w:cs="Arial"/>
          <w:color w:val="000000"/>
          <w:kern w:val="0"/>
          <w:sz w:val="24"/>
          <w:szCs w:val="24"/>
          <w:shd w:val="clear" w:color="auto" w:fill="FFFFFF"/>
          <w:lang w:eastAsia="ar-SA"/>
          <w14:ligatures w14:val="none"/>
        </w:rPr>
        <w:t>, 2020</w:t>
      </w:r>
      <w:r w:rsidRPr="007A0324">
        <w:rPr>
          <w:rFonts w:ascii="Arial" w:eastAsia="Calibri" w:hAnsi="Arial" w:cs="Times New Roman"/>
          <w:color w:val="000000"/>
          <w:kern w:val="0"/>
          <w:sz w:val="24"/>
          <w:lang w:eastAsia="ar-SA"/>
          <w14:ligatures w14:val="none"/>
        </w:rPr>
        <w:t xml:space="preserve">). This contrasts with how sales representatives comprehend and communicate the objectives and perspectives of customers to management. The limited access to training that is made available in conventional resource management stands out as one response to this issue. </w:t>
      </w:r>
    </w:p>
    <w:p w14:paraId="3BBB22BD"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lastRenderedPageBreak/>
        <w:t>In conventional approaches to human resource management, training and development interventions frequently focus on the development of employee talents that are advantageous to the individual's function in the organisation. The conventional method of resource management entails a procedure that contains an essential element known as industrial relations (</w:t>
      </w:r>
      <w:proofErr w:type="spellStart"/>
      <w:r w:rsidRPr="007A0324">
        <w:rPr>
          <w:rFonts w:ascii="Arial" w:eastAsia="Calibri" w:hAnsi="Arial" w:cs="Arial"/>
          <w:color w:val="000000"/>
          <w:kern w:val="0"/>
          <w:sz w:val="24"/>
          <w:szCs w:val="24"/>
          <w:shd w:val="clear" w:color="auto" w:fill="FFFFFF"/>
          <w:lang w:eastAsia="ar-SA"/>
          <w14:ligatures w14:val="none"/>
        </w:rPr>
        <w:t>Alzoubi</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r w:rsidRPr="007A0324">
        <w:rPr>
          <w:rFonts w:ascii="Arial" w:eastAsia="Calibri" w:hAnsi="Arial" w:cs="Arial"/>
          <w:i/>
          <w:iCs/>
          <w:color w:val="000000"/>
          <w:kern w:val="0"/>
          <w:sz w:val="24"/>
          <w:szCs w:val="24"/>
          <w:shd w:val="clear" w:color="auto" w:fill="FFFFFF"/>
          <w:lang w:eastAsia="ar-SA"/>
          <w14:ligatures w14:val="none"/>
        </w:rPr>
        <w:t xml:space="preserve">et al., </w:t>
      </w:r>
      <w:r w:rsidRPr="007A0324">
        <w:rPr>
          <w:rFonts w:ascii="Arial" w:eastAsia="Calibri" w:hAnsi="Arial" w:cs="Arial"/>
          <w:color w:val="000000"/>
          <w:kern w:val="0"/>
          <w:sz w:val="24"/>
          <w:szCs w:val="24"/>
          <w:shd w:val="clear" w:color="auto" w:fill="FFFFFF"/>
          <w:lang w:eastAsia="ar-SA"/>
          <w14:ligatures w14:val="none"/>
        </w:rPr>
        <w:t>2022</w:t>
      </w:r>
      <w:r w:rsidRPr="007A0324">
        <w:rPr>
          <w:rFonts w:ascii="Arial" w:eastAsia="Calibri" w:hAnsi="Arial" w:cs="Times New Roman"/>
          <w:color w:val="000000"/>
          <w:kern w:val="0"/>
          <w:sz w:val="24"/>
          <w:lang w:eastAsia="ar-SA"/>
          <w14:ligatures w14:val="none"/>
        </w:rPr>
        <w:t>). This component is activated when management and employees acknowledge their differences. The aspect of industrial relations that entails ensuring that labour standards are implemented precisely is only a small portion of what it entails; there is much more involved.</w:t>
      </w:r>
    </w:p>
    <w:p w14:paraId="15308F58" w14:textId="77777777" w:rsidR="007A0324" w:rsidRPr="007A0324" w:rsidRDefault="007A0324" w:rsidP="007A0324">
      <w:pPr>
        <w:keepNext/>
        <w:keepLines/>
        <w:suppressAutoHyphens/>
        <w:spacing w:before="113" w:line="360" w:lineRule="auto"/>
        <w:jc w:val="both"/>
        <w:outlineLvl w:val="0"/>
        <w:rPr>
          <w:rFonts w:ascii="Arial" w:eastAsia="Times New Roman" w:hAnsi="Arial" w:cs="Times New Roman"/>
          <w:b/>
          <w:bCs/>
          <w:color w:val="000000"/>
          <w:kern w:val="0"/>
          <w:sz w:val="28"/>
          <w:szCs w:val="28"/>
          <w:lang w:eastAsia="ar-SA"/>
          <w14:ligatures w14:val="none"/>
        </w:rPr>
      </w:pPr>
      <w:bookmarkStart w:id="6" w:name="_Toc143382897"/>
      <w:r w:rsidRPr="007A0324">
        <w:rPr>
          <w:rFonts w:ascii="Arial" w:eastAsia="Times New Roman" w:hAnsi="Arial" w:cs="Times New Roman"/>
          <w:b/>
          <w:bCs/>
          <w:color w:val="000000"/>
          <w:kern w:val="0"/>
          <w:sz w:val="28"/>
          <w:szCs w:val="28"/>
          <w:lang w:eastAsia="ar-SA"/>
          <w14:ligatures w14:val="none"/>
        </w:rPr>
        <w:t>CONCLUSION</w:t>
      </w:r>
      <w:bookmarkEnd w:id="6"/>
      <w:r w:rsidRPr="007A0324">
        <w:rPr>
          <w:rFonts w:ascii="Arial" w:eastAsia="Times New Roman" w:hAnsi="Arial" w:cs="Times New Roman"/>
          <w:b/>
          <w:bCs/>
          <w:color w:val="000000"/>
          <w:kern w:val="0"/>
          <w:sz w:val="28"/>
          <w:szCs w:val="28"/>
          <w:lang w:eastAsia="ar-SA"/>
          <w14:ligatures w14:val="none"/>
        </w:rPr>
        <w:t xml:space="preserve"> </w:t>
      </w:r>
    </w:p>
    <w:p w14:paraId="02F7DEEA"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The conclusion developed through the developed report relates to the importance and people management which is crucial for companies to meet their business needs and requirements. In addition to this, the conclusion relates to the changing perception of companies due to their own needs and requirements as explained in the current instance where British Gas has implemented a fire and rehire strategy by eradicating the existing terms and conditions of employment and providing the employees with new contractual terms. </w:t>
      </w:r>
    </w:p>
    <w:p w14:paraId="7A2F7678"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However, there are many legal implications that companies are going to face because of changing contractual terms using the fire and rehire strategy. Additionally, the study concludes with the negative legal implications and impact on the employee engagement level that has impacted negatively on the business performance of British Gas. Lastly, the role of theoretical frameworks has been explained in the study using the traditional model of HRM that is also helpful but only to a certain level such as by providing the HR managers with the purpose to manage effective employee relations for meeting business needs for British Gas and other companies effectively. </w:t>
      </w:r>
    </w:p>
    <w:p w14:paraId="09E0D408" w14:textId="77777777" w:rsidR="007A0324" w:rsidRPr="007A0324" w:rsidRDefault="007A0324" w:rsidP="007A0324">
      <w:pPr>
        <w:keepNext/>
        <w:keepLines/>
        <w:suppressAutoHyphens/>
        <w:spacing w:before="113" w:line="360" w:lineRule="auto"/>
        <w:jc w:val="both"/>
        <w:outlineLvl w:val="0"/>
        <w:rPr>
          <w:rFonts w:ascii="Arial" w:eastAsia="Times New Roman" w:hAnsi="Arial" w:cs="Times New Roman"/>
          <w:b/>
          <w:bCs/>
          <w:color w:val="000000"/>
          <w:kern w:val="0"/>
          <w:sz w:val="28"/>
          <w:szCs w:val="28"/>
          <w:lang w:eastAsia="ar-SA"/>
          <w14:ligatures w14:val="none"/>
        </w:rPr>
      </w:pPr>
      <w:r w:rsidRPr="007A0324">
        <w:rPr>
          <w:rFonts w:ascii="Arial" w:eastAsia="Times New Roman" w:hAnsi="Arial" w:cs="Times New Roman"/>
          <w:b/>
          <w:bCs/>
          <w:color w:val="000000"/>
          <w:kern w:val="0"/>
          <w:sz w:val="28"/>
          <w:szCs w:val="28"/>
          <w:lang w:eastAsia="ar-SA"/>
          <w14:ligatures w14:val="none"/>
        </w:rPr>
        <w:br w:type="page"/>
      </w:r>
      <w:bookmarkStart w:id="7" w:name="_Toc143382898"/>
      <w:r w:rsidRPr="007A0324">
        <w:rPr>
          <w:rFonts w:ascii="Arial" w:eastAsia="Times New Roman" w:hAnsi="Arial" w:cs="Times New Roman"/>
          <w:b/>
          <w:bCs/>
          <w:color w:val="000000"/>
          <w:kern w:val="0"/>
          <w:sz w:val="28"/>
          <w:szCs w:val="28"/>
          <w:lang w:eastAsia="ar-SA"/>
          <w14:ligatures w14:val="none"/>
        </w:rPr>
        <w:lastRenderedPageBreak/>
        <w:t>REFERENCES</w:t>
      </w:r>
      <w:bookmarkEnd w:id="7"/>
      <w:r w:rsidRPr="007A0324">
        <w:rPr>
          <w:rFonts w:ascii="Arial" w:eastAsia="Times New Roman" w:hAnsi="Arial" w:cs="Times New Roman"/>
          <w:b/>
          <w:bCs/>
          <w:color w:val="000000"/>
          <w:kern w:val="0"/>
          <w:sz w:val="28"/>
          <w:szCs w:val="28"/>
          <w:lang w:eastAsia="ar-SA"/>
          <w14:ligatures w14:val="none"/>
        </w:rPr>
        <w:t xml:space="preserve"> </w:t>
      </w:r>
    </w:p>
    <w:p w14:paraId="1132F9AC"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Alshaabani</w:t>
      </w:r>
      <w:proofErr w:type="spellEnd"/>
      <w:r w:rsidRPr="007A0324">
        <w:rPr>
          <w:rFonts w:ascii="Arial" w:eastAsia="Calibri" w:hAnsi="Arial" w:cs="Arial"/>
          <w:color w:val="000000"/>
          <w:kern w:val="0"/>
          <w:sz w:val="24"/>
          <w:szCs w:val="24"/>
          <w:shd w:val="clear" w:color="auto" w:fill="FFFFFF"/>
          <w:lang w:eastAsia="ar-SA"/>
          <w14:ligatures w14:val="none"/>
        </w:rPr>
        <w:t xml:space="preserve">, A.,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2021. Impact of perceived </w:t>
      </w:r>
      <w:proofErr w:type="spellStart"/>
      <w:r w:rsidRPr="007A0324">
        <w:rPr>
          <w:rFonts w:ascii="Arial" w:eastAsia="Calibri" w:hAnsi="Arial" w:cs="Arial"/>
          <w:color w:val="000000"/>
          <w:kern w:val="0"/>
          <w:sz w:val="24"/>
          <w:szCs w:val="24"/>
          <w:shd w:val="clear" w:color="auto" w:fill="FFFFFF"/>
          <w:lang w:eastAsia="ar-SA"/>
          <w14:ligatures w14:val="none"/>
        </w:rPr>
        <w:t>organizational</w:t>
      </w:r>
      <w:proofErr w:type="spellEnd"/>
      <w:r w:rsidRPr="007A0324">
        <w:rPr>
          <w:rFonts w:ascii="Arial" w:eastAsia="Calibri" w:hAnsi="Arial" w:cs="Arial"/>
          <w:color w:val="000000"/>
          <w:kern w:val="0"/>
          <w:sz w:val="24"/>
          <w:szCs w:val="24"/>
          <w:shd w:val="clear" w:color="auto" w:fill="FFFFFF"/>
          <w:lang w:eastAsia="ar-SA"/>
          <w14:ligatures w14:val="none"/>
        </w:rPr>
        <w:t xml:space="preserve"> support on OCB in the time of COVID-19 pandemic in Hungary: employee engagement and affective commitment as mediators. </w:t>
      </w:r>
      <w:r w:rsidRPr="007A0324">
        <w:rPr>
          <w:rFonts w:ascii="Arial" w:eastAsia="Calibri" w:hAnsi="Arial" w:cs="Arial"/>
          <w:i/>
          <w:iCs/>
          <w:color w:val="000000"/>
          <w:kern w:val="0"/>
          <w:sz w:val="24"/>
          <w:szCs w:val="24"/>
          <w:shd w:val="clear" w:color="auto" w:fill="FFFFFF"/>
          <w:lang w:eastAsia="ar-SA"/>
          <w14:ligatures w14:val="none"/>
        </w:rPr>
        <w:t>Sustainability</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13</w:t>
      </w:r>
      <w:r w:rsidRPr="007A0324">
        <w:rPr>
          <w:rFonts w:ascii="Arial" w:eastAsia="Calibri" w:hAnsi="Arial" w:cs="Arial"/>
          <w:color w:val="000000"/>
          <w:kern w:val="0"/>
          <w:sz w:val="24"/>
          <w:szCs w:val="24"/>
          <w:shd w:val="clear" w:color="auto" w:fill="FFFFFF"/>
          <w:lang w:eastAsia="ar-SA"/>
          <w14:ligatures w14:val="none"/>
        </w:rPr>
        <w:t xml:space="preserve">(14), p.7800. </w:t>
      </w:r>
    </w:p>
    <w:p w14:paraId="6BA0E8E3"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Alzoubi</w:t>
      </w:r>
      <w:proofErr w:type="spellEnd"/>
      <w:r w:rsidRPr="007A0324">
        <w:rPr>
          <w:rFonts w:ascii="Arial" w:eastAsia="Calibri" w:hAnsi="Arial" w:cs="Arial"/>
          <w:color w:val="000000"/>
          <w:kern w:val="0"/>
          <w:sz w:val="24"/>
          <w:szCs w:val="24"/>
          <w:shd w:val="clear" w:color="auto" w:fill="FFFFFF"/>
          <w:lang w:eastAsia="ar-SA"/>
          <w14:ligatures w14:val="none"/>
        </w:rPr>
        <w:t xml:space="preserve">, H.M., </w:t>
      </w:r>
      <w:r w:rsidRPr="007A0324">
        <w:rPr>
          <w:rFonts w:ascii="Arial" w:eastAsia="Calibri" w:hAnsi="Arial" w:cs="Arial"/>
          <w:i/>
          <w:iCs/>
          <w:color w:val="000000"/>
          <w:kern w:val="0"/>
          <w:sz w:val="24"/>
          <w:szCs w:val="24"/>
          <w:shd w:val="clear" w:color="auto" w:fill="FFFFFF"/>
          <w:lang w:eastAsia="ar-SA"/>
          <w14:ligatures w14:val="none"/>
        </w:rPr>
        <w:t xml:space="preserve">et al., </w:t>
      </w:r>
      <w:r w:rsidRPr="007A0324">
        <w:rPr>
          <w:rFonts w:ascii="Arial" w:eastAsia="Calibri" w:hAnsi="Arial" w:cs="Arial"/>
          <w:color w:val="000000"/>
          <w:kern w:val="0"/>
          <w:sz w:val="24"/>
          <w:szCs w:val="24"/>
          <w:shd w:val="clear" w:color="auto" w:fill="FFFFFF"/>
          <w:lang w:eastAsia="ar-SA"/>
          <w14:ligatures w14:val="none"/>
        </w:rPr>
        <w:t>2022. Fuzzy assisted human resource management for supply chain management issues. </w:t>
      </w:r>
      <w:r w:rsidRPr="007A0324">
        <w:rPr>
          <w:rFonts w:ascii="Arial" w:eastAsia="Calibri" w:hAnsi="Arial" w:cs="Arial"/>
          <w:i/>
          <w:iCs/>
          <w:color w:val="000000"/>
          <w:kern w:val="0"/>
          <w:sz w:val="24"/>
          <w:szCs w:val="24"/>
          <w:shd w:val="clear" w:color="auto" w:fill="FFFFFF"/>
          <w:lang w:eastAsia="ar-SA"/>
          <w14:ligatures w14:val="none"/>
        </w:rPr>
        <w:t>Annals of Operations Research</w:t>
      </w:r>
      <w:r w:rsidRPr="007A0324">
        <w:rPr>
          <w:rFonts w:ascii="Arial" w:eastAsia="Calibri" w:hAnsi="Arial" w:cs="Arial"/>
          <w:color w:val="000000"/>
          <w:kern w:val="0"/>
          <w:sz w:val="24"/>
          <w:szCs w:val="24"/>
          <w:shd w:val="clear" w:color="auto" w:fill="FFFFFF"/>
          <w:lang w:eastAsia="ar-SA"/>
          <w14:ligatures w14:val="none"/>
        </w:rPr>
        <w:t xml:space="preserve">. </w:t>
      </w:r>
    </w:p>
    <w:p w14:paraId="17134F84"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Arslan</w:t>
      </w:r>
      <w:proofErr w:type="spellEnd"/>
      <w:r w:rsidRPr="007A0324">
        <w:rPr>
          <w:rFonts w:ascii="Arial" w:eastAsia="Calibri" w:hAnsi="Arial" w:cs="Arial"/>
          <w:color w:val="000000"/>
          <w:kern w:val="0"/>
          <w:sz w:val="24"/>
          <w:szCs w:val="24"/>
          <w:shd w:val="clear" w:color="auto" w:fill="FFFFFF"/>
          <w:lang w:eastAsia="ar-SA"/>
          <w14:ligatures w14:val="none"/>
        </w:rPr>
        <w:t xml:space="preserve">, M. and </w:t>
      </w:r>
      <w:proofErr w:type="spellStart"/>
      <w:r w:rsidRPr="007A0324">
        <w:rPr>
          <w:rFonts w:ascii="Arial" w:eastAsia="Calibri" w:hAnsi="Arial" w:cs="Arial"/>
          <w:color w:val="000000"/>
          <w:kern w:val="0"/>
          <w:sz w:val="24"/>
          <w:szCs w:val="24"/>
          <w:shd w:val="clear" w:color="auto" w:fill="FFFFFF"/>
          <w:lang w:eastAsia="ar-SA"/>
          <w14:ligatures w14:val="none"/>
        </w:rPr>
        <w:t>Roudaki</w:t>
      </w:r>
      <w:proofErr w:type="spellEnd"/>
      <w:r w:rsidRPr="007A0324">
        <w:rPr>
          <w:rFonts w:ascii="Arial" w:eastAsia="Calibri" w:hAnsi="Arial" w:cs="Arial"/>
          <w:color w:val="000000"/>
          <w:kern w:val="0"/>
          <w:sz w:val="24"/>
          <w:szCs w:val="24"/>
          <w:shd w:val="clear" w:color="auto" w:fill="FFFFFF"/>
          <w:lang w:eastAsia="ar-SA"/>
          <w14:ligatures w14:val="none"/>
        </w:rPr>
        <w:t>, J., 2019. Examining the role of employee engagement in the relationship between organisational cynicism and employee performance. </w:t>
      </w:r>
      <w:r w:rsidRPr="007A0324">
        <w:rPr>
          <w:rFonts w:ascii="Arial" w:eastAsia="Calibri" w:hAnsi="Arial" w:cs="Arial"/>
          <w:i/>
          <w:iCs/>
          <w:color w:val="000000"/>
          <w:kern w:val="0"/>
          <w:sz w:val="24"/>
          <w:szCs w:val="24"/>
          <w:shd w:val="clear" w:color="auto" w:fill="FFFFFF"/>
          <w:lang w:eastAsia="ar-SA"/>
          <w14:ligatures w14:val="none"/>
        </w:rPr>
        <w:t>International Journal of Sociology and Social Policy</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39</w:t>
      </w:r>
      <w:r w:rsidRPr="007A0324">
        <w:rPr>
          <w:rFonts w:ascii="Arial" w:eastAsia="Calibri" w:hAnsi="Arial" w:cs="Arial"/>
          <w:color w:val="000000"/>
          <w:kern w:val="0"/>
          <w:sz w:val="24"/>
          <w:szCs w:val="24"/>
          <w:shd w:val="clear" w:color="auto" w:fill="FFFFFF"/>
          <w:lang w:eastAsia="ar-SA"/>
          <w14:ligatures w14:val="none"/>
        </w:rPr>
        <w:t xml:space="preserve">(1/2), pp.118-137. </w:t>
      </w:r>
    </w:p>
    <w:p w14:paraId="5ADE48F4"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Bastos, M.L.,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 Diagnostic accuracy of serological tests for covid-19: systematic review and meta-analysis. </w:t>
      </w:r>
      <w:proofErr w:type="spellStart"/>
      <w:r w:rsidRPr="007A0324">
        <w:rPr>
          <w:rFonts w:ascii="Arial" w:eastAsia="Calibri" w:hAnsi="Arial" w:cs="Arial"/>
          <w:i/>
          <w:iCs/>
          <w:color w:val="000000"/>
          <w:kern w:val="0"/>
          <w:sz w:val="24"/>
          <w:szCs w:val="24"/>
          <w:shd w:val="clear" w:color="auto" w:fill="FFFFFF"/>
          <w:lang w:eastAsia="ar-SA"/>
          <w14:ligatures w14:val="none"/>
        </w:rPr>
        <w:t>bmj</w:t>
      </w:r>
      <w:proofErr w:type="spellEnd"/>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370</w:t>
      </w:r>
      <w:r w:rsidRPr="007A0324">
        <w:rPr>
          <w:rFonts w:ascii="Arial" w:eastAsia="Calibri" w:hAnsi="Arial" w:cs="Arial"/>
          <w:color w:val="000000"/>
          <w:kern w:val="0"/>
          <w:sz w:val="24"/>
          <w:szCs w:val="24"/>
          <w:shd w:val="clear" w:color="auto" w:fill="FFFFFF"/>
          <w:lang w:eastAsia="ar-SA"/>
          <w14:ligatures w14:val="none"/>
        </w:rPr>
        <w:t xml:space="preserve">. </w:t>
      </w:r>
    </w:p>
    <w:p w14:paraId="1CA195DB"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Bently</w:t>
      </w:r>
      <w:proofErr w:type="spellEnd"/>
      <w:r w:rsidRPr="007A0324">
        <w:rPr>
          <w:rFonts w:ascii="Arial" w:eastAsia="Calibri" w:hAnsi="Arial" w:cs="Arial"/>
          <w:color w:val="000000"/>
          <w:kern w:val="0"/>
          <w:sz w:val="24"/>
          <w:szCs w:val="24"/>
          <w:shd w:val="clear" w:color="auto" w:fill="FFFFFF"/>
          <w:lang w:eastAsia="ar-SA"/>
          <w14:ligatures w14:val="none"/>
        </w:rPr>
        <w:t xml:space="preserve">, L.,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2022. </w:t>
      </w:r>
      <w:r w:rsidRPr="007A0324">
        <w:rPr>
          <w:rFonts w:ascii="Arial" w:eastAsia="Calibri" w:hAnsi="Arial" w:cs="Arial"/>
          <w:i/>
          <w:iCs/>
          <w:color w:val="000000"/>
          <w:kern w:val="0"/>
          <w:sz w:val="24"/>
          <w:szCs w:val="24"/>
          <w:shd w:val="clear" w:color="auto" w:fill="FFFFFF"/>
          <w:lang w:eastAsia="ar-SA"/>
          <w14:ligatures w14:val="none"/>
        </w:rPr>
        <w:t>Intellectual property law</w:t>
      </w:r>
      <w:r w:rsidRPr="007A0324">
        <w:rPr>
          <w:rFonts w:ascii="Arial" w:eastAsia="Calibri" w:hAnsi="Arial" w:cs="Arial"/>
          <w:color w:val="000000"/>
          <w:kern w:val="0"/>
          <w:sz w:val="24"/>
          <w:szCs w:val="24"/>
          <w:shd w:val="clear" w:color="auto" w:fill="FFFFFF"/>
          <w:lang w:eastAsia="ar-SA"/>
          <w14:ligatures w14:val="none"/>
        </w:rPr>
        <w:t xml:space="preserve">. Oxford University Press. </w:t>
      </w:r>
    </w:p>
    <w:p w14:paraId="7DFEA488"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Braganza, A.,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2021. Productive employment and decent work: The impact of AI adoption on psychological contracts, job engagement and employee trust. </w:t>
      </w:r>
      <w:r w:rsidRPr="007A0324">
        <w:rPr>
          <w:rFonts w:ascii="Arial" w:eastAsia="Calibri" w:hAnsi="Arial" w:cs="Arial"/>
          <w:i/>
          <w:iCs/>
          <w:color w:val="000000"/>
          <w:kern w:val="0"/>
          <w:sz w:val="24"/>
          <w:szCs w:val="24"/>
          <w:shd w:val="clear" w:color="auto" w:fill="FFFFFF"/>
          <w:lang w:eastAsia="ar-SA"/>
          <w14:ligatures w14:val="none"/>
        </w:rPr>
        <w:t>Journal of business research</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131</w:t>
      </w:r>
      <w:r w:rsidRPr="007A0324">
        <w:rPr>
          <w:rFonts w:ascii="Arial" w:eastAsia="Calibri" w:hAnsi="Arial" w:cs="Arial"/>
          <w:color w:val="000000"/>
          <w:kern w:val="0"/>
          <w:sz w:val="24"/>
          <w:szCs w:val="24"/>
          <w:shd w:val="clear" w:color="auto" w:fill="FFFFFF"/>
          <w:lang w:eastAsia="ar-SA"/>
          <w14:ligatures w14:val="none"/>
        </w:rPr>
        <w:t>, pp.485-494.</w:t>
      </w:r>
    </w:p>
    <w:p w14:paraId="2CFAFB88"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Budd, J.W., 2020. The </w:t>
      </w:r>
      <w:proofErr w:type="spellStart"/>
      <w:r w:rsidRPr="007A0324">
        <w:rPr>
          <w:rFonts w:ascii="Arial" w:eastAsia="Calibri" w:hAnsi="Arial" w:cs="Arial"/>
          <w:color w:val="000000"/>
          <w:kern w:val="0"/>
          <w:sz w:val="24"/>
          <w:szCs w:val="24"/>
          <w:shd w:val="clear" w:color="auto" w:fill="FFFFFF"/>
          <w:lang w:eastAsia="ar-SA"/>
          <w14:ligatures w14:val="none"/>
        </w:rPr>
        <w:t>psychologisation</w:t>
      </w:r>
      <w:proofErr w:type="spellEnd"/>
      <w:r w:rsidRPr="007A0324">
        <w:rPr>
          <w:rFonts w:ascii="Arial" w:eastAsia="Calibri" w:hAnsi="Arial" w:cs="Arial"/>
          <w:color w:val="000000"/>
          <w:kern w:val="0"/>
          <w:sz w:val="24"/>
          <w:szCs w:val="24"/>
          <w:shd w:val="clear" w:color="auto" w:fill="FFFFFF"/>
          <w:lang w:eastAsia="ar-SA"/>
          <w14:ligatures w14:val="none"/>
        </w:rPr>
        <w:t xml:space="preserve"> of employment relations, alternative models of the employment relationship, and the OB turn. </w:t>
      </w:r>
      <w:r w:rsidRPr="007A0324">
        <w:rPr>
          <w:rFonts w:ascii="Arial" w:eastAsia="Calibri" w:hAnsi="Arial" w:cs="Arial"/>
          <w:i/>
          <w:iCs/>
          <w:color w:val="000000"/>
          <w:kern w:val="0"/>
          <w:sz w:val="24"/>
          <w:szCs w:val="24"/>
          <w:shd w:val="clear" w:color="auto" w:fill="FFFFFF"/>
          <w:lang w:eastAsia="ar-SA"/>
          <w14:ligatures w14:val="none"/>
        </w:rPr>
        <w:t>Human Resource Management Journal</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30</w:t>
      </w:r>
      <w:r w:rsidRPr="007A0324">
        <w:rPr>
          <w:rFonts w:ascii="Arial" w:eastAsia="Calibri" w:hAnsi="Arial" w:cs="Arial"/>
          <w:color w:val="000000"/>
          <w:kern w:val="0"/>
          <w:sz w:val="24"/>
          <w:szCs w:val="24"/>
          <w:shd w:val="clear" w:color="auto" w:fill="FFFFFF"/>
          <w:lang w:eastAsia="ar-SA"/>
          <w14:ligatures w14:val="none"/>
        </w:rPr>
        <w:t xml:space="preserve">(1), pp.73-83. </w:t>
      </w:r>
    </w:p>
    <w:p w14:paraId="33904921"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Cheng, M.M. and Hackett, R.D., 2021. A critical review of algorithms in HRM: Definition, theory, and practice. </w:t>
      </w:r>
      <w:r w:rsidRPr="007A0324">
        <w:rPr>
          <w:rFonts w:ascii="Arial" w:eastAsia="Calibri" w:hAnsi="Arial" w:cs="Arial"/>
          <w:i/>
          <w:iCs/>
          <w:color w:val="000000"/>
          <w:kern w:val="0"/>
          <w:sz w:val="24"/>
          <w:szCs w:val="24"/>
          <w:shd w:val="clear" w:color="auto" w:fill="FFFFFF"/>
          <w:lang w:eastAsia="ar-SA"/>
          <w14:ligatures w14:val="none"/>
        </w:rPr>
        <w:t>Human Resource Management Review</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31</w:t>
      </w:r>
      <w:r w:rsidRPr="007A0324">
        <w:rPr>
          <w:rFonts w:ascii="Arial" w:eastAsia="Calibri" w:hAnsi="Arial" w:cs="Arial"/>
          <w:color w:val="000000"/>
          <w:kern w:val="0"/>
          <w:sz w:val="24"/>
          <w:szCs w:val="24"/>
          <w:shd w:val="clear" w:color="auto" w:fill="FFFFFF"/>
          <w:lang w:eastAsia="ar-SA"/>
          <w14:ligatures w14:val="none"/>
        </w:rPr>
        <w:t>(1), p.100698.</w:t>
      </w:r>
    </w:p>
    <w:p w14:paraId="41523DB9"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Connelly, C.E., </w:t>
      </w:r>
      <w:r w:rsidRPr="007A0324">
        <w:rPr>
          <w:rFonts w:ascii="Arial" w:eastAsia="Calibri" w:hAnsi="Arial" w:cs="Arial"/>
          <w:i/>
          <w:iCs/>
          <w:color w:val="000000"/>
          <w:kern w:val="0"/>
          <w:sz w:val="24"/>
          <w:szCs w:val="24"/>
          <w:shd w:val="clear" w:color="auto" w:fill="FFFFFF"/>
          <w:lang w:eastAsia="ar-SA"/>
          <w14:ligatures w14:val="none"/>
        </w:rPr>
        <w:t xml:space="preserve">et al., </w:t>
      </w:r>
      <w:r w:rsidRPr="007A0324">
        <w:rPr>
          <w:rFonts w:ascii="Arial" w:eastAsia="Calibri" w:hAnsi="Arial" w:cs="Arial"/>
          <w:color w:val="000000"/>
          <w:kern w:val="0"/>
          <w:sz w:val="24"/>
          <w:szCs w:val="24"/>
          <w:shd w:val="clear" w:color="auto" w:fill="FFFFFF"/>
          <w:lang w:eastAsia="ar-SA"/>
          <w14:ligatures w14:val="none"/>
        </w:rPr>
        <w:t xml:space="preserve">2021. Working in the </w:t>
      </w:r>
      <w:proofErr w:type="spellStart"/>
      <w:r w:rsidRPr="007A0324">
        <w:rPr>
          <w:rFonts w:ascii="Arial" w:eastAsia="Calibri" w:hAnsi="Arial" w:cs="Arial"/>
          <w:color w:val="000000"/>
          <w:kern w:val="0"/>
          <w:sz w:val="24"/>
          <w:szCs w:val="24"/>
          <w:shd w:val="clear" w:color="auto" w:fill="FFFFFF"/>
          <w:lang w:eastAsia="ar-SA"/>
          <w14:ligatures w14:val="none"/>
        </w:rPr>
        <w:t>digitized</w:t>
      </w:r>
      <w:proofErr w:type="spellEnd"/>
      <w:r w:rsidRPr="007A0324">
        <w:rPr>
          <w:rFonts w:ascii="Arial" w:eastAsia="Calibri" w:hAnsi="Arial" w:cs="Arial"/>
          <w:color w:val="000000"/>
          <w:kern w:val="0"/>
          <w:sz w:val="24"/>
          <w:szCs w:val="24"/>
          <w:shd w:val="clear" w:color="auto" w:fill="FFFFFF"/>
          <w:lang w:eastAsia="ar-SA"/>
          <w14:ligatures w14:val="none"/>
        </w:rPr>
        <w:t xml:space="preserve"> economy: HRM theory &amp; practice. </w:t>
      </w:r>
      <w:r w:rsidRPr="007A0324">
        <w:rPr>
          <w:rFonts w:ascii="Arial" w:eastAsia="Calibri" w:hAnsi="Arial" w:cs="Arial"/>
          <w:i/>
          <w:iCs/>
          <w:color w:val="000000"/>
          <w:kern w:val="0"/>
          <w:sz w:val="24"/>
          <w:szCs w:val="24"/>
          <w:shd w:val="clear" w:color="auto" w:fill="FFFFFF"/>
          <w:lang w:eastAsia="ar-SA"/>
          <w14:ligatures w14:val="none"/>
        </w:rPr>
        <w:t>Human Resource Management Review</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31</w:t>
      </w:r>
      <w:r w:rsidRPr="007A0324">
        <w:rPr>
          <w:rFonts w:ascii="Arial" w:eastAsia="Calibri" w:hAnsi="Arial" w:cs="Arial"/>
          <w:color w:val="000000"/>
          <w:kern w:val="0"/>
          <w:sz w:val="24"/>
          <w:szCs w:val="24"/>
          <w:shd w:val="clear" w:color="auto" w:fill="FFFFFF"/>
          <w:lang w:eastAsia="ar-SA"/>
          <w14:ligatures w14:val="none"/>
        </w:rPr>
        <w:t xml:space="preserve">(1), p.100762. </w:t>
      </w:r>
    </w:p>
    <w:p w14:paraId="0B16A7AB"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Craig, P. and De </w:t>
      </w:r>
      <w:proofErr w:type="spellStart"/>
      <w:r w:rsidRPr="007A0324">
        <w:rPr>
          <w:rFonts w:ascii="Arial" w:eastAsia="Calibri" w:hAnsi="Arial" w:cs="Arial"/>
          <w:color w:val="000000"/>
          <w:kern w:val="0"/>
          <w:sz w:val="24"/>
          <w:szCs w:val="24"/>
          <w:shd w:val="clear" w:color="auto" w:fill="FFFFFF"/>
          <w:lang w:eastAsia="ar-SA"/>
          <w14:ligatures w14:val="none"/>
        </w:rPr>
        <w:t>Búrca</w:t>
      </w:r>
      <w:proofErr w:type="spellEnd"/>
      <w:r w:rsidRPr="007A0324">
        <w:rPr>
          <w:rFonts w:ascii="Arial" w:eastAsia="Calibri" w:hAnsi="Arial" w:cs="Arial"/>
          <w:color w:val="000000"/>
          <w:kern w:val="0"/>
          <w:sz w:val="24"/>
          <w:szCs w:val="24"/>
          <w:shd w:val="clear" w:color="auto" w:fill="FFFFFF"/>
          <w:lang w:eastAsia="ar-SA"/>
          <w14:ligatures w14:val="none"/>
        </w:rPr>
        <w:t>, G., 2020. </w:t>
      </w:r>
      <w:r w:rsidRPr="007A0324">
        <w:rPr>
          <w:rFonts w:ascii="Arial" w:eastAsia="Calibri" w:hAnsi="Arial" w:cs="Arial"/>
          <w:i/>
          <w:iCs/>
          <w:color w:val="000000"/>
          <w:kern w:val="0"/>
          <w:sz w:val="24"/>
          <w:szCs w:val="24"/>
          <w:shd w:val="clear" w:color="auto" w:fill="FFFFFF"/>
          <w:lang w:eastAsia="ar-SA"/>
          <w14:ligatures w14:val="none"/>
        </w:rPr>
        <w:t>EU Law: Text, Cases, and Materials UK Version</w:t>
      </w:r>
      <w:r w:rsidRPr="007A0324">
        <w:rPr>
          <w:rFonts w:ascii="Arial" w:eastAsia="Calibri" w:hAnsi="Arial" w:cs="Arial"/>
          <w:color w:val="000000"/>
          <w:kern w:val="0"/>
          <w:sz w:val="24"/>
          <w:szCs w:val="24"/>
          <w:shd w:val="clear" w:color="auto" w:fill="FFFFFF"/>
          <w:lang w:eastAsia="ar-SA"/>
          <w14:ligatures w14:val="none"/>
        </w:rPr>
        <w:t xml:space="preserve">. Oxford University Press, USA. </w:t>
      </w:r>
    </w:p>
    <w:p w14:paraId="7F2B0D34"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Davidescu</w:t>
      </w:r>
      <w:proofErr w:type="spellEnd"/>
      <w:r w:rsidRPr="007A0324">
        <w:rPr>
          <w:rFonts w:ascii="Arial" w:eastAsia="Calibri" w:hAnsi="Arial" w:cs="Arial"/>
          <w:color w:val="000000"/>
          <w:kern w:val="0"/>
          <w:sz w:val="24"/>
          <w:szCs w:val="24"/>
          <w:shd w:val="clear" w:color="auto" w:fill="FFFFFF"/>
          <w:lang w:eastAsia="ar-SA"/>
          <w14:ligatures w14:val="none"/>
        </w:rPr>
        <w:t xml:space="preserve">, A.A.,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 Work flexibility, job satisfaction, and job performance among Romanian employees—Implications for sustainable human resource management. </w:t>
      </w:r>
      <w:r w:rsidRPr="007A0324">
        <w:rPr>
          <w:rFonts w:ascii="Arial" w:eastAsia="Calibri" w:hAnsi="Arial" w:cs="Arial"/>
          <w:i/>
          <w:iCs/>
          <w:color w:val="000000"/>
          <w:kern w:val="0"/>
          <w:sz w:val="24"/>
          <w:szCs w:val="24"/>
          <w:shd w:val="clear" w:color="auto" w:fill="FFFFFF"/>
          <w:lang w:eastAsia="ar-SA"/>
          <w14:ligatures w14:val="none"/>
        </w:rPr>
        <w:t>Sustainability</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12</w:t>
      </w:r>
      <w:r w:rsidRPr="007A0324">
        <w:rPr>
          <w:rFonts w:ascii="Arial" w:eastAsia="Calibri" w:hAnsi="Arial" w:cs="Arial"/>
          <w:color w:val="000000"/>
          <w:kern w:val="0"/>
          <w:sz w:val="24"/>
          <w:szCs w:val="24"/>
          <w:shd w:val="clear" w:color="auto" w:fill="FFFFFF"/>
          <w:lang w:eastAsia="ar-SA"/>
          <w14:ligatures w14:val="none"/>
        </w:rPr>
        <w:t xml:space="preserve">(15), p.6086. </w:t>
      </w:r>
    </w:p>
    <w:p w14:paraId="31A68C09"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Doorley</w:t>
      </w:r>
      <w:proofErr w:type="spellEnd"/>
      <w:r w:rsidRPr="007A0324">
        <w:rPr>
          <w:rFonts w:ascii="Arial" w:eastAsia="Calibri" w:hAnsi="Arial" w:cs="Arial"/>
          <w:color w:val="000000"/>
          <w:kern w:val="0"/>
          <w:sz w:val="24"/>
          <w:szCs w:val="24"/>
          <w:shd w:val="clear" w:color="auto" w:fill="FFFFFF"/>
          <w:lang w:eastAsia="ar-SA"/>
          <w14:ligatures w14:val="none"/>
        </w:rPr>
        <w:t>, J. and Garcia, H.F., 2020. </w:t>
      </w:r>
      <w:r w:rsidRPr="007A0324">
        <w:rPr>
          <w:rFonts w:ascii="Arial" w:eastAsia="Calibri" w:hAnsi="Arial" w:cs="Arial"/>
          <w:i/>
          <w:iCs/>
          <w:color w:val="000000"/>
          <w:kern w:val="0"/>
          <w:sz w:val="24"/>
          <w:szCs w:val="24"/>
          <w:shd w:val="clear" w:color="auto" w:fill="FFFFFF"/>
          <w:lang w:eastAsia="ar-SA"/>
          <w14:ligatures w14:val="none"/>
        </w:rPr>
        <w:t>Reputation management: The key to successful public relations and corporate communication</w:t>
      </w:r>
      <w:r w:rsidRPr="007A0324">
        <w:rPr>
          <w:rFonts w:ascii="Arial" w:eastAsia="Calibri" w:hAnsi="Arial" w:cs="Arial"/>
          <w:color w:val="000000"/>
          <w:kern w:val="0"/>
          <w:sz w:val="24"/>
          <w:szCs w:val="24"/>
          <w:shd w:val="clear" w:color="auto" w:fill="FFFFFF"/>
          <w:lang w:eastAsia="ar-SA"/>
          <w14:ligatures w14:val="none"/>
        </w:rPr>
        <w:t xml:space="preserve">. </w:t>
      </w:r>
      <w:proofErr w:type="spellStart"/>
      <w:r w:rsidRPr="007A0324">
        <w:rPr>
          <w:rFonts w:ascii="Arial" w:eastAsia="Calibri" w:hAnsi="Arial" w:cs="Arial"/>
          <w:color w:val="000000"/>
          <w:kern w:val="0"/>
          <w:sz w:val="24"/>
          <w:szCs w:val="24"/>
          <w:shd w:val="clear" w:color="auto" w:fill="FFFFFF"/>
          <w:lang w:eastAsia="ar-SA"/>
          <w14:ligatures w14:val="none"/>
        </w:rPr>
        <w:t>Routledge</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p>
    <w:p w14:paraId="5D5710C1"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lastRenderedPageBreak/>
        <w:t>Farndale</w:t>
      </w:r>
      <w:proofErr w:type="spellEnd"/>
      <w:r w:rsidRPr="007A0324">
        <w:rPr>
          <w:rFonts w:ascii="Arial" w:eastAsia="Calibri" w:hAnsi="Arial" w:cs="Arial"/>
          <w:color w:val="000000"/>
          <w:kern w:val="0"/>
          <w:sz w:val="24"/>
          <w:szCs w:val="24"/>
          <w:shd w:val="clear" w:color="auto" w:fill="FFFFFF"/>
          <w:lang w:eastAsia="ar-SA"/>
          <w14:ligatures w14:val="none"/>
        </w:rPr>
        <w:t xml:space="preserve">, E.,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 Human Resource Management Journal: A look to the past, present, and future of the journal and HRM scholarship. </w:t>
      </w:r>
      <w:r w:rsidRPr="007A0324">
        <w:rPr>
          <w:rFonts w:ascii="Arial" w:eastAsia="Calibri" w:hAnsi="Arial" w:cs="Arial"/>
          <w:i/>
          <w:iCs/>
          <w:color w:val="000000"/>
          <w:kern w:val="0"/>
          <w:sz w:val="24"/>
          <w:szCs w:val="24"/>
          <w:shd w:val="clear" w:color="auto" w:fill="FFFFFF"/>
          <w:lang w:eastAsia="ar-SA"/>
          <w14:ligatures w14:val="none"/>
        </w:rPr>
        <w:t>Human Resource Management Journal</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30</w:t>
      </w:r>
      <w:r w:rsidRPr="007A0324">
        <w:rPr>
          <w:rFonts w:ascii="Arial" w:eastAsia="Calibri" w:hAnsi="Arial" w:cs="Arial"/>
          <w:color w:val="000000"/>
          <w:kern w:val="0"/>
          <w:sz w:val="24"/>
          <w:szCs w:val="24"/>
          <w:shd w:val="clear" w:color="auto" w:fill="FFFFFF"/>
          <w:lang w:eastAsia="ar-SA"/>
          <w14:ligatures w14:val="none"/>
        </w:rPr>
        <w:t xml:space="preserve">(1), pp.1-12. </w:t>
      </w:r>
    </w:p>
    <w:p w14:paraId="702AB3FF"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Gordon, S., 2020. </w:t>
      </w:r>
      <w:proofErr w:type="spellStart"/>
      <w:r w:rsidRPr="007A0324">
        <w:rPr>
          <w:rFonts w:ascii="Arial" w:eastAsia="Calibri" w:hAnsi="Arial" w:cs="Arial"/>
          <w:color w:val="000000"/>
          <w:kern w:val="0"/>
          <w:sz w:val="24"/>
          <w:szCs w:val="24"/>
          <w:shd w:val="clear" w:color="auto" w:fill="FFFFFF"/>
          <w:lang w:eastAsia="ar-SA"/>
          <w14:ligatures w14:val="none"/>
        </w:rPr>
        <w:t>Organizational</w:t>
      </w:r>
      <w:proofErr w:type="spellEnd"/>
      <w:r w:rsidRPr="007A0324">
        <w:rPr>
          <w:rFonts w:ascii="Arial" w:eastAsia="Calibri" w:hAnsi="Arial" w:cs="Arial"/>
          <w:color w:val="000000"/>
          <w:kern w:val="0"/>
          <w:sz w:val="24"/>
          <w:szCs w:val="24"/>
          <w:shd w:val="clear" w:color="auto" w:fill="FFFFFF"/>
          <w:lang w:eastAsia="ar-SA"/>
          <w14:ligatures w14:val="none"/>
        </w:rPr>
        <w:t xml:space="preserve"> support versus supervisor support: The impact on hospitality managers’ psychological contract and work engagement. </w:t>
      </w:r>
      <w:r w:rsidRPr="007A0324">
        <w:rPr>
          <w:rFonts w:ascii="Arial" w:eastAsia="Calibri" w:hAnsi="Arial" w:cs="Arial"/>
          <w:i/>
          <w:iCs/>
          <w:color w:val="000000"/>
          <w:kern w:val="0"/>
          <w:sz w:val="24"/>
          <w:szCs w:val="24"/>
          <w:shd w:val="clear" w:color="auto" w:fill="FFFFFF"/>
          <w:lang w:eastAsia="ar-SA"/>
          <w14:ligatures w14:val="none"/>
        </w:rPr>
        <w:t>International Journal of Hospitality Management</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87</w:t>
      </w:r>
      <w:r w:rsidRPr="007A0324">
        <w:rPr>
          <w:rFonts w:ascii="Arial" w:eastAsia="Calibri" w:hAnsi="Arial" w:cs="Arial"/>
          <w:color w:val="000000"/>
          <w:kern w:val="0"/>
          <w:sz w:val="24"/>
          <w:szCs w:val="24"/>
          <w:shd w:val="clear" w:color="auto" w:fill="FFFFFF"/>
          <w:lang w:eastAsia="ar-SA"/>
          <w14:ligatures w14:val="none"/>
        </w:rPr>
        <w:t>, p.102374.</w:t>
      </w:r>
    </w:p>
    <w:p w14:paraId="31482F74"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Gregory, A., 2020. </w:t>
      </w:r>
      <w:r w:rsidRPr="007A0324">
        <w:rPr>
          <w:rFonts w:ascii="Arial" w:eastAsia="Calibri" w:hAnsi="Arial" w:cs="Arial"/>
          <w:i/>
          <w:iCs/>
          <w:color w:val="000000"/>
          <w:kern w:val="0"/>
          <w:sz w:val="24"/>
          <w:szCs w:val="24"/>
          <w:shd w:val="clear" w:color="auto" w:fill="FFFFFF"/>
          <w:lang w:eastAsia="ar-SA"/>
          <w14:ligatures w14:val="none"/>
        </w:rPr>
        <w:t>Planning and managing public relations campaigns: A strategic approach</w:t>
      </w:r>
      <w:r w:rsidRPr="007A0324">
        <w:rPr>
          <w:rFonts w:ascii="Arial" w:eastAsia="Calibri" w:hAnsi="Arial" w:cs="Arial"/>
          <w:color w:val="000000"/>
          <w:kern w:val="0"/>
          <w:sz w:val="24"/>
          <w:szCs w:val="24"/>
          <w:shd w:val="clear" w:color="auto" w:fill="FFFFFF"/>
          <w:lang w:eastAsia="ar-SA"/>
          <w14:ligatures w14:val="none"/>
        </w:rPr>
        <w:t>. Kogan Page Publishers.</w:t>
      </w:r>
    </w:p>
    <w:p w14:paraId="39514BAF"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Haak-Saheem</w:t>
      </w:r>
      <w:proofErr w:type="spellEnd"/>
      <w:r w:rsidRPr="007A0324">
        <w:rPr>
          <w:rFonts w:ascii="Arial" w:eastAsia="Calibri" w:hAnsi="Arial" w:cs="Arial"/>
          <w:color w:val="000000"/>
          <w:kern w:val="0"/>
          <w:sz w:val="24"/>
          <w:szCs w:val="24"/>
          <w:shd w:val="clear" w:color="auto" w:fill="FFFFFF"/>
          <w:lang w:eastAsia="ar-SA"/>
          <w14:ligatures w14:val="none"/>
        </w:rPr>
        <w:t>, W., 2020. Talent management in Covid-19 crisis: How Dubai manages and sustains its global talent pool. </w:t>
      </w:r>
      <w:r w:rsidRPr="007A0324">
        <w:rPr>
          <w:rFonts w:ascii="Arial" w:eastAsia="Calibri" w:hAnsi="Arial" w:cs="Arial"/>
          <w:i/>
          <w:iCs/>
          <w:color w:val="000000"/>
          <w:kern w:val="0"/>
          <w:sz w:val="24"/>
          <w:szCs w:val="24"/>
          <w:shd w:val="clear" w:color="auto" w:fill="FFFFFF"/>
          <w:lang w:eastAsia="ar-SA"/>
          <w14:ligatures w14:val="none"/>
        </w:rPr>
        <w:t>Asian Business &amp; Management</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19</w:t>
      </w:r>
      <w:r w:rsidRPr="007A0324">
        <w:rPr>
          <w:rFonts w:ascii="Arial" w:eastAsia="Calibri" w:hAnsi="Arial" w:cs="Arial"/>
          <w:color w:val="000000"/>
          <w:kern w:val="0"/>
          <w:sz w:val="24"/>
          <w:szCs w:val="24"/>
          <w:shd w:val="clear" w:color="auto" w:fill="FFFFFF"/>
          <w:lang w:eastAsia="ar-SA"/>
          <w14:ligatures w14:val="none"/>
        </w:rPr>
        <w:t xml:space="preserve">, pp.298-301. </w:t>
      </w:r>
    </w:p>
    <w:p w14:paraId="7ED14A8B"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Hongal</w:t>
      </w:r>
      <w:proofErr w:type="spellEnd"/>
      <w:r w:rsidRPr="007A0324">
        <w:rPr>
          <w:rFonts w:ascii="Arial" w:eastAsia="Calibri" w:hAnsi="Arial" w:cs="Arial"/>
          <w:color w:val="000000"/>
          <w:kern w:val="0"/>
          <w:sz w:val="24"/>
          <w:szCs w:val="24"/>
          <w:shd w:val="clear" w:color="auto" w:fill="FFFFFF"/>
          <w:lang w:eastAsia="ar-SA"/>
          <w14:ligatures w14:val="none"/>
        </w:rPr>
        <w:t xml:space="preserve">, P. and </w:t>
      </w:r>
      <w:proofErr w:type="spellStart"/>
      <w:r w:rsidRPr="007A0324">
        <w:rPr>
          <w:rFonts w:ascii="Arial" w:eastAsia="Calibri" w:hAnsi="Arial" w:cs="Arial"/>
          <w:color w:val="000000"/>
          <w:kern w:val="0"/>
          <w:sz w:val="24"/>
          <w:szCs w:val="24"/>
          <w:shd w:val="clear" w:color="auto" w:fill="FFFFFF"/>
          <w:lang w:eastAsia="ar-SA"/>
          <w14:ligatures w14:val="none"/>
        </w:rPr>
        <w:t>Kinange</w:t>
      </w:r>
      <w:proofErr w:type="spellEnd"/>
      <w:r w:rsidRPr="007A0324">
        <w:rPr>
          <w:rFonts w:ascii="Arial" w:eastAsia="Calibri" w:hAnsi="Arial" w:cs="Arial"/>
          <w:color w:val="000000"/>
          <w:kern w:val="0"/>
          <w:sz w:val="24"/>
          <w:szCs w:val="24"/>
          <w:shd w:val="clear" w:color="auto" w:fill="FFFFFF"/>
          <w:lang w:eastAsia="ar-SA"/>
          <w14:ligatures w14:val="none"/>
        </w:rPr>
        <w:t>, U., 2020. A study on talent management and its impact on organization performance-an empirical review. </w:t>
      </w:r>
      <w:r w:rsidRPr="007A0324">
        <w:rPr>
          <w:rFonts w:ascii="Arial" w:eastAsia="Calibri" w:hAnsi="Arial" w:cs="Arial"/>
          <w:i/>
          <w:iCs/>
          <w:color w:val="000000"/>
          <w:kern w:val="0"/>
          <w:sz w:val="24"/>
          <w:szCs w:val="24"/>
          <w:shd w:val="clear" w:color="auto" w:fill="FFFFFF"/>
          <w:lang w:eastAsia="ar-SA"/>
          <w14:ligatures w14:val="none"/>
        </w:rPr>
        <w:t>International Journal of Engineering and Management Research</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10</w:t>
      </w:r>
      <w:r w:rsidRPr="007A0324">
        <w:rPr>
          <w:rFonts w:ascii="Arial" w:eastAsia="Calibri" w:hAnsi="Arial" w:cs="Arial"/>
          <w:color w:val="000000"/>
          <w:kern w:val="0"/>
          <w:sz w:val="24"/>
          <w:szCs w:val="24"/>
          <w:shd w:val="clear" w:color="auto" w:fill="FFFFFF"/>
          <w:lang w:eastAsia="ar-SA"/>
          <w14:ligatures w14:val="none"/>
        </w:rPr>
        <w:t xml:space="preserve">. </w:t>
      </w:r>
    </w:p>
    <w:p w14:paraId="3E25ABC2"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Johnstone, S., 2023. Human resource management in recession: Restructuring and alternatives to downsizing in times of crisis. </w:t>
      </w:r>
      <w:r w:rsidRPr="007A0324">
        <w:rPr>
          <w:rFonts w:ascii="Arial" w:eastAsia="Calibri" w:hAnsi="Arial" w:cs="Arial"/>
          <w:i/>
          <w:iCs/>
          <w:color w:val="000000"/>
          <w:kern w:val="0"/>
          <w:sz w:val="24"/>
          <w:szCs w:val="24"/>
          <w:shd w:val="clear" w:color="auto" w:fill="FFFFFF"/>
          <w:lang w:eastAsia="ar-SA"/>
          <w14:ligatures w14:val="none"/>
        </w:rPr>
        <w:t>Human Resource Management Journal</w:t>
      </w:r>
      <w:r w:rsidRPr="007A0324">
        <w:rPr>
          <w:rFonts w:ascii="Arial" w:eastAsia="Calibri" w:hAnsi="Arial" w:cs="Arial"/>
          <w:color w:val="000000"/>
          <w:kern w:val="0"/>
          <w:sz w:val="24"/>
          <w:szCs w:val="24"/>
          <w:shd w:val="clear" w:color="auto" w:fill="FFFFFF"/>
          <w:lang w:eastAsia="ar-SA"/>
          <w14:ligatures w14:val="none"/>
        </w:rPr>
        <w:t xml:space="preserve">. </w:t>
      </w:r>
    </w:p>
    <w:p w14:paraId="463B15A8"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King, K.A. and </w:t>
      </w:r>
      <w:proofErr w:type="spellStart"/>
      <w:r w:rsidRPr="007A0324">
        <w:rPr>
          <w:rFonts w:ascii="Arial" w:eastAsia="Calibri" w:hAnsi="Arial" w:cs="Arial"/>
          <w:color w:val="000000"/>
          <w:kern w:val="0"/>
          <w:sz w:val="24"/>
          <w:szCs w:val="24"/>
          <w:shd w:val="clear" w:color="auto" w:fill="FFFFFF"/>
          <w:lang w:eastAsia="ar-SA"/>
          <w14:ligatures w14:val="none"/>
        </w:rPr>
        <w:t>Vaiman</w:t>
      </w:r>
      <w:proofErr w:type="spellEnd"/>
      <w:r w:rsidRPr="007A0324">
        <w:rPr>
          <w:rFonts w:ascii="Arial" w:eastAsia="Calibri" w:hAnsi="Arial" w:cs="Arial"/>
          <w:color w:val="000000"/>
          <w:kern w:val="0"/>
          <w:sz w:val="24"/>
          <w:szCs w:val="24"/>
          <w:shd w:val="clear" w:color="auto" w:fill="FFFFFF"/>
          <w:lang w:eastAsia="ar-SA"/>
          <w14:ligatures w14:val="none"/>
        </w:rPr>
        <w:t>, V., 2019. Enabling effective talent management through a macro-contingent approach: A framework for research and practice. </w:t>
      </w:r>
      <w:r w:rsidRPr="007A0324">
        <w:rPr>
          <w:rFonts w:ascii="Arial" w:eastAsia="Calibri" w:hAnsi="Arial" w:cs="Arial"/>
          <w:i/>
          <w:iCs/>
          <w:color w:val="000000"/>
          <w:kern w:val="0"/>
          <w:sz w:val="24"/>
          <w:szCs w:val="24"/>
          <w:shd w:val="clear" w:color="auto" w:fill="FFFFFF"/>
          <w:lang w:eastAsia="ar-SA"/>
          <w14:ligatures w14:val="none"/>
        </w:rPr>
        <w:t>BRQ Business Research Quarterly</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22</w:t>
      </w:r>
      <w:r w:rsidRPr="007A0324">
        <w:rPr>
          <w:rFonts w:ascii="Arial" w:eastAsia="Calibri" w:hAnsi="Arial" w:cs="Arial"/>
          <w:color w:val="000000"/>
          <w:kern w:val="0"/>
          <w:sz w:val="24"/>
          <w:szCs w:val="24"/>
          <w:shd w:val="clear" w:color="auto" w:fill="FFFFFF"/>
          <w:lang w:eastAsia="ar-SA"/>
          <w14:ligatures w14:val="none"/>
        </w:rPr>
        <w:t xml:space="preserve">(3), pp.194-206. </w:t>
      </w:r>
    </w:p>
    <w:p w14:paraId="63BAA240"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Kutaula</w:t>
      </w:r>
      <w:proofErr w:type="spellEnd"/>
      <w:r w:rsidRPr="007A0324">
        <w:rPr>
          <w:rFonts w:ascii="Arial" w:eastAsia="Calibri" w:hAnsi="Arial" w:cs="Arial"/>
          <w:color w:val="000000"/>
          <w:kern w:val="0"/>
          <w:sz w:val="24"/>
          <w:szCs w:val="24"/>
          <w:shd w:val="clear" w:color="auto" w:fill="FFFFFF"/>
          <w:lang w:eastAsia="ar-SA"/>
          <w14:ligatures w14:val="none"/>
        </w:rPr>
        <w:t xml:space="preserve">, S., </w:t>
      </w:r>
      <w:proofErr w:type="spellStart"/>
      <w:r w:rsidRPr="007A0324">
        <w:rPr>
          <w:rFonts w:ascii="Arial" w:eastAsia="Calibri" w:hAnsi="Arial" w:cs="Arial"/>
          <w:color w:val="000000"/>
          <w:kern w:val="0"/>
          <w:sz w:val="24"/>
          <w:szCs w:val="24"/>
          <w:shd w:val="clear" w:color="auto" w:fill="FFFFFF"/>
          <w:lang w:eastAsia="ar-SA"/>
          <w14:ligatures w14:val="none"/>
        </w:rPr>
        <w:t>Gillani</w:t>
      </w:r>
      <w:proofErr w:type="spellEnd"/>
      <w:r w:rsidRPr="007A0324">
        <w:rPr>
          <w:rFonts w:ascii="Arial" w:eastAsia="Calibri" w:hAnsi="Arial" w:cs="Arial"/>
          <w:color w:val="000000"/>
          <w:kern w:val="0"/>
          <w:sz w:val="24"/>
          <w:szCs w:val="24"/>
          <w:shd w:val="clear" w:color="auto" w:fill="FFFFFF"/>
          <w:lang w:eastAsia="ar-SA"/>
          <w14:ligatures w14:val="none"/>
        </w:rPr>
        <w:t xml:space="preserve">, A. and </w:t>
      </w:r>
      <w:proofErr w:type="spellStart"/>
      <w:r w:rsidRPr="007A0324">
        <w:rPr>
          <w:rFonts w:ascii="Arial" w:eastAsia="Calibri" w:hAnsi="Arial" w:cs="Arial"/>
          <w:color w:val="000000"/>
          <w:kern w:val="0"/>
          <w:sz w:val="24"/>
          <w:szCs w:val="24"/>
          <w:shd w:val="clear" w:color="auto" w:fill="FFFFFF"/>
          <w:lang w:eastAsia="ar-SA"/>
          <w14:ligatures w14:val="none"/>
        </w:rPr>
        <w:t>Budhwar</w:t>
      </w:r>
      <w:proofErr w:type="spellEnd"/>
      <w:r w:rsidRPr="007A0324">
        <w:rPr>
          <w:rFonts w:ascii="Arial" w:eastAsia="Calibri" w:hAnsi="Arial" w:cs="Arial"/>
          <w:color w:val="000000"/>
          <w:kern w:val="0"/>
          <w:sz w:val="24"/>
          <w:szCs w:val="24"/>
          <w:shd w:val="clear" w:color="auto" w:fill="FFFFFF"/>
          <w:lang w:eastAsia="ar-SA"/>
          <w14:ligatures w14:val="none"/>
        </w:rPr>
        <w:t>, P.S., 2020. An analysis of employment relationships in Asia using psychological contract theory: A review and research agenda. </w:t>
      </w:r>
      <w:r w:rsidRPr="007A0324">
        <w:rPr>
          <w:rFonts w:ascii="Arial" w:eastAsia="Calibri" w:hAnsi="Arial" w:cs="Arial"/>
          <w:i/>
          <w:iCs/>
          <w:color w:val="000000"/>
          <w:kern w:val="0"/>
          <w:sz w:val="24"/>
          <w:szCs w:val="24"/>
          <w:shd w:val="clear" w:color="auto" w:fill="FFFFFF"/>
          <w:lang w:eastAsia="ar-SA"/>
          <w14:ligatures w14:val="none"/>
        </w:rPr>
        <w:t>Human Resource Management Review</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30</w:t>
      </w:r>
      <w:r w:rsidRPr="007A0324">
        <w:rPr>
          <w:rFonts w:ascii="Arial" w:eastAsia="Calibri" w:hAnsi="Arial" w:cs="Arial"/>
          <w:color w:val="000000"/>
          <w:kern w:val="0"/>
          <w:sz w:val="24"/>
          <w:szCs w:val="24"/>
          <w:shd w:val="clear" w:color="auto" w:fill="FFFFFF"/>
          <w:lang w:eastAsia="ar-SA"/>
          <w14:ligatures w14:val="none"/>
        </w:rPr>
        <w:t xml:space="preserve">(4), p.100707. </w:t>
      </w:r>
    </w:p>
    <w:p w14:paraId="09EF5163"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Kwon, K. and </w:t>
      </w:r>
      <w:proofErr w:type="spellStart"/>
      <w:r w:rsidRPr="007A0324">
        <w:rPr>
          <w:rFonts w:ascii="Arial" w:eastAsia="Calibri" w:hAnsi="Arial" w:cs="Arial"/>
          <w:color w:val="000000"/>
          <w:kern w:val="0"/>
          <w:sz w:val="24"/>
          <w:szCs w:val="24"/>
          <w:shd w:val="clear" w:color="auto" w:fill="FFFFFF"/>
          <w:lang w:eastAsia="ar-SA"/>
          <w14:ligatures w14:val="none"/>
        </w:rPr>
        <w:t>Jang</w:t>
      </w:r>
      <w:proofErr w:type="spellEnd"/>
      <w:r w:rsidRPr="007A0324">
        <w:rPr>
          <w:rFonts w:ascii="Arial" w:eastAsia="Calibri" w:hAnsi="Arial" w:cs="Arial"/>
          <w:color w:val="000000"/>
          <w:kern w:val="0"/>
          <w:sz w:val="24"/>
          <w:szCs w:val="24"/>
          <w:shd w:val="clear" w:color="auto" w:fill="FFFFFF"/>
          <w:lang w:eastAsia="ar-SA"/>
          <w14:ligatures w14:val="none"/>
        </w:rPr>
        <w:t>, S., 2022. There is no good war for talent: A critical review of the literature on talent management. </w:t>
      </w:r>
      <w:r w:rsidRPr="007A0324">
        <w:rPr>
          <w:rFonts w:ascii="Arial" w:eastAsia="Calibri" w:hAnsi="Arial" w:cs="Arial"/>
          <w:i/>
          <w:iCs/>
          <w:color w:val="000000"/>
          <w:kern w:val="0"/>
          <w:sz w:val="24"/>
          <w:szCs w:val="24"/>
          <w:shd w:val="clear" w:color="auto" w:fill="FFFFFF"/>
          <w:lang w:eastAsia="ar-SA"/>
          <w14:ligatures w14:val="none"/>
        </w:rPr>
        <w:t>Employee Relations: The International Journal</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44</w:t>
      </w:r>
      <w:r w:rsidRPr="007A0324">
        <w:rPr>
          <w:rFonts w:ascii="Arial" w:eastAsia="Calibri" w:hAnsi="Arial" w:cs="Arial"/>
          <w:color w:val="000000"/>
          <w:kern w:val="0"/>
          <w:sz w:val="24"/>
          <w:szCs w:val="24"/>
          <w:shd w:val="clear" w:color="auto" w:fill="FFFFFF"/>
          <w:lang w:eastAsia="ar-SA"/>
          <w14:ligatures w14:val="none"/>
        </w:rPr>
        <w:t xml:space="preserve">(1), pp.94-120. </w:t>
      </w:r>
    </w:p>
    <w:p w14:paraId="3D11F82A"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Lansley</w:t>
      </w:r>
      <w:proofErr w:type="spellEnd"/>
      <w:r w:rsidRPr="007A0324">
        <w:rPr>
          <w:rFonts w:ascii="Arial" w:eastAsia="Calibri" w:hAnsi="Arial" w:cs="Arial"/>
          <w:color w:val="000000"/>
          <w:kern w:val="0"/>
          <w:sz w:val="24"/>
          <w:szCs w:val="24"/>
          <w:shd w:val="clear" w:color="auto" w:fill="FFFFFF"/>
          <w:lang w:eastAsia="ar-SA"/>
          <w14:ligatures w14:val="none"/>
        </w:rPr>
        <w:t>, S., 2021. Burning injustice. In </w:t>
      </w:r>
      <w:r w:rsidRPr="007A0324">
        <w:rPr>
          <w:rFonts w:ascii="Arial" w:eastAsia="Calibri" w:hAnsi="Arial" w:cs="Arial"/>
          <w:i/>
          <w:iCs/>
          <w:color w:val="000000"/>
          <w:kern w:val="0"/>
          <w:sz w:val="24"/>
          <w:szCs w:val="24"/>
          <w:shd w:val="clear" w:color="auto" w:fill="FFFFFF"/>
          <w:lang w:eastAsia="ar-SA"/>
          <w14:ligatures w14:val="none"/>
        </w:rPr>
        <w:t>The Richer, The Poorer</w:t>
      </w:r>
      <w:r w:rsidRPr="007A0324">
        <w:rPr>
          <w:rFonts w:ascii="Arial" w:eastAsia="Calibri" w:hAnsi="Arial" w:cs="Arial"/>
          <w:color w:val="000000"/>
          <w:kern w:val="0"/>
          <w:sz w:val="24"/>
          <w:szCs w:val="24"/>
          <w:shd w:val="clear" w:color="auto" w:fill="FFFFFF"/>
          <w:lang w:eastAsia="ar-SA"/>
          <w14:ligatures w14:val="none"/>
        </w:rPr>
        <w:t xml:space="preserve"> (pp. 224-230). Policy Press. </w:t>
      </w:r>
    </w:p>
    <w:p w14:paraId="756A3BBF"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Liu, W., </w:t>
      </w:r>
      <w:r w:rsidRPr="007A0324">
        <w:rPr>
          <w:rFonts w:ascii="Arial" w:eastAsia="Calibri" w:hAnsi="Arial" w:cs="Arial"/>
          <w:i/>
          <w:iCs/>
          <w:color w:val="000000"/>
          <w:kern w:val="0"/>
          <w:sz w:val="24"/>
          <w:szCs w:val="24"/>
          <w:shd w:val="clear" w:color="auto" w:fill="FFFFFF"/>
          <w:lang w:eastAsia="ar-SA"/>
          <w14:ligatures w14:val="none"/>
        </w:rPr>
        <w:t>et al.,</w:t>
      </w:r>
      <w:r w:rsidRPr="007A0324">
        <w:rPr>
          <w:rFonts w:ascii="Arial" w:eastAsia="Calibri" w:hAnsi="Arial" w:cs="Arial"/>
          <w:color w:val="000000"/>
          <w:kern w:val="0"/>
          <w:sz w:val="24"/>
          <w:szCs w:val="24"/>
          <w:shd w:val="clear" w:color="auto" w:fill="FFFFFF"/>
          <w:lang w:eastAsia="ar-SA"/>
          <w14:ligatures w14:val="none"/>
        </w:rPr>
        <w:t xml:space="preserve"> 2020. Effect of gig workers’ psychological contract </w:t>
      </w:r>
      <w:proofErr w:type="spellStart"/>
      <w:r w:rsidRPr="007A0324">
        <w:rPr>
          <w:rFonts w:ascii="Arial" w:eastAsia="Calibri" w:hAnsi="Arial" w:cs="Arial"/>
          <w:color w:val="000000"/>
          <w:kern w:val="0"/>
          <w:sz w:val="24"/>
          <w:szCs w:val="24"/>
          <w:shd w:val="clear" w:color="auto" w:fill="FFFFFF"/>
          <w:lang w:eastAsia="ar-SA"/>
          <w14:ligatures w14:val="none"/>
        </w:rPr>
        <w:t>fulfillment</w:t>
      </w:r>
      <w:proofErr w:type="spellEnd"/>
      <w:r w:rsidRPr="007A0324">
        <w:rPr>
          <w:rFonts w:ascii="Arial" w:eastAsia="Calibri" w:hAnsi="Arial" w:cs="Arial"/>
          <w:color w:val="000000"/>
          <w:kern w:val="0"/>
          <w:sz w:val="24"/>
          <w:szCs w:val="24"/>
          <w:shd w:val="clear" w:color="auto" w:fill="FFFFFF"/>
          <w:lang w:eastAsia="ar-SA"/>
          <w14:ligatures w14:val="none"/>
        </w:rPr>
        <w:t xml:space="preserve"> on their task performance in a sharing economy—A perspective from the mediation of </w:t>
      </w:r>
      <w:proofErr w:type="spellStart"/>
      <w:r w:rsidRPr="007A0324">
        <w:rPr>
          <w:rFonts w:ascii="Arial" w:eastAsia="Calibri" w:hAnsi="Arial" w:cs="Arial"/>
          <w:color w:val="000000"/>
          <w:kern w:val="0"/>
          <w:sz w:val="24"/>
          <w:szCs w:val="24"/>
          <w:shd w:val="clear" w:color="auto" w:fill="FFFFFF"/>
          <w:lang w:eastAsia="ar-SA"/>
          <w14:ligatures w14:val="none"/>
        </w:rPr>
        <w:lastRenderedPageBreak/>
        <w:t>organizational</w:t>
      </w:r>
      <w:proofErr w:type="spellEnd"/>
      <w:r w:rsidRPr="007A0324">
        <w:rPr>
          <w:rFonts w:ascii="Arial" w:eastAsia="Calibri" w:hAnsi="Arial" w:cs="Arial"/>
          <w:color w:val="000000"/>
          <w:kern w:val="0"/>
          <w:sz w:val="24"/>
          <w:szCs w:val="24"/>
          <w:shd w:val="clear" w:color="auto" w:fill="FFFFFF"/>
          <w:lang w:eastAsia="ar-SA"/>
          <w14:ligatures w14:val="none"/>
        </w:rPr>
        <w:t xml:space="preserve"> identification and the moderation of length of service. </w:t>
      </w:r>
      <w:r w:rsidRPr="007A0324">
        <w:rPr>
          <w:rFonts w:ascii="Arial" w:eastAsia="Calibri" w:hAnsi="Arial" w:cs="Arial"/>
          <w:i/>
          <w:iCs/>
          <w:color w:val="000000"/>
          <w:kern w:val="0"/>
          <w:sz w:val="24"/>
          <w:szCs w:val="24"/>
          <w:shd w:val="clear" w:color="auto" w:fill="FFFFFF"/>
          <w:lang w:eastAsia="ar-SA"/>
          <w14:ligatures w14:val="none"/>
        </w:rPr>
        <w:t>International Journal of Environmental Research and Public Health</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17</w:t>
      </w:r>
      <w:r w:rsidRPr="007A0324">
        <w:rPr>
          <w:rFonts w:ascii="Arial" w:eastAsia="Calibri" w:hAnsi="Arial" w:cs="Arial"/>
          <w:color w:val="000000"/>
          <w:kern w:val="0"/>
          <w:sz w:val="24"/>
          <w:szCs w:val="24"/>
          <w:shd w:val="clear" w:color="auto" w:fill="FFFFFF"/>
          <w:lang w:eastAsia="ar-SA"/>
          <w14:ligatures w14:val="none"/>
        </w:rPr>
        <w:t xml:space="preserve">(7), p.2208. </w:t>
      </w:r>
    </w:p>
    <w:p w14:paraId="0782FC16"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Lopez-Cabrales</w:t>
      </w:r>
      <w:proofErr w:type="spellEnd"/>
      <w:r w:rsidRPr="007A0324">
        <w:rPr>
          <w:rFonts w:ascii="Arial" w:eastAsia="Calibri" w:hAnsi="Arial" w:cs="Arial"/>
          <w:color w:val="000000"/>
          <w:kern w:val="0"/>
          <w:sz w:val="24"/>
          <w:szCs w:val="24"/>
          <w:shd w:val="clear" w:color="auto" w:fill="FFFFFF"/>
          <w:lang w:eastAsia="ar-SA"/>
          <w14:ligatures w14:val="none"/>
        </w:rPr>
        <w:t>, A. and Valle-Cabrera, R., 2020. Sustainable HRM strategies and employment relationships as drivers of the triple bottom line. </w:t>
      </w:r>
      <w:r w:rsidRPr="007A0324">
        <w:rPr>
          <w:rFonts w:ascii="Arial" w:eastAsia="Calibri" w:hAnsi="Arial" w:cs="Arial"/>
          <w:i/>
          <w:iCs/>
          <w:color w:val="000000"/>
          <w:kern w:val="0"/>
          <w:sz w:val="24"/>
          <w:szCs w:val="24"/>
          <w:shd w:val="clear" w:color="auto" w:fill="FFFFFF"/>
          <w:lang w:eastAsia="ar-SA"/>
          <w14:ligatures w14:val="none"/>
        </w:rPr>
        <w:t>Human resource management review</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30</w:t>
      </w:r>
      <w:r w:rsidRPr="007A0324">
        <w:rPr>
          <w:rFonts w:ascii="Arial" w:eastAsia="Calibri" w:hAnsi="Arial" w:cs="Arial"/>
          <w:color w:val="000000"/>
          <w:kern w:val="0"/>
          <w:sz w:val="24"/>
          <w:szCs w:val="24"/>
          <w:shd w:val="clear" w:color="auto" w:fill="FFFFFF"/>
          <w:lang w:eastAsia="ar-SA"/>
          <w14:ligatures w14:val="none"/>
        </w:rPr>
        <w:t xml:space="preserve">(3), p.100689. </w:t>
      </w:r>
    </w:p>
    <w:p w14:paraId="470D8878"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Mbah</w:t>
      </w:r>
      <w:proofErr w:type="spellEnd"/>
      <w:r w:rsidRPr="007A0324">
        <w:rPr>
          <w:rFonts w:ascii="Arial" w:eastAsia="Calibri" w:hAnsi="Arial" w:cs="Arial"/>
          <w:color w:val="000000"/>
          <w:kern w:val="0"/>
          <w:sz w:val="24"/>
          <w:szCs w:val="24"/>
          <w:shd w:val="clear" w:color="auto" w:fill="FFFFFF"/>
          <w:lang w:eastAsia="ar-SA"/>
          <w14:ligatures w14:val="none"/>
        </w:rPr>
        <w:t xml:space="preserve">, R.E. and </w:t>
      </w:r>
      <w:proofErr w:type="spellStart"/>
      <w:r w:rsidRPr="007A0324">
        <w:rPr>
          <w:rFonts w:ascii="Arial" w:eastAsia="Calibri" w:hAnsi="Arial" w:cs="Arial"/>
          <w:color w:val="000000"/>
          <w:kern w:val="0"/>
          <w:sz w:val="24"/>
          <w:szCs w:val="24"/>
          <w:shd w:val="clear" w:color="auto" w:fill="FFFFFF"/>
          <w:lang w:eastAsia="ar-SA"/>
          <w14:ligatures w14:val="none"/>
        </w:rPr>
        <w:t>Wasum</w:t>
      </w:r>
      <w:proofErr w:type="spellEnd"/>
      <w:r w:rsidRPr="007A0324">
        <w:rPr>
          <w:rFonts w:ascii="Arial" w:eastAsia="Calibri" w:hAnsi="Arial" w:cs="Arial"/>
          <w:color w:val="000000"/>
          <w:kern w:val="0"/>
          <w:sz w:val="24"/>
          <w:szCs w:val="24"/>
          <w:shd w:val="clear" w:color="auto" w:fill="FFFFFF"/>
          <w:lang w:eastAsia="ar-SA"/>
          <w14:ligatures w14:val="none"/>
        </w:rPr>
        <w:t>, D.F., 2022. Russian-Ukraine 2022 War: A review of the economic impact of Russian-Ukraine crisis on the USA, UK, Canada, and Europe. </w:t>
      </w:r>
      <w:r w:rsidRPr="007A0324">
        <w:rPr>
          <w:rFonts w:ascii="Arial" w:eastAsia="Calibri" w:hAnsi="Arial" w:cs="Arial"/>
          <w:i/>
          <w:iCs/>
          <w:color w:val="000000"/>
          <w:kern w:val="0"/>
          <w:sz w:val="24"/>
          <w:szCs w:val="24"/>
          <w:shd w:val="clear" w:color="auto" w:fill="FFFFFF"/>
          <w:lang w:eastAsia="ar-SA"/>
          <w14:ligatures w14:val="none"/>
        </w:rPr>
        <w:t>Advances in Social Sciences Research Journal</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9</w:t>
      </w:r>
      <w:r w:rsidRPr="007A0324">
        <w:rPr>
          <w:rFonts w:ascii="Arial" w:eastAsia="Calibri" w:hAnsi="Arial" w:cs="Arial"/>
          <w:color w:val="000000"/>
          <w:kern w:val="0"/>
          <w:sz w:val="24"/>
          <w:szCs w:val="24"/>
          <w:shd w:val="clear" w:color="auto" w:fill="FFFFFF"/>
          <w:lang w:eastAsia="ar-SA"/>
          <w14:ligatures w14:val="none"/>
        </w:rPr>
        <w:t xml:space="preserve">(3), pp.144-153. </w:t>
      </w:r>
    </w:p>
    <w:p w14:paraId="6D395170"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MM, S., 2021. Influence of empowerment, psychological contract and employee engagement on voluntary turnover intentions. </w:t>
      </w:r>
      <w:r w:rsidRPr="007A0324">
        <w:rPr>
          <w:rFonts w:ascii="Arial" w:eastAsia="Calibri" w:hAnsi="Arial" w:cs="Arial"/>
          <w:i/>
          <w:iCs/>
          <w:color w:val="000000"/>
          <w:kern w:val="0"/>
          <w:sz w:val="24"/>
          <w:szCs w:val="24"/>
          <w:shd w:val="clear" w:color="auto" w:fill="FFFFFF"/>
          <w:lang w:eastAsia="ar-SA"/>
          <w14:ligatures w14:val="none"/>
        </w:rPr>
        <w:t>International Journal of Productivity and Performance Management</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70</w:t>
      </w:r>
      <w:r w:rsidRPr="007A0324">
        <w:rPr>
          <w:rFonts w:ascii="Arial" w:eastAsia="Calibri" w:hAnsi="Arial" w:cs="Arial"/>
          <w:color w:val="000000"/>
          <w:kern w:val="0"/>
          <w:sz w:val="24"/>
          <w:szCs w:val="24"/>
          <w:shd w:val="clear" w:color="auto" w:fill="FFFFFF"/>
          <w:lang w:eastAsia="ar-SA"/>
          <w14:ligatures w14:val="none"/>
        </w:rPr>
        <w:t xml:space="preserve">(2), pp.325-349. </w:t>
      </w:r>
    </w:p>
    <w:p w14:paraId="4AF61A77"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 xml:space="preserve">Morales-Sánchez, R. and </w:t>
      </w:r>
      <w:proofErr w:type="spellStart"/>
      <w:r w:rsidRPr="007A0324">
        <w:rPr>
          <w:rFonts w:ascii="Arial" w:eastAsia="Calibri" w:hAnsi="Arial" w:cs="Arial"/>
          <w:color w:val="000000"/>
          <w:kern w:val="0"/>
          <w:sz w:val="24"/>
          <w:szCs w:val="24"/>
          <w:shd w:val="clear" w:color="auto" w:fill="FFFFFF"/>
          <w:lang w:eastAsia="ar-SA"/>
          <w14:ligatures w14:val="none"/>
        </w:rPr>
        <w:t>Pasamar</w:t>
      </w:r>
      <w:proofErr w:type="spellEnd"/>
      <w:r w:rsidRPr="007A0324">
        <w:rPr>
          <w:rFonts w:ascii="Arial" w:eastAsia="Calibri" w:hAnsi="Arial" w:cs="Arial"/>
          <w:color w:val="000000"/>
          <w:kern w:val="0"/>
          <w:sz w:val="24"/>
          <w:szCs w:val="24"/>
          <w:shd w:val="clear" w:color="auto" w:fill="FFFFFF"/>
          <w:lang w:eastAsia="ar-SA"/>
          <w14:ligatures w14:val="none"/>
        </w:rPr>
        <w:t>, S., 2020. How to improve organisational citizenship behaviour by combining ability, motivation and opportunity: The moderator role of perceived organisational support. </w:t>
      </w:r>
      <w:r w:rsidRPr="007A0324">
        <w:rPr>
          <w:rFonts w:ascii="Arial" w:eastAsia="Calibri" w:hAnsi="Arial" w:cs="Arial"/>
          <w:i/>
          <w:iCs/>
          <w:color w:val="000000"/>
          <w:kern w:val="0"/>
          <w:sz w:val="24"/>
          <w:szCs w:val="24"/>
          <w:shd w:val="clear" w:color="auto" w:fill="FFFFFF"/>
          <w:lang w:eastAsia="ar-SA"/>
          <w14:ligatures w14:val="none"/>
        </w:rPr>
        <w:t>Employee Relations: The International Journal</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42</w:t>
      </w:r>
      <w:r w:rsidRPr="007A0324">
        <w:rPr>
          <w:rFonts w:ascii="Arial" w:eastAsia="Calibri" w:hAnsi="Arial" w:cs="Arial"/>
          <w:color w:val="000000"/>
          <w:kern w:val="0"/>
          <w:sz w:val="24"/>
          <w:szCs w:val="24"/>
          <w:shd w:val="clear" w:color="auto" w:fill="FFFFFF"/>
          <w:lang w:eastAsia="ar-SA"/>
          <w14:ligatures w14:val="none"/>
        </w:rPr>
        <w:t>(2), pp.398-416.</w:t>
      </w:r>
    </w:p>
    <w:p w14:paraId="5E622CE8"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Mousa</w:t>
      </w:r>
      <w:proofErr w:type="spellEnd"/>
      <w:r w:rsidRPr="007A0324">
        <w:rPr>
          <w:rFonts w:ascii="Arial" w:eastAsia="Calibri" w:hAnsi="Arial" w:cs="Arial"/>
          <w:color w:val="000000"/>
          <w:kern w:val="0"/>
          <w:sz w:val="24"/>
          <w:szCs w:val="24"/>
          <w:shd w:val="clear" w:color="auto" w:fill="FFFFFF"/>
          <w:lang w:eastAsia="ar-SA"/>
          <w14:ligatures w14:val="none"/>
        </w:rPr>
        <w:t xml:space="preserve">, M. and </w:t>
      </w:r>
      <w:proofErr w:type="spellStart"/>
      <w:r w:rsidRPr="007A0324">
        <w:rPr>
          <w:rFonts w:ascii="Arial" w:eastAsia="Calibri" w:hAnsi="Arial" w:cs="Arial"/>
          <w:color w:val="000000"/>
          <w:kern w:val="0"/>
          <w:sz w:val="24"/>
          <w:szCs w:val="24"/>
          <w:shd w:val="clear" w:color="auto" w:fill="FFFFFF"/>
          <w:lang w:eastAsia="ar-SA"/>
          <w14:ligatures w14:val="none"/>
        </w:rPr>
        <w:t>Ayoubi</w:t>
      </w:r>
      <w:proofErr w:type="spellEnd"/>
      <w:r w:rsidRPr="007A0324">
        <w:rPr>
          <w:rFonts w:ascii="Arial" w:eastAsia="Calibri" w:hAnsi="Arial" w:cs="Arial"/>
          <w:color w:val="000000"/>
          <w:kern w:val="0"/>
          <w:sz w:val="24"/>
          <w:szCs w:val="24"/>
          <w:shd w:val="clear" w:color="auto" w:fill="FFFFFF"/>
          <w:lang w:eastAsia="ar-SA"/>
          <w14:ligatures w14:val="none"/>
        </w:rPr>
        <w:t>, R.M., 2019. Talent management practices: perceptions of academics in Egyptian public business schools. </w:t>
      </w:r>
      <w:r w:rsidRPr="007A0324">
        <w:rPr>
          <w:rFonts w:ascii="Arial" w:eastAsia="Calibri" w:hAnsi="Arial" w:cs="Arial"/>
          <w:i/>
          <w:iCs/>
          <w:color w:val="000000"/>
          <w:kern w:val="0"/>
          <w:sz w:val="24"/>
          <w:szCs w:val="24"/>
          <w:shd w:val="clear" w:color="auto" w:fill="FFFFFF"/>
          <w:lang w:eastAsia="ar-SA"/>
          <w14:ligatures w14:val="none"/>
        </w:rPr>
        <w:t>Journal of Management Development</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38</w:t>
      </w:r>
      <w:r w:rsidRPr="007A0324">
        <w:rPr>
          <w:rFonts w:ascii="Arial" w:eastAsia="Calibri" w:hAnsi="Arial" w:cs="Arial"/>
          <w:color w:val="000000"/>
          <w:kern w:val="0"/>
          <w:sz w:val="24"/>
          <w:szCs w:val="24"/>
          <w:shd w:val="clear" w:color="auto" w:fill="FFFFFF"/>
          <w:lang w:eastAsia="ar-SA"/>
          <w14:ligatures w14:val="none"/>
        </w:rPr>
        <w:t xml:space="preserve">(10), pp.833-846. </w:t>
      </w:r>
    </w:p>
    <w:p w14:paraId="7761ACC6"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Quesenberry</w:t>
      </w:r>
      <w:proofErr w:type="spellEnd"/>
      <w:r w:rsidRPr="007A0324">
        <w:rPr>
          <w:rFonts w:ascii="Arial" w:eastAsia="Calibri" w:hAnsi="Arial" w:cs="Arial"/>
          <w:color w:val="000000"/>
          <w:kern w:val="0"/>
          <w:sz w:val="24"/>
          <w:szCs w:val="24"/>
          <w:shd w:val="clear" w:color="auto" w:fill="FFFFFF"/>
          <w:lang w:eastAsia="ar-SA"/>
          <w14:ligatures w14:val="none"/>
        </w:rPr>
        <w:t>, K.A., 2020. </w:t>
      </w:r>
      <w:r w:rsidRPr="007A0324">
        <w:rPr>
          <w:rFonts w:ascii="Arial" w:eastAsia="Calibri" w:hAnsi="Arial" w:cs="Arial"/>
          <w:i/>
          <w:iCs/>
          <w:color w:val="000000"/>
          <w:kern w:val="0"/>
          <w:sz w:val="24"/>
          <w:szCs w:val="24"/>
          <w:shd w:val="clear" w:color="auto" w:fill="FFFFFF"/>
          <w:lang w:eastAsia="ar-SA"/>
          <w14:ligatures w14:val="none"/>
        </w:rPr>
        <w:t>Social media strategy: Marketing, advertising, and public relations in the consumer revolution</w:t>
      </w:r>
      <w:r w:rsidRPr="007A0324">
        <w:rPr>
          <w:rFonts w:ascii="Arial" w:eastAsia="Calibri" w:hAnsi="Arial" w:cs="Arial"/>
          <w:color w:val="000000"/>
          <w:kern w:val="0"/>
          <w:sz w:val="24"/>
          <w:szCs w:val="24"/>
          <w:shd w:val="clear" w:color="auto" w:fill="FFFFFF"/>
          <w:lang w:eastAsia="ar-SA"/>
          <w14:ligatures w14:val="none"/>
        </w:rPr>
        <w:t xml:space="preserve">. </w:t>
      </w:r>
      <w:proofErr w:type="spellStart"/>
      <w:r w:rsidRPr="007A0324">
        <w:rPr>
          <w:rFonts w:ascii="Arial" w:eastAsia="Calibri" w:hAnsi="Arial" w:cs="Arial"/>
          <w:color w:val="000000"/>
          <w:kern w:val="0"/>
          <w:sz w:val="24"/>
          <w:szCs w:val="24"/>
          <w:shd w:val="clear" w:color="auto" w:fill="FFFFFF"/>
          <w:lang w:eastAsia="ar-SA"/>
          <w14:ligatures w14:val="none"/>
        </w:rPr>
        <w:t>Rowman</w:t>
      </w:r>
      <w:proofErr w:type="spellEnd"/>
      <w:r w:rsidRPr="007A0324">
        <w:rPr>
          <w:rFonts w:ascii="Arial" w:eastAsia="Calibri" w:hAnsi="Arial" w:cs="Arial"/>
          <w:color w:val="000000"/>
          <w:kern w:val="0"/>
          <w:sz w:val="24"/>
          <w:szCs w:val="24"/>
          <w:shd w:val="clear" w:color="auto" w:fill="FFFFFF"/>
          <w:lang w:eastAsia="ar-SA"/>
          <w14:ligatures w14:val="none"/>
        </w:rPr>
        <w:t xml:space="preserve"> &amp; </w:t>
      </w:r>
      <w:proofErr w:type="spellStart"/>
      <w:r w:rsidRPr="007A0324">
        <w:rPr>
          <w:rFonts w:ascii="Arial" w:eastAsia="Calibri" w:hAnsi="Arial" w:cs="Arial"/>
          <w:color w:val="000000"/>
          <w:kern w:val="0"/>
          <w:sz w:val="24"/>
          <w:szCs w:val="24"/>
          <w:shd w:val="clear" w:color="auto" w:fill="FFFFFF"/>
          <w:lang w:eastAsia="ar-SA"/>
          <w14:ligatures w14:val="none"/>
        </w:rPr>
        <w:t>Littlefield</w:t>
      </w:r>
      <w:proofErr w:type="spellEnd"/>
      <w:r w:rsidRPr="007A0324">
        <w:rPr>
          <w:rFonts w:ascii="Arial" w:eastAsia="Calibri" w:hAnsi="Arial" w:cs="Arial"/>
          <w:color w:val="000000"/>
          <w:kern w:val="0"/>
          <w:sz w:val="24"/>
          <w:szCs w:val="24"/>
          <w:shd w:val="clear" w:color="auto" w:fill="FFFFFF"/>
          <w:lang w:eastAsia="ar-SA"/>
          <w14:ligatures w14:val="none"/>
        </w:rPr>
        <w:t xml:space="preserve"> Publishers. </w:t>
      </w:r>
    </w:p>
    <w:p w14:paraId="792E28BA"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Riyanto</w:t>
      </w:r>
      <w:proofErr w:type="spellEnd"/>
      <w:r w:rsidRPr="007A0324">
        <w:rPr>
          <w:rFonts w:ascii="Arial" w:eastAsia="Calibri" w:hAnsi="Arial" w:cs="Arial"/>
          <w:color w:val="000000"/>
          <w:kern w:val="0"/>
          <w:sz w:val="24"/>
          <w:szCs w:val="24"/>
          <w:shd w:val="clear" w:color="auto" w:fill="FFFFFF"/>
          <w:lang w:eastAsia="ar-SA"/>
          <w14:ligatures w14:val="none"/>
        </w:rPr>
        <w:t xml:space="preserve">, S., </w:t>
      </w:r>
      <w:proofErr w:type="spellStart"/>
      <w:r w:rsidRPr="007A0324">
        <w:rPr>
          <w:rFonts w:ascii="Arial" w:eastAsia="Calibri" w:hAnsi="Arial" w:cs="Arial"/>
          <w:color w:val="000000"/>
          <w:kern w:val="0"/>
          <w:sz w:val="24"/>
          <w:szCs w:val="24"/>
          <w:shd w:val="clear" w:color="auto" w:fill="FFFFFF"/>
          <w:lang w:eastAsia="ar-SA"/>
          <w14:ligatures w14:val="none"/>
        </w:rPr>
        <w:t>Endri</w:t>
      </w:r>
      <w:proofErr w:type="spellEnd"/>
      <w:r w:rsidRPr="007A0324">
        <w:rPr>
          <w:rFonts w:ascii="Arial" w:eastAsia="Calibri" w:hAnsi="Arial" w:cs="Arial"/>
          <w:color w:val="000000"/>
          <w:kern w:val="0"/>
          <w:sz w:val="24"/>
          <w:szCs w:val="24"/>
          <w:shd w:val="clear" w:color="auto" w:fill="FFFFFF"/>
          <w:lang w:eastAsia="ar-SA"/>
          <w14:ligatures w14:val="none"/>
        </w:rPr>
        <w:t xml:space="preserve">, E. and </w:t>
      </w:r>
      <w:proofErr w:type="spellStart"/>
      <w:r w:rsidRPr="007A0324">
        <w:rPr>
          <w:rFonts w:ascii="Arial" w:eastAsia="Calibri" w:hAnsi="Arial" w:cs="Arial"/>
          <w:color w:val="000000"/>
          <w:kern w:val="0"/>
          <w:sz w:val="24"/>
          <w:szCs w:val="24"/>
          <w:shd w:val="clear" w:color="auto" w:fill="FFFFFF"/>
          <w:lang w:eastAsia="ar-SA"/>
          <w14:ligatures w14:val="none"/>
        </w:rPr>
        <w:t>Herlisha</w:t>
      </w:r>
      <w:proofErr w:type="spellEnd"/>
      <w:r w:rsidRPr="007A0324">
        <w:rPr>
          <w:rFonts w:ascii="Arial" w:eastAsia="Calibri" w:hAnsi="Arial" w:cs="Arial"/>
          <w:color w:val="000000"/>
          <w:kern w:val="0"/>
          <w:sz w:val="24"/>
          <w:szCs w:val="24"/>
          <w:shd w:val="clear" w:color="auto" w:fill="FFFFFF"/>
          <w:lang w:eastAsia="ar-SA"/>
          <w14:ligatures w14:val="none"/>
        </w:rPr>
        <w:t>, N., 2021. Effect of work motivation and job satisfaction on employee performance: Mediating role of employee engagement. </w:t>
      </w:r>
      <w:r w:rsidRPr="007A0324">
        <w:rPr>
          <w:rFonts w:ascii="Arial" w:eastAsia="Calibri" w:hAnsi="Arial" w:cs="Arial"/>
          <w:i/>
          <w:iCs/>
          <w:color w:val="000000"/>
          <w:kern w:val="0"/>
          <w:sz w:val="24"/>
          <w:szCs w:val="24"/>
          <w:shd w:val="clear" w:color="auto" w:fill="FFFFFF"/>
          <w:lang w:eastAsia="ar-SA"/>
          <w14:ligatures w14:val="none"/>
        </w:rPr>
        <w:t>Problems and Perspectives in Management</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19</w:t>
      </w:r>
      <w:r w:rsidRPr="007A0324">
        <w:rPr>
          <w:rFonts w:ascii="Arial" w:eastAsia="Calibri" w:hAnsi="Arial" w:cs="Arial"/>
          <w:color w:val="000000"/>
          <w:kern w:val="0"/>
          <w:sz w:val="24"/>
          <w:szCs w:val="24"/>
          <w:shd w:val="clear" w:color="auto" w:fill="FFFFFF"/>
          <w:lang w:eastAsia="ar-SA"/>
          <w14:ligatures w14:val="none"/>
        </w:rPr>
        <w:t xml:space="preserve">(3), p.162. </w:t>
      </w:r>
    </w:p>
    <w:p w14:paraId="7ADD710F"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Sharipov</w:t>
      </w:r>
      <w:proofErr w:type="spellEnd"/>
      <w:r w:rsidRPr="007A0324">
        <w:rPr>
          <w:rFonts w:ascii="Arial" w:eastAsia="Calibri" w:hAnsi="Arial" w:cs="Arial"/>
          <w:color w:val="000000"/>
          <w:kern w:val="0"/>
          <w:sz w:val="24"/>
          <w:szCs w:val="24"/>
          <w:shd w:val="clear" w:color="auto" w:fill="FFFFFF"/>
          <w:lang w:eastAsia="ar-SA"/>
          <w14:ligatures w14:val="none"/>
        </w:rPr>
        <w:t xml:space="preserve">, F.F., </w:t>
      </w:r>
      <w:proofErr w:type="spellStart"/>
      <w:r w:rsidRPr="007A0324">
        <w:rPr>
          <w:rFonts w:ascii="Arial" w:eastAsia="Calibri" w:hAnsi="Arial" w:cs="Arial"/>
          <w:color w:val="000000"/>
          <w:kern w:val="0"/>
          <w:sz w:val="24"/>
          <w:szCs w:val="24"/>
          <w:shd w:val="clear" w:color="auto" w:fill="FFFFFF"/>
          <w:lang w:eastAsia="ar-SA"/>
          <w14:ligatures w14:val="none"/>
        </w:rPr>
        <w:t>Krotenko</w:t>
      </w:r>
      <w:proofErr w:type="spellEnd"/>
      <w:r w:rsidRPr="007A0324">
        <w:rPr>
          <w:rFonts w:ascii="Arial" w:eastAsia="Calibri" w:hAnsi="Arial" w:cs="Arial"/>
          <w:color w:val="000000"/>
          <w:kern w:val="0"/>
          <w:sz w:val="24"/>
          <w:szCs w:val="24"/>
          <w:shd w:val="clear" w:color="auto" w:fill="FFFFFF"/>
          <w:lang w:eastAsia="ar-SA"/>
          <w14:ligatures w14:val="none"/>
        </w:rPr>
        <w:t xml:space="preserve">, T.Y. and </w:t>
      </w:r>
      <w:proofErr w:type="spellStart"/>
      <w:r w:rsidRPr="007A0324">
        <w:rPr>
          <w:rFonts w:ascii="Arial" w:eastAsia="Calibri" w:hAnsi="Arial" w:cs="Arial"/>
          <w:color w:val="000000"/>
          <w:kern w:val="0"/>
          <w:sz w:val="24"/>
          <w:szCs w:val="24"/>
          <w:shd w:val="clear" w:color="auto" w:fill="FFFFFF"/>
          <w:lang w:eastAsia="ar-SA"/>
          <w14:ligatures w14:val="none"/>
        </w:rPr>
        <w:t>Dyakonova</w:t>
      </w:r>
      <w:proofErr w:type="spellEnd"/>
      <w:r w:rsidRPr="007A0324">
        <w:rPr>
          <w:rFonts w:ascii="Arial" w:eastAsia="Calibri" w:hAnsi="Arial" w:cs="Arial"/>
          <w:color w:val="000000"/>
          <w:kern w:val="0"/>
          <w:sz w:val="24"/>
          <w:szCs w:val="24"/>
          <w:shd w:val="clear" w:color="auto" w:fill="FFFFFF"/>
          <w:lang w:eastAsia="ar-SA"/>
          <w14:ligatures w14:val="none"/>
        </w:rPr>
        <w:t>, M.A., 2021. Talent management: needs and prospects for business development in the digital economy. In </w:t>
      </w:r>
      <w:r w:rsidRPr="007A0324">
        <w:rPr>
          <w:rFonts w:ascii="Arial" w:eastAsia="Calibri" w:hAnsi="Arial" w:cs="Arial"/>
          <w:i/>
          <w:iCs/>
          <w:color w:val="000000"/>
          <w:kern w:val="0"/>
          <w:sz w:val="24"/>
          <w:szCs w:val="24"/>
          <w:shd w:val="clear" w:color="auto" w:fill="FFFFFF"/>
          <w:lang w:eastAsia="ar-SA"/>
          <w14:ligatures w14:val="none"/>
        </w:rPr>
        <w:t>Digital Economy and the New Labor Market: Jobs, Competences and Innovative HR Technologies</w:t>
      </w:r>
      <w:r w:rsidRPr="007A0324">
        <w:rPr>
          <w:rFonts w:ascii="Arial" w:eastAsia="Calibri" w:hAnsi="Arial" w:cs="Arial"/>
          <w:color w:val="000000"/>
          <w:kern w:val="0"/>
          <w:sz w:val="24"/>
          <w:szCs w:val="24"/>
          <w:shd w:val="clear" w:color="auto" w:fill="FFFFFF"/>
          <w:lang w:eastAsia="ar-SA"/>
          <w14:ligatures w14:val="none"/>
        </w:rPr>
        <w:t xml:space="preserve"> (pp. 514-518). Springer International Publishing. </w:t>
      </w:r>
    </w:p>
    <w:p w14:paraId="1C4758A4"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Soares</w:t>
      </w:r>
      <w:proofErr w:type="spellEnd"/>
      <w:r w:rsidRPr="007A0324">
        <w:rPr>
          <w:rFonts w:ascii="Arial" w:eastAsia="Calibri" w:hAnsi="Arial" w:cs="Arial"/>
          <w:color w:val="000000"/>
          <w:kern w:val="0"/>
          <w:sz w:val="24"/>
          <w:szCs w:val="24"/>
          <w:shd w:val="clear" w:color="auto" w:fill="FFFFFF"/>
          <w:lang w:eastAsia="ar-SA"/>
          <w14:ligatures w14:val="none"/>
        </w:rPr>
        <w:t>, M.E. and Mosquera, P., 2019. Fostering work engagement: The role of the psychological contract. </w:t>
      </w:r>
      <w:r w:rsidRPr="007A0324">
        <w:rPr>
          <w:rFonts w:ascii="Arial" w:eastAsia="Calibri" w:hAnsi="Arial" w:cs="Arial"/>
          <w:i/>
          <w:iCs/>
          <w:color w:val="000000"/>
          <w:kern w:val="0"/>
          <w:sz w:val="24"/>
          <w:szCs w:val="24"/>
          <w:shd w:val="clear" w:color="auto" w:fill="FFFFFF"/>
          <w:lang w:eastAsia="ar-SA"/>
          <w14:ligatures w14:val="none"/>
        </w:rPr>
        <w:t>Journal of Business Research</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101</w:t>
      </w:r>
      <w:r w:rsidRPr="007A0324">
        <w:rPr>
          <w:rFonts w:ascii="Arial" w:eastAsia="Calibri" w:hAnsi="Arial" w:cs="Arial"/>
          <w:color w:val="000000"/>
          <w:kern w:val="0"/>
          <w:sz w:val="24"/>
          <w:szCs w:val="24"/>
          <w:shd w:val="clear" w:color="auto" w:fill="FFFFFF"/>
          <w:lang w:eastAsia="ar-SA"/>
          <w14:ligatures w14:val="none"/>
        </w:rPr>
        <w:t xml:space="preserve">, pp.469-476. </w:t>
      </w:r>
    </w:p>
    <w:p w14:paraId="78205FB8"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lastRenderedPageBreak/>
        <w:t>Stevens, M., 2022. </w:t>
      </w:r>
      <w:r w:rsidRPr="007A0324">
        <w:rPr>
          <w:rFonts w:ascii="Arial" w:eastAsia="Calibri" w:hAnsi="Arial" w:cs="Arial"/>
          <w:i/>
          <w:iCs/>
          <w:color w:val="000000"/>
          <w:kern w:val="0"/>
          <w:sz w:val="24"/>
          <w:szCs w:val="24"/>
          <w:shd w:val="clear" w:color="auto" w:fill="FFFFFF"/>
          <w:lang w:eastAsia="ar-SA"/>
          <w14:ligatures w14:val="none"/>
        </w:rPr>
        <w:t>Strategic redundancy implementation: Re-focus, re-organise and re-build</w:t>
      </w:r>
      <w:r w:rsidRPr="007A0324">
        <w:rPr>
          <w:rFonts w:ascii="Arial" w:eastAsia="Calibri" w:hAnsi="Arial" w:cs="Arial"/>
          <w:color w:val="000000"/>
          <w:kern w:val="0"/>
          <w:sz w:val="24"/>
          <w:szCs w:val="24"/>
          <w:shd w:val="clear" w:color="auto" w:fill="FFFFFF"/>
          <w:lang w:eastAsia="ar-SA"/>
          <w14:ligatures w14:val="none"/>
        </w:rPr>
        <w:t xml:space="preserve">. </w:t>
      </w:r>
      <w:proofErr w:type="spellStart"/>
      <w:r w:rsidRPr="007A0324">
        <w:rPr>
          <w:rFonts w:ascii="Arial" w:eastAsia="Calibri" w:hAnsi="Arial" w:cs="Arial"/>
          <w:color w:val="000000"/>
          <w:kern w:val="0"/>
          <w:sz w:val="24"/>
          <w:szCs w:val="24"/>
          <w:shd w:val="clear" w:color="auto" w:fill="FFFFFF"/>
          <w:lang w:eastAsia="ar-SA"/>
          <w14:ligatures w14:val="none"/>
        </w:rPr>
        <w:t>Routledge</w:t>
      </w:r>
      <w:proofErr w:type="spellEnd"/>
      <w:r w:rsidRPr="007A0324">
        <w:rPr>
          <w:rFonts w:ascii="Arial" w:eastAsia="Calibri" w:hAnsi="Arial" w:cs="Arial"/>
          <w:color w:val="000000"/>
          <w:kern w:val="0"/>
          <w:sz w:val="24"/>
          <w:szCs w:val="24"/>
          <w:shd w:val="clear" w:color="auto" w:fill="FFFFFF"/>
          <w:lang w:eastAsia="ar-SA"/>
          <w14:ligatures w14:val="none"/>
        </w:rPr>
        <w:t xml:space="preserve">. </w:t>
      </w:r>
    </w:p>
    <w:p w14:paraId="0D051560"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proofErr w:type="spellStart"/>
      <w:r w:rsidRPr="007A0324">
        <w:rPr>
          <w:rFonts w:ascii="Arial" w:eastAsia="Calibri" w:hAnsi="Arial" w:cs="Arial"/>
          <w:color w:val="000000"/>
          <w:kern w:val="0"/>
          <w:sz w:val="24"/>
          <w:szCs w:val="24"/>
          <w:shd w:val="clear" w:color="auto" w:fill="FFFFFF"/>
          <w:lang w:eastAsia="ar-SA"/>
          <w14:ligatures w14:val="none"/>
        </w:rPr>
        <w:t>Tanova</w:t>
      </w:r>
      <w:proofErr w:type="spellEnd"/>
      <w:r w:rsidRPr="007A0324">
        <w:rPr>
          <w:rFonts w:ascii="Arial" w:eastAsia="Calibri" w:hAnsi="Arial" w:cs="Arial"/>
          <w:color w:val="000000"/>
          <w:kern w:val="0"/>
          <w:sz w:val="24"/>
          <w:szCs w:val="24"/>
          <w:shd w:val="clear" w:color="auto" w:fill="FFFFFF"/>
          <w:lang w:eastAsia="ar-SA"/>
          <w14:ligatures w14:val="none"/>
        </w:rPr>
        <w:t xml:space="preserve">, C. and </w:t>
      </w:r>
      <w:proofErr w:type="spellStart"/>
      <w:r w:rsidRPr="007A0324">
        <w:rPr>
          <w:rFonts w:ascii="Arial" w:eastAsia="Calibri" w:hAnsi="Arial" w:cs="Arial"/>
          <w:color w:val="000000"/>
          <w:kern w:val="0"/>
          <w:sz w:val="24"/>
          <w:szCs w:val="24"/>
          <w:shd w:val="clear" w:color="auto" w:fill="FFFFFF"/>
          <w:lang w:eastAsia="ar-SA"/>
          <w14:ligatures w14:val="none"/>
        </w:rPr>
        <w:t>Bayighomog</w:t>
      </w:r>
      <w:proofErr w:type="spellEnd"/>
      <w:r w:rsidRPr="007A0324">
        <w:rPr>
          <w:rFonts w:ascii="Arial" w:eastAsia="Calibri" w:hAnsi="Arial" w:cs="Arial"/>
          <w:color w:val="000000"/>
          <w:kern w:val="0"/>
          <w:sz w:val="24"/>
          <w:szCs w:val="24"/>
          <w:shd w:val="clear" w:color="auto" w:fill="FFFFFF"/>
          <w:lang w:eastAsia="ar-SA"/>
          <w14:ligatures w14:val="none"/>
        </w:rPr>
        <w:t>, S.W., 2022. Green human resource management in service industries: the construct, antecedents, consequences, and outlook. </w:t>
      </w:r>
      <w:r w:rsidRPr="007A0324">
        <w:rPr>
          <w:rFonts w:ascii="Arial" w:eastAsia="Calibri" w:hAnsi="Arial" w:cs="Arial"/>
          <w:i/>
          <w:iCs/>
          <w:color w:val="000000"/>
          <w:kern w:val="0"/>
          <w:sz w:val="24"/>
          <w:szCs w:val="24"/>
          <w:shd w:val="clear" w:color="auto" w:fill="FFFFFF"/>
          <w:lang w:eastAsia="ar-SA"/>
          <w14:ligatures w14:val="none"/>
        </w:rPr>
        <w:t>The Service Industries Journal</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42</w:t>
      </w:r>
      <w:r w:rsidRPr="007A0324">
        <w:rPr>
          <w:rFonts w:ascii="Arial" w:eastAsia="Calibri" w:hAnsi="Arial" w:cs="Arial"/>
          <w:color w:val="000000"/>
          <w:kern w:val="0"/>
          <w:sz w:val="24"/>
          <w:szCs w:val="24"/>
          <w:shd w:val="clear" w:color="auto" w:fill="FFFFFF"/>
          <w:lang w:eastAsia="ar-SA"/>
          <w14:ligatures w14:val="none"/>
        </w:rPr>
        <w:t xml:space="preserve">(5-6), pp.412-452. </w:t>
      </w:r>
    </w:p>
    <w:p w14:paraId="1711BD33" w14:textId="77777777" w:rsidR="007A0324" w:rsidRPr="007A0324" w:rsidRDefault="007A0324" w:rsidP="007A0324">
      <w:pPr>
        <w:suppressAutoHyphens/>
        <w:spacing w:line="360" w:lineRule="auto"/>
        <w:ind w:left="720" w:hanging="720"/>
        <w:jc w:val="both"/>
        <w:rPr>
          <w:rFonts w:ascii="Arial" w:eastAsia="Calibri" w:hAnsi="Arial" w:cs="Arial"/>
          <w:color w:val="000000"/>
          <w:kern w:val="0"/>
          <w:sz w:val="24"/>
          <w:szCs w:val="24"/>
          <w:shd w:val="clear" w:color="auto" w:fill="FFFFFF"/>
          <w:lang w:eastAsia="ar-SA"/>
          <w14:ligatures w14:val="none"/>
        </w:rPr>
      </w:pPr>
      <w:r w:rsidRPr="007A0324">
        <w:rPr>
          <w:rFonts w:ascii="Arial" w:eastAsia="Calibri" w:hAnsi="Arial" w:cs="Arial"/>
          <w:color w:val="000000"/>
          <w:kern w:val="0"/>
          <w:sz w:val="24"/>
          <w:szCs w:val="24"/>
          <w:shd w:val="clear" w:color="auto" w:fill="FFFFFF"/>
          <w:lang w:eastAsia="ar-SA"/>
          <w14:ligatures w14:val="none"/>
        </w:rPr>
        <w:t>Troth, A.C. and Guest, D.E., 2020. The case for psychology in human resource management research. </w:t>
      </w:r>
      <w:r w:rsidRPr="007A0324">
        <w:rPr>
          <w:rFonts w:ascii="Arial" w:eastAsia="Calibri" w:hAnsi="Arial" w:cs="Arial"/>
          <w:i/>
          <w:iCs/>
          <w:color w:val="000000"/>
          <w:kern w:val="0"/>
          <w:sz w:val="24"/>
          <w:szCs w:val="24"/>
          <w:shd w:val="clear" w:color="auto" w:fill="FFFFFF"/>
          <w:lang w:eastAsia="ar-SA"/>
          <w14:ligatures w14:val="none"/>
        </w:rPr>
        <w:t>Human Resource Management Journal</w:t>
      </w:r>
      <w:r w:rsidRPr="007A0324">
        <w:rPr>
          <w:rFonts w:ascii="Arial" w:eastAsia="Calibri" w:hAnsi="Arial" w:cs="Arial"/>
          <w:color w:val="000000"/>
          <w:kern w:val="0"/>
          <w:sz w:val="24"/>
          <w:szCs w:val="24"/>
          <w:shd w:val="clear" w:color="auto" w:fill="FFFFFF"/>
          <w:lang w:eastAsia="ar-SA"/>
          <w14:ligatures w14:val="none"/>
        </w:rPr>
        <w:t>, </w:t>
      </w:r>
      <w:r w:rsidRPr="007A0324">
        <w:rPr>
          <w:rFonts w:ascii="Arial" w:eastAsia="Calibri" w:hAnsi="Arial" w:cs="Arial"/>
          <w:i/>
          <w:iCs/>
          <w:color w:val="000000"/>
          <w:kern w:val="0"/>
          <w:sz w:val="24"/>
          <w:szCs w:val="24"/>
          <w:shd w:val="clear" w:color="auto" w:fill="FFFFFF"/>
          <w:lang w:eastAsia="ar-SA"/>
          <w14:ligatures w14:val="none"/>
        </w:rPr>
        <w:t>30</w:t>
      </w:r>
      <w:r w:rsidRPr="007A0324">
        <w:rPr>
          <w:rFonts w:ascii="Arial" w:eastAsia="Calibri" w:hAnsi="Arial" w:cs="Arial"/>
          <w:color w:val="000000"/>
          <w:kern w:val="0"/>
          <w:sz w:val="24"/>
          <w:szCs w:val="24"/>
          <w:shd w:val="clear" w:color="auto" w:fill="FFFFFF"/>
          <w:lang w:eastAsia="ar-SA"/>
          <w14:ligatures w14:val="none"/>
        </w:rPr>
        <w:t xml:space="preserve">(1), pp.34-48. </w:t>
      </w:r>
    </w:p>
    <w:p w14:paraId="1E93FF48" w14:textId="77777777" w:rsidR="007A0324" w:rsidRPr="007A0324" w:rsidRDefault="007A0324" w:rsidP="007A0324">
      <w:pPr>
        <w:suppressAutoHyphens/>
        <w:spacing w:line="360" w:lineRule="auto"/>
        <w:jc w:val="both"/>
        <w:rPr>
          <w:rFonts w:ascii="Arial" w:eastAsia="Calibri" w:hAnsi="Arial" w:cs="Arial"/>
          <w:color w:val="000000"/>
          <w:kern w:val="0"/>
          <w:sz w:val="24"/>
          <w:szCs w:val="24"/>
          <w:lang w:eastAsia="ar-SA"/>
          <w14:ligatures w14:val="none"/>
        </w:rPr>
      </w:pPr>
    </w:p>
    <w:p w14:paraId="2EB53803"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p>
    <w:p w14:paraId="7932902C"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p>
    <w:p w14:paraId="23D1D3F5"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p>
    <w:p w14:paraId="43BD2E1A" w14:textId="77777777" w:rsidR="007A0324" w:rsidRPr="007A0324" w:rsidRDefault="007A0324" w:rsidP="007A0324">
      <w:pPr>
        <w:keepNext/>
        <w:keepLines/>
        <w:suppressAutoHyphens/>
        <w:spacing w:before="113" w:line="360" w:lineRule="auto"/>
        <w:jc w:val="both"/>
        <w:outlineLvl w:val="1"/>
        <w:rPr>
          <w:rFonts w:ascii="Arial" w:eastAsia="Times New Roman" w:hAnsi="Arial" w:cs="Times New Roman"/>
          <w:bCs/>
          <w:color w:val="000000"/>
          <w:kern w:val="0"/>
          <w:sz w:val="24"/>
          <w:szCs w:val="26"/>
          <w:u w:val="single"/>
          <w:lang w:eastAsia="ar-SA"/>
          <w14:ligatures w14:val="none"/>
        </w:rPr>
      </w:pPr>
    </w:p>
    <w:p w14:paraId="4B9E7BF4" w14:textId="77777777" w:rsidR="007A0324" w:rsidRPr="007A0324" w:rsidRDefault="007A0324" w:rsidP="007A0324">
      <w:pPr>
        <w:suppressAutoHyphens/>
        <w:spacing w:line="360" w:lineRule="auto"/>
        <w:jc w:val="both"/>
        <w:rPr>
          <w:rFonts w:ascii="Arial" w:eastAsia="Calibri" w:hAnsi="Arial" w:cs="Times New Roman"/>
          <w:color w:val="000000"/>
          <w:kern w:val="0"/>
          <w:sz w:val="24"/>
          <w:lang w:eastAsia="ar-SA"/>
          <w14:ligatures w14:val="none"/>
        </w:rPr>
      </w:pPr>
      <w:r w:rsidRPr="007A0324">
        <w:rPr>
          <w:rFonts w:ascii="Arial" w:eastAsia="Calibri" w:hAnsi="Arial" w:cs="Times New Roman"/>
          <w:color w:val="000000"/>
          <w:kern w:val="0"/>
          <w:sz w:val="24"/>
          <w:lang w:eastAsia="ar-SA"/>
          <w14:ligatures w14:val="none"/>
        </w:rPr>
        <w:t xml:space="preserve"> </w:t>
      </w:r>
    </w:p>
    <w:p w14:paraId="1CEF0478" w14:textId="77777777" w:rsidR="007A0324" w:rsidRDefault="007A0324"/>
    <w:sectPr w:rsidR="007A0324" w:rsidSect="00ED728A">
      <w:footerReference w:type="default" r:id="rId13"/>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Yu Gothic"/>
    <w:panose1 w:val="020B0604020202020204"/>
    <w:charset w:val="80"/>
    <w:family w:val="auto"/>
    <w:pitch w:val="variable"/>
  </w:font>
  <w:font w:name="OpenSymbol">
    <w:altName w:val="Yu Gothic"/>
    <w:panose1 w:val="020B0604020202020204"/>
    <w:charset w:val="80"/>
    <w:family w:val="auto"/>
    <w:pitch w:val="default"/>
    <w:sig w:usb0="E0002AFF" w:usb1="C0007843" w:usb2="00000009" w:usb3="00000000" w:csb0="000001FF" w:csb1="00000000"/>
  </w:font>
  <w:font w:name="Tinos">
    <w:altName w:val="Yu Gothic"/>
    <w:panose1 w:val="020B0604020202020204"/>
    <w:charset w:val="8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44A8A" w14:textId="77777777" w:rsidR="000C3EA4" w:rsidRDefault="000C3E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AD40F" w14:textId="77777777" w:rsidR="000C3EA4" w:rsidRDefault="000C3EA4">
    <w:pPr>
      <w:pStyle w:val="Footer"/>
      <w:jc w:val="center"/>
    </w:pPr>
  </w:p>
  <w:p w14:paraId="71C6394F" w14:textId="77777777" w:rsidR="000C3EA4" w:rsidRDefault="000C3E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85C36" w14:textId="77777777" w:rsidR="000C3EA4" w:rsidRDefault="000C3E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FC56E" w14:textId="77777777" w:rsidR="000C3EA4" w:rsidRDefault="000C3EA4">
    <w:pPr>
      <w:pStyle w:val="Footer"/>
      <w:jc w:val="center"/>
    </w:pPr>
    <w:r>
      <w:fldChar w:fldCharType="begin"/>
    </w:r>
    <w:r>
      <w:instrText xml:space="preserve"> PA</w:instrText>
    </w:r>
    <w:r>
      <w:instrText xml:space="preserve">GE   </w:instrText>
    </w:r>
    <w:r>
      <w:instrText xml:space="preserve">\* MERGEFORMAT </w:instrText>
    </w:r>
    <w:r>
      <w:fldChar w:fldCharType="separate"/>
    </w:r>
    <w:r>
      <w:rPr>
        <w:noProof/>
      </w:rPr>
      <w:t>1</w:t>
    </w:r>
    <w:r>
      <w:fldChar w:fldCharType="end"/>
    </w:r>
  </w:p>
  <w:p w14:paraId="5775DE55" w14:textId="77777777" w:rsidR="000C3EA4" w:rsidRDefault="000C3EA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E4822" w14:textId="77777777" w:rsidR="000C3EA4" w:rsidRDefault="000C3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0C1C0" w14:textId="77777777" w:rsidR="000C3EA4" w:rsidRDefault="000C3EA4">
    <w:pPr>
      <w:pStyle w:val="Header"/>
    </w:pPr>
    <w:r>
      <w:tab/>
    </w:r>
    <w:r>
      <w:tab/>
    </w:r>
    <w:r>
      <w:rPr>
        <w:noProof/>
        <w:sz w:val="88"/>
        <w:szCs w:val="88"/>
      </w:rPr>
      <w:drawing>
        <wp:inline distT="0" distB="0" distL="0" distR="0" wp14:anchorId="0EC1D885" wp14:editId="3D9C0EC7">
          <wp:extent cx="1371600" cy="469900"/>
          <wp:effectExtent l="0" t="0" r="0" b="0"/>
          <wp:docPr id="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t="14088" b="15242"/>
                  <a:stretch>
                    <a:fillRect/>
                  </a:stretch>
                </pic:blipFill>
                <pic:spPr bwMode="auto">
                  <a:xfrm>
                    <a:off x="0" y="0"/>
                    <a:ext cx="1371600" cy="4699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8C107" w14:textId="77777777" w:rsidR="000C3EA4" w:rsidRDefault="000C3E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606502C"/>
    <w:multiLevelType w:val="hybridMultilevel"/>
    <w:tmpl w:val="CBAC403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E793C06"/>
    <w:multiLevelType w:val="hybridMultilevel"/>
    <w:tmpl w:val="6272412A"/>
    <w:lvl w:ilvl="0" w:tplc="40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40E3FE8"/>
    <w:multiLevelType w:val="hybridMultilevel"/>
    <w:tmpl w:val="E66671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3247D87"/>
    <w:multiLevelType w:val="hybridMultilevel"/>
    <w:tmpl w:val="F448248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0516771">
    <w:abstractNumId w:val="0"/>
  </w:num>
  <w:num w:numId="2" w16cid:durableId="2008244644">
    <w:abstractNumId w:val="1"/>
  </w:num>
  <w:num w:numId="3" w16cid:durableId="642395505">
    <w:abstractNumId w:val="4"/>
  </w:num>
  <w:num w:numId="4" w16cid:durableId="186869210">
    <w:abstractNumId w:val="3"/>
  </w:num>
  <w:num w:numId="5" w16cid:durableId="366755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324"/>
    <w:rsid w:val="000C3EA4"/>
    <w:rsid w:val="00491057"/>
    <w:rsid w:val="00547E1B"/>
    <w:rsid w:val="005946DE"/>
    <w:rsid w:val="006B6C87"/>
    <w:rsid w:val="007A0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D5D6"/>
  <w15:chartTrackingRefBased/>
  <w15:docId w15:val="{888783ED-7B15-2E4B-B852-97CBA64E6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A03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7A032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
    <w:next w:val="BodyText"/>
    <w:link w:val="Heading3Char"/>
    <w:qFormat/>
    <w:rsid w:val="007A0324"/>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032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7A03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7A0324"/>
    <w:rPr>
      <w:rFonts w:ascii="Arial" w:eastAsia="Droid Sans" w:hAnsi="Arial" w:cs="DejaVu Sans"/>
      <w:b/>
      <w:bCs/>
      <w:color w:val="000000"/>
      <w:kern w:val="0"/>
      <w:sz w:val="28"/>
      <w:szCs w:val="28"/>
      <w:lang w:eastAsia="ar-SA"/>
      <w14:ligatures w14:val="none"/>
    </w:rPr>
  </w:style>
  <w:style w:type="character" w:customStyle="1" w:styleId="WW8Num1z0">
    <w:name w:val="WW8Num1z0"/>
    <w:rsid w:val="007A0324"/>
  </w:style>
  <w:style w:type="character" w:customStyle="1" w:styleId="WW8Num1z1">
    <w:name w:val="WW8Num1z1"/>
    <w:rsid w:val="007A0324"/>
  </w:style>
  <w:style w:type="character" w:customStyle="1" w:styleId="WW8Num1z2">
    <w:name w:val="WW8Num1z2"/>
    <w:rsid w:val="007A0324"/>
  </w:style>
  <w:style w:type="character" w:customStyle="1" w:styleId="WW8Num1z3">
    <w:name w:val="WW8Num1z3"/>
    <w:rsid w:val="007A0324"/>
  </w:style>
  <w:style w:type="character" w:customStyle="1" w:styleId="WW8Num1z4">
    <w:name w:val="WW8Num1z4"/>
    <w:rsid w:val="007A0324"/>
  </w:style>
  <w:style w:type="character" w:customStyle="1" w:styleId="WW8Num1z5">
    <w:name w:val="WW8Num1z5"/>
    <w:rsid w:val="007A0324"/>
  </w:style>
  <w:style w:type="character" w:customStyle="1" w:styleId="WW8Num1z6">
    <w:name w:val="WW8Num1z6"/>
    <w:rsid w:val="007A0324"/>
  </w:style>
  <w:style w:type="character" w:customStyle="1" w:styleId="WW8Num1z7">
    <w:name w:val="WW8Num1z7"/>
    <w:rsid w:val="007A0324"/>
  </w:style>
  <w:style w:type="character" w:customStyle="1" w:styleId="WW8Num1z8">
    <w:name w:val="WW8Num1z8"/>
    <w:rsid w:val="007A0324"/>
  </w:style>
  <w:style w:type="character" w:customStyle="1" w:styleId="WW8Num2z0">
    <w:name w:val="WW8Num2z0"/>
    <w:rsid w:val="007A0324"/>
    <w:rPr>
      <w:rFonts w:ascii="Symbol" w:hAnsi="Symbol" w:cs="OpenSymbol"/>
    </w:rPr>
  </w:style>
  <w:style w:type="character" w:customStyle="1" w:styleId="WW8Num2z1">
    <w:name w:val="WW8Num2z1"/>
    <w:rsid w:val="007A0324"/>
    <w:rPr>
      <w:rFonts w:ascii="OpenSymbol" w:hAnsi="OpenSymbol" w:cs="OpenSymbol"/>
    </w:rPr>
  </w:style>
  <w:style w:type="character" w:customStyle="1" w:styleId="WW8Num3z0">
    <w:name w:val="WW8Num3z0"/>
    <w:rsid w:val="007A0324"/>
    <w:rPr>
      <w:rFonts w:ascii="Symbol" w:hAnsi="Symbol" w:cs="OpenSymbol"/>
    </w:rPr>
  </w:style>
  <w:style w:type="character" w:customStyle="1" w:styleId="WW8Num3z1">
    <w:name w:val="WW8Num3z1"/>
    <w:rsid w:val="007A0324"/>
    <w:rPr>
      <w:rFonts w:ascii="OpenSymbol" w:hAnsi="OpenSymbol" w:cs="OpenSymbol"/>
    </w:rPr>
  </w:style>
  <w:style w:type="character" w:customStyle="1" w:styleId="WW8Num4z0">
    <w:name w:val="WW8Num4z0"/>
    <w:rsid w:val="007A0324"/>
    <w:rPr>
      <w:rFonts w:ascii="Symbol" w:hAnsi="Symbol" w:cs="OpenSymbol"/>
    </w:rPr>
  </w:style>
  <w:style w:type="character" w:customStyle="1" w:styleId="WW8Num4z1">
    <w:name w:val="WW8Num4z1"/>
    <w:rsid w:val="007A0324"/>
    <w:rPr>
      <w:rFonts w:ascii="OpenSymbol" w:hAnsi="OpenSymbol" w:cs="OpenSymbol"/>
    </w:rPr>
  </w:style>
  <w:style w:type="character" w:customStyle="1" w:styleId="WW8Num5z0">
    <w:name w:val="WW8Num5z0"/>
    <w:rsid w:val="007A0324"/>
    <w:rPr>
      <w:rFonts w:ascii="Symbol" w:hAnsi="Symbol" w:cs="OpenSymbol"/>
    </w:rPr>
  </w:style>
  <w:style w:type="character" w:customStyle="1" w:styleId="WW8Num5z1">
    <w:name w:val="WW8Num5z1"/>
    <w:rsid w:val="007A0324"/>
    <w:rPr>
      <w:rFonts w:ascii="OpenSymbol" w:hAnsi="OpenSymbol" w:cs="OpenSymbol"/>
    </w:rPr>
  </w:style>
  <w:style w:type="character" w:customStyle="1" w:styleId="WW-DefaultParagraphFont">
    <w:name w:val="WW-Default Paragraph Font"/>
    <w:rsid w:val="007A0324"/>
  </w:style>
  <w:style w:type="character" w:customStyle="1" w:styleId="WW-DefaultParagraphFont1">
    <w:name w:val="WW-Default Paragraph Font1"/>
    <w:rsid w:val="007A0324"/>
  </w:style>
  <w:style w:type="character" w:customStyle="1" w:styleId="HeaderChar">
    <w:name w:val="Header Char"/>
    <w:basedOn w:val="WW-DefaultParagraphFont1"/>
    <w:rsid w:val="007A0324"/>
  </w:style>
  <w:style w:type="character" w:customStyle="1" w:styleId="FooterChar">
    <w:name w:val="Footer Char"/>
    <w:basedOn w:val="WW-DefaultParagraphFont1"/>
    <w:uiPriority w:val="99"/>
    <w:rsid w:val="007A0324"/>
  </w:style>
  <w:style w:type="character" w:customStyle="1" w:styleId="Bullets">
    <w:name w:val="Bullets"/>
    <w:rsid w:val="007A0324"/>
    <w:rPr>
      <w:rFonts w:ascii="OpenSymbol" w:eastAsia="OpenSymbol" w:hAnsi="OpenSymbol" w:cs="OpenSymbol"/>
    </w:rPr>
  </w:style>
  <w:style w:type="character" w:styleId="Hyperlink">
    <w:name w:val="Hyperlink"/>
    <w:uiPriority w:val="99"/>
    <w:rsid w:val="007A0324"/>
    <w:rPr>
      <w:color w:val="000080"/>
      <w:u w:val="single"/>
      <w:lang/>
    </w:rPr>
  </w:style>
  <w:style w:type="character" w:customStyle="1" w:styleId="WW8Num6z0">
    <w:name w:val="WW8Num6z0"/>
    <w:rsid w:val="007A0324"/>
    <w:rPr>
      <w:rFonts w:ascii="Symbol" w:hAnsi="Symbol" w:cs="OpenSymbol"/>
    </w:rPr>
  </w:style>
  <w:style w:type="character" w:customStyle="1" w:styleId="WW8Num6z1">
    <w:name w:val="WW8Num6z1"/>
    <w:rsid w:val="007A0324"/>
    <w:rPr>
      <w:rFonts w:ascii="OpenSymbol" w:hAnsi="OpenSymbol" w:cs="OpenSymbol"/>
    </w:rPr>
  </w:style>
  <w:style w:type="character" w:customStyle="1" w:styleId="WW8Num8z0">
    <w:name w:val="WW8Num8z0"/>
    <w:rsid w:val="007A0324"/>
    <w:rPr>
      <w:rFonts w:ascii="Symbol" w:hAnsi="Symbol" w:cs="OpenSymbol"/>
    </w:rPr>
  </w:style>
  <w:style w:type="character" w:customStyle="1" w:styleId="WW8Num8z1">
    <w:name w:val="WW8Num8z1"/>
    <w:rsid w:val="007A0324"/>
    <w:rPr>
      <w:rFonts w:ascii="OpenSymbol" w:hAnsi="OpenSymbol" w:cs="OpenSymbol"/>
    </w:rPr>
  </w:style>
  <w:style w:type="character" w:customStyle="1" w:styleId="WW8Num7z0">
    <w:name w:val="WW8Num7z0"/>
    <w:rsid w:val="007A0324"/>
    <w:rPr>
      <w:rFonts w:ascii="Symbol" w:hAnsi="Symbol" w:cs="OpenSymbol"/>
    </w:rPr>
  </w:style>
  <w:style w:type="character" w:customStyle="1" w:styleId="WW8Num7z1">
    <w:name w:val="WW8Num7z1"/>
    <w:rsid w:val="007A0324"/>
    <w:rPr>
      <w:rFonts w:ascii="OpenSymbol" w:hAnsi="OpenSymbol" w:cs="OpenSymbol"/>
    </w:rPr>
  </w:style>
  <w:style w:type="character" w:customStyle="1" w:styleId="NumberingSymbols">
    <w:name w:val="Numbering Symbols"/>
    <w:rsid w:val="007A0324"/>
  </w:style>
  <w:style w:type="paragraph" w:customStyle="1" w:styleId="Heading">
    <w:name w:val="Heading"/>
    <w:basedOn w:val="Normal"/>
    <w:next w:val="BodyText"/>
    <w:rsid w:val="007A0324"/>
    <w:pPr>
      <w:keepNext/>
      <w:suppressAutoHyphens/>
      <w:spacing w:before="240" w:after="120" w:line="360" w:lineRule="auto"/>
      <w:jc w:val="both"/>
    </w:pPr>
    <w:rPr>
      <w:rFonts w:ascii="Arial" w:eastAsia="Droid Sans" w:hAnsi="Arial" w:cs="DejaVu Sans"/>
      <w:color w:val="000000"/>
      <w:kern w:val="0"/>
      <w:sz w:val="28"/>
      <w:szCs w:val="28"/>
      <w:lang w:eastAsia="ar-SA"/>
      <w14:ligatures w14:val="none"/>
    </w:rPr>
  </w:style>
  <w:style w:type="paragraph" w:styleId="BodyText">
    <w:name w:val="Body Text"/>
    <w:basedOn w:val="Normal"/>
    <w:link w:val="BodyTextChar"/>
    <w:rsid w:val="007A0324"/>
    <w:pPr>
      <w:suppressAutoHyphens/>
      <w:spacing w:line="360" w:lineRule="auto"/>
      <w:jc w:val="both"/>
    </w:pPr>
    <w:rPr>
      <w:rFonts w:ascii="Arial" w:eastAsia="Calibri" w:hAnsi="Arial" w:cs="Times New Roman"/>
      <w:color w:val="000000"/>
      <w:kern w:val="0"/>
      <w:sz w:val="24"/>
      <w:lang w:eastAsia="ar-SA"/>
      <w14:ligatures w14:val="none"/>
    </w:rPr>
  </w:style>
  <w:style w:type="character" w:customStyle="1" w:styleId="BodyTextChar">
    <w:name w:val="Body Text Char"/>
    <w:basedOn w:val="DefaultParagraphFont"/>
    <w:link w:val="BodyText"/>
    <w:rsid w:val="007A0324"/>
    <w:rPr>
      <w:rFonts w:ascii="Arial" w:eastAsia="Calibri" w:hAnsi="Arial" w:cs="Times New Roman"/>
      <w:color w:val="000000"/>
      <w:kern w:val="0"/>
      <w:sz w:val="24"/>
      <w:lang w:eastAsia="ar-SA"/>
      <w14:ligatures w14:val="none"/>
    </w:rPr>
  </w:style>
  <w:style w:type="paragraph" w:styleId="List">
    <w:name w:val="List"/>
    <w:basedOn w:val="BodyText"/>
    <w:rsid w:val="007A0324"/>
    <w:rPr>
      <w:rFonts w:cs="DejaVu Sans"/>
    </w:rPr>
  </w:style>
  <w:style w:type="paragraph" w:styleId="Caption">
    <w:name w:val="caption"/>
    <w:basedOn w:val="Normal"/>
    <w:qFormat/>
    <w:rsid w:val="007A0324"/>
    <w:pPr>
      <w:suppressLineNumbers/>
      <w:suppressAutoHyphens/>
      <w:spacing w:before="120" w:after="120" w:line="360" w:lineRule="auto"/>
      <w:jc w:val="both"/>
    </w:pPr>
    <w:rPr>
      <w:rFonts w:ascii="Arial" w:eastAsia="Calibri" w:hAnsi="Arial" w:cs="DejaVu Sans"/>
      <w:i/>
      <w:iCs/>
      <w:color w:val="000000"/>
      <w:kern w:val="0"/>
      <w:sz w:val="24"/>
      <w:szCs w:val="24"/>
      <w:lang w:eastAsia="ar-SA"/>
      <w14:ligatures w14:val="none"/>
    </w:rPr>
  </w:style>
  <w:style w:type="paragraph" w:customStyle="1" w:styleId="Index">
    <w:name w:val="Index"/>
    <w:basedOn w:val="Normal"/>
    <w:rsid w:val="007A0324"/>
    <w:pPr>
      <w:suppressLineNumbers/>
      <w:suppressAutoHyphens/>
      <w:spacing w:line="360" w:lineRule="auto"/>
      <w:jc w:val="both"/>
    </w:pPr>
    <w:rPr>
      <w:rFonts w:ascii="Arial" w:eastAsia="Calibri" w:hAnsi="Arial" w:cs="DejaVu Sans"/>
      <w:color w:val="000000"/>
      <w:kern w:val="0"/>
      <w:sz w:val="24"/>
      <w:lang w:eastAsia="ar-SA"/>
      <w14:ligatures w14:val="none"/>
    </w:rPr>
  </w:style>
  <w:style w:type="paragraph" w:styleId="Header">
    <w:name w:val="header"/>
    <w:basedOn w:val="Normal"/>
    <w:link w:val="HeaderChar1"/>
    <w:rsid w:val="007A0324"/>
    <w:pPr>
      <w:tabs>
        <w:tab w:val="center" w:pos="4680"/>
        <w:tab w:val="right" w:pos="9360"/>
      </w:tabs>
      <w:suppressAutoHyphens/>
      <w:jc w:val="both"/>
    </w:pPr>
    <w:rPr>
      <w:rFonts w:ascii="Arial" w:eastAsia="Calibri" w:hAnsi="Arial" w:cs="Times New Roman"/>
      <w:color w:val="000000"/>
      <w:kern w:val="0"/>
      <w:sz w:val="24"/>
      <w:lang w:eastAsia="ar-SA"/>
      <w14:ligatures w14:val="none"/>
    </w:rPr>
  </w:style>
  <w:style w:type="character" w:customStyle="1" w:styleId="HeaderChar1">
    <w:name w:val="Header Char1"/>
    <w:basedOn w:val="DefaultParagraphFont"/>
    <w:link w:val="Header"/>
    <w:rsid w:val="007A0324"/>
    <w:rPr>
      <w:rFonts w:ascii="Arial" w:eastAsia="Calibri" w:hAnsi="Arial" w:cs="Times New Roman"/>
      <w:color w:val="000000"/>
      <w:kern w:val="0"/>
      <w:sz w:val="24"/>
      <w:lang w:eastAsia="ar-SA"/>
      <w14:ligatures w14:val="none"/>
    </w:rPr>
  </w:style>
  <w:style w:type="paragraph" w:styleId="Footer">
    <w:name w:val="footer"/>
    <w:basedOn w:val="Normal"/>
    <w:link w:val="FooterChar1"/>
    <w:uiPriority w:val="99"/>
    <w:rsid w:val="007A0324"/>
    <w:pPr>
      <w:tabs>
        <w:tab w:val="center" w:pos="4680"/>
        <w:tab w:val="right" w:pos="9360"/>
      </w:tabs>
      <w:suppressAutoHyphens/>
      <w:jc w:val="both"/>
    </w:pPr>
    <w:rPr>
      <w:rFonts w:ascii="Arial" w:eastAsia="Calibri" w:hAnsi="Arial" w:cs="Times New Roman"/>
      <w:color w:val="000000"/>
      <w:kern w:val="0"/>
      <w:sz w:val="24"/>
      <w:lang w:eastAsia="ar-SA"/>
      <w14:ligatures w14:val="none"/>
    </w:rPr>
  </w:style>
  <w:style w:type="character" w:customStyle="1" w:styleId="FooterChar1">
    <w:name w:val="Footer Char1"/>
    <w:basedOn w:val="DefaultParagraphFont"/>
    <w:link w:val="Footer"/>
    <w:uiPriority w:val="99"/>
    <w:rsid w:val="007A0324"/>
    <w:rPr>
      <w:rFonts w:ascii="Arial" w:eastAsia="Calibri" w:hAnsi="Arial" w:cs="Times New Roman"/>
      <w:color w:val="000000"/>
      <w:kern w:val="0"/>
      <w:sz w:val="24"/>
      <w:lang w:eastAsia="ar-SA"/>
      <w14:ligatures w14:val="none"/>
    </w:rPr>
  </w:style>
  <w:style w:type="paragraph" w:customStyle="1" w:styleId="ContentsHeading">
    <w:name w:val="Contents Heading"/>
    <w:basedOn w:val="Heading"/>
    <w:rsid w:val="007A0324"/>
    <w:pPr>
      <w:suppressLineNumbers/>
      <w:jc w:val="center"/>
    </w:pPr>
    <w:rPr>
      <w:rFonts w:ascii="Times New Roman" w:hAnsi="Times New Roman" w:cs="Times New Roman"/>
      <w:b/>
      <w:bCs/>
      <w:szCs w:val="32"/>
    </w:rPr>
  </w:style>
  <w:style w:type="paragraph" w:styleId="NoSpacing">
    <w:name w:val="No Spacing"/>
    <w:qFormat/>
    <w:rsid w:val="007A0324"/>
    <w:pPr>
      <w:suppressAutoHyphens/>
      <w:spacing w:line="100" w:lineRule="atLeast"/>
    </w:pPr>
    <w:rPr>
      <w:rFonts w:ascii="Tinos" w:eastAsia="Droid Sans" w:hAnsi="Tinos" w:cs="DejaVu Sans"/>
      <w:kern w:val="0"/>
      <w:sz w:val="24"/>
      <w:szCs w:val="24"/>
      <w:lang w:eastAsia="hi-IN" w:bidi="hi-IN"/>
      <w14:ligatures w14:val="none"/>
    </w:rPr>
  </w:style>
  <w:style w:type="paragraph" w:customStyle="1" w:styleId="TableContents">
    <w:name w:val="Table Contents"/>
    <w:basedOn w:val="Normal"/>
    <w:rsid w:val="007A0324"/>
    <w:pPr>
      <w:suppressLineNumbers/>
      <w:suppressAutoHyphens/>
      <w:spacing w:line="360" w:lineRule="auto"/>
      <w:jc w:val="both"/>
    </w:pPr>
    <w:rPr>
      <w:rFonts w:ascii="Arial" w:eastAsia="Calibri" w:hAnsi="Arial" w:cs="Times New Roman"/>
      <w:color w:val="000000"/>
      <w:kern w:val="0"/>
      <w:sz w:val="24"/>
      <w:lang w:eastAsia="ar-SA"/>
      <w14:ligatures w14:val="none"/>
    </w:rPr>
  </w:style>
  <w:style w:type="paragraph" w:customStyle="1" w:styleId="TableHeading">
    <w:name w:val="Table Heading"/>
    <w:basedOn w:val="TableContents"/>
    <w:rsid w:val="007A0324"/>
    <w:pPr>
      <w:jc w:val="center"/>
    </w:pPr>
    <w:rPr>
      <w:b/>
      <w:bCs/>
    </w:rPr>
  </w:style>
  <w:style w:type="paragraph" w:styleId="ListParagraph">
    <w:name w:val="List Paragraph"/>
    <w:basedOn w:val="Normal"/>
    <w:qFormat/>
    <w:rsid w:val="007A0324"/>
    <w:pPr>
      <w:spacing w:after="200" w:line="276" w:lineRule="auto"/>
      <w:ind w:left="720"/>
    </w:pPr>
    <w:rPr>
      <w:rFonts w:ascii="Calibri" w:eastAsia="Calibri" w:hAnsi="Calibri" w:cs="Calibri"/>
      <w:color w:val="00000A"/>
      <w:kern w:val="0"/>
      <w:lang w:eastAsia="ar-SA"/>
      <w14:ligatures w14:val="none"/>
    </w:rPr>
  </w:style>
  <w:style w:type="paragraph" w:styleId="TOC1">
    <w:name w:val="toc 1"/>
    <w:basedOn w:val="Index"/>
    <w:uiPriority w:val="39"/>
    <w:rsid w:val="007A0324"/>
    <w:pPr>
      <w:tabs>
        <w:tab w:val="right" w:leader="dot" w:pos="9360"/>
      </w:tabs>
    </w:pPr>
  </w:style>
  <w:style w:type="paragraph" w:styleId="TOC2">
    <w:name w:val="toc 2"/>
    <w:basedOn w:val="Index"/>
    <w:uiPriority w:val="39"/>
    <w:rsid w:val="007A0324"/>
    <w:pPr>
      <w:tabs>
        <w:tab w:val="right" w:leader="dot" w:pos="9077"/>
      </w:tabs>
      <w:ind w:left="283"/>
    </w:pPr>
  </w:style>
  <w:style w:type="paragraph" w:styleId="TOC3">
    <w:name w:val="toc 3"/>
    <w:basedOn w:val="Index"/>
    <w:rsid w:val="007A0324"/>
    <w:pPr>
      <w:tabs>
        <w:tab w:val="right" w:leader="dot" w:pos="9072"/>
      </w:tabs>
      <w:ind w:left="566"/>
    </w:pPr>
  </w:style>
  <w:style w:type="paragraph" w:styleId="TOC4">
    <w:name w:val="toc 4"/>
    <w:basedOn w:val="Index"/>
    <w:rsid w:val="007A0324"/>
    <w:pPr>
      <w:tabs>
        <w:tab w:val="right" w:leader="dot" w:pos="8789"/>
      </w:tabs>
      <w:ind w:left="849"/>
    </w:pPr>
  </w:style>
  <w:style w:type="paragraph" w:styleId="TOC5">
    <w:name w:val="toc 5"/>
    <w:basedOn w:val="Index"/>
    <w:rsid w:val="007A0324"/>
    <w:pPr>
      <w:tabs>
        <w:tab w:val="right" w:leader="dot" w:pos="8506"/>
      </w:tabs>
      <w:ind w:left="1132"/>
    </w:pPr>
  </w:style>
  <w:style w:type="paragraph" w:styleId="TOC6">
    <w:name w:val="toc 6"/>
    <w:basedOn w:val="Index"/>
    <w:rsid w:val="007A0324"/>
    <w:pPr>
      <w:tabs>
        <w:tab w:val="right" w:leader="dot" w:pos="8223"/>
      </w:tabs>
      <w:ind w:left="1415"/>
    </w:pPr>
  </w:style>
  <w:style w:type="paragraph" w:styleId="TOC7">
    <w:name w:val="toc 7"/>
    <w:basedOn w:val="Index"/>
    <w:rsid w:val="007A0324"/>
    <w:pPr>
      <w:tabs>
        <w:tab w:val="right" w:leader="dot" w:pos="7940"/>
      </w:tabs>
      <w:ind w:left="1698"/>
    </w:pPr>
  </w:style>
  <w:style w:type="paragraph" w:styleId="TOC8">
    <w:name w:val="toc 8"/>
    <w:basedOn w:val="Index"/>
    <w:rsid w:val="007A0324"/>
    <w:pPr>
      <w:tabs>
        <w:tab w:val="right" w:leader="dot" w:pos="7657"/>
      </w:tabs>
      <w:ind w:left="1981"/>
    </w:pPr>
  </w:style>
  <w:style w:type="paragraph" w:styleId="TOC9">
    <w:name w:val="toc 9"/>
    <w:basedOn w:val="Index"/>
    <w:rsid w:val="007A0324"/>
    <w:pPr>
      <w:tabs>
        <w:tab w:val="right" w:leader="dot" w:pos="7374"/>
      </w:tabs>
      <w:ind w:left="2264"/>
    </w:pPr>
  </w:style>
  <w:style w:type="paragraph" w:customStyle="1" w:styleId="Contents10">
    <w:name w:val="Contents 10"/>
    <w:basedOn w:val="Index"/>
    <w:rsid w:val="007A0324"/>
    <w:pPr>
      <w:tabs>
        <w:tab w:val="right" w:leader="dot" w:pos="7091"/>
      </w:tabs>
      <w:ind w:left="2547"/>
    </w:pPr>
  </w:style>
  <w:style w:type="paragraph" w:styleId="TOCHeading">
    <w:name w:val="TOC Heading"/>
    <w:basedOn w:val="Heading1"/>
    <w:next w:val="Normal"/>
    <w:uiPriority w:val="39"/>
    <w:unhideWhenUsed/>
    <w:qFormat/>
    <w:rsid w:val="007A0324"/>
    <w:pPr>
      <w:spacing w:before="480" w:line="276" w:lineRule="auto"/>
      <w:outlineLvl w:val="9"/>
    </w:pPr>
    <w:rPr>
      <w:rFonts w:ascii="Cambria" w:eastAsia="Times New Roman" w:hAnsi="Cambria" w:cs="Mangal"/>
      <w:b/>
      <w:bCs/>
      <w:color w:val="365F91"/>
      <w:kern w:val="0"/>
      <w:sz w:val="28"/>
      <w:szCs w:val="28"/>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5807</Words>
  <Characters>33100</Characters>
  <Application>Microsoft Office Word</Application>
  <DocSecurity>0</DocSecurity>
  <Lines>275</Lines>
  <Paragraphs>77</Paragraphs>
  <ScaleCrop>false</ScaleCrop>
  <Company/>
  <LinksUpToDate>false</LinksUpToDate>
  <CharactersWithSpaces>38830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simmi shaikh</dc:creator>
  <cp:keywords/>
  <dc:description/>
  <cp:lastModifiedBy>simmi shaikh</cp:lastModifiedBy>
  <cp:revision>2</cp:revision>
  <dcterms:created xsi:type="dcterms:W3CDTF">2023-08-21T01:23:00Z</dcterms:created>
  <dcterms:modified xsi:type="dcterms:W3CDTF">2023-08-21T01:23:00Z</dcterms:modified>
</cp:coreProperties>
</file>