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Default Extension="gif" ContentType="image/gif"/>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a="http://schemas.openxmlformats.org/drawingml/2006/main" xmlns:pic="http://schemas.openxmlformats.org/drawingml/2006/picture" xmlns:a14="http://schemas.microsoft.com/office/drawing/2010/main" mc:Ignorable="w14 wp14">
  <w:body>
    <w:p xmlns:wp14="http://schemas.microsoft.com/office/word/2010/wordml" w14:paraId="672A6659" wp14:textId="77777777">
      <w:pPr>
        <w:pStyle w:val="Normal"/>
        <w:jc w:val="center"/>
        <w:rPr/>
      </w:pPr>
      <w:r>
        <w:rPr/>
        <w:drawing>
          <wp:inline xmlns:wp14="http://schemas.microsoft.com/office/word/2010/wordprocessingDrawing" distT="0" distB="0" distL="0" distR="0" wp14:anchorId="6E0A2B4A" wp14:editId="7777777">
            <wp:extent cx="3381375" cy="1352550"/>
            <wp:effectExtent l="0" t="0" r="0" b="0"/>
            <wp:docPr id="1" name="Picture 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
                    <pic:cNvPicPr>
                      <a:picLocks noChangeAspect="1" noChangeArrowheads="1"/>
                    </pic:cNvPicPr>
                  </pic:nvPicPr>
                  <pic:blipFill>
                    <a:blip r:embed="rId2"/>
                    <a:stretch>
                      <a:fillRect/>
                    </a:stretch>
                  </pic:blipFill>
                  <pic:spPr bwMode="auto">
                    <a:xfrm>
                      <a:off x="0" y="0"/>
                      <a:ext cx="3381375" cy="1352550"/>
                    </a:xfrm>
                    <a:prstGeom prst="rect">
                      <a:avLst/>
                    </a:prstGeom>
                  </pic:spPr>
                </pic:pic>
              </a:graphicData>
            </a:graphic>
          </wp:inline>
        </w:drawing>
      </w:r>
    </w:p>
    <w:p xmlns:wp14="http://schemas.microsoft.com/office/word/2010/wordml" w14:paraId="0A37501D" wp14:textId="77777777">
      <w:pPr>
        <w:pStyle w:val="Normal"/>
        <w:jc w:val="center"/>
        <w:rPr/>
      </w:pPr>
      <w:r>
        <w:rPr/>
      </w:r>
    </w:p>
    <w:p xmlns:wp14="http://schemas.microsoft.com/office/word/2010/wordml" w14:paraId="5DAB6C7B" wp14:textId="77777777">
      <w:pPr>
        <w:pStyle w:val="Normal"/>
        <w:jc w:val="center"/>
        <w:rPr/>
      </w:pPr>
      <w:r>
        <w:rPr/>
      </w:r>
    </w:p>
    <w:p xmlns:wp14="http://schemas.microsoft.com/office/word/2010/wordml" w14:paraId="02EB378F" wp14:textId="77777777">
      <w:pPr>
        <w:pStyle w:val="Normal"/>
        <w:jc w:val="center"/>
        <w:rPr/>
      </w:pPr>
      <w:r>
        <w:rPr/>
      </w:r>
    </w:p>
    <w:p xmlns:wp14="http://schemas.microsoft.com/office/word/2010/wordml" w14:paraId="6A05A809" wp14:textId="77777777">
      <w:pPr>
        <w:pStyle w:val="Normal"/>
        <w:jc w:val="center"/>
        <w:rPr/>
      </w:pPr>
      <w:r>
        <w:rPr/>
      </w:r>
    </w:p>
    <w:p xmlns:wp14="http://schemas.microsoft.com/office/word/2010/wordml" w14:paraId="5A39BBE3" wp14:textId="77777777">
      <w:pPr>
        <w:pStyle w:val="Normal"/>
        <w:jc w:val="center"/>
        <w:rPr/>
      </w:pPr>
      <w:r>
        <w:rPr/>
      </w:r>
    </w:p>
    <w:p xmlns:wp14="http://schemas.microsoft.com/office/word/2010/wordml" w14:paraId="75D10220" wp14:textId="77777777">
      <w:pPr>
        <w:pStyle w:val="Normal"/>
        <w:jc w:val="center"/>
        <w:rPr/>
      </w:pPr>
      <w:r>
        <w:rPr>
          <w:rFonts w:ascii="Arial" w:hAnsi="Arial" w:cs="Arial"/>
          <w:b/>
          <w:bCs/>
        </w:rPr>
        <w:t>Student Name:</w:t>
      </w:r>
      <w:r>
        <w:rPr>
          <w:rFonts w:ascii="Arial" w:hAnsi="Arial" w:cs="Arial"/>
          <w:b/>
          <w:bCs/>
        </w:rPr>
        <w:t>Luca Gerardi</w:t>
      </w:r>
    </w:p>
    <w:p xmlns:wp14="http://schemas.microsoft.com/office/word/2010/wordml" w14:paraId="41C8F396" wp14:textId="77777777">
      <w:pPr>
        <w:pStyle w:val="Normal"/>
        <w:jc w:val="center"/>
        <w:rPr>
          <w:rFonts w:ascii="Arial" w:hAnsi="Arial" w:cs="Arial"/>
          <w:b/>
          <w:b/>
          <w:bCs/>
        </w:rPr>
      </w:pPr>
      <w:r>
        <w:rPr>
          <w:rFonts w:ascii="Arial" w:hAnsi="Arial" w:cs="Arial"/>
          <w:b/>
          <w:bCs/>
        </w:rPr>
      </w:r>
    </w:p>
    <w:p xmlns:wp14="http://schemas.microsoft.com/office/word/2010/wordml" w14:paraId="44FDF7B9" wp14:textId="77777777">
      <w:pPr>
        <w:pStyle w:val="Normal"/>
        <w:jc w:val="center"/>
        <w:rPr/>
      </w:pPr>
      <w:r>
        <w:rPr>
          <w:rFonts w:ascii="Arial" w:hAnsi="Arial" w:cs="Arial"/>
          <w:b/>
          <w:bCs/>
        </w:rPr>
        <w:t>Student ID:</w:t>
      </w:r>
      <w:r>
        <w:rPr>
          <w:rFonts w:ascii="Arial" w:hAnsi="Arial" w:cs="Arial"/>
          <w:b/>
          <w:bCs/>
        </w:rPr>
        <w:t>2219573</w:t>
      </w:r>
    </w:p>
    <w:p xmlns:wp14="http://schemas.microsoft.com/office/word/2010/wordml" w14:paraId="72A3D3EC" wp14:textId="77777777">
      <w:pPr>
        <w:pStyle w:val="Normal"/>
        <w:jc w:val="center"/>
        <w:rPr>
          <w:rFonts w:ascii="Arial" w:hAnsi="Arial" w:cs="Arial"/>
        </w:rPr>
      </w:pPr>
      <w:r>
        <w:rPr>
          <w:rFonts w:ascii="Arial" w:hAnsi="Arial" w:cs="Arial"/>
        </w:rPr>
      </w:r>
    </w:p>
    <w:p xmlns:wp14="http://schemas.microsoft.com/office/word/2010/wordml" w14:paraId="0D0B940D" wp14:textId="77777777">
      <w:pPr>
        <w:pStyle w:val="Normal"/>
        <w:jc w:val="center"/>
        <w:rPr>
          <w:rFonts w:ascii="Arial" w:hAnsi="Arial" w:cs="Arial"/>
        </w:rPr>
      </w:pPr>
      <w:r>
        <w:rPr>
          <w:rFonts w:ascii="Arial" w:hAnsi="Arial" w:cs="Arial"/>
        </w:rPr>
      </w:r>
    </w:p>
    <w:p xmlns:wp14="http://schemas.microsoft.com/office/word/2010/wordml" w14:paraId="7DD4B9E5" wp14:textId="592289FD">
      <w:pPr>
        <w:pStyle w:val="Normal"/>
        <w:jc w:val="center"/>
        <w:rPr>
          <w:rFonts w:ascii="Arial" w:hAnsi="Arial" w:cs="Arial"/>
          <w:b w:val="1"/>
          <w:b/>
          <w:bCs w:val="1"/>
        </w:rPr>
      </w:pPr>
      <w:r w:rsidRPr="4DF95668" w:rsidR="24D733EA">
        <w:rPr>
          <w:rFonts w:ascii="Arial" w:hAnsi="Arial" w:cs="Arial"/>
          <w:b w:val="1"/>
          <w:bCs w:val="1"/>
        </w:rPr>
        <w:t>Module Name:</w:t>
      </w:r>
      <w:r w:rsidRPr="4DF95668" w:rsidR="5C11528C">
        <w:rPr>
          <w:rFonts w:ascii="Arial" w:hAnsi="Arial" w:eastAsia="Arial" w:cs="Arial"/>
          <w:noProof w:val="0"/>
          <w:sz w:val="24"/>
          <w:szCs w:val="24"/>
          <w:lang w:val="en-GB"/>
        </w:rPr>
        <w:t xml:space="preserve"> </w:t>
      </w:r>
      <w:r w:rsidRPr="4DF95668" w:rsidR="1262C962">
        <w:rPr>
          <w:rFonts w:ascii="Arial" w:hAnsi="Arial" w:eastAsia="Arial" w:cs="Arial"/>
          <w:b w:val="1"/>
          <w:bCs w:val="1"/>
          <w:noProof w:val="0"/>
          <w:sz w:val="24"/>
          <w:szCs w:val="24"/>
          <w:lang w:val="en-GB"/>
        </w:rPr>
        <w:t>International Business Concepts</w:t>
      </w:r>
    </w:p>
    <w:p xmlns:wp14="http://schemas.microsoft.com/office/word/2010/wordml" w14:paraId="0E27B00A" wp14:textId="77777777">
      <w:pPr>
        <w:pStyle w:val="Normal"/>
        <w:jc w:val="center"/>
        <w:rPr>
          <w:rFonts w:ascii="Arial" w:hAnsi="Arial" w:cs="Arial"/>
          <w:b/>
          <w:b/>
          <w:bCs/>
        </w:rPr>
      </w:pPr>
      <w:r>
        <w:rPr>
          <w:rFonts w:ascii="Arial" w:hAnsi="Arial" w:cs="Arial"/>
          <w:b/>
          <w:bCs/>
        </w:rPr>
      </w:r>
    </w:p>
    <w:p xmlns:wp14="http://schemas.microsoft.com/office/word/2010/wordml" w14:paraId="11B222F2" wp14:textId="047C6156">
      <w:pPr>
        <w:pStyle w:val="Normal"/>
        <w:jc w:val="center"/>
        <w:rPr>
          <w:rFonts w:ascii="Arial" w:hAnsi="Arial" w:cs="Arial"/>
          <w:b w:val="1"/>
          <w:b/>
          <w:bCs w:val="1"/>
        </w:rPr>
      </w:pPr>
      <w:r w:rsidRPr="4DF95668" w:rsidR="49E66D2A">
        <w:rPr>
          <w:rFonts w:ascii="Arial" w:hAnsi="Arial" w:cs="Arial"/>
          <w:b w:val="1"/>
          <w:bCs w:val="1"/>
        </w:rPr>
        <w:t>Module Code: LCMB70</w:t>
      </w:r>
      <w:r w:rsidRPr="4DF95668" w:rsidR="14F56255">
        <w:rPr>
          <w:rFonts w:ascii="Arial" w:hAnsi="Arial" w:cs="Arial"/>
          <w:b w:val="1"/>
          <w:bCs w:val="1"/>
        </w:rPr>
        <w:t>34</w:t>
      </w:r>
    </w:p>
    <w:p xmlns:wp14="http://schemas.microsoft.com/office/word/2010/wordml" w14:paraId="60061E4C" wp14:textId="77777777">
      <w:pPr>
        <w:pStyle w:val="Normal"/>
        <w:jc w:val="center"/>
        <w:rPr>
          <w:rFonts w:ascii="Arial" w:hAnsi="Arial" w:cs="Arial"/>
          <w:b/>
          <w:b/>
          <w:bCs/>
        </w:rPr>
      </w:pPr>
      <w:r>
        <w:rPr>
          <w:rFonts w:ascii="Arial" w:hAnsi="Arial" w:cs="Arial"/>
          <w:b/>
          <w:bCs/>
        </w:rPr>
      </w:r>
    </w:p>
    <w:p xmlns:wp14="http://schemas.microsoft.com/office/word/2010/wordml" w14:paraId="44EAFD9C" wp14:textId="77777777">
      <w:pPr>
        <w:pStyle w:val="Normal"/>
        <w:jc w:val="center"/>
        <w:rPr>
          <w:rFonts w:ascii="Arial" w:hAnsi="Arial" w:cs="Arial"/>
          <w:b/>
          <w:b/>
          <w:bCs/>
        </w:rPr>
      </w:pPr>
      <w:r>
        <w:rPr>
          <w:rFonts w:ascii="Arial" w:hAnsi="Arial" w:cs="Arial"/>
          <w:b/>
          <w:bCs/>
        </w:rPr>
      </w:r>
    </w:p>
    <w:p xmlns:wp14="http://schemas.microsoft.com/office/word/2010/wordml" w14:paraId="4B94D5A5" wp14:textId="77777777">
      <w:pPr>
        <w:pStyle w:val="Normal"/>
        <w:jc w:val="center"/>
        <w:rPr>
          <w:rFonts w:ascii="Arial" w:hAnsi="Arial" w:cs="Arial"/>
          <w:b/>
          <w:b/>
          <w:bCs/>
        </w:rPr>
      </w:pPr>
      <w:r>
        <w:rPr>
          <w:rFonts w:ascii="Arial" w:hAnsi="Arial" w:cs="Arial"/>
          <w:b/>
          <w:bCs/>
        </w:rPr>
      </w:r>
    </w:p>
    <w:p xmlns:wp14="http://schemas.microsoft.com/office/word/2010/wordml" w14:paraId="3DEEC669" wp14:textId="77777777">
      <w:pPr>
        <w:pStyle w:val="Normal"/>
        <w:jc w:val="center"/>
        <w:rPr>
          <w:rFonts w:ascii="Arial" w:hAnsi="Arial" w:cs="Arial"/>
          <w:b/>
          <w:b/>
          <w:bCs/>
        </w:rPr>
      </w:pPr>
      <w:r>
        <w:rPr>
          <w:rFonts w:ascii="Arial" w:hAnsi="Arial" w:cs="Arial"/>
          <w:b/>
          <w:bCs/>
        </w:rPr>
      </w:r>
    </w:p>
    <w:p xmlns:wp14="http://schemas.microsoft.com/office/word/2010/wordml" w14:paraId="089A2277" wp14:textId="296DD7CD">
      <w:pPr>
        <w:pStyle w:val="Normal"/>
        <w:jc w:val="center"/>
        <w:rPr>
          <w:rFonts w:ascii="Arial" w:hAnsi="Arial" w:cs="Arial"/>
          <w:b w:val="1"/>
          <w:b/>
          <w:bCs w:val="1"/>
        </w:rPr>
      </w:pPr>
      <w:r w:rsidRPr="24D733EA" w:rsidR="49E66D2A">
        <w:rPr>
          <w:rFonts w:ascii="Arial" w:hAnsi="Arial" w:cs="Arial"/>
          <w:b w:val="1"/>
          <w:bCs w:val="1"/>
        </w:rPr>
        <w:t>Lecturer</w:t>
      </w:r>
      <w:r w:rsidRPr="24D733EA" w:rsidR="49E66D2A">
        <w:rPr>
          <w:rFonts w:ascii="Arial" w:hAnsi="Arial" w:cs="Arial"/>
          <w:b w:val="1"/>
          <w:bCs w:val="1"/>
        </w:rPr>
        <w:t>:</w:t>
      </w:r>
    </w:p>
    <w:p w:rsidR="24D733EA" w:rsidP="24D733EA" w:rsidRDefault="24D733EA" w14:paraId="79028C45" w14:textId="0D546787">
      <w:pPr>
        <w:pStyle w:val="Normal"/>
        <w:jc w:val="center"/>
        <w:rPr>
          <w:rFonts w:ascii="Arial" w:hAnsi="Arial" w:eastAsia="Arial" w:cs="Arial"/>
          <w:noProof w:val="0"/>
          <w:sz w:val="24"/>
          <w:szCs w:val="24"/>
          <w:lang w:val="en-GB"/>
        </w:rPr>
      </w:pPr>
    </w:p>
    <w:p w:rsidR="2F01C14B" w:rsidP="4DF95668" w:rsidRDefault="2F01C14B" w14:paraId="77CDFBAF" w14:textId="2D84286B">
      <w:pPr>
        <w:pStyle w:val="Normal"/>
        <w:jc w:val="center"/>
        <w:rPr>
          <w:rFonts w:ascii="Arial" w:hAnsi="Arial" w:eastAsia="Arial" w:cs="Arial"/>
          <w:b w:val="1"/>
          <w:bCs w:val="1"/>
          <w:noProof w:val="0"/>
          <w:sz w:val="24"/>
          <w:szCs w:val="24"/>
          <w:lang w:val="en-GB"/>
        </w:rPr>
      </w:pPr>
      <w:r w:rsidRPr="4DF95668" w:rsidR="2F01C14B">
        <w:rPr>
          <w:rFonts w:ascii="Segoe UI" w:hAnsi="Segoe UI" w:eastAsia="Segoe UI" w:cs="Segoe UI"/>
          <w:b w:val="1"/>
          <w:bCs w:val="1"/>
          <w:i w:val="0"/>
          <w:iCs w:val="0"/>
          <w:caps w:val="0"/>
          <w:smallCaps w:val="0"/>
          <w:noProof w:val="0"/>
          <w:color w:val="1D2125"/>
          <w:sz w:val="24"/>
          <w:szCs w:val="24"/>
          <w:lang w:val="en-GB"/>
        </w:rPr>
        <w:t>Jean Wang</w:t>
      </w:r>
    </w:p>
    <w:p w:rsidR="2F01C14B" w:rsidP="4DF95668" w:rsidRDefault="2F01C14B" w14:paraId="07AA7666" w14:textId="06880ECB">
      <w:pPr>
        <w:pStyle w:val="Normal"/>
        <w:jc w:val="center"/>
        <w:rPr>
          <w:rFonts w:ascii="Arial" w:hAnsi="Arial" w:eastAsia="Arial" w:cs="Arial"/>
          <w:b w:val="1"/>
          <w:bCs w:val="1"/>
          <w:noProof w:val="0"/>
          <w:sz w:val="24"/>
          <w:szCs w:val="24"/>
          <w:lang w:val="en-GB"/>
        </w:rPr>
      </w:pPr>
      <w:r w:rsidRPr="4DF95668" w:rsidR="2F01C14B">
        <w:rPr>
          <w:rFonts w:ascii="Arial" w:hAnsi="Arial" w:eastAsia="Arial" w:cs="Arial"/>
          <w:b w:val="1"/>
          <w:bCs w:val="1"/>
          <w:noProof w:val="0"/>
          <w:sz w:val="24"/>
          <w:szCs w:val="24"/>
          <w:lang w:val="en-GB"/>
        </w:rPr>
        <w:t>Akshay Narayanan</w:t>
      </w:r>
    </w:p>
    <w:p w:rsidR="46059CF6" w:rsidP="24D733EA" w:rsidRDefault="46059CF6" w14:paraId="36BFDFA4" w14:textId="2D59E2FE">
      <w:pPr>
        <w:pStyle w:val="Normal"/>
        <w:jc w:val="center"/>
        <w:rPr>
          <w:rFonts w:ascii="Arial" w:hAnsi="Arial" w:eastAsia="Arial" w:cs="Arial"/>
          <w:b w:val="1"/>
          <w:bCs w:val="1"/>
          <w:noProof w:val="0"/>
          <w:sz w:val="24"/>
          <w:szCs w:val="24"/>
          <w:lang w:val="en-GB"/>
        </w:rPr>
      </w:pPr>
    </w:p>
    <w:p w:rsidR="24D733EA" w:rsidP="24D733EA" w:rsidRDefault="24D733EA" w14:paraId="7C68D718" w14:textId="2FA2A213">
      <w:pPr>
        <w:pStyle w:val="Normal"/>
        <w:jc w:val="center"/>
        <w:rPr>
          <w:rFonts w:ascii="Arial" w:hAnsi="Arial" w:eastAsia="Arial" w:cs="Arial"/>
          <w:b w:val="1"/>
          <w:bCs w:val="1"/>
          <w:noProof w:val="0"/>
          <w:sz w:val="24"/>
          <w:szCs w:val="24"/>
          <w:lang w:val="en-GB"/>
        </w:rPr>
      </w:pPr>
    </w:p>
    <w:p w:rsidR="46059CF6" w:rsidP="24D733EA" w:rsidRDefault="46059CF6" w14:paraId="3A559FC8" w14:textId="06B4E2E3">
      <w:pPr>
        <w:pStyle w:val="Normal"/>
        <w:jc w:val="center"/>
        <w:rPr>
          <w:rFonts w:ascii="Arial" w:hAnsi="Arial" w:eastAsia="Arial" w:cs="Arial"/>
          <w:b w:val="1"/>
          <w:bCs w:val="1"/>
          <w:noProof w:val="0"/>
          <w:sz w:val="24"/>
          <w:szCs w:val="24"/>
          <w:lang w:val="en-GB"/>
        </w:rPr>
      </w:pPr>
      <w:r w:rsidRPr="24D733EA" w:rsidR="46059CF6">
        <w:rPr>
          <w:rFonts w:ascii="Arial" w:hAnsi="Arial" w:eastAsia="Arial" w:cs="Arial"/>
          <w:b w:val="1"/>
          <w:bCs w:val="1"/>
          <w:noProof w:val="0"/>
          <w:sz w:val="24"/>
          <w:szCs w:val="24"/>
          <w:lang w:val="en-GB"/>
        </w:rPr>
        <w:t>Internal Verifier: Vasilios</w:t>
      </w:r>
      <w:r w:rsidRPr="24D733EA" w:rsidR="46059CF6">
        <w:rPr>
          <w:rFonts w:ascii="Arial" w:hAnsi="Arial" w:eastAsia="Arial" w:cs="Arial"/>
          <w:b w:val="1"/>
          <w:bCs w:val="1"/>
          <w:noProof w:val="0"/>
          <w:sz w:val="24"/>
          <w:szCs w:val="24"/>
          <w:lang w:val="en-GB"/>
        </w:rPr>
        <w:t xml:space="preserve"> </w:t>
      </w:r>
      <w:r w:rsidRPr="24D733EA" w:rsidR="46059CF6">
        <w:rPr>
          <w:rFonts w:ascii="Arial" w:hAnsi="Arial" w:eastAsia="Arial" w:cs="Arial"/>
          <w:b w:val="1"/>
          <w:bCs w:val="1"/>
          <w:noProof w:val="0"/>
          <w:sz w:val="24"/>
          <w:szCs w:val="24"/>
          <w:lang w:val="en-GB"/>
        </w:rPr>
        <w:t>Tavlaridi</w:t>
      </w:r>
      <w:r w:rsidRPr="24D733EA" w:rsidR="46059CF6">
        <w:rPr>
          <w:rFonts w:ascii="Arial" w:hAnsi="Arial" w:eastAsia="Arial" w:cs="Arial"/>
          <w:b w:val="1"/>
          <w:bCs w:val="1"/>
          <w:noProof w:val="0"/>
          <w:sz w:val="24"/>
          <w:szCs w:val="24"/>
          <w:lang w:val="en-GB"/>
        </w:rPr>
        <w:t>s</w:t>
      </w:r>
      <w:r w:rsidRPr="24D733EA" w:rsidR="46059CF6">
        <w:rPr>
          <w:rFonts w:ascii="Arial" w:hAnsi="Arial" w:eastAsia="Arial" w:cs="Arial"/>
          <w:b w:val="1"/>
          <w:bCs w:val="1"/>
          <w:noProof w:val="0"/>
          <w:sz w:val="24"/>
          <w:szCs w:val="24"/>
          <w:lang w:val="en-GB"/>
        </w:rPr>
        <w:t xml:space="preserve"> </w:t>
      </w:r>
    </w:p>
    <w:p w:rsidR="46059CF6" w:rsidP="24D733EA" w:rsidRDefault="46059CF6" w14:paraId="003B99E9" w14:textId="450FC039">
      <w:pPr>
        <w:pStyle w:val="Normal"/>
        <w:jc w:val="center"/>
        <w:rPr>
          <w:rFonts w:ascii="Arial" w:hAnsi="Arial" w:eastAsia="Arial" w:cs="Arial"/>
          <w:b w:val="1"/>
          <w:bCs w:val="1"/>
          <w:noProof w:val="0"/>
          <w:sz w:val="24"/>
          <w:szCs w:val="24"/>
          <w:lang w:val="en-GB"/>
        </w:rPr>
      </w:pPr>
      <w:r w:rsidRPr="24D733EA" w:rsidR="46059CF6">
        <w:rPr>
          <w:rFonts w:ascii="Arial" w:hAnsi="Arial" w:eastAsia="Arial" w:cs="Arial"/>
          <w:b w:val="1"/>
          <w:bCs w:val="1"/>
          <w:noProof w:val="0"/>
          <w:sz w:val="24"/>
          <w:szCs w:val="24"/>
          <w:lang w:val="en-GB"/>
        </w:rPr>
        <w:t>Hoang Nguyen</w:t>
      </w:r>
    </w:p>
    <w:p w:rsidR="5F996B3E" w:rsidP="5F996B3E" w:rsidRDefault="5F996B3E" w14:paraId="600F0B0D" w14:textId="1CA33583">
      <w:pPr>
        <w:pStyle w:val="Normal"/>
        <w:jc w:val="center"/>
        <w:rPr>
          <w:rFonts w:ascii="Arial" w:hAnsi="Arial" w:cs="Arial"/>
          <w:b w:val="1"/>
          <w:bCs w:val="1"/>
        </w:rPr>
      </w:pPr>
    </w:p>
    <w:p xmlns:wp14="http://schemas.microsoft.com/office/word/2010/wordml" w14:paraId="3656B9AB" wp14:textId="77777777">
      <w:pPr>
        <w:pStyle w:val="Normal"/>
        <w:jc w:val="center"/>
        <w:rPr>
          <w:rFonts w:ascii="Arial" w:hAnsi="Arial" w:cs="Arial"/>
          <w:b/>
          <w:b/>
          <w:bCs/>
        </w:rPr>
      </w:pPr>
    </w:p>
    <w:p xmlns:wp14="http://schemas.microsoft.com/office/word/2010/wordml" w:rsidP="5F996B3E" w14:paraId="45FB0818" wp14:textId="05A298AD">
      <w:pPr>
        <w:pStyle w:val="Normal"/>
        <w:jc w:val="center"/>
        <w:rPr>
          <w:rFonts w:ascii="Arial" w:hAnsi="Arial" w:eastAsia="Arial" w:cs="Arial"/>
          <w:b w:val="1"/>
          <w:b/>
          <w:bCs w:val="1"/>
          <w:noProof w:val="0"/>
          <w:sz w:val="24"/>
          <w:szCs w:val="24"/>
          <w:lang w:val="en-GB"/>
        </w:rPr>
      </w:pPr>
      <w:r w:rsidRPr="5F996B3E" w:rsidR="5FDA7AAE">
        <w:rPr>
          <w:rFonts w:ascii="Arial" w:hAnsi="Arial" w:eastAsia="Arial" w:cs="Arial"/>
          <w:b w:val="1"/>
          <w:bCs w:val="1"/>
          <w:noProof w:val="0"/>
          <w:sz w:val="24"/>
          <w:szCs w:val="24"/>
          <w:lang w:val="en-GB"/>
        </w:rPr>
        <w:t>Master of Business Administration</w:t>
      </w:r>
    </w:p>
    <w:p w:rsidR="5232A654" w:rsidP="24D733EA" w:rsidRDefault="5232A654" w14:paraId="7DF35DD3" w14:textId="3963EC5A">
      <w:pPr>
        <w:pStyle w:val="Normal"/>
        <w:rPr>
          <w:rFonts w:ascii="Arial" w:hAnsi="Arial" w:cs="Arial"/>
          <w:b w:val="0"/>
          <w:bCs w:val="0"/>
          <w:noProof w:val="0"/>
          <w:lang w:val="en-GB"/>
        </w:rPr>
      </w:pPr>
    </w:p>
    <w:p w:rsidR="50A2DE47" w:rsidP="24D733EA" w:rsidRDefault="50A2DE47" w14:paraId="2EB5441C" w14:textId="4F091CCA">
      <w:pPr>
        <w:pStyle w:val="Normal"/>
        <w:jc w:val="center"/>
        <w:rPr>
          <w:rFonts w:ascii="Arial" w:hAnsi="Arial" w:eastAsia="Arial" w:cs="Arial"/>
          <w:b w:val="1"/>
          <w:bCs w:val="1"/>
          <w:noProof w:val="0"/>
          <w:sz w:val="24"/>
          <w:szCs w:val="24"/>
          <w:lang w:val="en-GB"/>
        </w:rPr>
      </w:pPr>
      <w:r w:rsidRPr="4DF95668" w:rsidR="50A2DE47">
        <w:rPr>
          <w:rFonts w:ascii="Arial" w:hAnsi="Arial" w:eastAsia="Arial" w:cs="Arial"/>
          <w:b w:val="1"/>
          <w:bCs w:val="1"/>
          <w:noProof w:val="0"/>
          <w:sz w:val="24"/>
          <w:szCs w:val="24"/>
          <w:lang w:val="en-GB"/>
        </w:rPr>
        <w:t xml:space="preserve">Assessment </w:t>
      </w:r>
      <w:r w:rsidRPr="4DF95668" w:rsidR="50A2DE47">
        <w:rPr>
          <w:rFonts w:ascii="Arial" w:hAnsi="Arial" w:eastAsia="Arial" w:cs="Arial"/>
          <w:b w:val="1"/>
          <w:bCs w:val="1"/>
          <w:noProof w:val="0"/>
          <w:sz w:val="24"/>
          <w:szCs w:val="24"/>
          <w:lang w:val="en-GB"/>
        </w:rPr>
        <w:t>component</w:t>
      </w:r>
      <w:r w:rsidRPr="4DF95668" w:rsidR="50A2DE47">
        <w:rPr>
          <w:rFonts w:ascii="Arial" w:hAnsi="Arial" w:eastAsia="Arial" w:cs="Arial"/>
          <w:b w:val="1"/>
          <w:bCs w:val="1"/>
          <w:noProof w:val="0"/>
          <w:sz w:val="24"/>
          <w:szCs w:val="24"/>
          <w:lang w:val="en-GB"/>
        </w:rPr>
        <w:t xml:space="preserve"> :</w:t>
      </w:r>
      <w:r w:rsidRPr="4DF95668" w:rsidR="66A2B1A1">
        <w:rPr>
          <w:rFonts w:ascii="Arial" w:hAnsi="Arial" w:eastAsia="Arial" w:cs="Arial"/>
          <w:b w:val="1"/>
          <w:bCs w:val="1"/>
          <w:noProof w:val="0"/>
          <w:sz w:val="24"/>
          <w:szCs w:val="24"/>
          <w:lang w:val="en-GB"/>
        </w:rPr>
        <w:t>R</w:t>
      </w:r>
      <w:r w:rsidRPr="4DF95668" w:rsidR="50A2DE47">
        <w:rPr>
          <w:rFonts w:ascii="Arial" w:hAnsi="Arial" w:eastAsia="Arial" w:cs="Arial"/>
          <w:b w:val="1"/>
          <w:bCs w:val="1"/>
          <w:noProof w:val="0"/>
          <w:sz w:val="24"/>
          <w:szCs w:val="24"/>
          <w:lang w:val="en-GB"/>
        </w:rPr>
        <w:t>eport</w:t>
      </w:r>
    </w:p>
    <w:p xmlns:wp14="http://schemas.microsoft.com/office/word/2010/wordml" w14:paraId="53128261" wp14:textId="77777777">
      <w:pPr>
        <w:pStyle w:val="Normal"/>
        <w:jc w:val="center"/>
        <w:rPr>
          <w:rFonts w:ascii="Arial" w:hAnsi="Arial" w:cs="Arial"/>
          <w:b/>
          <w:b/>
          <w:bCs/>
        </w:rPr>
      </w:pPr>
      <w:r>
        <w:rPr>
          <w:rFonts w:ascii="Arial" w:hAnsi="Arial" w:cs="Arial"/>
          <w:b/>
          <w:bCs/>
        </w:rPr>
      </w:r>
    </w:p>
    <w:p xmlns:wp14="http://schemas.microsoft.com/office/word/2010/wordml" w14:paraId="62486C05" wp14:textId="77777777">
      <w:pPr>
        <w:pStyle w:val="Normal"/>
        <w:jc w:val="center"/>
        <w:rPr>
          <w:rFonts w:ascii="Arial" w:hAnsi="Arial" w:cs="Arial"/>
          <w:b/>
          <w:b/>
          <w:bCs/>
        </w:rPr>
      </w:pPr>
      <w:r>
        <w:rPr>
          <w:rFonts w:ascii="Arial" w:hAnsi="Arial" w:cs="Arial"/>
          <w:b/>
          <w:bCs/>
        </w:rPr>
      </w:r>
    </w:p>
    <w:p xmlns:wp14="http://schemas.microsoft.com/office/word/2010/wordml" w14:paraId="4101652C" wp14:textId="77777777">
      <w:pPr>
        <w:pStyle w:val="Normal"/>
        <w:jc w:val="center"/>
        <w:rPr>
          <w:rFonts w:ascii="Arial" w:hAnsi="Arial" w:cs="Arial"/>
          <w:b/>
          <w:b/>
          <w:bCs/>
        </w:rPr>
      </w:pPr>
      <w:r>
        <w:rPr>
          <w:rFonts w:ascii="Arial" w:hAnsi="Arial" w:cs="Arial"/>
          <w:b/>
          <w:bCs/>
        </w:rPr>
      </w:r>
    </w:p>
    <w:p xmlns:wp14="http://schemas.microsoft.com/office/word/2010/wordml" w14:paraId="4B99056E" wp14:textId="77777777">
      <w:pPr>
        <w:pStyle w:val="Normal"/>
        <w:jc w:val="center"/>
        <w:rPr>
          <w:rFonts w:ascii="Arial" w:hAnsi="Arial" w:cs="Arial"/>
          <w:b/>
          <w:b/>
          <w:bCs/>
        </w:rPr>
      </w:pPr>
      <w:r>
        <w:rPr>
          <w:rFonts w:ascii="Arial" w:hAnsi="Arial" w:cs="Arial"/>
          <w:b/>
          <w:bCs/>
        </w:rPr>
      </w:r>
    </w:p>
    <w:p xmlns:wp14="http://schemas.microsoft.com/office/word/2010/wordml" w14:paraId="489EC70D" wp14:textId="27A2661D">
      <w:pPr>
        <w:pStyle w:val="Normal"/>
        <w:jc w:val="center"/>
        <w:rPr>
          <w:rFonts w:ascii="Arial" w:hAnsi="Arial" w:cs="Arial"/>
          <w:b w:val="1"/>
          <w:b/>
          <w:bCs w:val="1"/>
        </w:rPr>
      </w:pPr>
    </w:p>
    <w:p xmlns:wp14="http://schemas.microsoft.com/office/word/2010/wordml" w14:paraId="1299C43A" wp14:textId="77777777">
      <w:pPr>
        <w:pStyle w:val="Normal"/>
        <w:rPr>
          <w:b/>
          <w:b/>
          <w:bCs/>
        </w:rPr>
      </w:pPr>
    </w:p>
    <w:p w:rsidR="4DF95668" w:rsidP="4DF95668" w:rsidRDefault="4DF95668" w14:paraId="43A5F540" w14:textId="333ACD88">
      <w:pPr>
        <w:pStyle w:val="Normal"/>
        <w:rPr>
          <w:rFonts w:ascii="Consolas" w:hAnsi="Consolas" w:eastAsia="Consolas" w:cs="Consolas"/>
          <w:noProof w:val="0"/>
          <w:sz w:val="24"/>
          <w:szCs w:val="24"/>
          <w:lang w:val="en-GB"/>
        </w:rPr>
      </w:pPr>
    </w:p>
    <w:p w:rsidR="4DF95668" w:rsidP="4DF95668" w:rsidRDefault="4DF95668" w14:paraId="12D754D4" w14:textId="24371FDA">
      <w:pPr>
        <w:pStyle w:val="Normal"/>
        <w:spacing w:before="0" w:beforeAutospacing="off" w:after="0" w:afterAutospacing="off"/>
        <w:ind w:left="720"/>
        <w:rPr>
          <w:rFonts w:ascii="Arial" w:hAnsi="Arial" w:eastAsia="Arial" w:cs="Arial"/>
          <w:b w:val="1"/>
          <w:bCs w:val="1"/>
          <w:i w:val="0"/>
          <w:iCs w:val="0"/>
          <w:noProof w:val="0"/>
          <w:sz w:val="24"/>
          <w:szCs w:val="24"/>
          <w:lang w:val="en-GB"/>
        </w:rPr>
      </w:pPr>
    </w:p>
    <w:p w:rsidR="4DF95668" w:rsidP="4DF95668" w:rsidRDefault="4DF95668" w14:paraId="0F012ED5" w14:textId="1D0E1ED7">
      <w:pPr>
        <w:pStyle w:val="Normal"/>
        <w:spacing w:before="0" w:beforeAutospacing="off" w:after="0" w:afterAutospacing="off"/>
        <w:ind w:left="720"/>
        <w:rPr>
          <w:rFonts w:ascii="Arial" w:hAnsi="Arial" w:eastAsia="Arial" w:cs="Arial"/>
          <w:b w:val="1"/>
          <w:bCs w:val="1"/>
          <w:i w:val="0"/>
          <w:iCs w:val="0"/>
          <w:noProof w:val="0"/>
          <w:sz w:val="20"/>
          <w:szCs w:val="20"/>
          <w:lang w:val="en-GB"/>
        </w:rPr>
      </w:pPr>
    </w:p>
    <w:p w:rsidR="660D5C3C" w:rsidP="4DF95668" w:rsidRDefault="660D5C3C" w14:paraId="5FEFA8A8" w14:textId="33A0E5B3">
      <w:pPr>
        <w:pStyle w:val="Normal"/>
        <w:spacing w:before="0" w:beforeAutospacing="off" w:after="0" w:afterAutospacing="off"/>
        <w:ind w:left="720"/>
        <w:rPr>
          <w:rFonts w:ascii="Arial" w:hAnsi="Arial" w:eastAsia="Arial" w:cs="Arial"/>
          <w:b w:val="1"/>
          <w:bCs w:val="1"/>
          <w:i w:val="0"/>
          <w:iCs w:val="0"/>
          <w:noProof w:val="0"/>
          <w:sz w:val="20"/>
          <w:szCs w:val="20"/>
          <w:lang w:val="en-GB"/>
        </w:rPr>
      </w:pPr>
      <w:r w:rsidRPr="4DF95668" w:rsidR="660D5C3C">
        <w:rPr>
          <w:rFonts w:ascii="Arial" w:hAnsi="Arial" w:eastAsia="Arial" w:cs="Arial"/>
          <w:b w:val="1"/>
          <w:bCs w:val="1"/>
          <w:i w:val="0"/>
          <w:iCs w:val="0"/>
          <w:noProof w:val="0"/>
          <w:sz w:val="20"/>
          <w:szCs w:val="20"/>
          <w:lang w:val="en-GB"/>
        </w:rPr>
        <w:t>Table of Contents</w:t>
      </w:r>
    </w:p>
    <w:p w:rsidR="4DF95668" w:rsidP="4DF95668" w:rsidRDefault="4DF95668" w14:paraId="27AEA2BD" w14:textId="7C4EE8C1">
      <w:pPr>
        <w:pStyle w:val="Normal"/>
        <w:spacing w:before="0" w:beforeAutospacing="off" w:after="0" w:afterAutospacing="off"/>
        <w:ind w:left="720"/>
        <w:rPr>
          <w:rFonts w:ascii="Arial" w:hAnsi="Arial" w:eastAsia="Arial" w:cs="Arial"/>
          <w:b w:val="1"/>
          <w:bCs w:val="1"/>
          <w:i w:val="0"/>
          <w:iCs w:val="0"/>
          <w:noProof w:val="0"/>
          <w:sz w:val="20"/>
          <w:szCs w:val="20"/>
          <w:lang w:val="en-GB"/>
        </w:rPr>
      </w:pPr>
    </w:p>
    <w:p w:rsidR="660D5C3C" w:rsidP="4DF95668" w:rsidRDefault="660D5C3C" w14:paraId="54865EC5" w14:textId="09DD3035">
      <w:pPr>
        <w:pStyle w:val="Normal"/>
        <w:spacing w:before="0" w:beforeAutospacing="off" w:after="0" w:afterAutospacing="off"/>
        <w:ind w:left="0"/>
        <w:jc w:val="left"/>
        <w:rPr>
          <w:rFonts w:ascii="Arial" w:hAnsi="Arial" w:eastAsia="Arial" w:cs="Arial"/>
          <w:b w:val="1"/>
          <w:bCs w:val="1"/>
          <w:i w:val="0"/>
          <w:iCs w:val="0"/>
          <w:noProof w:val="0"/>
          <w:sz w:val="20"/>
          <w:szCs w:val="20"/>
          <w:lang w:val="en-GB"/>
        </w:rPr>
      </w:pPr>
      <w:r w:rsidRPr="4DF95668" w:rsidR="660D5C3C">
        <w:rPr>
          <w:rFonts w:ascii="Arial" w:hAnsi="Arial" w:eastAsia="Arial" w:cs="Arial"/>
          <w:b w:val="1"/>
          <w:bCs w:val="1"/>
          <w:i w:val="0"/>
          <w:iCs w:val="0"/>
          <w:noProof w:val="0"/>
          <w:sz w:val="20"/>
          <w:szCs w:val="20"/>
          <w:lang w:val="en-GB"/>
        </w:rPr>
        <w:t xml:space="preserve">Section 1: Business Report     </w:t>
      </w:r>
      <w:r w:rsidRPr="4DF95668" w:rsidR="5BF34707">
        <w:rPr>
          <w:rFonts w:ascii="Arial" w:hAnsi="Arial" w:eastAsia="Arial" w:cs="Arial"/>
          <w:b w:val="1"/>
          <w:bCs w:val="1"/>
          <w:i w:val="0"/>
          <w:iCs w:val="0"/>
          <w:noProof w:val="0"/>
          <w:sz w:val="20"/>
          <w:szCs w:val="20"/>
          <w:lang w:val="en-GB"/>
        </w:rPr>
        <w:t>Australia’s Competitive Edge in Critical Minerals Processing: Rare Earths, Lithium Hydroxide and Tianqi Lithium’s Operations in Australia</w:t>
      </w:r>
    </w:p>
    <w:p w:rsidR="660D5C3C" w:rsidP="4DF95668" w:rsidRDefault="660D5C3C" w14:paraId="1038F10F" w14:textId="7DEDFD1C">
      <w:pPr>
        <w:pStyle w:val="Normal"/>
        <w:jc w:val="left"/>
        <w:rPr>
          <w:rFonts w:ascii="Arial" w:hAnsi="Arial" w:eastAsia="Arial" w:cs="Arial"/>
          <w:b w:val="1"/>
          <w:bCs w:val="1"/>
          <w:i w:val="0"/>
          <w:iCs w:val="0"/>
          <w:noProof w:val="0"/>
          <w:sz w:val="20"/>
          <w:szCs w:val="20"/>
          <w:lang w:val="en-GB"/>
        </w:rPr>
      </w:pPr>
      <w:r w:rsidRPr="4DF95668" w:rsidR="660D5C3C">
        <w:rPr>
          <w:rFonts w:ascii="Arial" w:hAnsi="Arial" w:eastAsia="Arial" w:cs="Arial"/>
          <w:b w:val="1"/>
          <w:bCs w:val="1"/>
          <w:i w:val="0"/>
          <w:iCs w:val="0"/>
          <w:noProof w:val="0"/>
          <w:sz w:val="20"/>
          <w:szCs w:val="20"/>
          <w:lang w:val="en-GB"/>
        </w:rPr>
        <w:t xml:space="preserve">                                 </w:t>
      </w:r>
      <w:r>
        <w:br/>
      </w:r>
      <w:r w:rsidRPr="4DF95668" w:rsidR="660D5C3C">
        <w:rPr>
          <w:rFonts w:ascii="Arial" w:hAnsi="Arial" w:eastAsia="Arial" w:cs="Arial"/>
          <w:b w:val="1"/>
          <w:bCs w:val="1"/>
          <w:i w:val="0"/>
          <w:iCs w:val="0"/>
          <w:noProof w:val="0"/>
          <w:sz w:val="20"/>
          <w:szCs w:val="20"/>
          <w:lang w:val="en-GB"/>
        </w:rPr>
        <w:t xml:space="preserve"> Introduction                                                </w:t>
      </w:r>
      <w:r w:rsidRPr="4DF95668" w:rsidR="4A259790">
        <w:rPr>
          <w:rFonts w:ascii="Arial" w:hAnsi="Arial" w:eastAsia="Arial" w:cs="Arial"/>
          <w:b w:val="1"/>
          <w:bCs w:val="1"/>
          <w:i w:val="0"/>
          <w:iCs w:val="0"/>
          <w:noProof w:val="0"/>
          <w:sz w:val="20"/>
          <w:szCs w:val="20"/>
          <w:lang w:val="en-GB"/>
        </w:rPr>
        <w:t xml:space="preserve">                                                                                    </w:t>
      </w:r>
      <w:r w:rsidRPr="4DF95668" w:rsidR="43FA690A">
        <w:rPr>
          <w:rFonts w:ascii="Arial" w:hAnsi="Arial" w:eastAsia="Arial" w:cs="Arial"/>
          <w:b w:val="1"/>
          <w:bCs w:val="1"/>
          <w:i w:val="0"/>
          <w:iCs w:val="0"/>
          <w:noProof w:val="0"/>
          <w:sz w:val="20"/>
          <w:szCs w:val="20"/>
          <w:lang w:val="en-GB"/>
        </w:rPr>
        <w:t xml:space="preserve"> </w:t>
      </w:r>
      <w:r w:rsidRPr="4DF95668" w:rsidR="4A259790">
        <w:rPr>
          <w:rFonts w:ascii="Arial" w:hAnsi="Arial" w:eastAsia="Arial" w:cs="Arial"/>
          <w:b w:val="1"/>
          <w:bCs w:val="1"/>
          <w:i w:val="0"/>
          <w:iCs w:val="0"/>
          <w:noProof w:val="0"/>
          <w:sz w:val="20"/>
          <w:szCs w:val="20"/>
          <w:lang w:val="en-GB"/>
        </w:rPr>
        <w:t xml:space="preserve"> </w:t>
      </w:r>
      <w:r w:rsidRPr="4DF95668" w:rsidR="660D5C3C">
        <w:rPr>
          <w:rFonts w:ascii="Arial" w:hAnsi="Arial" w:eastAsia="Arial" w:cs="Arial"/>
          <w:b w:val="1"/>
          <w:bCs w:val="1"/>
          <w:i w:val="0"/>
          <w:iCs w:val="0"/>
          <w:noProof w:val="0"/>
          <w:sz w:val="20"/>
          <w:szCs w:val="20"/>
          <w:lang w:val="en-GB"/>
        </w:rPr>
        <w:t>3</w:t>
      </w:r>
      <w:r>
        <w:br/>
      </w:r>
      <w:r>
        <w:br/>
      </w:r>
      <w:r w:rsidRPr="4DF95668" w:rsidR="660D5C3C">
        <w:rPr>
          <w:rFonts w:ascii="Arial" w:hAnsi="Arial" w:eastAsia="Arial" w:cs="Arial"/>
          <w:b w:val="1"/>
          <w:bCs w:val="1"/>
          <w:i w:val="0"/>
          <w:iCs w:val="0"/>
          <w:noProof w:val="0"/>
          <w:sz w:val="20"/>
          <w:szCs w:val="20"/>
          <w:lang w:val="en-GB"/>
        </w:rPr>
        <w:t xml:space="preserve"> Industry and Country Overview                             </w:t>
      </w:r>
      <w:r w:rsidRPr="4DF95668" w:rsidR="4A2EA5B6">
        <w:rPr>
          <w:rFonts w:ascii="Arial" w:hAnsi="Arial" w:eastAsia="Arial" w:cs="Arial"/>
          <w:b w:val="1"/>
          <w:bCs w:val="1"/>
          <w:i w:val="0"/>
          <w:iCs w:val="0"/>
          <w:noProof w:val="0"/>
          <w:sz w:val="20"/>
          <w:szCs w:val="20"/>
          <w:lang w:val="en-GB"/>
        </w:rPr>
        <w:t xml:space="preserve">                                                                       </w:t>
      </w:r>
      <w:r w:rsidRPr="4DF95668" w:rsidR="660D5C3C">
        <w:rPr>
          <w:rFonts w:ascii="Arial" w:hAnsi="Arial" w:eastAsia="Arial" w:cs="Arial"/>
          <w:b w:val="1"/>
          <w:bCs w:val="1"/>
          <w:i w:val="0"/>
          <w:iCs w:val="0"/>
          <w:noProof w:val="0"/>
          <w:sz w:val="20"/>
          <w:szCs w:val="20"/>
          <w:lang w:val="en-GB"/>
        </w:rPr>
        <w:t xml:space="preserve"> 4</w:t>
      </w:r>
      <w:r>
        <w:br/>
      </w:r>
      <w:r>
        <w:br/>
      </w:r>
      <w:r w:rsidRPr="4DF95668" w:rsidR="19CB793B">
        <w:rPr>
          <w:rFonts w:ascii="Arial" w:hAnsi="Arial" w:eastAsia="Arial" w:cs="Arial"/>
          <w:b w:val="1"/>
          <w:bCs w:val="1"/>
          <w:i w:val="0"/>
          <w:iCs w:val="0"/>
          <w:noProof w:val="0"/>
          <w:sz w:val="20"/>
          <w:szCs w:val="20"/>
          <w:lang w:val="en-GB"/>
        </w:rPr>
        <w:t xml:space="preserve"> </w:t>
      </w:r>
      <w:r w:rsidRPr="4DF95668" w:rsidR="2CA62DAA">
        <w:rPr>
          <w:rFonts w:ascii="Arial" w:hAnsi="Arial" w:eastAsia="Arial" w:cs="Arial"/>
          <w:b w:val="1"/>
          <w:bCs w:val="1"/>
          <w:i w:val="0"/>
          <w:iCs w:val="0"/>
          <w:noProof w:val="0"/>
          <w:sz w:val="20"/>
          <w:szCs w:val="20"/>
          <w:lang w:val="en-GB"/>
        </w:rPr>
        <w:t xml:space="preserve">Overview of </w:t>
      </w:r>
      <w:r w:rsidRPr="4DF95668" w:rsidR="4B191B1C">
        <w:rPr>
          <w:rFonts w:ascii="Arial" w:hAnsi="Arial" w:eastAsia="Arial" w:cs="Arial"/>
          <w:b w:val="1"/>
          <w:bCs w:val="1"/>
          <w:i w:val="0"/>
          <w:iCs w:val="0"/>
          <w:noProof w:val="0"/>
          <w:sz w:val="20"/>
          <w:szCs w:val="20"/>
          <w:lang w:val="en-GB"/>
        </w:rPr>
        <w:t xml:space="preserve">the </w:t>
      </w:r>
      <w:r w:rsidRPr="4DF95668" w:rsidR="2CA62DAA">
        <w:rPr>
          <w:rFonts w:ascii="Arial" w:hAnsi="Arial" w:eastAsia="Arial" w:cs="Arial"/>
          <w:b w:val="1"/>
          <w:bCs w:val="1"/>
          <w:i w:val="0"/>
          <w:iCs w:val="0"/>
          <w:noProof w:val="0"/>
          <w:sz w:val="20"/>
          <w:szCs w:val="20"/>
          <w:lang w:val="en-GB"/>
        </w:rPr>
        <w:t>Australian</w:t>
      </w:r>
      <w:r w:rsidRPr="4DF95668" w:rsidR="620A6924">
        <w:rPr>
          <w:rFonts w:ascii="Arial" w:hAnsi="Arial" w:eastAsia="Arial" w:cs="Arial"/>
          <w:b w:val="1"/>
          <w:bCs w:val="1"/>
          <w:i w:val="0"/>
          <w:iCs w:val="0"/>
          <w:noProof w:val="0"/>
          <w:sz w:val="20"/>
          <w:szCs w:val="20"/>
          <w:lang w:val="en-GB"/>
        </w:rPr>
        <w:t xml:space="preserve"> industry</w:t>
      </w:r>
      <w:r w:rsidRPr="4DF95668" w:rsidR="660D5C3C">
        <w:rPr>
          <w:rFonts w:ascii="Arial" w:hAnsi="Arial" w:eastAsia="Arial" w:cs="Arial"/>
          <w:b w:val="1"/>
          <w:bCs w:val="1"/>
          <w:i w:val="0"/>
          <w:iCs w:val="0"/>
          <w:noProof w:val="0"/>
          <w:sz w:val="20"/>
          <w:szCs w:val="20"/>
          <w:lang w:val="en-GB"/>
        </w:rPr>
        <w:t xml:space="preserve"> </w:t>
      </w:r>
      <w:r w:rsidRPr="4DF95668" w:rsidR="660D5C3C">
        <w:rPr>
          <w:rFonts w:ascii="Arial" w:hAnsi="Arial" w:eastAsia="Arial" w:cs="Arial"/>
          <w:b w:val="1"/>
          <w:bCs w:val="1"/>
          <w:i w:val="0"/>
          <w:iCs w:val="0"/>
          <w:noProof w:val="0"/>
          <w:sz w:val="20"/>
          <w:szCs w:val="20"/>
          <w:lang w:val="en-GB"/>
        </w:rPr>
        <w:t xml:space="preserve">          </w:t>
      </w:r>
      <w:r w:rsidRPr="4DF95668" w:rsidR="0FF71880">
        <w:rPr>
          <w:rFonts w:ascii="Arial" w:hAnsi="Arial" w:eastAsia="Arial" w:cs="Arial"/>
          <w:b w:val="1"/>
          <w:bCs w:val="1"/>
          <w:i w:val="0"/>
          <w:iCs w:val="0"/>
          <w:noProof w:val="0"/>
          <w:sz w:val="20"/>
          <w:szCs w:val="20"/>
          <w:lang w:val="en-GB"/>
        </w:rPr>
        <w:t xml:space="preserve">                   </w:t>
      </w:r>
      <w:r w:rsidRPr="4DF95668" w:rsidR="00C32BD3">
        <w:rPr>
          <w:rFonts w:ascii="Arial" w:hAnsi="Arial" w:eastAsia="Arial" w:cs="Arial"/>
          <w:b w:val="1"/>
          <w:bCs w:val="1"/>
          <w:i w:val="0"/>
          <w:iCs w:val="0"/>
          <w:noProof w:val="0"/>
          <w:sz w:val="20"/>
          <w:szCs w:val="20"/>
          <w:lang w:val="en-GB"/>
        </w:rPr>
        <w:t xml:space="preserve">                                                                </w:t>
      </w:r>
      <w:r w:rsidRPr="4DF95668" w:rsidR="660D5C3C">
        <w:rPr>
          <w:rFonts w:ascii="Arial" w:hAnsi="Arial" w:eastAsia="Arial" w:cs="Arial"/>
          <w:b w:val="1"/>
          <w:bCs w:val="1"/>
          <w:i w:val="0"/>
          <w:iCs w:val="0"/>
          <w:noProof w:val="0"/>
          <w:sz w:val="20"/>
          <w:szCs w:val="20"/>
          <w:lang w:val="en-GB"/>
        </w:rPr>
        <w:t>4</w:t>
      </w:r>
      <w:r>
        <w:br/>
      </w:r>
      <w:r>
        <w:br/>
      </w:r>
      <w:r w:rsidRPr="4DF95668" w:rsidR="660D5C3C">
        <w:rPr>
          <w:rFonts w:ascii="Arial" w:hAnsi="Arial" w:eastAsia="Arial" w:cs="Arial"/>
          <w:b w:val="1"/>
          <w:bCs w:val="1"/>
          <w:i w:val="0"/>
          <w:iCs w:val="0"/>
          <w:noProof w:val="0"/>
          <w:sz w:val="20"/>
          <w:szCs w:val="20"/>
          <w:lang w:val="en-GB"/>
        </w:rPr>
        <w:t xml:space="preserve"> Size, Scope and Economic importance </w:t>
      </w:r>
      <w:r w:rsidRPr="4DF95668" w:rsidR="50106411">
        <w:rPr>
          <w:rFonts w:ascii="Arial" w:hAnsi="Arial" w:eastAsia="Arial" w:cs="Arial"/>
          <w:b w:val="1"/>
          <w:bCs w:val="1"/>
          <w:i w:val="0"/>
          <w:iCs w:val="0"/>
          <w:noProof w:val="0"/>
          <w:sz w:val="20"/>
          <w:szCs w:val="20"/>
          <w:lang w:val="en-GB"/>
        </w:rPr>
        <w:t xml:space="preserve">of the industry </w:t>
      </w:r>
      <w:r w:rsidRPr="4DF95668" w:rsidR="660D5C3C">
        <w:rPr>
          <w:rFonts w:ascii="Arial" w:hAnsi="Arial" w:eastAsia="Arial" w:cs="Arial"/>
          <w:b w:val="1"/>
          <w:bCs w:val="1"/>
          <w:i w:val="0"/>
          <w:iCs w:val="0"/>
          <w:noProof w:val="0"/>
          <w:sz w:val="20"/>
          <w:szCs w:val="20"/>
          <w:lang w:val="en-GB"/>
        </w:rPr>
        <w:t xml:space="preserve">                </w:t>
      </w:r>
      <w:r w:rsidRPr="4DF95668" w:rsidR="1154A62A">
        <w:rPr>
          <w:rFonts w:ascii="Arial" w:hAnsi="Arial" w:eastAsia="Arial" w:cs="Arial"/>
          <w:b w:val="1"/>
          <w:bCs w:val="1"/>
          <w:i w:val="0"/>
          <w:iCs w:val="0"/>
          <w:noProof w:val="0"/>
          <w:sz w:val="20"/>
          <w:szCs w:val="20"/>
          <w:lang w:val="en-GB"/>
        </w:rPr>
        <w:t xml:space="preserve">                                         </w:t>
      </w:r>
      <w:r w:rsidRPr="4DF95668" w:rsidR="660D5C3C">
        <w:rPr>
          <w:rFonts w:ascii="Arial" w:hAnsi="Arial" w:eastAsia="Arial" w:cs="Arial"/>
          <w:b w:val="1"/>
          <w:bCs w:val="1"/>
          <w:i w:val="0"/>
          <w:iCs w:val="0"/>
          <w:noProof w:val="0"/>
          <w:sz w:val="20"/>
          <w:szCs w:val="20"/>
          <w:lang w:val="en-GB"/>
        </w:rPr>
        <w:t xml:space="preserve"> </w:t>
      </w:r>
      <w:r w:rsidRPr="4DF95668" w:rsidR="6869B1D4">
        <w:rPr>
          <w:rFonts w:ascii="Arial" w:hAnsi="Arial" w:eastAsia="Arial" w:cs="Arial"/>
          <w:b w:val="1"/>
          <w:bCs w:val="1"/>
          <w:i w:val="0"/>
          <w:iCs w:val="0"/>
          <w:noProof w:val="0"/>
          <w:sz w:val="20"/>
          <w:szCs w:val="20"/>
          <w:lang w:val="en-GB"/>
        </w:rPr>
        <w:t xml:space="preserve">   6</w:t>
      </w:r>
      <w:r>
        <w:br/>
      </w:r>
      <w:r>
        <w:br/>
      </w:r>
      <w:r w:rsidRPr="4DF95668" w:rsidR="660D5C3C">
        <w:rPr>
          <w:rFonts w:ascii="Arial" w:hAnsi="Arial" w:eastAsia="Arial" w:cs="Arial"/>
          <w:b w:val="1"/>
          <w:bCs w:val="1"/>
          <w:i w:val="0"/>
          <w:iCs w:val="0"/>
          <w:noProof w:val="0"/>
          <w:sz w:val="20"/>
          <w:szCs w:val="20"/>
          <w:lang w:val="en-GB"/>
        </w:rPr>
        <w:t xml:space="preserve">  Major Domestic and Multinational Firms                      </w:t>
      </w:r>
      <w:r w:rsidRPr="4DF95668" w:rsidR="612C1505">
        <w:rPr>
          <w:rFonts w:ascii="Arial" w:hAnsi="Arial" w:eastAsia="Arial" w:cs="Arial"/>
          <w:b w:val="1"/>
          <w:bCs w:val="1"/>
          <w:i w:val="0"/>
          <w:iCs w:val="0"/>
          <w:noProof w:val="0"/>
          <w:sz w:val="20"/>
          <w:szCs w:val="20"/>
          <w:lang w:val="en-GB"/>
        </w:rPr>
        <w:t xml:space="preserve">                                                               8</w:t>
      </w:r>
      <w:r>
        <w:br/>
      </w:r>
      <w:r>
        <w:br/>
      </w:r>
      <w:r w:rsidRPr="4DF95668" w:rsidR="660D5C3C">
        <w:rPr>
          <w:rFonts w:ascii="Arial" w:hAnsi="Arial" w:eastAsia="Arial" w:cs="Arial"/>
          <w:b w:val="1"/>
          <w:bCs w:val="1"/>
          <w:i w:val="0"/>
          <w:iCs w:val="0"/>
          <w:noProof w:val="0"/>
          <w:sz w:val="20"/>
          <w:szCs w:val="20"/>
          <w:lang w:val="en-GB"/>
        </w:rPr>
        <w:t xml:space="preserve"> </w:t>
      </w:r>
      <w:r w:rsidRPr="4DF95668" w:rsidR="4979558F">
        <w:rPr>
          <w:rFonts w:ascii="Arial" w:hAnsi="Arial" w:eastAsia="Arial" w:cs="Arial"/>
          <w:b w:val="1"/>
          <w:bCs w:val="1"/>
          <w:i w:val="0"/>
          <w:iCs w:val="0"/>
          <w:noProof w:val="0"/>
          <w:sz w:val="20"/>
          <w:szCs w:val="20"/>
          <w:lang w:val="en-GB"/>
        </w:rPr>
        <w:t xml:space="preserve"> </w:t>
      </w:r>
      <w:r w:rsidRPr="4DF95668" w:rsidR="660D5C3C">
        <w:rPr>
          <w:rFonts w:ascii="Arial" w:hAnsi="Arial" w:eastAsia="Arial" w:cs="Arial"/>
          <w:b w:val="1"/>
          <w:bCs w:val="1"/>
          <w:i w:val="0"/>
          <w:iCs w:val="0"/>
          <w:noProof w:val="0"/>
          <w:sz w:val="20"/>
          <w:szCs w:val="20"/>
          <w:lang w:val="en-GB"/>
        </w:rPr>
        <w:t xml:space="preserve">Porter’s Diamond Model of National Advantage             </w:t>
      </w:r>
      <w:r w:rsidRPr="4DF95668" w:rsidR="3BF2B684">
        <w:rPr>
          <w:rFonts w:ascii="Arial" w:hAnsi="Arial" w:eastAsia="Arial" w:cs="Arial"/>
          <w:b w:val="1"/>
          <w:bCs w:val="1"/>
          <w:i w:val="0"/>
          <w:iCs w:val="0"/>
          <w:noProof w:val="0"/>
          <w:sz w:val="20"/>
          <w:szCs w:val="20"/>
          <w:lang w:val="en-GB"/>
        </w:rPr>
        <w:t xml:space="preserve">                                                            9</w:t>
      </w:r>
      <w:r>
        <w:br/>
      </w:r>
      <w:r w:rsidRPr="4DF95668" w:rsidR="660D5C3C">
        <w:rPr>
          <w:rFonts w:ascii="Arial" w:hAnsi="Arial" w:eastAsia="Arial" w:cs="Arial"/>
          <w:b w:val="1"/>
          <w:bCs w:val="1"/>
          <w:i w:val="0"/>
          <w:iCs w:val="0"/>
          <w:noProof w:val="0"/>
          <w:sz w:val="20"/>
          <w:szCs w:val="20"/>
          <w:lang w:val="en-GB"/>
        </w:rPr>
        <w:t xml:space="preserve">    </w:t>
      </w:r>
    </w:p>
    <w:p w:rsidR="07ED4B40" w:rsidP="4DF95668" w:rsidRDefault="07ED4B40" w14:paraId="2FEEF342" w14:textId="085A5C21">
      <w:pPr>
        <w:pStyle w:val="Normal"/>
        <w:jc w:val="left"/>
        <w:rPr>
          <w:rFonts w:ascii="Arial" w:hAnsi="Arial" w:eastAsia="Arial" w:cs="Arial"/>
          <w:b w:val="1"/>
          <w:bCs w:val="1"/>
          <w:i w:val="0"/>
          <w:iCs w:val="0"/>
          <w:noProof w:val="0"/>
          <w:sz w:val="20"/>
          <w:szCs w:val="20"/>
          <w:lang w:val="en-GB"/>
        </w:rPr>
      </w:pPr>
      <w:r w:rsidRPr="4DF95668" w:rsidR="07ED4B40">
        <w:rPr>
          <w:rFonts w:ascii="Arial" w:hAnsi="Arial" w:eastAsia="Arial" w:cs="Arial"/>
          <w:b w:val="1"/>
          <w:bCs w:val="1"/>
          <w:i w:val="0"/>
          <w:iCs w:val="0"/>
          <w:noProof w:val="0"/>
          <w:sz w:val="20"/>
          <w:szCs w:val="20"/>
          <w:lang w:val="en-GB"/>
        </w:rPr>
        <w:t xml:space="preserve">  </w:t>
      </w:r>
      <w:r w:rsidRPr="4DF95668" w:rsidR="660D5C3C">
        <w:rPr>
          <w:rFonts w:ascii="Arial" w:hAnsi="Arial" w:eastAsia="Arial" w:cs="Arial"/>
          <w:b w:val="1"/>
          <w:bCs w:val="1"/>
          <w:i w:val="0"/>
          <w:iCs w:val="0"/>
          <w:noProof w:val="0"/>
          <w:sz w:val="20"/>
          <w:szCs w:val="20"/>
          <w:lang w:val="en-GB"/>
        </w:rPr>
        <w:t xml:space="preserve">Factor conditions                                          </w:t>
      </w:r>
      <w:r w:rsidRPr="4DF95668" w:rsidR="746E66ED">
        <w:rPr>
          <w:rFonts w:ascii="Arial" w:hAnsi="Arial" w:eastAsia="Arial" w:cs="Arial"/>
          <w:b w:val="1"/>
          <w:bCs w:val="1"/>
          <w:i w:val="0"/>
          <w:iCs w:val="0"/>
          <w:noProof w:val="0"/>
          <w:sz w:val="20"/>
          <w:szCs w:val="20"/>
          <w:lang w:val="en-GB"/>
        </w:rPr>
        <w:t xml:space="preserve">                                                                               </w:t>
      </w:r>
      <w:r w:rsidRPr="4DF95668" w:rsidR="660D5C3C">
        <w:rPr>
          <w:rFonts w:ascii="Arial" w:hAnsi="Arial" w:eastAsia="Arial" w:cs="Arial"/>
          <w:b w:val="1"/>
          <w:bCs w:val="1"/>
          <w:i w:val="0"/>
          <w:iCs w:val="0"/>
          <w:noProof w:val="0"/>
          <w:sz w:val="20"/>
          <w:szCs w:val="20"/>
          <w:lang w:val="en-GB"/>
        </w:rPr>
        <w:t xml:space="preserve"> </w:t>
      </w:r>
      <w:r w:rsidRPr="4DF95668" w:rsidR="5A51C59E">
        <w:rPr>
          <w:rFonts w:ascii="Arial" w:hAnsi="Arial" w:eastAsia="Arial" w:cs="Arial"/>
          <w:b w:val="1"/>
          <w:bCs w:val="1"/>
          <w:i w:val="0"/>
          <w:iCs w:val="0"/>
          <w:noProof w:val="0"/>
          <w:sz w:val="20"/>
          <w:szCs w:val="20"/>
          <w:lang w:val="en-GB"/>
        </w:rPr>
        <w:t>10</w:t>
      </w:r>
      <w:r>
        <w:br/>
      </w:r>
      <w:r>
        <w:br/>
      </w:r>
      <w:r w:rsidRPr="4DF95668" w:rsidR="660D5C3C">
        <w:rPr>
          <w:rFonts w:ascii="Arial" w:hAnsi="Arial" w:eastAsia="Arial" w:cs="Arial"/>
          <w:b w:val="1"/>
          <w:bCs w:val="1"/>
          <w:i w:val="0"/>
          <w:iCs w:val="0"/>
          <w:noProof w:val="0"/>
          <w:sz w:val="20"/>
          <w:szCs w:val="20"/>
          <w:lang w:val="en-GB"/>
        </w:rPr>
        <w:t xml:space="preserve">  </w:t>
      </w:r>
      <w:r w:rsidRPr="4DF95668" w:rsidR="5F4C76B1">
        <w:rPr>
          <w:rFonts w:ascii="Arial" w:hAnsi="Arial" w:eastAsia="Arial" w:cs="Arial"/>
          <w:b w:val="1"/>
          <w:bCs w:val="1"/>
          <w:i w:val="0"/>
          <w:iCs w:val="0"/>
          <w:noProof w:val="0"/>
          <w:sz w:val="20"/>
          <w:szCs w:val="20"/>
          <w:lang w:val="en-GB"/>
        </w:rPr>
        <w:t>Conditions of demand</w:t>
      </w:r>
      <w:r w:rsidRPr="4DF95668" w:rsidR="660D5C3C">
        <w:rPr>
          <w:rFonts w:ascii="Arial" w:hAnsi="Arial" w:eastAsia="Arial" w:cs="Arial"/>
          <w:b w:val="1"/>
          <w:bCs w:val="1"/>
          <w:i w:val="0"/>
          <w:iCs w:val="0"/>
          <w:noProof w:val="0"/>
          <w:sz w:val="20"/>
          <w:szCs w:val="20"/>
          <w:lang w:val="en-GB"/>
        </w:rPr>
        <w:t xml:space="preserve">                                  </w:t>
      </w:r>
      <w:r w:rsidRPr="4DF95668" w:rsidR="65000E6B">
        <w:rPr>
          <w:rFonts w:ascii="Arial" w:hAnsi="Arial" w:eastAsia="Arial" w:cs="Arial"/>
          <w:b w:val="1"/>
          <w:bCs w:val="1"/>
          <w:i w:val="0"/>
          <w:iCs w:val="0"/>
          <w:noProof w:val="0"/>
          <w:sz w:val="20"/>
          <w:szCs w:val="20"/>
          <w:lang w:val="en-GB"/>
        </w:rPr>
        <w:t xml:space="preserve">                                                                              </w:t>
      </w:r>
      <w:r w:rsidRPr="4DF95668" w:rsidR="660D5C3C">
        <w:rPr>
          <w:rFonts w:ascii="Arial" w:hAnsi="Arial" w:eastAsia="Arial" w:cs="Arial"/>
          <w:b w:val="1"/>
          <w:bCs w:val="1"/>
          <w:i w:val="0"/>
          <w:iCs w:val="0"/>
          <w:noProof w:val="0"/>
          <w:sz w:val="20"/>
          <w:szCs w:val="20"/>
          <w:lang w:val="en-GB"/>
        </w:rPr>
        <w:t xml:space="preserve">  </w:t>
      </w:r>
      <w:r w:rsidRPr="4DF95668" w:rsidR="276E654F">
        <w:rPr>
          <w:rFonts w:ascii="Arial" w:hAnsi="Arial" w:eastAsia="Arial" w:cs="Arial"/>
          <w:b w:val="1"/>
          <w:bCs w:val="1"/>
          <w:i w:val="0"/>
          <w:iCs w:val="0"/>
          <w:noProof w:val="0"/>
          <w:sz w:val="20"/>
          <w:szCs w:val="20"/>
          <w:lang w:val="en-GB"/>
        </w:rPr>
        <w:t>10</w:t>
      </w:r>
      <w:r>
        <w:br/>
      </w:r>
      <w:r>
        <w:br/>
      </w:r>
      <w:r w:rsidRPr="4DF95668" w:rsidR="2C335110">
        <w:rPr>
          <w:rFonts w:ascii="Aptos" w:hAnsi="Aptos" w:eastAsia="Aptos" w:cs="Aptos"/>
          <w:b w:val="1"/>
          <w:bCs w:val="1"/>
          <w:noProof w:val="0"/>
          <w:sz w:val="20"/>
          <w:szCs w:val="20"/>
          <w:lang w:val="en-GB"/>
        </w:rPr>
        <w:t xml:space="preserve">   Associated and auxiliary sectors</w:t>
      </w:r>
      <w:r w:rsidRPr="4DF95668" w:rsidR="660D5C3C">
        <w:rPr>
          <w:rFonts w:ascii="Arial" w:hAnsi="Arial" w:eastAsia="Arial" w:cs="Arial"/>
          <w:b w:val="1"/>
          <w:bCs w:val="1"/>
          <w:i w:val="0"/>
          <w:iCs w:val="0"/>
          <w:noProof w:val="0"/>
          <w:sz w:val="20"/>
          <w:szCs w:val="20"/>
          <w:lang w:val="en-GB"/>
        </w:rPr>
        <w:t xml:space="preserve">                          </w:t>
      </w:r>
      <w:r w:rsidRPr="4DF95668" w:rsidR="07C85945">
        <w:rPr>
          <w:rFonts w:ascii="Arial" w:hAnsi="Arial" w:eastAsia="Arial" w:cs="Arial"/>
          <w:b w:val="1"/>
          <w:bCs w:val="1"/>
          <w:i w:val="0"/>
          <w:iCs w:val="0"/>
          <w:noProof w:val="0"/>
          <w:sz w:val="20"/>
          <w:szCs w:val="20"/>
          <w:lang w:val="en-GB"/>
        </w:rPr>
        <w:t xml:space="preserve">                                                                         11</w:t>
      </w:r>
      <w:r>
        <w:br/>
      </w:r>
      <w:r>
        <w:br/>
      </w:r>
      <w:r w:rsidRPr="4DF95668" w:rsidR="660D5C3C">
        <w:rPr>
          <w:rFonts w:ascii="Arial" w:hAnsi="Arial" w:eastAsia="Arial" w:cs="Arial"/>
          <w:b w:val="1"/>
          <w:bCs w:val="1"/>
          <w:i w:val="0"/>
          <w:iCs w:val="0"/>
          <w:noProof w:val="0"/>
          <w:sz w:val="20"/>
          <w:szCs w:val="20"/>
          <w:lang w:val="en-GB"/>
        </w:rPr>
        <w:t xml:space="preserve">  </w:t>
      </w:r>
      <w:r w:rsidRPr="4DF95668" w:rsidR="4F1E64F7">
        <w:rPr>
          <w:rFonts w:ascii="Arial" w:hAnsi="Arial" w:eastAsia="Arial" w:cs="Arial"/>
          <w:b w:val="1"/>
          <w:bCs w:val="1"/>
          <w:i w:val="0"/>
          <w:iCs w:val="0"/>
          <w:noProof w:val="0"/>
          <w:sz w:val="20"/>
          <w:szCs w:val="20"/>
          <w:lang w:val="en-GB"/>
        </w:rPr>
        <w:t>Structure, rivalry and firm strateg</w:t>
      </w:r>
      <w:r w:rsidRPr="4DF95668" w:rsidR="135BCE15">
        <w:rPr>
          <w:rFonts w:ascii="Arial" w:hAnsi="Arial" w:eastAsia="Arial" w:cs="Arial"/>
          <w:b w:val="1"/>
          <w:bCs w:val="1"/>
          <w:i w:val="0"/>
          <w:iCs w:val="0"/>
          <w:noProof w:val="0"/>
          <w:sz w:val="20"/>
          <w:szCs w:val="20"/>
          <w:lang w:val="en-GB"/>
        </w:rPr>
        <w:t>y</w:t>
      </w:r>
      <w:r w:rsidRPr="4DF95668" w:rsidR="660D5C3C">
        <w:rPr>
          <w:rFonts w:ascii="Arial" w:hAnsi="Arial" w:eastAsia="Arial" w:cs="Arial"/>
          <w:b w:val="1"/>
          <w:bCs w:val="1"/>
          <w:i w:val="0"/>
          <w:iCs w:val="0"/>
          <w:noProof w:val="0"/>
          <w:sz w:val="20"/>
          <w:szCs w:val="20"/>
          <w:lang w:val="en-GB"/>
        </w:rPr>
        <w:t xml:space="preserve">                 </w:t>
      </w:r>
      <w:r w:rsidRPr="4DF95668" w:rsidR="0B607D82">
        <w:rPr>
          <w:rFonts w:ascii="Arial" w:hAnsi="Arial" w:eastAsia="Arial" w:cs="Arial"/>
          <w:b w:val="1"/>
          <w:bCs w:val="1"/>
          <w:i w:val="0"/>
          <w:iCs w:val="0"/>
          <w:noProof w:val="0"/>
          <w:sz w:val="20"/>
          <w:szCs w:val="20"/>
          <w:lang w:val="en-GB"/>
        </w:rPr>
        <w:t xml:space="preserve">                                                                            </w:t>
      </w:r>
      <w:r w:rsidRPr="4DF95668" w:rsidR="660D5C3C">
        <w:rPr>
          <w:rFonts w:ascii="Arial" w:hAnsi="Arial" w:eastAsia="Arial" w:cs="Arial"/>
          <w:b w:val="1"/>
          <w:bCs w:val="1"/>
          <w:i w:val="0"/>
          <w:iCs w:val="0"/>
          <w:noProof w:val="0"/>
          <w:sz w:val="20"/>
          <w:szCs w:val="20"/>
          <w:lang w:val="en-GB"/>
        </w:rPr>
        <w:t>1</w:t>
      </w:r>
      <w:r w:rsidRPr="4DF95668" w:rsidR="0B607D82">
        <w:rPr>
          <w:rFonts w:ascii="Arial" w:hAnsi="Arial" w:eastAsia="Arial" w:cs="Arial"/>
          <w:b w:val="1"/>
          <w:bCs w:val="1"/>
          <w:i w:val="0"/>
          <w:iCs w:val="0"/>
          <w:noProof w:val="0"/>
          <w:sz w:val="20"/>
          <w:szCs w:val="20"/>
          <w:lang w:val="en-GB"/>
        </w:rPr>
        <w:t>1</w:t>
      </w:r>
      <w:r>
        <w:br/>
      </w:r>
      <w:r w:rsidRPr="4DF95668" w:rsidR="0CDF752A">
        <w:rPr>
          <w:rFonts w:ascii="Arial" w:hAnsi="Arial" w:eastAsia="Arial" w:cs="Arial"/>
          <w:b w:val="1"/>
          <w:bCs w:val="1"/>
          <w:i w:val="0"/>
          <w:iCs w:val="0"/>
          <w:noProof w:val="0"/>
          <w:sz w:val="20"/>
          <w:szCs w:val="20"/>
          <w:lang w:val="en-GB"/>
        </w:rPr>
        <w:t xml:space="preserve"> </w:t>
      </w:r>
    </w:p>
    <w:p w:rsidR="0CDF752A" w:rsidP="4DF95668" w:rsidRDefault="0CDF752A" w14:paraId="62B439F5" w14:textId="29C57B80">
      <w:pPr>
        <w:pStyle w:val="Normal"/>
        <w:jc w:val="left"/>
        <w:rPr>
          <w:rFonts w:ascii="Arial" w:hAnsi="Arial" w:eastAsia="Arial" w:cs="Arial"/>
          <w:b w:val="1"/>
          <w:bCs w:val="1"/>
          <w:i w:val="0"/>
          <w:iCs w:val="0"/>
          <w:noProof w:val="0"/>
          <w:sz w:val="20"/>
          <w:szCs w:val="20"/>
          <w:lang w:val="en-GB"/>
        </w:rPr>
      </w:pPr>
      <w:r w:rsidRPr="4DF95668" w:rsidR="0CDF752A">
        <w:rPr>
          <w:rFonts w:ascii="Arial" w:hAnsi="Arial" w:eastAsia="Arial" w:cs="Arial"/>
          <w:b w:val="1"/>
          <w:bCs w:val="1"/>
          <w:i w:val="0"/>
          <w:iCs w:val="0"/>
          <w:noProof w:val="0"/>
          <w:sz w:val="20"/>
          <w:szCs w:val="20"/>
          <w:lang w:val="en-GB"/>
        </w:rPr>
        <w:t xml:space="preserve">  </w:t>
      </w:r>
      <w:r w:rsidRPr="4DF95668" w:rsidR="554CB51B">
        <w:rPr>
          <w:rFonts w:ascii="Arial" w:hAnsi="Arial" w:eastAsia="Arial" w:cs="Arial"/>
          <w:b w:val="1"/>
          <w:bCs w:val="1"/>
          <w:i w:val="0"/>
          <w:iCs w:val="0"/>
          <w:noProof w:val="0"/>
          <w:sz w:val="20"/>
          <w:szCs w:val="20"/>
          <w:lang w:val="en-GB"/>
        </w:rPr>
        <w:t>Government</w:t>
      </w:r>
      <w:r w:rsidRPr="4DF95668" w:rsidR="660D5C3C">
        <w:rPr>
          <w:rFonts w:ascii="Arial" w:hAnsi="Arial" w:eastAsia="Arial" w:cs="Arial"/>
          <w:b w:val="1"/>
          <w:bCs w:val="1"/>
          <w:i w:val="0"/>
          <w:iCs w:val="0"/>
          <w:noProof w:val="0"/>
          <w:sz w:val="20"/>
          <w:szCs w:val="20"/>
          <w:lang w:val="en-GB"/>
        </w:rPr>
        <w:t xml:space="preserve">                                      </w:t>
      </w:r>
      <w:r w:rsidRPr="4DF95668" w:rsidR="19BDC387">
        <w:rPr>
          <w:rFonts w:ascii="Arial" w:hAnsi="Arial" w:eastAsia="Arial" w:cs="Arial"/>
          <w:b w:val="1"/>
          <w:bCs w:val="1"/>
          <w:i w:val="0"/>
          <w:iCs w:val="0"/>
          <w:noProof w:val="0"/>
          <w:sz w:val="20"/>
          <w:szCs w:val="20"/>
          <w:lang w:val="en-GB"/>
        </w:rPr>
        <w:t xml:space="preserve">                                                                                         </w:t>
      </w:r>
      <w:r w:rsidRPr="4DF95668" w:rsidR="660D5C3C">
        <w:rPr>
          <w:rFonts w:ascii="Arial" w:hAnsi="Arial" w:eastAsia="Arial" w:cs="Arial"/>
          <w:b w:val="1"/>
          <w:bCs w:val="1"/>
          <w:i w:val="0"/>
          <w:iCs w:val="0"/>
          <w:noProof w:val="0"/>
          <w:sz w:val="20"/>
          <w:szCs w:val="20"/>
          <w:lang w:val="en-GB"/>
        </w:rPr>
        <w:t xml:space="preserve">   </w:t>
      </w:r>
      <w:r w:rsidRPr="4DF95668" w:rsidR="3D416E96">
        <w:rPr>
          <w:rFonts w:ascii="Arial" w:hAnsi="Arial" w:eastAsia="Arial" w:cs="Arial"/>
          <w:b w:val="1"/>
          <w:bCs w:val="1"/>
          <w:i w:val="0"/>
          <w:iCs w:val="0"/>
          <w:noProof w:val="0"/>
          <w:sz w:val="20"/>
          <w:szCs w:val="20"/>
          <w:lang w:val="en-GB"/>
        </w:rPr>
        <w:t xml:space="preserve"> </w:t>
      </w:r>
      <w:r w:rsidRPr="4DF95668" w:rsidR="660D5C3C">
        <w:rPr>
          <w:rFonts w:ascii="Arial" w:hAnsi="Arial" w:eastAsia="Arial" w:cs="Arial"/>
          <w:b w:val="1"/>
          <w:bCs w:val="1"/>
          <w:i w:val="0"/>
          <w:iCs w:val="0"/>
          <w:noProof w:val="0"/>
          <w:sz w:val="20"/>
          <w:szCs w:val="20"/>
          <w:lang w:val="en-GB"/>
        </w:rPr>
        <w:t>1</w:t>
      </w:r>
      <w:r w:rsidRPr="4DF95668" w:rsidR="7B4E63AB">
        <w:rPr>
          <w:rFonts w:ascii="Arial" w:hAnsi="Arial" w:eastAsia="Arial" w:cs="Arial"/>
          <w:b w:val="1"/>
          <w:bCs w:val="1"/>
          <w:i w:val="0"/>
          <w:iCs w:val="0"/>
          <w:noProof w:val="0"/>
          <w:sz w:val="20"/>
          <w:szCs w:val="20"/>
          <w:lang w:val="en-GB"/>
        </w:rPr>
        <w:t>2</w:t>
      </w:r>
      <w:r>
        <w:br/>
      </w:r>
    </w:p>
    <w:p w:rsidR="20420A4B" w:rsidP="4DF95668" w:rsidRDefault="20420A4B" w14:paraId="12853C39" w14:textId="46B44EA7">
      <w:pPr>
        <w:pStyle w:val="Normal"/>
        <w:jc w:val="left"/>
        <w:rPr>
          <w:rFonts w:ascii="Arial" w:hAnsi="Arial" w:eastAsia="Arial" w:cs="Arial"/>
          <w:b w:val="1"/>
          <w:bCs w:val="1"/>
          <w:i w:val="0"/>
          <w:iCs w:val="0"/>
          <w:noProof w:val="0"/>
          <w:sz w:val="20"/>
          <w:szCs w:val="20"/>
          <w:lang w:val="en-GB"/>
        </w:rPr>
      </w:pPr>
      <w:r w:rsidRPr="4DF95668" w:rsidR="20420A4B">
        <w:rPr>
          <w:rFonts w:ascii="Arial" w:hAnsi="Arial" w:eastAsia="Arial" w:cs="Arial"/>
          <w:b w:val="1"/>
          <w:bCs w:val="1"/>
          <w:i w:val="0"/>
          <w:iCs w:val="0"/>
          <w:noProof w:val="0"/>
          <w:sz w:val="20"/>
          <w:szCs w:val="20"/>
          <w:lang w:val="en-GB"/>
        </w:rPr>
        <w:t xml:space="preserve">  </w:t>
      </w:r>
      <w:r w:rsidRPr="4DF95668" w:rsidR="386AE35C">
        <w:rPr>
          <w:rFonts w:ascii="Arial" w:hAnsi="Arial" w:eastAsia="Arial" w:cs="Arial"/>
          <w:b w:val="1"/>
          <w:bCs w:val="1"/>
          <w:i w:val="0"/>
          <w:iCs w:val="0"/>
          <w:noProof w:val="0"/>
          <w:sz w:val="20"/>
          <w:szCs w:val="20"/>
          <w:lang w:val="en-GB"/>
        </w:rPr>
        <w:t>Chance and Porter Diamond Scorecard</w:t>
      </w:r>
      <w:r w:rsidRPr="4DF95668" w:rsidR="1648F4F9">
        <w:rPr>
          <w:rFonts w:ascii="Arial" w:hAnsi="Arial" w:eastAsia="Arial" w:cs="Arial"/>
          <w:b w:val="1"/>
          <w:bCs w:val="1"/>
          <w:i w:val="0"/>
          <w:iCs w:val="0"/>
          <w:noProof w:val="0"/>
          <w:sz w:val="20"/>
          <w:szCs w:val="20"/>
          <w:lang w:val="en-GB"/>
        </w:rPr>
        <w:t xml:space="preserve">                                            </w:t>
      </w:r>
      <w:r w:rsidRPr="4DF95668" w:rsidR="58809004">
        <w:rPr>
          <w:rFonts w:ascii="Arial" w:hAnsi="Arial" w:eastAsia="Arial" w:cs="Arial"/>
          <w:b w:val="1"/>
          <w:bCs w:val="1"/>
          <w:i w:val="0"/>
          <w:iCs w:val="0"/>
          <w:noProof w:val="0"/>
          <w:sz w:val="20"/>
          <w:szCs w:val="20"/>
          <w:lang w:val="en-GB"/>
        </w:rPr>
        <w:t xml:space="preserve">                                        </w:t>
      </w:r>
      <w:r w:rsidRPr="4DF95668" w:rsidR="1AB10935">
        <w:rPr>
          <w:rFonts w:ascii="Arial" w:hAnsi="Arial" w:eastAsia="Arial" w:cs="Arial"/>
          <w:b w:val="1"/>
          <w:bCs w:val="1"/>
          <w:i w:val="0"/>
          <w:iCs w:val="0"/>
          <w:noProof w:val="0"/>
          <w:sz w:val="20"/>
          <w:szCs w:val="20"/>
          <w:lang w:val="en-GB"/>
        </w:rPr>
        <w:t xml:space="preserve"> </w:t>
      </w:r>
      <w:r w:rsidRPr="4DF95668" w:rsidR="58809004">
        <w:rPr>
          <w:rFonts w:ascii="Arial" w:hAnsi="Arial" w:eastAsia="Arial" w:cs="Arial"/>
          <w:b w:val="1"/>
          <w:bCs w:val="1"/>
          <w:i w:val="0"/>
          <w:iCs w:val="0"/>
          <w:noProof w:val="0"/>
          <w:sz w:val="20"/>
          <w:szCs w:val="20"/>
          <w:lang w:val="en-GB"/>
        </w:rPr>
        <w:t>13</w:t>
      </w:r>
      <w:r w:rsidRPr="4DF95668" w:rsidR="1648F4F9">
        <w:rPr>
          <w:rFonts w:ascii="Arial" w:hAnsi="Arial" w:eastAsia="Arial" w:cs="Arial"/>
          <w:b w:val="1"/>
          <w:bCs w:val="1"/>
          <w:i w:val="0"/>
          <w:iCs w:val="0"/>
          <w:noProof w:val="0"/>
          <w:sz w:val="20"/>
          <w:szCs w:val="20"/>
          <w:lang w:val="en-GB"/>
        </w:rPr>
        <w:t xml:space="preserve">                                 </w:t>
      </w:r>
    </w:p>
    <w:p w:rsidR="76E74E04" w:rsidP="4DF95668" w:rsidRDefault="76E74E04" w14:paraId="3C064767" w14:textId="414FAFE6">
      <w:pPr>
        <w:pStyle w:val="Normal"/>
        <w:jc w:val="left"/>
        <w:rPr>
          <w:rFonts w:ascii="Aptos" w:hAnsi="Aptos" w:eastAsia="Aptos" w:cs="Aptos"/>
          <w:b w:val="1"/>
          <w:bCs w:val="1"/>
          <w:noProof w:val="0"/>
          <w:sz w:val="32"/>
          <w:szCs w:val="32"/>
          <w:lang w:val="en-GB"/>
        </w:rPr>
      </w:pPr>
      <w:r w:rsidRPr="4DF95668" w:rsidR="76E74E04">
        <w:rPr>
          <w:rFonts w:ascii="Aptos" w:hAnsi="Aptos" w:eastAsia="Aptos" w:cs="Aptos"/>
          <w:b w:val="1"/>
          <w:bCs w:val="1"/>
          <w:noProof w:val="0"/>
          <w:sz w:val="20"/>
          <w:szCs w:val="20"/>
          <w:lang w:val="en-GB"/>
        </w:rPr>
        <w:t xml:space="preserve">   </w:t>
      </w:r>
    </w:p>
    <w:p w:rsidR="366670BF" w:rsidP="4DF95668" w:rsidRDefault="366670BF" w14:paraId="03697810" w14:textId="58ABD971">
      <w:pPr>
        <w:pStyle w:val="Normal"/>
        <w:jc w:val="left"/>
        <w:rPr>
          <w:rFonts w:ascii="Aptos" w:hAnsi="Aptos" w:eastAsia="Aptos" w:cs="Aptos"/>
          <w:b w:val="1"/>
          <w:bCs w:val="1"/>
          <w:noProof w:val="0"/>
          <w:sz w:val="32"/>
          <w:szCs w:val="32"/>
          <w:lang w:val="en-GB"/>
        </w:rPr>
      </w:pPr>
      <w:r w:rsidRPr="4DF95668" w:rsidR="366670BF">
        <w:rPr>
          <w:rFonts w:ascii="Aptos" w:hAnsi="Aptos" w:eastAsia="Aptos" w:cs="Aptos"/>
          <w:b w:val="1"/>
          <w:bCs w:val="1"/>
          <w:noProof w:val="0"/>
          <w:sz w:val="20"/>
          <w:szCs w:val="20"/>
          <w:lang w:val="en-GB"/>
        </w:rPr>
        <w:t xml:space="preserve">  </w:t>
      </w:r>
      <w:r w:rsidRPr="4DF95668" w:rsidR="011EE8FE">
        <w:rPr>
          <w:rFonts w:ascii="Aptos" w:hAnsi="Aptos" w:eastAsia="Aptos" w:cs="Aptos"/>
          <w:b w:val="1"/>
          <w:bCs w:val="1"/>
          <w:noProof w:val="0"/>
          <w:sz w:val="20"/>
          <w:szCs w:val="20"/>
          <w:lang w:val="en-GB"/>
        </w:rPr>
        <w:t xml:space="preserve">Foreign MNC/TNC Analysis: Tianqi Lithium Corporation in Australia  </w:t>
      </w:r>
      <w:r w:rsidRPr="4DF95668" w:rsidR="0C17E67C">
        <w:rPr>
          <w:rFonts w:ascii="Aptos" w:hAnsi="Aptos" w:eastAsia="Aptos" w:cs="Aptos"/>
          <w:b w:val="1"/>
          <w:bCs w:val="1"/>
          <w:noProof w:val="0"/>
          <w:sz w:val="20"/>
          <w:szCs w:val="20"/>
          <w:lang w:val="en-GB"/>
        </w:rPr>
        <w:t xml:space="preserve">                                                       </w:t>
      </w:r>
      <w:r w:rsidRPr="4DF95668" w:rsidR="4E5828E9">
        <w:rPr>
          <w:rFonts w:ascii="Aptos" w:hAnsi="Aptos" w:eastAsia="Aptos" w:cs="Aptos"/>
          <w:b w:val="1"/>
          <w:bCs w:val="1"/>
          <w:noProof w:val="0"/>
          <w:sz w:val="20"/>
          <w:szCs w:val="20"/>
          <w:lang w:val="en-GB"/>
        </w:rPr>
        <w:t xml:space="preserve"> </w:t>
      </w:r>
      <w:r w:rsidRPr="4DF95668" w:rsidR="0C17E67C">
        <w:rPr>
          <w:rFonts w:ascii="Aptos" w:hAnsi="Aptos" w:eastAsia="Aptos" w:cs="Aptos"/>
          <w:b w:val="1"/>
          <w:bCs w:val="1"/>
          <w:noProof w:val="0"/>
          <w:sz w:val="20"/>
          <w:szCs w:val="20"/>
          <w:lang w:val="en-GB"/>
        </w:rPr>
        <w:t xml:space="preserve">  14</w:t>
      </w:r>
      <w:r>
        <w:br/>
      </w:r>
      <w:r>
        <w:br/>
      </w:r>
      <w:r w:rsidRPr="4DF95668" w:rsidR="660D5C3C">
        <w:rPr>
          <w:rFonts w:ascii="Arial" w:hAnsi="Arial" w:eastAsia="Arial" w:cs="Arial"/>
          <w:b w:val="1"/>
          <w:bCs w:val="1"/>
          <w:i w:val="0"/>
          <w:iCs w:val="0"/>
          <w:noProof w:val="0"/>
          <w:sz w:val="20"/>
          <w:szCs w:val="20"/>
          <w:lang w:val="en-GB"/>
        </w:rPr>
        <w:t xml:space="preserve"> </w:t>
      </w:r>
      <w:r w:rsidRPr="4DF95668" w:rsidR="0CEEC774">
        <w:rPr>
          <w:rFonts w:ascii="Arial" w:hAnsi="Arial" w:eastAsia="Arial" w:cs="Arial"/>
          <w:b w:val="1"/>
          <w:bCs w:val="1"/>
          <w:i w:val="0"/>
          <w:iCs w:val="0"/>
          <w:noProof w:val="0"/>
          <w:sz w:val="20"/>
          <w:szCs w:val="20"/>
          <w:lang w:val="en-GB"/>
        </w:rPr>
        <w:t xml:space="preserve">Conclusion                                                                                                                                      </w:t>
      </w:r>
      <w:r w:rsidRPr="4DF95668" w:rsidR="660D5C3C">
        <w:rPr>
          <w:rFonts w:ascii="Arial" w:hAnsi="Arial" w:eastAsia="Arial" w:cs="Arial"/>
          <w:b w:val="1"/>
          <w:bCs w:val="1"/>
          <w:i w:val="0"/>
          <w:iCs w:val="0"/>
          <w:noProof w:val="0"/>
          <w:sz w:val="20"/>
          <w:szCs w:val="20"/>
          <w:lang w:val="en-GB"/>
        </w:rPr>
        <w:t>19</w:t>
      </w:r>
      <w:r>
        <w:br/>
      </w:r>
      <w:r>
        <w:br/>
      </w:r>
      <w:r w:rsidRPr="4DF95668" w:rsidR="44F9C546">
        <w:rPr>
          <w:rFonts w:ascii="Aptos" w:hAnsi="Aptos" w:eastAsia="Aptos" w:cs="Aptos"/>
          <w:b w:val="1"/>
          <w:bCs w:val="1"/>
          <w:noProof w:val="0"/>
          <w:sz w:val="20"/>
          <w:szCs w:val="20"/>
          <w:lang w:val="en-GB"/>
        </w:rPr>
        <w:t xml:space="preserve"> </w:t>
      </w:r>
      <w:r w:rsidRPr="4DF95668" w:rsidR="4FFCC23E">
        <w:rPr>
          <w:rFonts w:ascii="Aptos" w:hAnsi="Aptos" w:eastAsia="Aptos" w:cs="Aptos"/>
          <w:b w:val="1"/>
          <w:bCs w:val="1"/>
          <w:noProof w:val="0"/>
          <w:sz w:val="20"/>
          <w:szCs w:val="20"/>
          <w:lang w:val="en-GB"/>
        </w:rPr>
        <w:t xml:space="preserve">SECTION </w:t>
      </w:r>
      <w:r w:rsidRPr="4DF95668" w:rsidR="4FFCC23E">
        <w:rPr>
          <w:rFonts w:ascii="Aptos" w:hAnsi="Aptos" w:eastAsia="Aptos" w:cs="Aptos"/>
          <w:b w:val="1"/>
          <w:bCs w:val="1"/>
          <w:noProof w:val="0"/>
          <w:sz w:val="20"/>
          <w:szCs w:val="20"/>
          <w:lang w:val="en-GB"/>
        </w:rPr>
        <w:t>2 :</w:t>
      </w:r>
      <w:r w:rsidRPr="4DF95668" w:rsidR="4FFCC23E">
        <w:rPr>
          <w:rFonts w:ascii="Aptos" w:hAnsi="Aptos" w:eastAsia="Aptos" w:cs="Aptos"/>
          <w:b w:val="1"/>
          <w:bCs w:val="1"/>
          <w:noProof w:val="0"/>
          <w:sz w:val="20"/>
          <w:szCs w:val="20"/>
          <w:lang w:val="en-GB"/>
        </w:rPr>
        <w:t xml:space="preserve"> Reflective Account Using Gibbs’ Reflective Cycle: Researching, Analysing, and </w:t>
      </w:r>
      <w:r w:rsidRPr="4DF95668" w:rsidR="717AE92C">
        <w:rPr>
          <w:rFonts w:ascii="Aptos" w:hAnsi="Aptos" w:eastAsia="Aptos" w:cs="Aptos"/>
          <w:b w:val="1"/>
          <w:bCs w:val="1"/>
          <w:noProof w:val="0"/>
          <w:sz w:val="20"/>
          <w:szCs w:val="20"/>
          <w:lang w:val="en-GB"/>
        </w:rPr>
        <w:t xml:space="preserve">   </w:t>
      </w:r>
      <w:r w:rsidRPr="4DF95668" w:rsidR="4FFCC23E">
        <w:rPr>
          <w:rFonts w:ascii="Aptos" w:hAnsi="Aptos" w:eastAsia="Aptos" w:cs="Aptos"/>
          <w:b w:val="1"/>
          <w:bCs w:val="1"/>
          <w:noProof w:val="0"/>
          <w:sz w:val="20"/>
          <w:szCs w:val="20"/>
          <w:lang w:val="en-GB"/>
        </w:rPr>
        <w:t>Preparing the Assessment Section</w:t>
      </w:r>
      <w:r w:rsidRPr="4DF95668" w:rsidR="5ADEF272">
        <w:rPr>
          <w:rFonts w:ascii="Aptos" w:hAnsi="Aptos" w:eastAsia="Aptos" w:cs="Aptos"/>
          <w:b w:val="1"/>
          <w:bCs w:val="1"/>
          <w:noProof w:val="0"/>
          <w:sz w:val="20"/>
          <w:szCs w:val="20"/>
          <w:lang w:val="en-GB"/>
        </w:rPr>
        <w:t xml:space="preserve">                                                                                                                                   </w:t>
      </w:r>
      <w:r w:rsidRPr="4DF95668" w:rsidR="16F177C5">
        <w:rPr>
          <w:rFonts w:ascii="Aptos" w:hAnsi="Aptos" w:eastAsia="Aptos" w:cs="Aptos"/>
          <w:b w:val="1"/>
          <w:bCs w:val="1"/>
          <w:noProof w:val="0"/>
          <w:sz w:val="20"/>
          <w:szCs w:val="20"/>
          <w:lang w:val="en-GB"/>
        </w:rPr>
        <w:t xml:space="preserve">  </w:t>
      </w:r>
      <w:r w:rsidRPr="4DF95668" w:rsidR="5ADEF272">
        <w:rPr>
          <w:rFonts w:ascii="Aptos" w:hAnsi="Aptos" w:eastAsia="Aptos" w:cs="Aptos"/>
          <w:b w:val="1"/>
          <w:bCs w:val="1"/>
          <w:noProof w:val="0"/>
          <w:sz w:val="20"/>
          <w:szCs w:val="20"/>
          <w:lang w:val="en-GB"/>
        </w:rPr>
        <w:t xml:space="preserve">  21</w:t>
      </w:r>
    </w:p>
    <w:p w:rsidR="4DF95668" w:rsidP="4DF95668" w:rsidRDefault="4DF95668" w14:paraId="6B15D2F9" w14:textId="264A73CA">
      <w:pPr>
        <w:pStyle w:val="Normal"/>
        <w:jc w:val="left"/>
        <w:rPr>
          <w:rFonts w:ascii="Aptos" w:hAnsi="Aptos" w:eastAsia="Aptos" w:cs="Aptos"/>
          <w:b w:val="1"/>
          <w:bCs w:val="1"/>
          <w:noProof w:val="0"/>
          <w:sz w:val="20"/>
          <w:szCs w:val="20"/>
          <w:lang w:val="en-GB"/>
        </w:rPr>
      </w:pPr>
    </w:p>
    <w:p w:rsidR="5ADEF272" w:rsidP="4DF95668" w:rsidRDefault="5ADEF272" w14:paraId="3B9C1967" w14:textId="53A65EA8">
      <w:pPr>
        <w:pStyle w:val="Normal"/>
        <w:jc w:val="left"/>
        <w:rPr>
          <w:rFonts w:ascii="Aptos" w:hAnsi="Aptos" w:eastAsia="Aptos" w:cs="Aptos"/>
          <w:b w:val="1"/>
          <w:bCs w:val="1"/>
          <w:noProof w:val="0"/>
          <w:sz w:val="20"/>
          <w:szCs w:val="20"/>
          <w:lang w:val="en-GB"/>
        </w:rPr>
      </w:pPr>
      <w:r w:rsidRPr="4DF95668" w:rsidR="5ADEF272">
        <w:rPr>
          <w:rFonts w:ascii="Aptos" w:hAnsi="Aptos" w:eastAsia="Aptos" w:cs="Aptos"/>
          <w:b w:val="1"/>
          <w:bCs w:val="1"/>
          <w:noProof w:val="0"/>
          <w:sz w:val="20"/>
          <w:szCs w:val="20"/>
          <w:lang w:val="en-GB"/>
        </w:rPr>
        <w:t xml:space="preserve">References </w:t>
      </w:r>
      <w:r w:rsidRPr="4DF95668" w:rsidR="3CE3A242">
        <w:rPr>
          <w:rFonts w:ascii="Aptos" w:hAnsi="Aptos" w:eastAsia="Aptos" w:cs="Aptos"/>
          <w:b w:val="1"/>
          <w:bCs w:val="1"/>
          <w:noProof w:val="0"/>
          <w:sz w:val="20"/>
          <w:szCs w:val="20"/>
          <w:lang w:val="en-GB"/>
        </w:rPr>
        <w:t xml:space="preserve">                                                                                                                                                                                         27</w:t>
      </w:r>
    </w:p>
    <w:p w:rsidR="4DF95668" w:rsidP="4DF95668" w:rsidRDefault="4DF95668" w14:paraId="0372236E" w14:textId="6AC5D0C1">
      <w:pPr>
        <w:pStyle w:val="Normal"/>
        <w:spacing w:before="240" w:beforeAutospacing="off" w:after="240" w:afterAutospacing="off"/>
        <w:rPr>
          <w:rFonts w:ascii="Arial" w:hAnsi="Arial" w:eastAsia="Arial" w:cs="Arial"/>
          <w:b w:val="1"/>
          <w:bCs w:val="1"/>
          <w:i w:val="0"/>
          <w:iCs w:val="0"/>
          <w:noProof w:val="0"/>
          <w:sz w:val="20"/>
          <w:szCs w:val="20"/>
          <w:lang w:val="en-GB"/>
        </w:rPr>
      </w:pPr>
    </w:p>
    <w:p w:rsidR="4DF95668" w:rsidP="4DF95668" w:rsidRDefault="4DF95668" w14:paraId="717E1B92" w14:textId="067D6771">
      <w:pPr>
        <w:pStyle w:val="Normal"/>
        <w:rPr>
          <w:b w:val="1"/>
          <w:bCs w:val="1"/>
        </w:rPr>
      </w:pPr>
    </w:p>
    <w:p w:rsidR="6C9A2BB4" w:rsidP="6C9A2BB4" w:rsidRDefault="6C9A2BB4" w14:paraId="52B2FA90" w14:textId="024D3BBE">
      <w:pPr>
        <w:pStyle w:val="Normal"/>
        <w:rPr>
          <w:b w:val="1"/>
          <w:bCs w:val="1"/>
        </w:rPr>
      </w:pPr>
    </w:p>
    <w:p w:rsidR="6C9A2BB4" w:rsidP="6C9A2BB4" w:rsidRDefault="6C9A2BB4" w14:paraId="2765E3C7" w14:textId="0866FC25">
      <w:pPr>
        <w:pStyle w:val="Normal"/>
        <w:rPr>
          <w:b w:val="1"/>
          <w:bCs w:val="1"/>
        </w:rPr>
      </w:pPr>
    </w:p>
    <w:p w:rsidR="6C9A2BB4" w:rsidP="6C9A2BB4" w:rsidRDefault="6C9A2BB4" w14:paraId="77924A1F" w14:textId="3872A3F4">
      <w:pPr>
        <w:pStyle w:val="Normal"/>
        <w:rPr>
          <w:b w:val="1"/>
          <w:bCs w:val="1"/>
        </w:rPr>
      </w:pPr>
    </w:p>
    <w:p w:rsidR="6C9A2BB4" w:rsidP="6C9A2BB4" w:rsidRDefault="6C9A2BB4" w14:paraId="159893C8" w14:textId="608DDB7C">
      <w:pPr>
        <w:pStyle w:val="Normal"/>
        <w:rPr>
          <w:b w:val="1"/>
          <w:bCs w:val="1"/>
        </w:rPr>
      </w:pPr>
    </w:p>
    <w:p w:rsidR="6C9A2BB4" w:rsidP="49E66D2A" w:rsidRDefault="6C9A2BB4" w14:paraId="16EA487E" w14:textId="1DFA2771">
      <w:pPr>
        <w:pStyle w:val="Normal"/>
        <w:rPr>
          <w:b w:val="1"/>
          <w:bCs w:val="1"/>
        </w:rPr>
      </w:pPr>
    </w:p>
    <w:p w:rsidR="4DF95668" w:rsidP="4DF95668" w:rsidRDefault="4DF95668" w14:paraId="2BC05E43" w14:textId="5C379739">
      <w:pPr>
        <w:pStyle w:val="Normal"/>
        <w:rPr>
          <w:b w:val="1"/>
          <w:bCs w:val="1"/>
        </w:rPr>
      </w:pPr>
    </w:p>
    <w:p w:rsidR="4DF95668" w:rsidP="4DF95668" w:rsidRDefault="4DF95668" w14:paraId="4D12393D" w14:textId="1773D3E5">
      <w:pPr>
        <w:pStyle w:val="Normal"/>
        <w:rPr>
          <w:b w:val="1"/>
          <w:bCs w:val="1"/>
        </w:rPr>
      </w:pPr>
    </w:p>
    <w:p w:rsidR="4DF95668" w:rsidP="4DF95668" w:rsidRDefault="4DF95668" w14:paraId="4B752967" w14:textId="54DDE03C">
      <w:pPr>
        <w:pStyle w:val="Normal"/>
        <w:rPr>
          <w:b w:val="1"/>
          <w:bCs w:val="1"/>
        </w:rPr>
      </w:pPr>
    </w:p>
    <w:p w:rsidR="4DF95668" w:rsidP="4DF95668" w:rsidRDefault="4DF95668" w14:paraId="00327EAB" w14:textId="166CC4B4">
      <w:pPr>
        <w:pStyle w:val="Normal"/>
        <w:rPr>
          <w:b w:val="1"/>
          <w:bCs w:val="1"/>
        </w:rPr>
      </w:pPr>
    </w:p>
    <w:p w:rsidR="4DF95668" w:rsidP="4DF95668" w:rsidRDefault="4DF95668" w14:paraId="763BD6A5" w14:textId="0881AFE8">
      <w:pPr>
        <w:pStyle w:val="Normal"/>
        <w:rPr>
          <w:b w:val="1"/>
          <w:bCs w:val="1"/>
        </w:rPr>
      </w:pPr>
    </w:p>
    <w:p w:rsidR="4DF95668" w:rsidP="4DF95668" w:rsidRDefault="4DF95668" w14:paraId="0BB1FB6F" w14:textId="638B1375">
      <w:pPr>
        <w:pStyle w:val="Normal"/>
        <w:rPr>
          <w:b w:val="1"/>
          <w:bCs w:val="1"/>
        </w:rPr>
      </w:pPr>
    </w:p>
    <w:p w:rsidR="3E63163B" w:rsidP="1A5F3DDE" w:rsidRDefault="3E63163B" w14:paraId="4C5A2A02" w14:textId="28C4C78C">
      <w:pPr>
        <w:pStyle w:val="ListParagraph"/>
        <w:spacing w:before="0" w:beforeAutospacing="off" w:after="0" w:afterAutospacing="off"/>
        <w:ind w:left="720"/>
        <w:rPr>
          <w:rFonts w:ascii="Aptos" w:hAnsi="Aptos" w:eastAsia="Aptos" w:cs="Aptos"/>
          <w:b w:val="1"/>
          <w:bCs w:val="1"/>
          <w:noProof w:val="0"/>
          <w:sz w:val="32"/>
          <w:szCs w:val="32"/>
          <w:lang w:val="en-GB"/>
        </w:rPr>
      </w:pPr>
      <w:r w:rsidRPr="1A5F3DDE" w:rsidR="3E63163B">
        <w:rPr>
          <w:rFonts w:ascii="Aptos" w:hAnsi="Aptos" w:eastAsia="Aptos" w:cs="Aptos"/>
          <w:b w:val="1"/>
          <w:bCs w:val="1"/>
          <w:noProof w:val="0"/>
          <w:sz w:val="32"/>
          <w:szCs w:val="32"/>
          <w:lang w:val="en-GB"/>
        </w:rPr>
        <w:t>Australia’s Competitive Edge in Critical Minerals Processing: Rare Earths, Lithium Hydroxide and Tianqi Lithium’s Operations in Australia</w:t>
      </w:r>
    </w:p>
    <w:p w:rsidR="1B0B79CD" w:rsidP="1B0B79CD" w:rsidRDefault="1B0B79CD" w14:paraId="3A38E9BC" w14:textId="66387BF9">
      <w:pPr>
        <w:spacing w:before="240" w:beforeAutospacing="off" w:after="240" w:afterAutospacing="off"/>
        <w:jc w:val="both"/>
        <w:rPr>
          <w:rFonts w:ascii="Aptos" w:hAnsi="Aptos" w:eastAsia="Aptos" w:cs="Aptos"/>
          <w:b w:val="1"/>
          <w:bCs w:val="1"/>
          <w:noProof w:val="0"/>
          <w:sz w:val="24"/>
          <w:szCs w:val="24"/>
          <w:lang w:val="en-GB"/>
        </w:rPr>
      </w:pPr>
    </w:p>
    <w:p w:rsidR="6C9A2BB4" w:rsidP="1B0B79CD" w:rsidRDefault="6C9A2BB4" w14:paraId="41DF68D7" w14:textId="0E655B48">
      <w:pPr>
        <w:spacing w:before="240" w:beforeAutospacing="off" w:after="240" w:afterAutospacing="off"/>
        <w:jc w:val="left"/>
        <w:rPr>
          <w:rFonts w:ascii="Aptos" w:hAnsi="Aptos" w:eastAsia="Aptos" w:cs="Aptos"/>
          <w:b w:val="1"/>
          <w:bCs w:val="1"/>
          <w:noProof w:val="0"/>
          <w:sz w:val="24"/>
          <w:szCs w:val="24"/>
          <w:lang w:val="en-GB"/>
        </w:rPr>
      </w:pPr>
      <w:r w:rsidRPr="1A5F3DDE" w:rsidR="66E3B7F5">
        <w:rPr>
          <w:rFonts w:ascii="Aptos" w:hAnsi="Aptos" w:eastAsia="Aptos" w:cs="Aptos"/>
          <w:b w:val="1"/>
          <w:bCs w:val="1"/>
          <w:noProof w:val="0"/>
          <w:sz w:val="24"/>
          <w:szCs w:val="24"/>
          <w:lang w:val="en-GB"/>
        </w:rPr>
        <w:t xml:space="preserve">1. </w:t>
      </w:r>
      <w:r w:rsidRPr="1A5F3DDE" w:rsidR="63348DB0">
        <w:rPr>
          <w:rFonts w:ascii="Aptos" w:hAnsi="Aptos" w:eastAsia="Aptos" w:cs="Aptos"/>
          <w:b w:val="1"/>
          <w:bCs w:val="1"/>
          <w:noProof w:val="0"/>
          <w:sz w:val="24"/>
          <w:szCs w:val="24"/>
          <w:lang w:val="en-GB"/>
        </w:rPr>
        <w:t>Introduction</w:t>
      </w:r>
    </w:p>
    <w:p w:rsidR="6C9A2BB4" w:rsidP="1A5F3DDE" w:rsidRDefault="6C9A2BB4" w14:paraId="2A67ABD6" w14:textId="323EFDBD">
      <w:pPr>
        <w:pStyle w:val="Normal"/>
        <w:spacing w:before="240" w:beforeAutospacing="off" w:after="240" w:afterAutospacing="off" w:line="276" w:lineRule="auto"/>
        <w:jc w:val="left"/>
      </w:pPr>
      <w:r w:rsidRPr="4DF95668" w:rsidR="37FEDB9F">
        <w:rPr>
          <w:rFonts w:ascii="Aptos" w:hAnsi="Aptos" w:eastAsia="Aptos" w:cs="Aptos"/>
          <w:noProof w:val="0"/>
          <w:sz w:val="24"/>
          <w:szCs w:val="24"/>
          <w:lang w:val="en-GB"/>
        </w:rPr>
        <w:t>With a focus on rare earth separation and lithium hydroxide refining, this study examines</w:t>
      </w:r>
      <w:r w:rsidRPr="4DF95668" w:rsidR="37FEDB9F">
        <w:rPr>
          <w:rFonts w:ascii="Aptos" w:hAnsi="Aptos" w:eastAsia="Aptos" w:cs="Aptos"/>
          <w:b w:val="1"/>
          <w:bCs w:val="1"/>
          <w:noProof w:val="0"/>
          <w:sz w:val="24"/>
          <w:szCs w:val="24"/>
          <w:lang w:val="en-GB"/>
        </w:rPr>
        <w:t xml:space="preserve"> Australia's competitive advantage in the critical minerals processing sector</w:t>
      </w:r>
      <w:r w:rsidRPr="4DF95668" w:rsidR="37FEDB9F">
        <w:rPr>
          <w:rFonts w:ascii="Aptos" w:hAnsi="Aptos" w:eastAsia="Aptos" w:cs="Aptos"/>
          <w:noProof w:val="0"/>
          <w:sz w:val="24"/>
          <w:szCs w:val="24"/>
          <w:lang w:val="en-GB"/>
        </w:rPr>
        <w:t xml:space="preserve">. Because they are necessary for electric cars, battery storage, wind turbines, military systems, semiconductors, and advanced manufacturing, critical minerals are strategically significant. Australia already ranks among the top five producers of cobalt, manganese, rare earths, rutile, tantalum, and zircon, and it was the world's top producer of lithium </w:t>
      </w:r>
      <w:r w:rsidRPr="4DF95668" w:rsidR="37FEDB9F">
        <w:rPr>
          <w:rFonts w:ascii="Aptos" w:hAnsi="Aptos" w:eastAsia="Aptos" w:cs="Aptos"/>
          <w:noProof w:val="0"/>
          <w:sz w:val="24"/>
          <w:szCs w:val="24"/>
          <w:lang w:val="en-GB"/>
        </w:rPr>
        <w:t>in</w:t>
      </w:r>
      <w:r w:rsidRPr="4DF95668" w:rsidR="37FEDB9F">
        <w:rPr>
          <w:rFonts w:ascii="Aptos" w:hAnsi="Aptos" w:eastAsia="Aptos" w:cs="Aptos"/>
          <w:noProof w:val="0"/>
          <w:sz w:val="24"/>
          <w:szCs w:val="24"/>
          <w:lang w:val="en-GB"/>
        </w:rPr>
        <w:t xml:space="preserve"> 2023 (</w:t>
      </w:r>
      <w:r w:rsidRPr="4DF95668" w:rsidR="48A6E187">
        <w:rPr>
          <w:rFonts w:ascii="Aptos" w:hAnsi="Aptos" w:eastAsia="Aptos" w:cs="Aptos"/>
          <w:noProof w:val="0"/>
          <w:sz w:val="24"/>
          <w:szCs w:val="24"/>
          <w:lang w:val="en-GB"/>
        </w:rPr>
        <w:t>Geoscience Australia 2</w:t>
      </w:r>
      <w:r w:rsidRPr="4DF95668" w:rsidR="268368D6">
        <w:rPr>
          <w:rFonts w:ascii="Aptos" w:hAnsi="Aptos" w:eastAsia="Aptos" w:cs="Aptos"/>
          <w:noProof w:val="0"/>
          <w:sz w:val="24"/>
          <w:szCs w:val="24"/>
          <w:lang w:val="en-GB"/>
        </w:rPr>
        <w:t>025)</w:t>
      </w:r>
      <w:r w:rsidRPr="4DF95668" w:rsidR="37FEDB9F">
        <w:rPr>
          <w:rFonts w:ascii="Aptos" w:hAnsi="Aptos" w:eastAsia="Aptos" w:cs="Aptos"/>
          <w:noProof w:val="0"/>
          <w:sz w:val="24"/>
          <w:szCs w:val="24"/>
          <w:lang w:val="en-GB"/>
        </w:rPr>
        <w:t xml:space="preserve">. Moving past the extraction of basic minerals and increasing value through downstream processing, however, is Australia's strategic challenge. This study assesses Australia's competitiveness in </w:t>
      </w:r>
      <w:r w:rsidRPr="4DF95668" w:rsidR="37FEDB9F">
        <w:rPr>
          <w:rFonts w:ascii="Aptos" w:hAnsi="Aptos" w:eastAsia="Aptos" w:cs="Aptos"/>
          <w:noProof w:val="0"/>
          <w:sz w:val="24"/>
          <w:szCs w:val="24"/>
          <w:lang w:val="en-GB"/>
        </w:rPr>
        <w:t>crucial minerals processing using Porter's Diamond Model of National Advantage.</w:t>
      </w:r>
    </w:p>
    <w:p w:rsidR="6C2E5753" w:rsidP="4DF95668" w:rsidRDefault="6C2E5753" w14:paraId="204F6880" w14:textId="54B8866F">
      <w:pPr>
        <w:pStyle w:val="Normal"/>
        <w:spacing w:before="240" w:beforeAutospacing="off" w:after="240" w:afterAutospacing="off" w:line="276" w:lineRule="auto"/>
        <w:jc w:val="both"/>
        <w:rPr>
          <w:rFonts w:ascii="Aptos" w:hAnsi="Aptos" w:eastAsia="Aptos" w:cs="Aptos"/>
          <w:noProof w:val="0"/>
          <w:sz w:val="24"/>
          <w:szCs w:val="24"/>
          <w:lang w:val="en-GB"/>
        </w:rPr>
      </w:pPr>
      <w:r w:rsidRPr="4DF95668" w:rsidR="6C2E5753">
        <w:rPr>
          <w:rFonts w:ascii="Aptos" w:hAnsi="Aptos" w:eastAsia="Aptos" w:cs="Aptos"/>
          <w:noProof w:val="0"/>
          <w:sz w:val="24"/>
          <w:szCs w:val="24"/>
          <w:lang w:val="en-GB"/>
        </w:rPr>
        <w:t xml:space="preserve">Next, the report utilises PESTEL analysis, Hofstede’s cultural dimensions, and forward-market strategy to examine </w:t>
      </w:r>
      <w:r w:rsidRPr="4DF95668" w:rsidR="09D78619">
        <w:rPr>
          <w:rFonts w:ascii="Aptos" w:hAnsi="Aptos" w:eastAsia="Aptos" w:cs="Aptos"/>
          <w:b w:val="1"/>
          <w:bCs w:val="1"/>
          <w:noProof w:val="0"/>
          <w:sz w:val="24"/>
          <w:szCs w:val="24"/>
          <w:lang w:val="en-GB"/>
        </w:rPr>
        <w:t>Tianqi Lithium Corporation, a Chinese multinational operating in Australia through Tianqi Lithium Energy Australia.</w:t>
      </w:r>
    </w:p>
    <w:p w:rsidR="6C9A2BB4" w:rsidP="1B0B79CD" w:rsidRDefault="6C9A2BB4" w14:paraId="557FBDE6" w14:textId="621D173F">
      <w:pPr>
        <w:spacing w:before="240" w:beforeAutospacing="off" w:after="240" w:afterAutospacing="off" w:line="276" w:lineRule="auto"/>
        <w:jc w:val="both"/>
        <w:rPr>
          <w:rFonts w:ascii="Aptos" w:hAnsi="Aptos" w:eastAsia="Aptos" w:cs="Aptos"/>
          <w:b w:val="1"/>
          <w:bCs w:val="1"/>
          <w:noProof w:val="0"/>
          <w:sz w:val="24"/>
          <w:szCs w:val="24"/>
          <w:lang w:val="en-GB"/>
        </w:rPr>
      </w:pPr>
    </w:p>
    <w:p w:rsidR="6C9A2BB4" w:rsidP="1B0B79CD" w:rsidRDefault="6C9A2BB4" w14:paraId="149C10B5" w14:textId="174B11D0">
      <w:pPr>
        <w:spacing w:before="240" w:beforeAutospacing="off" w:after="240" w:afterAutospacing="off" w:line="276" w:lineRule="auto"/>
        <w:jc w:val="both"/>
        <w:rPr>
          <w:rFonts w:ascii="Aptos" w:hAnsi="Aptos" w:eastAsia="Aptos" w:cs="Aptos"/>
          <w:b w:val="1"/>
          <w:bCs w:val="1"/>
          <w:noProof w:val="0"/>
          <w:sz w:val="24"/>
          <w:szCs w:val="24"/>
          <w:lang w:val="en-GB"/>
        </w:rPr>
      </w:pPr>
    </w:p>
    <w:p w:rsidR="6C9A2BB4" w:rsidP="1B0B79CD" w:rsidRDefault="6C9A2BB4" w14:paraId="209FE261" w14:textId="475143C9">
      <w:pPr>
        <w:spacing w:before="240" w:beforeAutospacing="off" w:after="240" w:afterAutospacing="off" w:line="276" w:lineRule="auto"/>
        <w:jc w:val="both"/>
        <w:rPr>
          <w:rFonts w:ascii="Aptos" w:hAnsi="Aptos" w:eastAsia="Aptos" w:cs="Aptos"/>
          <w:b w:val="1"/>
          <w:bCs w:val="1"/>
          <w:noProof w:val="0"/>
          <w:sz w:val="24"/>
          <w:szCs w:val="24"/>
          <w:lang w:val="en-GB"/>
        </w:rPr>
      </w:pPr>
    </w:p>
    <w:p w:rsidR="6C9A2BB4" w:rsidP="1B0B79CD" w:rsidRDefault="6C9A2BB4" w14:paraId="18E8EBE5" w14:textId="507B6CB3">
      <w:pPr>
        <w:spacing w:before="240" w:beforeAutospacing="off" w:after="240" w:afterAutospacing="off" w:line="276" w:lineRule="auto"/>
        <w:jc w:val="both"/>
        <w:rPr>
          <w:rFonts w:ascii="Aptos" w:hAnsi="Aptos" w:eastAsia="Aptos" w:cs="Aptos"/>
          <w:b w:val="1"/>
          <w:bCs w:val="1"/>
          <w:noProof w:val="0"/>
          <w:sz w:val="24"/>
          <w:szCs w:val="24"/>
          <w:lang w:val="en-GB"/>
        </w:rPr>
      </w:pPr>
    </w:p>
    <w:p w:rsidR="6C9A2BB4" w:rsidP="1B0B79CD" w:rsidRDefault="6C9A2BB4" w14:paraId="34FE7301" w14:textId="4E52946B">
      <w:pPr>
        <w:spacing w:before="240" w:beforeAutospacing="off" w:after="240" w:afterAutospacing="off" w:line="276" w:lineRule="auto"/>
        <w:jc w:val="both"/>
        <w:rPr>
          <w:rFonts w:ascii="Aptos" w:hAnsi="Aptos" w:eastAsia="Aptos" w:cs="Aptos"/>
          <w:b w:val="1"/>
          <w:bCs w:val="1"/>
          <w:noProof w:val="0"/>
          <w:sz w:val="24"/>
          <w:szCs w:val="24"/>
          <w:lang w:val="en-GB"/>
        </w:rPr>
      </w:pPr>
    </w:p>
    <w:p w:rsidR="6C9A2BB4" w:rsidP="1A5F3DDE" w:rsidRDefault="6C9A2BB4" w14:paraId="22B03411" w14:textId="7EFF6A4D">
      <w:pPr>
        <w:spacing w:before="240" w:beforeAutospacing="off" w:after="240" w:afterAutospacing="off" w:line="276" w:lineRule="auto"/>
        <w:jc w:val="both"/>
        <w:rPr>
          <w:rFonts w:ascii="Aptos" w:hAnsi="Aptos" w:eastAsia="Aptos" w:cs="Aptos"/>
          <w:b w:val="1"/>
          <w:bCs w:val="1"/>
          <w:noProof w:val="0"/>
          <w:sz w:val="24"/>
          <w:szCs w:val="24"/>
          <w:lang w:val="en-GB"/>
        </w:rPr>
      </w:pPr>
    </w:p>
    <w:p w:rsidR="6C9A2BB4" w:rsidP="1A5F3DDE" w:rsidRDefault="6C9A2BB4" w14:paraId="5F67CAC4" w14:textId="513B54B4">
      <w:pPr>
        <w:spacing w:before="240" w:beforeAutospacing="off" w:after="240" w:afterAutospacing="off" w:line="276" w:lineRule="auto"/>
        <w:jc w:val="both"/>
        <w:rPr>
          <w:rFonts w:ascii="Aptos" w:hAnsi="Aptos" w:eastAsia="Aptos" w:cs="Aptos"/>
          <w:b w:val="1"/>
          <w:bCs w:val="1"/>
          <w:noProof w:val="0"/>
          <w:sz w:val="24"/>
          <w:szCs w:val="24"/>
          <w:lang w:val="en-GB"/>
        </w:rPr>
      </w:pPr>
    </w:p>
    <w:p w:rsidR="6C9A2BB4" w:rsidP="1A5F3DDE" w:rsidRDefault="6C9A2BB4" w14:paraId="3616294E" w14:textId="40635971">
      <w:pPr>
        <w:spacing w:before="240" w:beforeAutospacing="off" w:after="240" w:afterAutospacing="off" w:line="276" w:lineRule="auto"/>
        <w:jc w:val="both"/>
        <w:rPr>
          <w:rFonts w:ascii="Aptos" w:hAnsi="Aptos" w:eastAsia="Aptos" w:cs="Aptos"/>
          <w:b w:val="1"/>
          <w:bCs w:val="1"/>
          <w:noProof w:val="0"/>
          <w:sz w:val="24"/>
          <w:szCs w:val="24"/>
          <w:lang w:val="en-GB"/>
        </w:rPr>
      </w:pPr>
    </w:p>
    <w:p w:rsidR="6C9A2BB4" w:rsidP="1A5F3DDE" w:rsidRDefault="6C9A2BB4" w14:paraId="25B55FCE" w14:textId="77CBDAA6">
      <w:pPr>
        <w:spacing w:before="240" w:beforeAutospacing="off" w:after="240" w:afterAutospacing="off" w:line="276" w:lineRule="auto"/>
        <w:jc w:val="both"/>
        <w:rPr>
          <w:rFonts w:ascii="Aptos" w:hAnsi="Aptos" w:eastAsia="Aptos" w:cs="Aptos"/>
          <w:b w:val="1"/>
          <w:bCs w:val="1"/>
          <w:noProof w:val="0"/>
          <w:sz w:val="24"/>
          <w:szCs w:val="24"/>
          <w:lang w:val="en-GB"/>
        </w:rPr>
      </w:pPr>
    </w:p>
    <w:p w:rsidR="6C9A2BB4" w:rsidP="1A5F3DDE" w:rsidRDefault="6C9A2BB4" w14:paraId="3528A1D9" w14:textId="0CD32A19">
      <w:pPr>
        <w:spacing w:before="240" w:beforeAutospacing="off" w:after="240" w:afterAutospacing="off" w:line="276" w:lineRule="auto"/>
        <w:jc w:val="both"/>
        <w:rPr>
          <w:rFonts w:ascii="Aptos" w:hAnsi="Aptos" w:eastAsia="Aptos" w:cs="Aptos"/>
          <w:b w:val="1"/>
          <w:bCs w:val="1"/>
          <w:noProof w:val="0"/>
          <w:sz w:val="24"/>
          <w:szCs w:val="24"/>
          <w:lang w:val="en-GB"/>
        </w:rPr>
      </w:pPr>
    </w:p>
    <w:p w:rsidR="6C9A2BB4" w:rsidP="1A5F3DDE" w:rsidRDefault="6C9A2BB4" w14:paraId="75140CFC" w14:textId="5482FF1D">
      <w:pPr>
        <w:spacing w:before="240" w:beforeAutospacing="off" w:after="240" w:afterAutospacing="off" w:line="276" w:lineRule="auto"/>
        <w:jc w:val="both"/>
        <w:rPr>
          <w:rFonts w:ascii="Aptos" w:hAnsi="Aptos" w:eastAsia="Aptos" w:cs="Aptos"/>
          <w:b w:val="1"/>
          <w:bCs w:val="1"/>
          <w:noProof w:val="0"/>
          <w:sz w:val="24"/>
          <w:szCs w:val="24"/>
          <w:lang w:val="en-GB"/>
        </w:rPr>
      </w:pPr>
    </w:p>
    <w:p w:rsidR="6C9A2BB4" w:rsidP="1B0B79CD" w:rsidRDefault="6C9A2BB4" w14:paraId="79185379" w14:textId="2151638D">
      <w:pPr>
        <w:pStyle w:val="Normal"/>
        <w:spacing w:before="240" w:beforeAutospacing="off" w:after="240" w:afterAutospacing="off" w:line="276" w:lineRule="auto"/>
        <w:jc w:val="both"/>
        <w:rPr>
          <w:rFonts w:ascii="Aptos" w:hAnsi="Aptos" w:eastAsia="Aptos" w:cs="Aptos"/>
          <w:b w:val="1"/>
          <w:bCs w:val="1"/>
          <w:noProof w:val="0"/>
          <w:sz w:val="24"/>
          <w:szCs w:val="24"/>
          <w:lang w:val="en-GB"/>
        </w:rPr>
      </w:pPr>
    </w:p>
    <w:p w:rsidR="6C9A2BB4" w:rsidP="1A5F3DDE" w:rsidRDefault="6C9A2BB4" w14:paraId="1F58D57A" w14:textId="23C71E76">
      <w:pPr>
        <w:pStyle w:val="ListParagraph"/>
        <w:numPr>
          <w:ilvl w:val="0"/>
          <w:numId w:val="3"/>
        </w:numPr>
        <w:spacing w:before="0" w:beforeAutospacing="off" w:after="0" w:afterAutospacing="off" w:line="276" w:lineRule="auto"/>
        <w:jc w:val="left"/>
        <w:rPr>
          <w:b w:val="1"/>
          <w:bCs w:val="1"/>
          <w:noProof w:val="0"/>
          <w:sz w:val="32"/>
          <w:szCs w:val="32"/>
          <w:lang w:val="en-GB"/>
        </w:rPr>
      </w:pPr>
      <w:r w:rsidRPr="1A5F3DDE" w:rsidR="114F577F">
        <w:rPr>
          <w:b w:val="1"/>
          <w:bCs w:val="1"/>
          <w:noProof w:val="0"/>
          <w:sz w:val="32"/>
          <w:szCs w:val="32"/>
          <w:lang w:val="en-GB"/>
        </w:rPr>
        <w:t>Industry and Country Overview</w:t>
      </w:r>
    </w:p>
    <w:p w:rsidR="6C9A2BB4" w:rsidP="1A5F3DDE" w:rsidRDefault="6C9A2BB4" w14:paraId="73D407F0" w14:textId="3DD2D97F">
      <w:pPr>
        <w:spacing w:before="240" w:beforeAutospacing="off" w:after="198" w:afterAutospacing="off" w:line="276" w:lineRule="auto"/>
        <w:rPr>
          <w:noProof w:val="0"/>
          <w:lang w:val="en-GB"/>
        </w:rPr>
      </w:pPr>
    </w:p>
    <w:p w:rsidR="6C9A2BB4" w:rsidP="1A5F3DDE" w:rsidRDefault="6C9A2BB4" w14:paraId="30AA8B7E" w14:textId="31A301DE">
      <w:pPr>
        <w:spacing w:before="240" w:beforeAutospacing="off" w:after="198" w:afterAutospacing="off" w:line="276" w:lineRule="auto"/>
        <w:rPr>
          <w:noProof w:val="0"/>
          <w:lang w:val="en-GB"/>
        </w:rPr>
      </w:pPr>
    </w:p>
    <w:p w:rsidR="6C9A2BB4" w:rsidP="1A5F3DDE" w:rsidRDefault="6C9A2BB4" w14:paraId="0983F1D8" w14:textId="0F900E86">
      <w:pPr>
        <w:spacing w:before="240" w:beforeAutospacing="off" w:after="198" w:afterAutospacing="off" w:line="276" w:lineRule="auto"/>
        <w:rPr>
          <w:b w:val="1"/>
          <w:bCs w:val="1"/>
          <w:noProof w:val="0"/>
          <w:lang w:val="en-GB"/>
        </w:rPr>
      </w:pPr>
      <w:r w:rsidRPr="1A5F3DDE" w:rsidR="7EFDA5D6">
        <w:rPr>
          <w:b w:val="1"/>
          <w:bCs w:val="1"/>
          <w:noProof w:val="0"/>
          <w:lang w:val="en-GB"/>
        </w:rPr>
        <w:t>2.1 Overview of the Australian industry</w:t>
      </w:r>
    </w:p>
    <w:p w:rsidR="6C9A2BB4" w:rsidP="1A5F3DDE" w:rsidRDefault="6C9A2BB4" w14:paraId="1FBA6571" w14:textId="4108701D">
      <w:pPr>
        <w:spacing w:before="240" w:beforeAutospacing="off" w:after="198" w:afterAutospacing="off" w:line="276" w:lineRule="auto"/>
      </w:pPr>
    </w:p>
    <w:p w:rsidR="6C9A2BB4" w:rsidP="1A5F3DDE" w:rsidRDefault="6C9A2BB4" w14:paraId="019B820F" w14:textId="55F0BA79">
      <w:pPr>
        <w:pStyle w:val="Normal"/>
        <w:spacing w:before="0" w:beforeAutospacing="off" w:after="0" w:afterAutospacing="off" w:line="276" w:lineRule="auto"/>
        <w:ind w:left="0"/>
        <w:jc w:val="both"/>
      </w:pPr>
      <w:r w:rsidRPr="1A5F3DDE" w:rsidR="7EFDA5D6">
        <w:rPr>
          <w:noProof w:val="0"/>
          <w:lang w:val="en-GB"/>
        </w:rPr>
        <w:t>Australia's crucial mineral processing sector was chosen. This is the process of turning mined ores and mineral concentrates into more valuable products such separated rare earth oxides, mixed rare earth carbonate, and battery-grade lithium hydroxide. This divide is important because mining has historically been Australia's strongest industry. In clean-energy supply chains, larger margins and strategic control are typically found further downstream in refining, separation, chemical processing, cathode materials, magnets, and battery components.</w:t>
      </w:r>
    </w:p>
    <w:p w:rsidR="6C9A2BB4" w:rsidP="1A5F3DDE" w:rsidRDefault="6C9A2BB4" w14:paraId="632BA8B5" w14:textId="64AEF8F8">
      <w:pPr>
        <w:pStyle w:val="Normal"/>
        <w:spacing w:before="0" w:beforeAutospacing="off" w:after="0" w:afterAutospacing="off" w:line="276" w:lineRule="auto"/>
        <w:ind w:left="0"/>
        <w:jc w:val="both"/>
        <w:rPr>
          <w:noProof w:val="0"/>
          <w:lang w:val="en-GB"/>
        </w:rPr>
      </w:pPr>
    </w:p>
    <w:p w:rsidR="6C9A2BB4" w:rsidP="1A5F3DDE" w:rsidRDefault="6C9A2BB4" w14:paraId="65931E8C" w14:textId="6E597CDC">
      <w:pPr>
        <w:pStyle w:val="Normal"/>
        <w:spacing w:before="0" w:beforeAutospacing="off" w:after="0" w:afterAutospacing="off" w:line="276" w:lineRule="auto"/>
        <w:ind w:left="0"/>
        <w:jc w:val="left"/>
        <w:rPr>
          <w:noProof w:val="0"/>
          <w:lang w:val="en-GB"/>
        </w:rPr>
      </w:pPr>
      <w:r w:rsidRPr="1A5F3DDE" w:rsidR="6B0FFE9F">
        <w:rPr>
          <w:noProof w:val="0"/>
          <w:lang w:val="en-GB"/>
        </w:rPr>
        <w:t>Due to the fact that</w:t>
      </w:r>
      <w:r w:rsidRPr="1A5F3DDE" w:rsidR="6B0FFE9F">
        <w:rPr>
          <w:noProof w:val="0"/>
          <w:lang w:val="en-GB"/>
        </w:rPr>
        <w:t xml:space="preserve"> Australia </w:t>
      </w:r>
      <w:r w:rsidRPr="1A5F3DDE" w:rsidR="6B0FFE9F">
        <w:rPr>
          <w:noProof w:val="0"/>
          <w:lang w:val="en-GB"/>
        </w:rPr>
        <w:t>possesses</w:t>
      </w:r>
      <w:r w:rsidRPr="1A5F3DDE" w:rsidR="6B0FFE9F">
        <w:rPr>
          <w:noProof w:val="0"/>
          <w:lang w:val="en-GB"/>
        </w:rPr>
        <w:t xml:space="preserve"> significant resources for </w:t>
      </w:r>
      <w:r w:rsidRPr="1A5F3DDE" w:rsidR="6B0FFE9F">
        <w:rPr>
          <w:noProof w:val="0"/>
          <w:lang w:val="en-GB"/>
        </w:rPr>
        <w:t>the majority of</w:t>
      </w:r>
      <w:r w:rsidRPr="1A5F3DDE" w:rsidR="6B0FFE9F">
        <w:rPr>
          <w:noProof w:val="0"/>
          <w:lang w:val="en-GB"/>
        </w:rPr>
        <w:t xml:space="preserve"> the commodities on its Critical Minerals List, many of which are still underdeveloped, the country's critical minerals processing sector has significant growth potential. Government </w:t>
      </w:r>
      <w:r w:rsidRPr="1A5F3DDE" w:rsidR="6B0FFE9F">
        <w:rPr>
          <w:noProof w:val="0"/>
          <w:lang w:val="en-GB"/>
        </w:rPr>
        <w:t>assistance</w:t>
      </w:r>
      <w:r w:rsidRPr="1A5F3DDE" w:rsidR="6B0FFE9F">
        <w:rPr>
          <w:noProof w:val="0"/>
          <w:lang w:val="en-GB"/>
        </w:rPr>
        <w:t>, such as grants and accelerator funding, is advancing critical initiatives through development and increasing production and processing capacity.</w:t>
      </w:r>
    </w:p>
    <w:p w:rsidR="6C9A2BB4" w:rsidP="1A5F3DDE" w:rsidRDefault="6C9A2BB4" w14:paraId="590D3776" w14:textId="6516B31F">
      <w:pPr>
        <w:pStyle w:val="Normal"/>
        <w:spacing w:before="0" w:beforeAutospacing="off" w:after="0" w:afterAutospacing="off" w:line="276" w:lineRule="auto"/>
        <w:ind w:left="0"/>
        <w:jc w:val="left"/>
      </w:pPr>
      <w:r w:rsidRPr="1A5F3DDE" w:rsidR="6B0FFE9F">
        <w:rPr>
          <w:noProof w:val="0"/>
          <w:lang w:val="en-GB"/>
        </w:rPr>
        <w:t xml:space="preserve"> </w:t>
      </w:r>
      <w:r w:rsidRPr="1A5F3DDE" w:rsidR="6B0FFE9F">
        <w:rPr>
          <w:noProof w:val="0"/>
          <w:lang w:val="en-GB"/>
        </w:rPr>
        <w:t>Australia is already a significant global supplier, particularly of rare earths and lithium, but China's processing supremacy and low commodity prices continue to be important obstacles. To encourage domestic initiatives and lessen reliance on the supply chain, policy mechanisms including price floors are being examined.</w:t>
      </w:r>
    </w:p>
    <w:p w:rsidR="6C9A2BB4" w:rsidP="1A5F3DDE" w:rsidRDefault="6C9A2BB4" w14:paraId="51F7AB27" w14:textId="79E7892D">
      <w:pPr>
        <w:pStyle w:val="Normal"/>
        <w:spacing w:before="0" w:beforeAutospacing="off" w:after="0" w:afterAutospacing="off" w:line="276" w:lineRule="auto"/>
        <w:ind w:left="0"/>
        <w:jc w:val="left"/>
        <w:rPr>
          <w:noProof w:val="0"/>
          <w:lang w:val="en-GB"/>
        </w:rPr>
      </w:pPr>
      <w:r w:rsidRPr="1A5F3DDE" w:rsidR="6B0FFE9F">
        <w:rPr>
          <w:noProof w:val="0"/>
          <w:lang w:val="en-GB"/>
        </w:rPr>
        <w:t xml:space="preserve">Social, environmental, and geopolitical </w:t>
      </w:r>
      <w:r w:rsidRPr="1A5F3DDE" w:rsidR="6B0FFE9F">
        <w:rPr>
          <w:noProof w:val="0"/>
          <w:lang w:val="en-GB"/>
        </w:rPr>
        <w:t>objectives</w:t>
      </w:r>
      <w:r w:rsidRPr="1A5F3DDE" w:rsidR="6B0FFE9F">
        <w:rPr>
          <w:noProof w:val="0"/>
          <w:lang w:val="en-GB"/>
        </w:rPr>
        <w:t xml:space="preserve"> also influence the industry. The importance of sustainable development, First Nations collaborations, traceability, standards, waste reprocessing, and by-product recovery is growing. Although there are still commercial and geopolitical dangers, Australia has the means, political support, and strategic significance to grow into a major participant in the processing of key minerals</w:t>
      </w:r>
      <w:r w:rsidRPr="1A5F3DDE" w:rsidR="073B1CDF">
        <w:rPr>
          <w:noProof w:val="0"/>
          <w:lang w:val="en-GB"/>
        </w:rPr>
        <w:t xml:space="preserve"> </w:t>
      </w:r>
      <w:r w:rsidRPr="1A5F3DDE" w:rsidR="073B1CDF">
        <w:rPr>
          <w:rFonts w:ascii="Aptos" w:hAnsi="Aptos" w:eastAsia="Aptos" w:cs="Aptos"/>
          <w:noProof w:val="0"/>
          <w:sz w:val="24"/>
          <w:szCs w:val="24"/>
          <w:lang w:val="en-GB"/>
        </w:rPr>
        <w:t>(Kohli 2022), (Mining Engineering 2025),</w:t>
      </w:r>
      <w:r w:rsidRPr="1A5F3DDE" w:rsidR="2A217F31">
        <w:rPr>
          <w:rFonts w:ascii="Aptos" w:hAnsi="Aptos" w:eastAsia="Aptos" w:cs="Aptos"/>
          <w:i w:val="1"/>
          <w:iCs w:val="1"/>
          <w:noProof w:val="0"/>
          <w:sz w:val="24"/>
          <w:szCs w:val="24"/>
          <w:lang w:val="en-GB"/>
        </w:rPr>
        <w:t xml:space="preserve"> Mining Engineering</w:t>
      </w:r>
      <w:r w:rsidRPr="1A5F3DDE" w:rsidR="2A217F31">
        <w:rPr>
          <w:rFonts w:ascii="Aptos" w:hAnsi="Aptos" w:eastAsia="Aptos" w:cs="Aptos"/>
          <w:noProof w:val="0"/>
          <w:sz w:val="24"/>
          <w:szCs w:val="24"/>
          <w:lang w:val="en-GB"/>
        </w:rPr>
        <w:t xml:space="preserve"> (2024) discusses China’s ability to invest in Australian critical minerals, (Rudko and Bala 2021).</w:t>
      </w:r>
    </w:p>
    <w:p w:rsidR="6C9A2BB4" w:rsidP="1A5F3DDE" w:rsidRDefault="6C9A2BB4" w14:paraId="2ACA151D" w14:textId="4A8AA135">
      <w:pPr>
        <w:pStyle w:val="Normal"/>
        <w:spacing w:before="0" w:beforeAutospacing="off" w:after="0" w:afterAutospacing="off" w:line="276" w:lineRule="auto"/>
        <w:ind w:left="0"/>
        <w:jc w:val="left"/>
        <w:rPr>
          <w:rFonts w:ascii="Aptos" w:hAnsi="Aptos" w:eastAsia="Aptos" w:cs="Aptos"/>
          <w:noProof w:val="0"/>
          <w:sz w:val="24"/>
          <w:szCs w:val="24"/>
          <w:lang w:val="en-GB"/>
        </w:rPr>
      </w:pPr>
    </w:p>
    <w:p w:rsidR="6C9A2BB4" w:rsidP="1A5F3DDE" w:rsidRDefault="6C9A2BB4" w14:paraId="1DCB8525" w14:textId="0D72CD94">
      <w:pPr>
        <w:pStyle w:val="Normal"/>
        <w:spacing w:before="240" w:beforeAutospacing="off" w:after="198" w:afterAutospacing="off" w:line="276" w:lineRule="auto"/>
        <w:jc w:val="left"/>
      </w:pPr>
      <w:r w:rsidRPr="1A5F3DDE" w:rsidR="7BCC2446">
        <w:rPr>
          <w:rFonts w:ascii="Aptos" w:hAnsi="Aptos" w:eastAsia="Aptos" w:cs="Aptos"/>
          <w:noProof w:val="0"/>
          <w:sz w:val="24"/>
          <w:szCs w:val="24"/>
          <w:lang w:val="en-GB"/>
        </w:rPr>
        <w:t xml:space="preserve">The government of Australia expressly </w:t>
      </w:r>
      <w:r w:rsidRPr="1A5F3DDE" w:rsidR="7BCC2446">
        <w:rPr>
          <w:rFonts w:ascii="Aptos" w:hAnsi="Aptos" w:eastAsia="Aptos" w:cs="Aptos"/>
          <w:noProof w:val="0"/>
          <w:sz w:val="24"/>
          <w:szCs w:val="24"/>
          <w:lang w:val="en-GB"/>
        </w:rPr>
        <w:t>desires</w:t>
      </w:r>
      <w:r w:rsidRPr="1A5F3DDE" w:rsidR="7BCC2446">
        <w:rPr>
          <w:rFonts w:ascii="Aptos" w:hAnsi="Aptos" w:eastAsia="Aptos" w:cs="Aptos"/>
          <w:noProof w:val="0"/>
          <w:sz w:val="24"/>
          <w:szCs w:val="24"/>
          <w:lang w:val="en-GB"/>
        </w:rPr>
        <w:t xml:space="preserve"> to advance up the value chain. The national framework for expanding Australia's critical minerals industry, including production, processing, and supply-chain capacity, is provided under the Critical Minerals Strategy 2023–2030</w:t>
      </w:r>
      <w:r w:rsidRPr="1A5F3DDE" w:rsidR="73D7FC1D">
        <w:rPr>
          <w:rFonts w:ascii="Aptos" w:hAnsi="Aptos" w:eastAsia="Aptos" w:cs="Aptos"/>
          <w:noProof w:val="0"/>
          <w:sz w:val="24"/>
          <w:szCs w:val="24"/>
          <w:lang w:val="en-GB"/>
        </w:rPr>
        <w:t xml:space="preserve"> (Critical Minerals Office 2023)</w:t>
      </w:r>
      <w:r w:rsidRPr="1A5F3DDE" w:rsidR="7BCC2446">
        <w:rPr>
          <w:rFonts w:ascii="Aptos" w:hAnsi="Aptos" w:eastAsia="Aptos" w:cs="Aptos"/>
          <w:noProof w:val="0"/>
          <w:sz w:val="24"/>
          <w:szCs w:val="24"/>
          <w:lang w:val="en-GB"/>
        </w:rPr>
        <w:t xml:space="preserve">. Additionally, Geoscience Australia claims that the strategy's goals to develop the industry, increase downstream processing, and </w:t>
      </w:r>
      <w:r w:rsidRPr="1A5F3DDE" w:rsidR="7BCC2446">
        <w:rPr>
          <w:rFonts w:ascii="Aptos" w:hAnsi="Aptos" w:eastAsia="Aptos" w:cs="Aptos"/>
          <w:noProof w:val="0"/>
          <w:sz w:val="24"/>
          <w:szCs w:val="24"/>
          <w:lang w:val="en-GB"/>
        </w:rPr>
        <w:t>establish</w:t>
      </w:r>
      <w:r w:rsidRPr="1A5F3DDE" w:rsidR="7BCC2446">
        <w:rPr>
          <w:rFonts w:ascii="Aptos" w:hAnsi="Aptos" w:eastAsia="Aptos" w:cs="Aptos"/>
          <w:noProof w:val="0"/>
          <w:sz w:val="24"/>
          <w:szCs w:val="24"/>
          <w:lang w:val="en-GB"/>
        </w:rPr>
        <w:t xml:space="preserve"> Australia as a safe, dependable, and moral supplier are supported by its crucial minerals work.</w:t>
      </w:r>
      <w:r w:rsidRPr="1A5F3DDE" w:rsidR="0EC89E78">
        <w:rPr>
          <w:rFonts w:ascii="Aptos" w:hAnsi="Aptos" w:eastAsia="Aptos" w:cs="Aptos"/>
          <w:noProof w:val="0"/>
          <w:sz w:val="24"/>
          <w:szCs w:val="24"/>
          <w:lang w:val="en-GB"/>
        </w:rPr>
        <w:t xml:space="preserve"> Australia's vital mineral resources and activities are described in Geoscience Australia (2026).</w:t>
      </w:r>
    </w:p>
    <w:p w:rsidR="6C9A2BB4" w:rsidP="1A5F3DDE" w:rsidRDefault="6C9A2BB4" w14:paraId="3A3D3018" w14:textId="0B88F746">
      <w:pPr>
        <w:spacing w:before="240" w:beforeAutospacing="off" w:after="198" w:afterAutospacing="off" w:line="276" w:lineRule="auto"/>
        <w:jc w:val="left"/>
      </w:pPr>
    </w:p>
    <w:p w:rsidR="6C9A2BB4" w:rsidP="1A5F3DDE" w:rsidRDefault="6C9A2BB4" w14:paraId="6846A965" w14:textId="0123B4DC">
      <w:pPr>
        <w:pStyle w:val="Normal"/>
        <w:spacing w:before="0" w:beforeAutospacing="off" w:after="0" w:afterAutospacing="off" w:line="276" w:lineRule="auto"/>
        <w:ind w:left="0"/>
        <w:jc w:val="left"/>
        <w:rPr>
          <w:rFonts w:ascii="Aptos" w:hAnsi="Aptos" w:eastAsia="Aptos" w:cs="Aptos"/>
          <w:noProof w:val="0"/>
          <w:sz w:val="24"/>
          <w:szCs w:val="24"/>
          <w:lang w:val="en-GB"/>
        </w:rPr>
      </w:pPr>
    </w:p>
    <w:p w:rsidR="6C9A2BB4" w:rsidP="1A5F3DDE" w:rsidRDefault="6C9A2BB4" w14:paraId="31E5CC11" w14:textId="0FA871E0">
      <w:pPr>
        <w:pStyle w:val="Normal"/>
        <w:spacing w:before="0" w:beforeAutospacing="off" w:after="0" w:afterAutospacing="off" w:line="276" w:lineRule="auto"/>
        <w:ind w:left="0"/>
        <w:jc w:val="left"/>
        <w:rPr>
          <w:rFonts w:ascii="Aptos" w:hAnsi="Aptos" w:eastAsia="Aptos" w:cs="Aptos"/>
          <w:noProof w:val="0"/>
          <w:sz w:val="24"/>
          <w:szCs w:val="24"/>
          <w:lang w:val="en-GB"/>
        </w:rPr>
      </w:pPr>
    </w:p>
    <w:p w:rsidR="6C9A2BB4" w:rsidP="1A5F3DDE" w:rsidRDefault="6C9A2BB4" w14:paraId="667FAB9F" w14:textId="3451ED75">
      <w:pPr>
        <w:pStyle w:val="Normal"/>
        <w:spacing w:before="0" w:beforeAutospacing="off" w:after="0" w:afterAutospacing="off" w:line="276" w:lineRule="auto"/>
        <w:ind w:left="0"/>
        <w:jc w:val="left"/>
        <w:rPr>
          <w:rFonts w:ascii="Aptos" w:hAnsi="Aptos" w:eastAsia="Aptos" w:cs="Aptos"/>
          <w:noProof w:val="0"/>
          <w:sz w:val="24"/>
          <w:szCs w:val="24"/>
          <w:lang w:val="en-GB"/>
        </w:rPr>
      </w:pPr>
    </w:p>
    <w:p w:rsidR="6C9A2BB4" w:rsidP="1A5F3DDE" w:rsidRDefault="6C9A2BB4" w14:paraId="45771DAC" w14:textId="75C63C6B">
      <w:pPr>
        <w:pStyle w:val="Normal"/>
        <w:spacing w:before="0" w:beforeAutospacing="off" w:after="0" w:afterAutospacing="off" w:line="276" w:lineRule="auto"/>
        <w:ind w:left="0"/>
        <w:jc w:val="left"/>
      </w:pPr>
      <w:r w:rsidRPr="1A5F3DDE" w:rsidR="7BCC2446">
        <w:rPr>
          <w:rFonts w:ascii="Aptos" w:hAnsi="Aptos" w:eastAsia="Aptos" w:cs="Aptos"/>
          <w:noProof w:val="0"/>
          <w:sz w:val="24"/>
          <w:szCs w:val="24"/>
          <w:lang w:val="en-GB"/>
        </w:rPr>
        <w:t>The following is a summary of the value chain:</w:t>
      </w:r>
    </w:p>
    <w:p w:rsidR="6C9A2BB4" w:rsidP="1A5F3DDE" w:rsidRDefault="6C9A2BB4" w14:paraId="6B6C7D8D" w14:textId="2035B041">
      <w:pPr>
        <w:pStyle w:val="Normal"/>
        <w:bidi w:val="0"/>
        <w:spacing w:before="240" w:beforeAutospacing="off" w:after="198" w:afterAutospacing="off" w:line="276" w:lineRule="auto"/>
        <w:jc w:val="left"/>
      </w:pPr>
      <w:r w:rsidR="26C6284C">
        <w:drawing>
          <wp:inline wp14:editId="601BE2C0" wp14:anchorId="3AB4EBEA">
            <wp:extent cx="5724525" cy="1743075"/>
            <wp:effectExtent l="0" t="0" r="0" b="0"/>
            <wp:docPr id="2170789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707893" name="Picture 21707893"/>
                    <pic:cNvPicPr/>
                  </pic:nvPicPr>
                  <pic:blipFill>
                    <a:blip xmlns:r="http://schemas.openxmlformats.org/officeDocument/2006/relationships" r:embed="rId1382298176">
                      <a:extLst>
                        <a:ext uri="{28A0092B-C50C-407E-A947-70E740481C1C}">
                          <a14:useLocalDpi xmlns:a14="http://schemas.microsoft.com/office/drawing/2010/main"/>
                        </a:ext>
                      </a:extLst>
                    </a:blip>
                    <a:stretch>
                      <a:fillRect/>
                    </a:stretch>
                  </pic:blipFill>
                  <pic:spPr>
                    <a:xfrm>
                      <a:off x="0" y="0"/>
                      <a:ext cx="5724525" cy="1743075"/>
                    </a:xfrm>
                    <a:prstGeom prst="rect">
                      <a:avLst/>
                    </a:prstGeom>
                  </pic:spPr>
                </pic:pic>
              </a:graphicData>
            </a:graphic>
          </wp:inline>
        </w:drawing>
      </w:r>
    </w:p>
    <w:p w:rsidR="6C9A2BB4" w:rsidP="1A5F3DDE" w:rsidRDefault="6C9A2BB4" w14:paraId="474A65CF" w14:textId="23DDBF0A">
      <w:pPr>
        <w:pStyle w:val="Normal"/>
        <w:bidi w:val="0"/>
        <w:spacing w:before="240" w:beforeAutospacing="off" w:after="198" w:afterAutospacing="off" w:line="276" w:lineRule="auto"/>
        <w:ind w:left="0"/>
        <w:jc w:val="left"/>
        <w:rPr>
          <w:noProof w:val="0"/>
          <w:lang w:val="en-GB"/>
        </w:rPr>
      </w:pPr>
      <w:r w:rsidRPr="1A5F3DDE" w:rsidR="5B02D765">
        <w:rPr>
          <w:rFonts w:ascii="Aptos" w:hAnsi="Aptos" w:eastAsia="Aptos" w:cs="Aptos"/>
          <w:noProof w:val="0"/>
          <w:sz w:val="24"/>
          <w:szCs w:val="24"/>
          <w:lang w:val="en-GB"/>
        </w:rPr>
        <w:t xml:space="preserve"> </w:t>
      </w:r>
      <w:r w:rsidRPr="1A5F3DDE" w:rsidR="05DACA96">
        <w:rPr>
          <w:rFonts w:ascii="Aptos" w:hAnsi="Aptos" w:eastAsia="Aptos" w:cs="Aptos"/>
          <w:noProof w:val="0"/>
          <w:sz w:val="24"/>
          <w:szCs w:val="24"/>
          <w:lang w:val="en-GB"/>
        </w:rPr>
        <w:t>Australia's downstream processing capabilities are still developing, although it is quite competitive in the first two stages. Can Australia turn its resource endowment into a sustainable processing advantage? This is the report's central question.</w:t>
      </w:r>
    </w:p>
    <w:p w:rsidR="1A5F3DDE" w:rsidP="1A5F3DDE" w:rsidRDefault="1A5F3DDE" w14:paraId="7B7D3E29" w14:textId="1ACF385D">
      <w:pPr>
        <w:pStyle w:val="Normal"/>
        <w:bidi w:val="0"/>
        <w:spacing w:before="240" w:beforeAutospacing="off" w:after="198" w:afterAutospacing="off" w:line="276" w:lineRule="auto"/>
        <w:ind w:left="0"/>
        <w:jc w:val="left"/>
        <w:rPr>
          <w:rFonts w:ascii="Aptos" w:hAnsi="Aptos" w:eastAsia="Aptos" w:cs="Aptos"/>
          <w:noProof w:val="0"/>
          <w:sz w:val="24"/>
          <w:szCs w:val="24"/>
          <w:lang w:val="en-GB"/>
        </w:rPr>
      </w:pPr>
    </w:p>
    <w:p w:rsidR="1A5F3DDE" w:rsidP="1A5F3DDE" w:rsidRDefault="1A5F3DDE" w14:paraId="3DCFFD8B" w14:textId="7B28FF7D">
      <w:pPr>
        <w:pStyle w:val="Normal"/>
        <w:bidi w:val="0"/>
        <w:spacing w:before="240" w:beforeAutospacing="off" w:after="198" w:afterAutospacing="off" w:line="276" w:lineRule="auto"/>
        <w:ind w:left="0"/>
        <w:jc w:val="left"/>
        <w:rPr>
          <w:rFonts w:ascii="Aptos" w:hAnsi="Aptos" w:eastAsia="Aptos" w:cs="Aptos"/>
          <w:b w:val="1"/>
          <w:bCs w:val="1"/>
          <w:noProof w:val="0"/>
          <w:sz w:val="24"/>
          <w:szCs w:val="24"/>
          <w:lang w:val="en-GB"/>
        </w:rPr>
      </w:pPr>
    </w:p>
    <w:p w:rsidR="1A5F3DDE" w:rsidP="1A5F3DDE" w:rsidRDefault="1A5F3DDE" w14:paraId="41AEE3BB" w14:textId="1C4119EB">
      <w:pPr>
        <w:pStyle w:val="Normal"/>
        <w:bidi w:val="0"/>
        <w:spacing w:before="240" w:beforeAutospacing="off" w:after="198" w:afterAutospacing="off" w:line="276" w:lineRule="auto"/>
        <w:ind w:left="0"/>
        <w:jc w:val="left"/>
        <w:rPr>
          <w:rFonts w:ascii="Aptos" w:hAnsi="Aptos" w:eastAsia="Aptos" w:cs="Aptos"/>
          <w:b w:val="1"/>
          <w:bCs w:val="1"/>
          <w:noProof w:val="0"/>
          <w:sz w:val="24"/>
          <w:szCs w:val="24"/>
          <w:lang w:val="en-GB"/>
        </w:rPr>
      </w:pPr>
    </w:p>
    <w:p w:rsidR="1A5F3DDE" w:rsidP="1A5F3DDE" w:rsidRDefault="1A5F3DDE" w14:paraId="6B5BD225" w14:textId="777907A5">
      <w:pPr>
        <w:pStyle w:val="Normal"/>
        <w:bidi w:val="0"/>
        <w:spacing w:before="240" w:beforeAutospacing="off" w:after="198" w:afterAutospacing="off" w:line="276" w:lineRule="auto"/>
        <w:ind w:left="0"/>
        <w:jc w:val="left"/>
        <w:rPr>
          <w:rFonts w:ascii="Aptos" w:hAnsi="Aptos" w:eastAsia="Aptos" w:cs="Aptos"/>
          <w:b w:val="1"/>
          <w:bCs w:val="1"/>
          <w:noProof w:val="0"/>
          <w:sz w:val="24"/>
          <w:szCs w:val="24"/>
          <w:lang w:val="en-GB"/>
        </w:rPr>
      </w:pPr>
    </w:p>
    <w:p w:rsidR="1A5F3DDE" w:rsidP="1A5F3DDE" w:rsidRDefault="1A5F3DDE" w14:paraId="62A72C87" w14:textId="68F8F8EE">
      <w:pPr>
        <w:pStyle w:val="Normal"/>
        <w:bidi w:val="0"/>
        <w:spacing w:before="240" w:beforeAutospacing="off" w:after="198" w:afterAutospacing="off" w:line="276" w:lineRule="auto"/>
        <w:ind w:left="0"/>
        <w:jc w:val="left"/>
        <w:rPr>
          <w:rFonts w:ascii="Aptos" w:hAnsi="Aptos" w:eastAsia="Aptos" w:cs="Aptos"/>
          <w:b w:val="1"/>
          <w:bCs w:val="1"/>
          <w:noProof w:val="0"/>
          <w:sz w:val="24"/>
          <w:szCs w:val="24"/>
          <w:lang w:val="en-GB"/>
        </w:rPr>
      </w:pPr>
    </w:p>
    <w:p w:rsidR="1A5F3DDE" w:rsidP="1A5F3DDE" w:rsidRDefault="1A5F3DDE" w14:paraId="2F4E5678" w14:textId="20EF7849">
      <w:pPr>
        <w:pStyle w:val="Normal"/>
        <w:bidi w:val="0"/>
        <w:spacing w:before="240" w:beforeAutospacing="off" w:after="198" w:afterAutospacing="off" w:line="276" w:lineRule="auto"/>
        <w:ind w:left="0"/>
        <w:jc w:val="left"/>
        <w:rPr>
          <w:rFonts w:ascii="Aptos" w:hAnsi="Aptos" w:eastAsia="Aptos" w:cs="Aptos"/>
          <w:b w:val="1"/>
          <w:bCs w:val="1"/>
          <w:noProof w:val="0"/>
          <w:sz w:val="24"/>
          <w:szCs w:val="24"/>
          <w:lang w:val="en-GB"/>
        </w:rPr>
      </w:pPr>
    </w:p>
    <w:p w:rsidR="1A5F3DDE" w:rsidP="1A5F3DDE" w:rsidRDefault="1A5F3DDE" w14:paraId="2BCA0E99" w14:textId="76D43E3B">
      <w:pPr>
        <w:pStyle w:val="Normal"/>
        <w:bidi w:val="0"/>
        <w:spacing w:before="240" w:beforeAutospacing="off" w:after="198" w:afterAutospacing="off" w:line="276" w:lineRule="auto"/>
        <w:ind w:left="0"/>
        <w:jc w:val="left"/>
        <w:rPr>
          <w:rFonts w:ascii="Aptos" w:hAnsi="Aptos" w:eastAsia="Aptos" w:cs="Aptos"/>
          <w:b w:val="1"/>
          <w:bCs w:val="1"/>
          <w:noProof w:val="0"/>
          <w:sz w:val="24"/>
          <w:szCs w:val="24"/>
          <w:lang w:val="en-GB"/>
        </w:rPr>
      </w:pPr>
    </w:p>
    <w:p w:rsidR="1A5F3DDE" w:rsidP="1A5F3DDE" w:rsidRDefault="1A5F3DDE" w14:paraId="10E33276" w14:textId="2430EB0D">
      <w:pPr>
        <w:pStyle w:val="Normal"/>
        <w:bidi w:val="0"/>
        <w:spacing w:before="240" w:beforeAutospacing="off" w:after="198" w:afterAutospacing="off" w:line="276" w:lineRule="auto"/>
        <w:ind w:left="0"/>
        <w:jc w:val="left"/>
        <w:rPr>
          <w:rFonts w:ascii="Aptos" w:hAnsi="Aptos" w:eastAsia="Aptos" w:cs="Aptos"/>
          <w:b w:val="1"/>
          <w:bCs w:val="1"/>
          <w:noProof w:val="0"/>
          <w:sz w:val="24"/>
          <w:szCs w:val="24"/>
          <w:lang w:val="en-GB"/>
        </w:rPr>
      </w:pPr>
    </w:p>
    <w:p w:rsidR="1A5F3DDE" w:rsidP="1A5F3DDE" w:rsidRDefault="1A5F3DDE" w14:paraId="5148B5BB" w14:textId="21F551D5">
      <w:pPr>
        <w:pStyle w:val="Normal"/>
        <w:bidi w:val="0"/>
        <w:spacing w:before="240" w:beforeAutospacing="off" w:after="198" w:afterAutospacing="off" w:line="276" w:lineRule="auto"/>
        <w:ind w:left="0"/>
        <w:jc w:val="left"/>
        <w:rPr>
          <w:rFonts w:ascii="Aptos" w:hAnsi="Aptos" w:eastAsia="Aptos" w:cs="Aptos"/>
          <w:b w:val="1"/>
          <w:bCs w:val="1"/>
          <w:noProof w:val="0"/>
          <w:sz w:val="24"/>
          <w:szCs w:val="24"/>
          <w:lang w:val="en-GB"/>
        </w:rPr>
      </w:pPr>
    </w:p>
    <w:p w:rsidR="1A5F3DDE" w:rsidP="1A5F3DDE" w:rsidRDefault="1A5F3DDE" w14:paraId="3AE1586F" w14:textId="33B6FACE">
      <w:pPr>
        <w:pStyle w:val="Normal"/>
        <w:bidi w:val="0"/>
        <w:spacing w:before="240" w:beforeAutospacing="off" w:after="198" w:afterAutospacing="off" w:line="276" w:lineRule="auto"/>
        <w:ind w:left="0"/>
        <w:jc w:val="left"/>
        <w:rPr>
          <w:rFonts w:ascii="Aptos" w:hAnsi="Aptos" w:eastAsia="Aptos" w:cs="Aptos"/>
          <w:b w:val="1"/>
          <w:bCs w:val="1"/>
          <w:noProof w:val="0"/>
          <w:sz w:val="24"/>
          <w:szCs w:val="24"/>
          <w:lang w:val="en-GB"/>
        </w:rPr>
      </w:pPr>
    </w:p>
    <w:p w:rsidR="1A5F3DDE" w:rsidP="1A5F3DDE" w:rsidRDefault="1A5F3DDE" w14:paraId="4EEA170A" w14:textId="4A3CE391">
      <w:pPr>
        <w:pStyle w:val="Normal"/>
        <w:bidi w:val="0"/>
        <w:spacing w:before="240" w:beforeAutospacing="off" w:after="198" w:afterAutospacing="off" w:line="276" w:lineRule="auto"/>
        <w:ind w:left="0"/>
        <w:jc w:val="left"/>
        <w:rPr>
          <w:rFonts w:ascii="Aptos" w:hAnsi="Aptos" w:eastAsia="Aptos" w:cs="Aptos"/>
          <w:b w:val="1"/>
          <w:bCs w:val="1"/>
          <w:noProof w:val="0"/>
          <w:sz w:val="24"/>
          <w:szCs w:val="24"/>
          <w:lang w:val="en-GB"/>
        </w:rPr>
      </w:pPr>
    </w:p>
    <w:p w:rsidR="26C90932" w:rsidP="1A5F3DDE" w:rsidRDefault="26C90932" w14:paraId="71E0CBDE" w14:textId="306E2EDC">
      <w:pPr>
        <w:pStyle w:val="Normal"/>
        <w:bidi w:val="0"/>
        <w:spacing w:before="240" w:beforeAutospacing="off" w:after="198" w:afterAutospacing="off" w:line="276" w:lineRule="auto"/>
        <w:ind w:left="0"/>
        <w:jc w:val="left"/>
        <w:rPr>
          <w:rFonts w:ascii="Aptos" w:hAnsi="Aptos" w:eastAsia="Aptos" w:cs="Aptos"/>
          <w:b w:val="1"/>
          <w:bCs w:val="1"/>
          <w:noProof w:val="0"/>
          <w:sz w:val="24"/>
          <w:szCs w:val="24"/>
          <w:lang w:val="en-GB"/>
        </w:rPr>
      </w:pPr>
      <w:r w:rsidRPr="1EBCF505" w:rsidR="26C90932">
        <w:rPr>
          <w:rFonts w:ascii="Aptos" w:hAnsi="Aptos" w:eastAsia="Aptos" w:cs="Aptos"/>
          <w:b w:val="1"/>
          <w:bCs w:val="1"/>
          <w:noProof w:val="0"/>
          <w:sz w:val="24"/>
          <w:szCs w:val="24"/>
          <w:lang w:val="en-GB"/>
        </w:rPr>
        <w:t xml:space="preserve">2.2 Size, </w:t>
      </w:r>
      <w:r w:rsidRPr="1EBCF505" w:rsidR="26C90932">
        <w:rPr>
          <w:rFonts w:ascii="Aptos" w:hAnsi="Aptos" w:eastAsia="Aptos" w:cs="Aptos"/>
          <w:b w:val="1"/>
          <w:bCs w:val="1"/>
          <w:noProof w:val="0"/>
          <w:sz w:val="24"/>
          <w:szCs w:val="24"/>
          <w:lang w:val="en-GB"/>
        </w:rPr>
        <w:t>scope</w:t>
      </w:r>
      <w:r w:rsidRPr="1EBCF505" w:rsidR="26C90932">
        <w:rPr>
          <w:rFonts w:ascii="Aptos" w:hAnsi="Aptos" w:eastAsia="Aptos" w:cs="Aptos"/>
          <w:b w:val="1"/>
          <w:bCs w:val="1"/>
          <w:noProof w:val="0"/>
          <w:sz w:val="24"/>
          <w:szCs w:val="24"/>
          <w:lang w:val="en-GB"/>
        </w:rPr>
        <w:t xml:space="preserve"> and economic importance of the industry</w:t>
      </w:r>
    </w:p>
    <w:p w:rsidR="6D13D0DE" w:rsidP="1A5F3DDE" w:rsidRDefault="6D13D0DE" w14:paraId="473640D1" w14:textId="2FA00949">
      <w:pPr>
        <w:pStyle w:val="Normal"/>
        <w:bidi w:val="0"/>
        <w:spacing w:before="240" w:beforeAutospacing="off" w:after="198" w:afterAutospacing="off" w:line="276" w:lineRule="auto"/>
        <w:ind w:left="0"/>
        <w:jc w:val="left"/>
        <w:rPr>
          <w:rFonts w:ascii="Aptos" w:hAnsi="Aptos" w:eastAsia="Aptos" w:cs="Aptos"/>
          <w:b w:val="0"/>
          <w:bCs w:val="0"/>
          <w:noProof w:val="0"/>
          <w:sz w:val="24"/>
          <w:szCs w:val="24"/>
          <w:lang w:val="en-GB"/>
        </w:rPr>
      </w:pPr>
      <w:r w:rsidRPr="1A5F3DDE" w:rsidR="6D13D0DE">
        <w:rPr>
          <w:rFonts w:ascii="Aptos" w:hAnsi="Aptos" w:eastAsia="Aptos" w:cs="Aptos"/>
          <w:b w:val="0"/>
          <w:bCs w:val="0"/>
          <w:noProof w:val="0"/>
          <w:sz w:val="24"/>
          <w:szCs w:val="24"/>
          <w:lang w:val="en-GB"/>
        </w:rPr>
        <w:t>Australia has a significant advantage in terms of resources. Lithium, cobalt, manganese, rare earths, rutile, tantalum, and zircon were among the top five mineral commodities produced in Australia in 2023. According to Geoscience Australia (Geoscience Australia 2025), the mining industry directly employed around 220,000 people and contributed approximately 13% of GDP in 2023. Mining exports, excluding petroleum products, were valued at A$343 billion (Geoscience Australia 2025)</w:t>
      </w:r>
      <w:r w:rsidRPr="1A5F3DDE" w:rsidR="7A44B7F3">
        <w:rPr>
          <w:rFonts w:ascii="Aptos" w:hAnsi="Aptos" w:eastAsia="Aptos" w:cs="Aptos"/>
          <w:b w:val="0"/>
          <w:bCs w:val="0"/>
          <w:noProof w:val="0"/>
          <w:sz w:val="24"/>
          <w:szCs w:val="24"/>
          <w:lang w:val="en-GB"/>
        </w:rPr>
        <w:t>.</w:t>
      </w:r>
    </w:p>
    <w:p w:rsidR="4EC275C5" w:rsidP="1A5F3DDE" w:rsidRDefault="4EC275C5" w14:paraId="06A9CF33" w14:textId="3B9BD5CB">
      <w:pPr>
        <w:pStyle w:val="Normal"/>
        <w:bidi w:val="0"/>
        <w:spacing w:before="240" w:beforeAutospacing="off" w:after="198" w:afterAutospacing="off" w:line="276" w:lineRule="auto"/>
        <w:ind w:left="0"/>
        <w:jc w:val="left"/>
        <w:rPr>
          <w:rFonts w:ascii="Aptos" w:hAnsi="Aptos" w:eastAsia="Aptos" w:cs="Aptos"/>
          <w:noProof w:val="0"/>
          <w:sz w:val="24"/>
          <w:szCs w:val="24"/>
          <w:lang w:val="en-GB"/>
        </w:rPr>
      </w:pPr>
      <w:r w:rsidRPr="1A5F3DDE" w:rsidR="4EC275C5">
        <w:rPr>
          <w:rFonts w:ascii="Aptos" w:hAnsi="Aptos" w:eastAsia="Aptos" w:cs="Aptos"/>
          <w:noProof w:val="0"/>
          <w:sz w:val="24"/>
          <w:szCs w:val="24"/>
          <w:lang w:val="en-GB"/>
        </w:rPr>
        <w:t>Australia’s critical minerals position</w:t>
      </w:r>
      <w:r w:rsidRPr="1A5F3DDE" w:rsidR="1541D8F8">
        <w:rPr>
          <w:rFonts w:ascii="Aptos" w:hAnsi="Aptos" w:eastAsia="Aptos" w:cs="Aptos"/>
          <w:noProof w:val="0"/>
          <w:sz w:val="24"/>
          <w:szCs w:val="24"/>
          <w:lang w:val="en-GB"/>
        </w:rPr>
        <w:t xml:space="preserve">, source Geoscience Australia (2025) introduces </w:t>
      </w:r>
      <w:r w:rsidRPr="1A5F3DDE" w:rsidR="1541D8F8">
        <w:rPr>
          <w:rFonts w:ascii="Aptos" w:hAnsi="Aptos" w:eastAsia="Aptos" w:cs="Aptos"/>
          <w:i w:val="1"/>
          <w:iCs w:val="1"/>
          <w:noProof w:val="0"/>
          <w:sz w:val="24"/>
          <w:szCs w:val="24"/>
          <w:lang w:val="en-GB"/>
        </w:rPr>
        <w:t>Australia’s Identified Mineral Resources 2024 :</w:t>
      </w:r>
    </w:p>
    <w:p w:rsidR="7F3758CF" w:rsidP="1A5F3DDE" w:rsidRDefault="7F3758CF" w14:paraId="4270AD9F" w14:textId="2A0AB249">
      <w:pPr>
        <w:pStyle w:val="Normal"/>
        <w:bidi w:val="0"/>
        <w:spacing w:before="240" w:beforeAutospacing="off" w:after="198" w:afterAutospacing="off" w:line="276" w:lineRule="auto"/>
        <w:ind w:left="0"/>
        <w:jc w:val="left"/>
      </w:pPr>
      <w:r w:rsidR="7F3758CF">
        <w:drawing>
          <wp:inline wp14:editId="59C76FAB" wp14:anchorId="55E4BB23">
            <wp:extent cx="5724525" cy="3743325"/>
            <wp:effectExtent l="0" t="0" r="0" b="0"/>
            <wp:docPr id="172349379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23493793" name="Picture 1723493793"/>
                    <pic:cNvPicPr/>
                  </pic:nvPicPr>
                  <pic:blipFill>
                    <a:blip xmlns:r="http://schemas.openxmlformats.org/officeDocument/2006/relationships" r:embed="rId253622136">
                      <a:extLst>
                        <a:ext uri="{28A0092B-C50C-407E-A947-70E740481C1C}">
                          <a14:useLocalDpi xmlns:a14="http://schemas.microsoft.com/office/drawing/2010/main"/>
                        </a:ext>
                      </a:extLst>
                    </a:blip>
                    <a:stretch>
                      <a:fillRect/>
                    </a:stretch>
                  </pic:blipFill>
                  <pic:spPr>
                    <a:xfrm>
                      <a:off x="0" y="0"/>
                      <a:ext cx="5724525" cy="3743325"/>
                    </a:xfrm>
                    <a:prstGeom prst="rect">
                      <a:avLst/>
                    </a:prstGeom>
                  </pic:spPr>
                </pic:pic>
              </a:graphicData>
            </a:graphic>
          </wp:inline>
        </w:drawing>
      </w:r>
    </w:p>
    <w:p w:rsidR="1A5F3DDE" w:rsidP="1A5F3DDE" w:rsidRDefault="1A5F3DDE" w14:paraId="2AC6B568" w14:textId="39731D43">
      <w:pPr>
        <w:pStyle w:val="Normal"/>
        <w:bidi w:val="0"/>
        <w:spacing w:before="240" w:beforeAutospacing="off" w:after="198" w:afterAutospacing="off" w:line="276" w:lineRule="auto"/>
        <w:ind w:left="0"/>
        <w:jc w:val="left"/>
        <w:rPr>
          <w:rFonts w:ascii="Aptos" w:hAnsi="Aptos" w:eastAsia="Aptos" w:cs="Aptos"/>
          <w:b w:val="1"/>
          <w:bCs w:val="1"/>
          <w:noProof w:val="0"/>
          <w:sz w:val="24"/>
          <w:szCs w:val="24"/>
          <w:lang w:val="en-GB"/>
        </w:rPr>
      </w:pPr>
    </w:p>
    <w:p w:rsidR="1EBCF505" w:rsidP="1EBCF505" w:rsidRDefault="1EBCF505" w14:paraId="63A66D5B" w14:textId="2B0DC09A">
      <w:pPr>
        <w:pStyle w:val="Normal"/>
        <w:bidi w:val="0"/>
        <w:spacing w:before="240" w:beforeAutospacing="off" w:after="198" w:afterAutospacing="off" w:line="276" w:lineRule="auto"/>
        <w:ind w:left="0"/>
        <w:jc w:val="left"/>
        <w:rPr>
          <w:rFonts w:ascii="Aptos" w:hAnsi="Aptos" w:eastAsia="Aptos" w:cs="Aptos"/>
          <w:b w:val="1"/>
          <w:bCs w:val="1"/>
          <w:noProof w:val="0"/>
          <w:sz w:val="24"/>
          <w:szCs w:val="24"/>
          <w:lang w:val="en-GB"/>
        </w:rPr>
      </w:pPr>
    </w:p>
    <w:p w:rsidR="3F62FFC0" w:rsidP="1EBCF505" w:rsidRDefault="3F62FFC0" w14:paraId="0872B482" w14:textId="5A5160E6">
      <w:pPr>
        <w:pStyle w:val="Normal"/>
        <w:bidi w:val="0"/>
        <w:spacing w:before="240" w:beforeAutospacing="off" w:after="198" w:afterAutospacing="off" w:line="276" w:lineRule="auto"/>
        <w:ind w:left="0"/>
        <w:jc w:val="both"/>
        <w:rPr>
          <w:rFonts w:ascii="Aptos" w:hAnsi="Aptos" w:eastAsia="Aptos" w:cs="Aptos"/>
          <w:b w:val="0"/>
          <w:bCs w:val="0"/>
          <w:noProof w:val="0"/>
          <w:sz w:val="24"/>
          <w:szCs w:val="24"/>
          <w:lang w:val="en-GB"/>
        </w:rPr>
      </w:pPr>
      <w:r w:rsidRPr="1EBCF505" w:rsidR="3F62FFC0">
        <w:rPr>
          <w:rFonts w:ascii="Aptos" w:hAnsi="Aptos" w:eastAsia="Aptos" w:cs="Aptos"/>
          <w:b w:val="0"/>
          <w:bCs w:val="0"/>
          <w:noProof w:val="0"/>
          <w:sz w:val="24"/>
          <w:szCs w:val="24"/>
          <w:lang w:val="en-GB"/>
        </w:rPr>
        <w:t>The industry's economic significance is further reinforced by the investment pipeline. As of October 31, 2024, 117 critical minerals projects, including six completions, were mentioned in the 2024 Resources and Energy Major Projects Report. The projected later-stage proposed investment was A$20 billion. This shows that key minerals are increasingly essential to Australia's export strategy, industrial policy, and geopolitical stance; they are no longer a peripheral industry, Department of Industry, Science and Resources (2024) outlines Australia’s resources and energy major projects (Department of Industry, Science and Resources 2024).</w:t>
      </w:r>
    </w:p>
    <w:p w:rsidR="3F62FFC0" w:rsidP="1EBCF505" w:rsidRDefault="3F62FFC0" w14:paraId="6C8DC6FE" w14:textId="21AE3FAC">
      <w:pPr>
        <w:pStyle w:val="Normal"/>
        <w:bidi w:val="0"/>
        <w:spacing w:before="240" w:beforeAutospacing="off" w:after="198" w:afterAutospacing="off" w:line="276" w:lineRule="auto"/>
        <w:ind w:left="0"/>
        <w:jc w:val="both"/>
        <w:rPr>
          <w:rFonts w:ascii="Aptos" w:hAnsi="Aptos" w:eastAsia="Aptos" w:cs="Aptos"/>
          <w:b w:val="0"/>
          <w:bCs w:val="0"/>
          <w:noProof w:val="0"/>
          <w:sz w:val="24"/>
          <w:szCs w:val="24"/>
          <w:lang w:val="en-GB"/>
        </w:rPr>
      </w:pPr>
      <w:r w:rsidRPr="1EBCF505" w:rsidR="3F62FFC0">
        <w:rPr>
          <w:rFonts w:ascii="Aptos" w:hAnsi="Aptos" w:eastAsia="Aptos" w:cs="Aptos"/>
          <w:b w:val="0"/>
          <w:bCs w:val="0"/>
          <w:noProof w:val="0"/>
          <w:sz w:val="24"/>
          <w:szCs w:val="24"/>
          <w:lang w:val="en-GB"/>
        </w:rPr>
        <w:t xml:space="preserve">The primary processing </w:t>
      </w:r>
      <w:r w:rsidRPr="1EBCF505" w:rsidR="3F62FFC0">
        <w:rPr>
          <w:rFonts w:ascii="Aptos" w:hAnsi="Aptos" w:eastAsia="Aptos" w:cs="Aptos"/>
          <w:b w:val="0"/>
          <w:bCs w:val="0"/>
          <w:noProof w:val="0"/>
          <w:sz w:val="24"/>
          <w:szCs w:val="24"/>
          <w:lang w:val="en-GB"/>
        </w:rPr>
        <w:t>center</w:t>
      </w:r>
      <w:r w:rsidRPr="1EBCF505" w:rsidR="3F62FFC0">
        <w:rPr>
          <w:rFonts w:ascii="Aptos" w:hAnsi="Aptos" w:eastAsia="Aptos" w:cs="Aptos"/>
          <w:b w:val="0"/>
          <w:bCs w:val="0"/>
          <w:noProof w:val="0"/>
          <w:sz w:val="24"/>
          <w:szCs w:val="24"/>
          <w:lang w:val="en-GB"/>
        </w:rPr>
        <w:t xml:space="preserve"> for the sector is Western Australia. According to the WA Government, lithium hydroxide and nickel sulphate refineries </w:t>
      </w:r>
      <w:r w:rsidRPr="1EBCF505" w:rsidR="3F62FFC0">
        <w:rPr>
          <w:rFonts w:ascii="Aptos" w:hAnsi="Aptos" w:eastAsia="Aptos" w:cs="Aptos"/>
          <w:b w:val="0"/>
          <w:bCs w:val="0"/>
          <w:noProof w:val="0"/>
          <w:sz w:val="24"/>
          <w:szCs w:val="24"/>
          <w:lang w:val="en-GB"/>
        </w:rPr>
        <w:t>are located in</w:t>
      </w:r>
      <w:r w:rsidRPr="1EBCF505" w:rsidR="3F62FFC0">
        <w:rPr>
          <w:rFonts w:ascii="Aptos" w:hAnsi="Aptos" w:eastAsia="Aptos" w:cs="Aptos"/>
          <w:b w:val="0"/>
          <w:bCs w:val="0"/>
          <w:noProof w:val="0"/>
          <w:sz w:val="24"/>
          <w:szCs w:val="24"/>
          <w:lang w:val="en-GB"/>
        </w:rPr>
        <w:t xml:space="preserve"> the Kwinana Strategic Industrial Area near Perth, while lithium hydroxide is processed in the Kemerton Strategic Industrial Area near Bunbury. Energy, water, chemical handling systems, port access, trained labour, waste management, and industrial co-location are all necessary for processing, which makes these hubs crucial</w:t>
      </w:r>
      <w:r w:rsidRPr="1EBCF505" w:rsidR="2165BF8F">
        <w:rPr>
          <w:rFonts w:ascii="Aptos" w:hAnsi="Aptos" w:eastAsia="Aptos" w:cs="Aptos"/>
          <w:b w:val="0"/>
          <w:bCs w:val="0"/>
          <w:noProof w:val="0"/>
          <w:sz w:val="24"/>
          <w:szCs w:val="24"/>
          <w:lang w:val="en-GB"/>
        </w:rPr>
        <w:t xml:space="preserve"> (Department of Jobs, Tourism, </w:t>
      </w:r>
      <w:r w:rsidRPr="1EBCF505" w:rsidR="2165BF8F">
        <w:rPr>
          <w:rFonts w:ascii="Aptos" w:hAnsi="Aptos" w:eastAsia="Aptos" w:cs="Aptos"/>
          <w:b w:val="0"/>
          <w:bCs w:val="0"/>
          <w:noProof w:val="0"/>
          <w:sz w:val="24"/>
          <w:szCs w:val="24"/>
          <w:lang w:val="en-GB"/>
        </w:rPr>
        <w:t>Science</w:t>
      </w:r>
      <w:r w:rsidRPr="1EBCF505" w:rsidR="2165BF8F">
        <w:rPr>
          <w:rFonts w:ascii="Aptos" w:hAnsi="Aptos" w:eastAsia="Aptos" w:cs="Aptos"/>
          <w:b w:val="0"/>
          <w:bCs w:val="0"/>
          <w:noProof w:val="0"/>
          <w:sz w:val="24"/>
          <w:szCs w:val="24"/>
          <w:lang w:val="en-GB"/>
        </w:rPr>
        <w:t xml:space="preserve"> and Innovation 2024).</w:t>
      </w:r>
    </w:p>
    <w:p w:rsidR="1EBCF505" w:rsidP="1EBCF505" w:rsidRDefault="1EBCF505" w14:paraId="1BF29135" w14:textId="3A062849">
      <w:pPr>
        <w:pStyle w:val="Normal"/>
        <w:bidi w:val="0"/>
        <w:spacing w:before="240" w:beforeAutospacing="off" w:after="198" w:afterAutospacing="off" w:line="276" w:lineRule="auto"/>
        <w:ind w:left="0"/>
        <w:jc w:val="both"/>
        <w:rPr>
          <w:rFonts w:ascii="Aptos" w:hAnsi="Aptos" w:eastAsia="Aptos" w:cs="Aptos"/>
          <w:b w:val="0"/>
          <w:bCs w:val="0"/>
          <w:noProof w:val="0"/>
          <w:sz w:val="24"/>
          <w:szCs w:val="24"/>
          <w:lang w:val="en-GB"/>
        </w:rPr>
      </w:pPr>
    </w:p>
    <w:p w:rsidR="1EBCF505" w:rsidP="1EBCF505" w:rsidRDefault="1EBCF505" w14:paraId="641E9FFA" w14:textId="00731B68">
      <w:pPr>
        <w:pStyle w:val="Normal"/>
        <w:bidi w:val="0"/>
        <w:spacing w:before="240" w:beforeAutospacing="off" w:after="198" w:afterAutospacing="off" w:line="276" w:lineRule="auto"/>
        <w:ind w:left="0"/>
        <w:jc w:val="both"/>
        <w:rPr>
          <w:rFonts w:ascii="Aptos" w:hAnsi="Aptos" w:eastAsia="Aptos" w:cs="Aptos"/>
          <w:b w:val="0"/>
          <w:bCs w:val="0"/>
          <w:noProof w:val="0"/>
          <w:sz w:val="24"/>
          <w:szCs w:val="24"/>
          <w:lang w:val="en-GB"/>
        </w:rPr>
      </w:pPr>
    </w:p>
    <w:p w:rsidR="1EBCF505" w:rsidP="1EBCF505" w:rsidRDefault="1EBCF505" w14:paraId="33CDDAC8" w14:textId="0319F968">
      <w:pPr>
        <w:pStyle w:val="Normal"/>
        <w:bidi w:val="0"/>
        <w:spacing w:before="240" w:beforeAutospacing="off" w:after="198" w:afterAutospacing="off" w:line="276" w:lineRule="auto"/>
        <w:ind w:left="0"/>
        <w:jc w:val="both"/>
        <w:rPr>
          <w:rFonts w:ascii="Aptos" w:hAnsi="Aptos" w:eastAsia="Aptos" w:cs="Aptos"/>
          <w:b w:val="0"/>
          <w:bCs w:val="0"/>
          <w:noProof w:val="0"/>
          <w:sz w:val="24"/>
          <w:szCs w:val="24"/>
          <w:lang w:val="en-GB"/>
        </w:rPr>
      </w:pPr>
    </w:p>
    <w:p w:rsidR="1EBCF505" w:rsidP="1EBCF505" w:rsidRDefault="1EBCF505" w14:paraId="0158E886" w14:textId="1A093CCC">
      <w:pPr>
        <w:pStyle w:val="Normal"/>
        <w:bidi w:val="0"/>
        <w:spacing w:before="240" w:beforeAutospacing="off" w:after="198" w:afterAutospacing="off" w:line="276" w:lineRule="auto"/>
        <w:ind w:left="0"/>
        <w:jc w:val="both"/>
        <w:rPr>
          <w:rFonts w:ascii="Aptos" w:hAnsi="Aptos" w:eastAsia="Aptos" w:cs="Aptos"/>
          <w:b w:val="0"/>
          <w:bCs w:val="0"/>
          <w:noProof w:val="0"/>
          <w:sz w:val="24"/>
          <w:szCs w:val="24"/>
          <w:lang w:val="en-GB"/>
        </w:rPr>
      </w:pPr>
    </w:p>
    <w:p w:rsidR="1EBCF505" w:rsidP="1EBCF505" w:rsidRDefault="1EBCF505" w14:paraId="08CE672B" w14:textId="173FB21B">
      <w:pPr>
        <w:pStyle w:val="Normal"/>
        <w:bidi w:val="0"/>
        <w:spacing w:before="240" w:beforeAutospacing="off" w:after="198" w:afterAutospacing="off" w:line="276" w:lineRule="auto"/>
        <w:ind w:left="0"/>
        <w:jc w:val="both"/>
        <w:rPr>
          <w:rFonts w:ascii="Aptos" w:hAnsi="Aptos" w:eastAsia="Aptos" w:cs="Aptos"/>
          <w:b w:val="0"/>
          <w:bCs w:val="0"/>
          <w:noProof w:val="0"/>
          <w:sz w:val="24"/>
          <w:szCs w:val="24"/>
          <w:lang w:val="en-GB"/>
        </w:rPr>
      </w:pPr>
    </w:p>
    <w:p w:rsidR="1EBCF505" w:rsidP="1EBCF505" w:rsidRDefault="1EBCF505" w14:paraId="4908851C" w14:textId="3F3A13D2">
      <w:pPr>
        <w:pStyle w:val="Normal"/>
        <w:bidi w:val="0"/>
        <w:spacing w:before="240" w:beforeAutospacing="off" w:after="198" w:afterAutospacing="off" w:line="276" w:lineRule="auto"/>
        <w:ind w:left="0"/>
        <w:jc w:val="both"/>
        <w:rPr>
          <w:rFonts w:ascii="Aptos" w:hAnsi="Aptos" w:eastAsia="Aptos" w:cs="Aptos"/>
          <w:b w:val="0"/>
          <w:bCs w:val="0"/>
          <w:noProof w:val="0"/>
          <w:sz w:val="24"/>
          <w:szCs w:val="24"/>
          <w:lang w:val="en-GB"/>
        </w:rPr>
      </w:pPr>
    </w:p>
    <w:p w:rsidR="1EBCF505" w:rsidP="1EBCF505" w:rsidRDefault="1EBCF505" w14:paraId="21008F8F" w14:textId="72D63A35">
      <w:pPr>
        <w:pStyle w:val="Normal"/>
        <w:bidi w:val="0"/>
        <w:spacing w:before="240" w:beforeAutospacing="off" w:after="198" w:afterAutospacing="off" w:line="276" w:lineRule="auto"/>
        <w:ind w:left="0"/>
        <w:jc w:val="both"/>
        <w:rPr>
          <w:rFonts w:ascii="Aptos" w:hAnsi="Aptos" w:eastAsia="Aptos" w:cs="Aptos"/>
          <w:b w:val="0"/>
          <w:bCs w:val="0"/>
          <w:noProof w:val="0"/>
          <w:sz w:val="24"/>
          <w:szCs w:val="24"/>
          <w:lang w:val="en-GB"/>
        </w:rPr>
      </w:pPr>
    </w:p>
    <w:p w:rsidR="1EBCF505" w:rsidP="1EBCF505" w:rsidRDefault="1EBCF505" w14:paraId="35DBE205" w14:textId="5E73972E">
      <w:pPr>
        <w:pStyle w:val="Normal"/>
        <w:bidi w:val="0"/>
        <w:spacing w:before="240" w:beforeAutospacing="off" w:after="198" w:afterAutospacing="off" w:line="276" w:lineRule="auto"/>
        <w:ind w:left="0"/>
        <w:jc w:val="both"/>
        <w:rPr>
          <w:rFonts w:ascii="Aptos" w:hAnsi="Aptos" w:eastAsia="Aptos" w:cs="Aptos"/>
          <w:b w:val="0"/>
          <w:bCs w:val="0"/>
          <w:noProof w:val="0"/>
          <w:sz w:val="24"/>
          <w:szCs w:val="24"/>
          <w:lang w:val="en-GB"/>
        </w:rPr>
      </w:pPr>
    </w:p>
    <w:p w:rsidR="1EBCF505" w:rsidP="1EBCF505" w:rsidRDefault="1EBCF505" w14:paraId="1DF90CC1" w14:textId="0124E284">
      <w:pPr>
        <w:pStyle w:val="Normal"/>
        <w:bidi w:val="0"/>
        <w:spacing w:before="240" w:beforeAutospacing="off" w:after="198" w:afterAutospacing="off" w:line="276" w:lineRule="auto"/>
        <w:ind w:left="0"/>
        <w:jc w:val="both"/>
        <w:rPr>
          <w:rFonts w:ascii="Aptos" w:hAnsi="Aptos" w:eastAsia="Aptos" w:cs="Aptos"/>
          <w:b w:val="0"/>
          <w:bCs w:val="0"/>
          <w:noProof w:val="0"/>
          <w:sz w:val="24"/>
          <w:szCs w:val="24"/>
          <w:lang w:val="en-GB"/>
        </w:rPr>
      </w:pPr>
    </w:p>
    <w:p w:rsidR="1EBCF505" w:rsidP="1EBCF505" w:rsidRDefault="1EBCF505" w14:paraId="745D0069" w14:textId="2EF5FD34">
      <w:pPr>
        <w:pStyle w:val="Normal"/>
        <w:bidi w:val="0"/>
        <w:spacing w:before="240" w:beforeAutospacing="off" w:after="198" w:afterAutospacing="off" w:line="276" w:lineRule="auto"/>
        <w:ind w:left="0"/>
        <w:jc w:val="both"/>
        <w:rPr>
          <w:rFonts w:ascii="Aptos" w:hAnsi="Aptos" w:eastAsia="Aptos" w:cs="Aptos"/>
          <w:b w:val="0"/>
          <w:bCs w:val="0"/>
          <w:noProof w:val="0"/>
          <w:sz w:val="24"/>
          <w:szCs w:val="24"/>
          <w:lang w:val="en-GB"/>
        </w:rPr>
      </w:pPr>
    </w:p>
    <w:p w:rsidR="1EBCF505" w:rsidP="1EBCF505" w:rsidRDefault="1EBCF505" w14:paraId="49F0CD2D" w14:textId="0249C9D6">
      <w:pPr>
        <w:pStyle w:val="Normal"/>
        <w:bidi w:val="0"/>
        <w:spacing w:before="240" w:beforeAutospacing="off" w:after="198" w:afterAutospacing="off" w:line="276" w:lineRule="auto"/>
        <w:ind w:left="0"/>
        <w:jc w:val="both"/>
        <w:rPr>
          <w:rFonts w:ascii="Aptos" w:hAnsi="Aptos" w:eastAsia="Aptos" w:cs="Aptos"/>
          <w:b w:val="0"/>
          <w:bCs w:val="0"/>
          <w:noProof w:val="0"/>
          <w:sz w:val="24"/>
          <w:szCs w:val="24"/>
          <w:lang w:val="en-GB"/>
        </w:rPr>
      </w:pPr>
    </w:p>
    <w:p w:rsidR="1EBCF505" w:rsidP="1EBCF505" w:rsidRDefault="1EBCF505" w14:paraId="2A4A9AF8" w14:textId="63FD7318">
      <w:pPr>
        <w:pStyle w:val="Normal"/>
        <w:bidi w:val="0"/>
        <w:spacing w:before="240" w:beforeAutospacing="off" w:after="198" w:afterAutospacing="off" w:line="276" w:lineRule="auto"/>
        <w:ind w:left="0"/>
        <w:jc w:val="both"/>
        <w:rPr>
          <w:rFonts w:ascii="Aptos" w:hAnsi="Aptos" w:eastAsia="Aptos" w:cs="Aptos"/>
          <w:b w:val="0"/>
          <w:bCs w:val="0"/>
          <w:noProof w:val="0"/>
          <w:sz w:val="24"/>
          <w:szCs w:val="24"/>
          <w:lang w:val="en-GB"/>
        </w:rPr>
      </w:pPr>
    </w:p>
    <w:p w:rsidR="1EBCF505" w:rsidP="1EBCF505" w:rsidRDefault="1EBCF505" w14:paraId="4F802282" w14:textId="65D997A4">
      <w:pPr>
        <w:pStyle w:val="Normal"/>
        <w:bidi w:val="0"/>
        <w:spacing w:before="240" w:beforeAutospacing="off" w:after="198" w:afterAutospacing="off" w:line="276" w:lineRule="auto"/>
        <w:ind w:left="0"/>
        <w:jc w:val="both"/>
        <w:rPr>
          <w:rFonts w:ascii="Aptos" w:hAnsi="Aptos" w:eastAsia="Aptos" w:cs="Aptos"/>
          <w:b w:val="0"/>
          <w:bCs w:val="0"/>
          <w:noProof w:val="0"/>
          <w:sz w:val="24"/>
          <w:szCs w:val="24"/>
          <w:lang w:val="en-GB"/>
        </w:rPr>
      </w:pPr>
    </w:p>
    <w:p w:rsidR="1EBCF505" w:rsidP="1EBCF505" w:rsidRDefault="1EBCF505" w14:paraId="44724486" w14:textId="0656550F">
      <w:pPr>
        <w:pStyle w:val="Normal"/>
        <w:bidi w:val="0"/>
        <w:spacing w:before="240" w:beforeAutospacing="off" w:after="198" w:afterAutospacing="off" w:line="276" w:lineRule="auto"/>
        <w:ind w:left="0"/>
        <w:jc w:val="both"/>
        <w:rPr>
          <w:rFonts w:ascii="Aptos" w:hAnsi="Aptos" w:eastAsia="Aptos" w:cs="Aptos"/>
          <w:b w:val="0"/>
          <w:bCs w:val="0"/>
          <w:noProof w:val="0"/>
          <w:sz w:val="24"/>
          <w:szCs w:val="24"/>
          <w:lang w:val="en-GB"/>
        </w:rPr>
      </w:pPr>
    </w:p>
    <w:p w:rsidR="1EBCF505" w:rsidP="1EBCF505" w:rsidRDefault="1EBCF505" w14:paraId="100F1823" w14:textId="6E5ACFA5">
      <w:pPr>
        <w:pStyle w:val="Normal"/>
        <w:bidi w:val="0"/>
        <w:spacing w:before="240" w:beforeAutospacing="off" w:after="198" w:afterAutospacing="off" w:line="276" w:lineRule="auto"/>
        <w:ind w:left="0"/>
        <w:jc w:val="both"/>
        <w:rPr>
          <w:rFonts w:ascii="Aptos" w:hAnsi="Aptos" w:eastAsia="Aptos" w:cs="Aptos"/>
          <w:b w:val="0"/>
          <w:bCs w:val="0"/>
          <w:noProof w:val="0"/>
          <w:sz w:val="24"/>
          <w:szCs w:val="24"/>
          <w:lang w:val="en-GB"/>
        </w:rPr>
      </w:pPr>
    </w:p>
    <w:p w:rsidR="1EBCF505" w:rsidP="1EBCF505" w:rsidRDefault="1EBCF505" w14:paraId="3C4C1280" w14:textId="5C281926">
      <w:pPr>
        <w:pStyle w:val="Normal"/>
        <w:bidi w:val="0"/>
        <w:spacing w:before="240" w:beforeAutospacing="off" w:after="198" w:afterAutospacing="off" w:line="276" w:lineRule="auto"/>
        <w:ind w:left="0"/>
        <w:jc w:val="both"/>
        <w:rPr>
          <w:rFonts w:ascii="Aptos" w:hAnsi="Aptos" w:eastAsia="Aptos" w:cs="Aptos"/>
          <w:b w:val="1"/>
          <w:bCs w:val="1"/>
          <w:noProof w:val="0"/>
          <w:sz w:val="24"/>
          <w:szCs w:val="24"/>
          <w:lang w:val="en-GB"/>
        </w:rPr>
      </w:pPr>
    </w:p>
    <w:p w:rsidR="1EBCF505" w:rsidP="1EBCF505" w:rsidRDefault="1EBCF505" w14:paraId="28102773" w14:textId="6547D771">
      <w:pPr>
        <w:pStyle w:val="Normal"/>
        <w:bidi w:val="0"/>
        <w:spacing w:before="240" w:beforeAutospacing="off" w:after="198" w:afterAutospacing="off" w:line="276" w:lineRule="auto"/>
        <w:ind w:left="0"/>
        <w:jc w:val="both"/>
        <w:rPr>
          <w:rFonts w:ascii="Aptos" w:hAnsi="Aptos" w:eastAsia="Aptos" w:cs="Aptos"/>
          <w:b w:val="1"/>
          <w:bCs w:val="1"/>
          <w:noProof w:val="0"/>
          <w:sz w:val="24"/>
          <w:szCs w:val="24"/>
          <w:lang w:val="en-GB"/>
        </w:rPr>
      </w:pPr>
    </w:p>
    <w:p w:rsidR="1EBCF505" w:rsidP="1EBCF505" w:rsidRDefault="1EBCF505" w14:paraId="2F01AA04" w14:textId="548569BC">
      <w:pPr>
        <w:pStyle w:val="Normal"/>
        <w:bidi w:val="0"/>
        <w:spacing w:before="240" w:beforeAutospacing="off" w:after="198" w:afterAutospacing="off" w:line="276" w:lineRule="auto"/>
        <w:ind w:left="0"/>
        <w:jc w:val="both"/>
        <w:rPr>
          <w:rFonts w:ascii="Aptos" w:hAnsi="Aptos" w:eastAsia="Aptos" w:cs="Aptos"/>
          <w:b w:val="1"/>
          <w:bCs w:val="1"/>
          <w:noProof w:val="0"/>
          <w:sz w:val="24"/>
          <w:szCs w:val="24"/>
          <w:lang w:val="en-GB"/>
        </w:rPr>
      </w:pPr>
    </w:p>
    <w:p w:rsidR="1EBCF505" w:rsidP="1EBCF505" w:rsidRDefault="1EBCF505" w14:paraId="06AA405C" w14:textId="70D9ECA3">
      <w:pPr>
        <w:pStyle w:val="Normal"/>
        <w:bidi w:val="0"/>
        <w:spacing w:before="240" w:beforeAutospacing="off" w:after="198" w:afterAutospacing="off" w:line="276" w:lineRule="auto"/>
        <w:ind w:left="0"/>
        <w:jc w:val="both"/>
        <w:rPr>
          <w:rFonts w:ascii="Aptos" w:hAnsi="Aptos" w:eastAsia="Aptos" w:cs="Aptos"/>
          <w:b w:val="1"/>
          <w:bCs w:val="1"/>
          <w:noProof w:val="0"/>
          <w:sz w:val="24"/>
          <w:szCs w:val="24"/>
          <w:lang w:val="en-GB"/>
        </w:rPr>
      </w:pPr>
    </w:p>
    <w:p w:rsidR="1EBCF505" w:rsidP="1EBCF505" w:rsidRDefault="1EBCF505" w14:paraId="3BBA0C76" w14:textId="0A9B8121">
      <w:pPr>
        <w:pStyle w:val="Normal"/>
        <w:bidi w:val="0"/>
        <w:spacing w:before="240" w:beforeAutospacing="off" w:after="198" w:afterAutospacing="off" w:line="276" w:lineRule="auto"/>
        <w:ind w:left="0"/>
        <w:jc w:val="both"/>
        <w:rPr>
          <w:rFonts w:ascii="Aptos" w:hAnsi="Aptos" w:eastAsia="Aptos" w:cs="Aptos"/>
          <w:b w:val="1"/>
          <w:bCs w:val="1"/>
          <w:noProof w:val="0"/>
          <w:sz w:val="24"/>
          <w:szCs w:val="24"/>
          <w:lang w:val="en-GB"/>
        </w:rPr>
      </w:pPr>
    </w:p>
    <w:p w:rsidR="1EBCF505" w:rsidP="1EBCF505" w:rsidRDefault="1EBCF505" w14:paraId="3A9CE521" w14:textId="2179FE80">
      <w:pPr>
        <w:pStyle w:val="Normal"/>
        <w:bidi w:val="0"/>
        <w:spacing w:before="240" w:beforeAutospacing="off" w:after="198" w:afterAutospacing="off" w:line="276" w:lineRule="auto"/>
        <w:ind w:left="0"/>
        <w:jc w:val="both"/>
        <w:rPr>
          <w:rFonts w:ascii="Aptos" w:hAnsi="Aptos" w:eastAsia="Aptos" w:cs="Aptos"/>
          <w:b w:val="1"/>
          <w:bCs w:val="1"/>
          <w:noProof w:val="0"/>
          <w:sz w:val="24"/>
          <w:szCs w:val="24"/>
          <w:lang w:val="en-GB"/>
        </w:rPr>
      </w:pPr>
    </w:p>
    <w:p w:rsidR="2165BF8F" w:rsidP="1EBCF505" w:rsidRDefault="2165BF8F" w14:paraId="322C782F" w14:textId="20A1E95A">
      <w:pPr>
        <w:pStyle w:val="Normal"/>
        <w:bidi w:val="0"/>
        <w:spacing w:before="240" w:beforeAutospacing="off" w:after="198" w:afterAutospacing="off" w:line="276" w:lineRule="auto"/>
        <w:ind w:left="0"/>
        <w:jc w:val="both"/>
        <w:rPr>
          <w:rFonts w:ascii="Aptos" w:hAnsi="Aptos" w:eastAsia="Aptos" w:cs="Aptos"/>
          <w:b w:val="1"/>
          <w:bCs w:val="1"/>
          <w:noProof w:val="0"/>
          <w:sz w:val="24"/>
          <w:szCs w:val="24"/>
          <w:lang w:val="en-GB"/>
        </w:rPr>
      </w:pPr>
      <w:r w:rsidRPr="1EBCF505" w:rsidR="2165BF8F">
        <w:rPr>
          <w:rFonts w:ascii="Aptos" w:hAnsi="Aptos" w:eastAsia="Aptos" w:cs="Aptos"/>
          <w:b w:val="1"/>
          <w:bCs w:val="1"/>
          <w:noProof w:val="0"/>
          <w:sz w:val="24"/>
          <w:szCs w:val="24"/>
          <w:lang w:val="en-GB"/>
        </w:rPr>
        <w:t>2.3 Major domestic and multinational firms</w:t>
      </w:r>
    </w:p>
    <w:p w:rsidR="7011E82A" w:rsidP="1EBCF505" w:rsidRDefault="7011E82A" w14:paraId="1ECBE5D7" w14:textId="1B566700">
      <w:pPr>
        <w:pStyle w:val="Normal"/>
        <w:bidi w:val="0"/>
        <w:spacing w:before="240" w:beforeAutospacing="off" w:after="198" w:afterAutospacing="off" w:line="276" w:lineRule="auto"/>
        <w:ind w:left="0"/>
        <w:jc w:val="left"/>
        <w:rPr>
          <w:rFonts w:ascii="Aptos" w:hAnsi="Aptos" w:eastAsia="Aptos" w:cs="Aptos"/>
          <w:b w:val="0"/>
          <w:bCs w:val="0"/>
          <w:noProof w:val="0"/>
          <w:sz w:val="24"/>
          <w:szCs w:val="24"/>
          <w:lang w:val="en-GB"/>
        </w:rPr>
      </w:pPr>
      <w:r w:rsidRPr="1EBCF505" w:rsidR="7011E82A">
        <w:rPr>
          <w:rFonts w:ascii="Aptos" w:hAnsi="Aptos" w:eastAsia="Aptos" w:cs="Aptos"/>
          <w:b w:val="0"/>
          <w:bCs w:val="0"/>
          <w:noProof w:val="0"/>
          <w:sz w:val="24"/>
          <w:szCs w:val="24"/>
          <w:lang w:val="en-GB"/>
        </w:rPr>
        <w:t xml:space="preserve">Both homegrown leaders and international multinational corporations are involved in Australia's vital minerals processing sector. Lynas Rare Earths, Iluka Resources, and Arafura Rare Earths are the three primary domestic rare earth companies. Lynas is particularly significant because it is the world's second-largest producer of separated rare earths outside of China. The Eneabba rare earths refinery, which Iluka is building, is expected to produce 23,000 tonnes of TREO annually, </w:t>
      </w:r>
      <w:r w:rsidRPr="1EBCF505" w:rsidR="7011E82A">
        <w:rPr>
          <w:rFonts w:ascii="Aptos" w:hAnsi="Aptos" w:eastAsia="Aptos" w:cs="Aptos"/>
          <w:b w:val="0"/>
          <w:bCs w:val="0"/>
          <w:noProof w:val="0"/>
          <w:sz w:val="24"/>
          <w:szCs w:val="24"/>
          <w:lang w:val="en-GB"/>
        </w:rPr>
        <w:t>comprising</w:t>
      </w:r>
      <w:r w:rsidRPr="1EBCF505" w:rsidR="7011E82A">
        <w:rPr>
          <w:rFonts w:ascii="Aptos" w:hAnsi="Aptos" w:eastAsia="Aptos" w:cs="Aptos"/>
          <w:b w:val="0"/>
          <w:bCs w:val="0"/>
          <w:noProof w:val="0"/>
          <w:sz w:val="24"/>
          <w:szCs w:val="24"/>
          <w:lang w:val="en-GB"/>
        </w:rPr>
        <w:t xml:space="preserve"> 5.5 </w:t>
      </w:r>
      <w:r w:rsidRPr="1EBCF505" w:rsidR="7011E82A">
        <w:rPr>
          <w:rFonts w:ascii="Aptos" w:hAnsi="Aptos" w:eastAsia="Aptos" w:cs="Aptos"/>
          <w:b w:val="0"/>
          <w:bCs w:val="0"/>
          <w:noProof w:val="0"/>
          <w:sz w:val="24"/>
          <w:szCs w:val="24"/>
          <w:lang w:val="en-GB"/>
        </w:rPr>
        <w:t>ktpa</w:t>
      </w:r>
      <w:r w:rsidRPr="1EBCF505" w:rsidR="7011E82A">
        <w:rPr>
          <w:rFonts w:ascii="Aptos" w:hAnsi="Aptos" w:eastAsia="Aptos" w:cs="Aptos"/>
          <w:b w:val="0"/>
          <w:bCs w:val="0"/>
          <w:noProof w:val="0"/>
          <w:sz w:val="24"/>
          <w:szCs w:val="24"/>
          <w:lang w:val="en-GB"/>
        </w:rPr>
        <w:t xml:space="preserve"> </w:t>
      </w:r>
      <w:r w:rsidRPr="1EBCF505" w:rsidR="7011E82A">
        <w:rPr>
          <w:rFonts w:ascii="Aptos" w:hAnsi="Aptos" w:eastAsia="Aptos" w:cs="Aptos"/>
          <w:b w:val="0"/>
          <w:bCs w:val="0"/>
          <w:noProof w:val="0"/>
          <w:sz w:val="24"/>
          <w:szCs w:val="24"/>
          <w:lang w:val="en-GB"/>
        </w:rPr>
        <w:t>NdPr</w:t>
      </w:r>
      <w:r w:rsidRPr="1EBCF505" w:rsidR="7011E82A">
        <w:rPr>
          <w:rFonts w:ascii="Aptos" w:hAnsi="Aptos" w:eastAsia="Aptos" w:cs="Aptos"/>
          <w:b w:val="0"/>
          <w:bCs w:val="0"/>
          <w:noProof w:val="0"/>
          <w:sz w:val="24"/>
          <w:szCs w:val="24"/>
          <w:lang w:val="en-GB"/>
        </w:rPr>
        <w:t xml:space="preserve"> oxide and 750 </w:t>
      </w:r>
      <w:r w:rsidRPr="1EBCF505" w:rsidR="7011E82A">
        <w:rPr>
          <w:rFonts w:ascii="Aptos" w:hAnsi="Aptos" w:eastAsia="Aptos" w:cs="Aptos"/>
          <w:b w:val="0"/>
          <w:bCs w:val="0"/>
          <w:noProof w:val="0"/>
          <w:sz w:val="24"/>
          <w:szCs w:val="24"/>
          <w:lang w:val="en-GB"/>
        </w:rPr>
        <w:t>tpa</w:t>
      </w:r>
      <w:r w:rsidRPr="1EBCF505" w:rsidR="7011E82A">
        <w:rPr>
          <w:rFonts w:ascii="Aptos" w:hAnsi="Aptos" w:eastAsia="Aptos" w:cs="Aptos"/>
          <w:b w:val="0"/>
          <w:bCs w:val="0"/>
          <w:noProof w:val="0"/>
          <w:sz w:val="24"/>
          <w:szCs w:val="24"/>
          <w:lang w:val="en-GB"/>
        </w:rPr>
        <w:t xml:space="preserve"> Dy/Tb oxide. The Nolans project in Arafura is positioned as a shovel-ready </w:t>
      </w:r>
      <w:r w:rsidRPr="1EBCF505" w:rsidR="7011E82A">
        <w:rPr>
          <w:rFonts w:ascii="Aptos" w:hAnsi="Aptos" w:eastAsia="Aptos" w:cs="Aptos"/>
          <w:b w:val="0"/>
          <w:bCs w:val="0"/>
          <w:noProof w:val="0"/>
          <w:sz w:val="24"/>
          <w:szCs w:val="24"/>
          <w:lang w:val="en-GB"/>
        </w:rPr>
        <w:t>NdPr</w:t>
      </w:r>
      <w:r w:rsidRPr="1EBCF505" w:rsidR="7011E82A">
        <w:rPr>
          <w:rFonts w:ascii="Aptos" w:hAnsi="Aptos" w:eastAsia="Aptos" w:cs="Aptos"/>
          <w:b w:val="0"/>
          <w:bCs w:val="0"/>
          <w:noProof w:val="0"/>
          <w:sz w:val="24"/>
          <w:szCs w:val="24"/>
          <w:lang w:val="en-GB"/>
        </w:rPr>
        <w:t xml:space="preserve"> project that is </w:t>
      </w:r>
      <w:r w:rsidRPr="1EBCF505" w:rsidR="7011E82A">
        <w:rPr>
          <w:rFonts w:ascii="Aptos" w:hAnsi="Aptos" w:eastAsia="Aptos" w:cs="Aptos"/>
          <w:b w:val="0"/>
          <w:bCs w:val="0"/>
          <w:noProof w:val="0"/>
          <w:sz w:val="24"/>
          <w:szCs w:val="24"/>
          <w:lang w:val="en-GB"/>
        </w:rPr>
        <w:t>anticipated</w:t>
      </w:r>
      <w:r w:rsidRPr="1EBCF505" w:rsidR="7011E82A">
        <w:rPr>
          <w:rFonts w:ascii="Aptos" w:hAnsi="Aptos" w:eastAsia="Aptos" w:cs="Aptos"/>
          <w:b w:val="0"/>
          <w:bCs w:val="0"/>
          <w:noProof w:val="0"/>
          <w:sz w:val="24"/>
          <w:szCs w:val="24"/>
          <w:lang w:val="en-GB"/>
        </w:rPr>
        <w:t xml:space="preserve"> to meet </w:t>
      </w:r>
      <w:r w:rsidRPr="1EBCF505" w:rsidR="7011E82A">
        <w:rPr>
          <w:rFonts w:ascii="Aptos" w:hAnsi="Aptos" w:eastAsia="Aptos" w:cs="Aptos"/>
          <w:b w:val="0"/>
          <w:bCs w:val="0"/>
          <w:noProof w:val="0"/>
          <w:sz w:val="24"/>
          <w:szCs w:val="24"/>
          <w:lang w:val="en-GB"/>
        </w:rPr>
        <w:t>roughly 4%</w:t>
      </w:r>
      <w:r w:rsidRPr="1EBCF505" w:rsidR="7011E82A">
        <w:rPr>
          <w:rFonts w:ascii="Aptos" w:hAnsi="Aptos" w:eastAsia="Aptos" w:cs="Aptos"/>
          <w:b w:val="0"/>
          <w:bCs w:val="0"/>
          <w:noProof w:val="0"/>
          <w:sz w:val="24"/>
          <w:szCs w:val="24"/>
          <w:lang w:val="en-GB"/>
        </w:rPr>
        <w:t xml:space="preserve"> of the global demand for </w:t>
      </w:r>
      <w:r w:rsidRPr="1EBCF505" w:rsidR="7011E82A">
        <w:rPr>
          <w:rFonts w:ascii="Aptos" w:hAnsi="Aptos" w:eastAsia="Aptos" w:cs="Aptos"/>
          <w:b w:val="0"/>
          <w:bCs w:val="0"/>
          <w:noProof w:val="0"/>
          <w:sz w:val="24"/>
          <w:szCs w:val="24"/>
          <w:lang w:val="en-GB"/>
        </w:rPr>
        <w:t>NdPr</w:t>
      </w:r>
      <w:r w:rsidRPr="1EBCF505" w:rsidR="7011E82A">
        <w:rPr>
          <w:rFonts w:ascii="Aptos" w:hAnsi="Aptos" w:eastAsia="Aptos" w:cs="Aptos"/>
          <w:b w:val="0"/>
          <w:bCs w:val="0"/>
          <w:noProof w:val="0"/>
          <w:sz w:val="24"/>
          <w:szCs w:val="24"/>
          <w:lang w:val="en-GB"/>
        </w:rPr>
        <w:t xml:space="preserve"> oxide </w:t>
      </w:r>
      <w:r w:rsidRPr="1EBCF505" w:rsidR="48B6B3A3">
        <w:rPr>
          <w:rFonts w:ascii="Aptos" w:hAnsi="Aptos" w:eastAsia="Aptos" w:cs="Aptos"/>
          <w:noProof w:val="0"/>
          <w:sz w:val="24"/>
          <w:szCs w:val="24"/>
          <w:lang w:val="en-GB"/>
        </w:rPr>
        <w:t xml:space="preserve">(Lynas Rare Earths Limited 2025), (Iluka Resources 2026), (Arafura Rare Earths </w:t>
      </w:r>
      <w:r w:rsidRPr="1EBCF505" w:rsidR="0F4B522D">
        <w:rPr>
          <w:rFonts w:ascii="Aptos" w:hAnsi="Aptos" w:eastAsia="Aptos" w:cs="Aptos"/>
          <w:noProof w:val="0"/>
          <w:sz w:val="24"/>
          <w:szCs w:val="24"/>
          <w:lang w:val="en-GB"/>
        </w:rPr>
        <w:t>2026</w:t>
      </w:r>
      <w:r w:rsidRPr="1EBCF505" w:rsidR="48B6B3A3">
        <w:rPr>
          <w:rFonts w:ascii="Aptos" w:hAnsi="Aptos" w:eastAsia="Aptos" w:cs="Aptos"/>
          <w:noProof w:val="0"/>
          <w:sz w:val="24"/>
          <w:szCs w:val="24"/>
          <w:lang w:val="en-GB"/>
        </w:rPr>
        <w:t>.)</w:t>
      </w:r>
      <w:r w:rsidRPr="1EBCF505" w:rsidR="776B7DB9">
        <w:rPr>
          <w:rFonts w:ascii="Aptos" w:hAnsi="Aptos" w:eastAsia="Aptos" w:cs="Aptos"/>
          <w:noProof w:val="0"/>
          <w:sz w:val="24"/>
          <w:szCs w:val="24"/>
          <w:lang w:val="en-GB"/>
        </w:rPr>
        <w:t>.</w:t>
      </w:r>
    </w:p>
    <w:p w:rsidR="69F4AD02" w:rsidP="1EBCF505" w:rsidRDefault="69F4AD02" w14:paraId="3258DF96" w14:textId="1DF7FDF0">
      <w:pPr>
        <w:pStyle w:val="Normal"/>
        <w:bidi w:val="0"/>
        <w:spacing w:before="240" w:beforeAutospacing="off" w:after="198" w:afterAutospacing="off" w:line="276" w:lineRule="auto"/>
        <w:ind w:left="0"/>
        <w:jc w:val="left"/>
        <w:rPr>
          <w:rFonts w:ascii="Aptos" w:hAnsi="Aptos" w:eastAsia="Aptos" w:cs="Aptos"/>
          <w:noProof w:val="0"/>
          <w:sz w:val="24"/>
          <w:szCs w:val="24"/>
          <w:lang w:val="en-GB"/>
        </w:rPr>
      </w:pPr>
      <w:r w:rsidRPr="1EBCF505" w:rsidR="69F4AD02">
        <w:rPr>
          <w:rFonts w:ascii="Aptos" w:hAnsi="Aptos" w:eastAsia="Aptos" w:cs="Aptos"/>
          <w:noProof w:val="0"/>
          <w:sz w:val="24"/>
          <w:szCs w:val="24"/>
          <w:lang w:val="en-GB"/>
        </w:rPr>
        <w:t xml:space="preserve">Tianqi Lithium Energy Australia, IGO Ltd., Albemarle, and Covalent Lithium, a joint venture between SQM and Wesfarmers, are the major companies in the lithium processing industry. Tianqi Lithium Corporation and IGO jointly own TLEA; according to IGO, Tianqi owns 51% of the company and IGO owns 49%. When fully operational, Covalent Lithium's Kwinana refinery is </w:t>
      </w:r>
      <w:r w:rsidRPr="1EBCF505" w:rsidR="69F4AD02">
        <w:rPr>
          <w:rFonts w:ascii="Aptos" w:hAnsi="Aptos" w:eastAsia="Aptos" w:cs="Aptos"/>
          <w:noProof w:val="0"/>
          <w:sz w:val="24"/>
          <w:szCs w:val="24"/>
          <w:lang w:val="en-GB"/>
        </w:rPr>
        <w:t>anticipated</w:t>
      </w:r>
      <w:r w:rsidRPr="1EBCF505" w:rsidR="69F4AD02">
        <w:rPr>
          <w:rFonts w:ascii="Aptos" w:hAnsi="Aptos" w:eastAsia="Aptos" w:cs="Aptos"/>
          <w:noProof w:val="0"/>
          <w:sz w:val="24"/>
          <w:szCs w:val="24"/>
          <w:lang w:val="en-GB"/>
        </w:rPr>
        <w:t xml:space="preserve"> to generate </w:t>
      </w:r>
      <w:r w:rsidRPr="1EBCF505" w:rsidR="69F4AD02">
        <w:rPr>
          <w:rFonts w:ascii="Aptos" w:hAnsi="Aptos" w:eastAsia="Aptos" w:cs="Aptos"/>
          <w:noProof w:val="0"/>
          <w:sz w:val="24"/>
          <w:szCs w:val="24"/>
          <w:lang w:val="en-GB"/>
        </w:rPr>
        <w:t>roughly 50,000</w:t>
      </w:r>
      <w:r w:rsidRPr="1EBCF505" w:rsidR="69F4AD02">
        <w:rPr>
          <w:rFonts w:ascii="Aptos" w:hAnsi="Aptos" w:eastAsia="Aptos" w:cs="Aptos"/>
          <w:noProof w:val="0"/>
          <w:sz w:val="24"/>
          <w:szCs w:val="24"/>
          <w:lang w:val="en-GB"/>
        </w:rPr>
        <w:t xml:space="preserve"> tonnes of battery-grade lithium hydroxide annually. IGO Limited (</w:t>
      </w:r>
      <w:r w:rsidRPr="1EBCF505" w:rsidR="556E3D6D">
        <w:rPr>
          <w:rFonts w:ascii="Aptos" w:hAnsi="Aptos" w:eastAsia="Aptos" w:cs="Aptos"/>
          <w:noProof w:val="0"/>
          <w:sz w:val="24"/>
          <w:szCs w:val="24"/>
          <w:lang w:val="en-GB"/>
        </w:rPr>
        <w:t>2026</w:t>
      </w:r>
      <w:r w:rsidRPr="1EBCF505" w:rsidR="69F4AD02">
        <w:rPr>
          <w:rFonts w:ascii="Aptos" w:hAnsi="Aptos" w:eastAsia="Aptos" w:cs="Aptos"/>
          <w:noProof w:val="0"/>
          <w:sz w:val="24"/>
          <w:szCs w:val="24"/>
          <w:lang w:val="en-GB"/>
        </w:rPr>
        <w:t>) describes its Lithium Joint Venture with Tianqi Lithium Corporation</w:t>
      </w:r>
      <w:r w:rsidRPr="1EBCF505" w:rsidR="7B350678">
        <w:rPr>
          <w:rFonts w:ascii="Aptos" w:hAnsi="Aptos" w:eastAsia="Aptos" w:cs="Aptos"/>
          <w:noProof w:val="0"/>
          <w:sz w:val="24"/>
          <w:szCs w:val="24"/>
          <w:lang w:val="en-GB"/>
        </w:rPr>
        <w:t>, (D’Silva 2025).</w:t>
      </w:r>
    </w:p>
    <w:p w:rsidR="5510F28C" w:rsidP="1EBCF505" w:rsidRDefault="5510F28C" w14:paraId="693971BB" w14:textId="00E13F0B">
      <w:pPr>
        <w:pStyle w:val="Normal"/>
        <w:bidi w:val="0"/>
        <w:spacing w:before="240" w:beforeAutospacing="off" w:after="198" w:afterAutospacing="off" w:line="276" w:lineRule="auto"/>
        <w:ind w:left="0"/>
        <w:jc w:val="left"/>
      </w:pPr>
      <w:r w:rsidRPr="1EBCF505" w:rsidR="5510F28C">
        <w:rPr>
          <w:rFonts w:ascii="Aptos" w:hAnsi="Aptos" w:eastAsia="Aptos" w:cs="Aptos"/>
          <w:noProof w:val="0"/>
          <w:sz w:val="24"/>
          <w:szCs w:val="24"/>
          <w:lang w:val="en-GB"/>
        </w:rPr>
        <w:t>Selected Australian processing capacity targets (sources D’Silva 2025):</w:t>
      </w:r>
      <w:r w:rsidR="5510F28C">
        <w:drawing>
          <wp:inline wp14:editId="42623358" wp14:anchorId="3EB5EB74">
            <wp:extent cx="5724525" cy="3819525"/>
            <wp:effectExtent l="0" t="0" r="0" b="0"/>
            <wp:docPr id="19836881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83688173" name="Picture 1983688173"/>
                    <pic:cNvPicPr/>
                  </pic:nvPicPr>
                  <pic:blipFill>
                    <a:blip xmlns:r="http://schemas.openxmlformats.org/officeDocument/2006/relationships" r:embed="rId1112695652">
                      <a:extLst>
                        <a:ext uri="{28A0092B-C50C-407E-A947-70E740481C1C}">
                          <a14:useLocalDpi xmlns:a14="http://schemas.microsoft.com/office/drawing/2010/main"/>
                        </a:ext>
                      </a:extLst>
                    </a:blip>
                    <a:stretch>
                      <a:fillRect/>
                    </a:stretch>
                  </pic:blipFill>
                  <pic:spPr>
                    <a:xfrm>
                      <a:off x="0" y="0"/>
                      <a:ext cx="5724525" cy="3819525"/>
                    </a:xfrm>
                    <a:prstGeom prst="rect">
                      <a:avLst/>
                    </a:prstGeom>
                  </pic:spPr>
                </pic:pic>
              </a:graphicData>
            </a:graphic>
          </wp:inline>
        </w:drawing>
      </w:r>
    </w:p>
    <w:p w:rsidR="1EBCF505" w:rsidP="1EBCF505" w:rsidRDefault="1EBCF505" w14:paraId="0947B4D6" w14:textId="0A75E463">
      <w:pPr>
        <w:pStyle w:val="Normal"/>
        <w:bidi w:val="0"/>
        <w:spacing w:before="240" w:beforeAutospacing="off" w:after="198" w:afterAutospacing="off" w:line="276" w:lineRule="auto"/>
        <w:ind w:left="0"/>
        <w:jc w:val="left"/>
      </w:pPr>
    </w:p>
    <w:p w:rsidR="1EBCF505" w:rsidP="1EBCF505" w:rsidRDefault="1EBCF505" w14:paraId="28E3C12F" w14:textId="4EE0E616">
      <w:pPr>
        <w:pStyle w:val="Normal"/>
        <w:bidi w:val="0"/>
        <w:spacing w:before="240" w:beforeAutospacing="off" w:after="198" w:afterAutospacing="off" w:line="276" w:lineRule="auto"/>
        <w:ind w:left="0"/>
        <w:jc w:val="both"/>
      </w:pPr>
    </w:p>
    <w:p w:rsidR="6CD88B31" w:rsidP="1EBCF505" w:rsidRDefault="6CD88B31" w14:paraId="4AF6BC08" w14:textId="679616CB">
      <w:pPr>
        <w:pStyle w:val="Normal"/>
        <w:bidi w:val="0"/>
        <w:spacing w:before="240" w:beforeAutospacing="off" w:after="198" w:afterAutospacing="off" w:line="276" w:lineRule="auto"/>
        <w:ind w:left="0"/>
        <w:jc w:val="both"/>
      </w:pPr>
      <w:r w:rsidRPr="1EBCF505" w:rsidR="6CD88B31">
        <w:rPr>
          <w:rFonts w:ascii="Aptos" w:hAnsi="Aptos" w:eastAsia="Aptos" w:cs="Aptos"/>
          <w:noProof w:val="0"/>
          <w:sz w:val="24"/>
          <w:szCs w:val="24"/>
          <w:lang w:val="en-GB"/>
        </w:rPr>
        <w:t xml:space="preserve">These businesses have different strategic positions. With integrated mining and processing capabilities, Lynas competes as a non-China rare earth provider. Iluka is presenting itself as a platform for rare earth processing that is backed by the government. Arafura is working on a rare earth magnet project related to the demand for electric vehicles and wind turbines in the future. Global lithium players Tianqi and Albemarle have direct access to Australian lithium deposits and refining. A rival domestic-foreign joint venture concept is Covalent Lithium, which combines SQM's lithium </w:t>
      </w:r>
      <w:r w:rsidRPr="1EBCF505" w:rsidR="6CD88B31">
        <w:rPr>
          <w:rFonts w:ascii="Aptos" w:hAnsi="Aptos" w:eastAsia="Aptos" w:cs="Aptos"/>
          <w:noProof w:val="0"/>
          <w:sz w:val="24"/>
          <w:szCs w:val="24"/>
          <w:lang w:val="en-GB"/>
        </w:rPr>
        <w:t>expertise</w:t>
      </w:r>
      <w:r w:rsidRPr="1EBCF505" w:rsidR="6CD88B31">
        <w:rPr>
          <w:rFonts w:ascii="Aptos" w:hAnsi="Aptos" w:eastAsia="Aptos" w:cs="Aptos"/>
          <w:noProof w:val="0"/>
          <w:sz w:val="24"/>
          <w:szCs w:val="24"/>
          <w:lang w:val="en-GB"/>
        </w:rPr>
        <w:t xml:space="preserve"> with Wesfarmers' Australian business basis.</w:t>
      </w:r>
    </w:p>
    <w:p w:rsidR="6CD88B31" w:rsidP="1EBCF505" w:rsidRDefault="6CD88B31" w14:paraId="6E7F2598" w14:textId="5DA47E53">
      <w:pPr>
        <w:pStyle w:val="Normal"/>
        <w:bidi w:val="0"/>
        <w:spacing w:before="240" w:beforeAutospacing="off" w:after="198" w:afterAutospacing="off" w:line="276" w:lineRule="auto"/>
        <w:ind w:left="0"/>
        <w:jc w:val="both"/>
      </w:pPr>
      <w:r w:rsidRPr="1EBCF505" w:rsidR="6CD88B31">
        <w:rPr>
          <w:rFonts w:ascii="Aptos" w:hAnsi="Aptos" w:eastAsia="Aptos" w:cs="Aptos"/>
          <w:noProof w:val="0"/>
          <w:sz w:val="24"/>
          <w:szCs w:val="24"/>
          <w:lang w:val="en-GB"/>
        </w:rPr>
        <w:t>The general trend is evident: Australia lacks China's complete downstream ecosystem in batteries, cathodes, magnets, and advanced components, despite having top-notch resources and developing processing capabilities.</w:t>
      </w:r>
    </w:p>
    <w:p w:rsidR="5DED3B75" w:rsidP="5DED3B75" w:rsidRDefault="5DED3B75" w14:paraId="1D1E1264" w14:textId="2F2E10D9">
      <w:pPr>
        <w:pStyle w:val="Normal"/>
        <w:bidi w:val="0"/>
        <w:spacing w:before="240" w:beforeAutospacing="off" w:after="198" w:afterAutospacing="off" w:line="276" w:lineRule="auto"/>
        <w:jc w:val="both"/>
        <w:rPr>
          <w:rFonts w:ascii="Aptos" w:hAnsi="Aptos" w:eastAsia="Aptos" w:cs="Aptos"/>
          <w:noProof w:val="0"/>
          <w:sz w:val="24"/>
          <w:szCs w:val="24"/>
          <w:lang w:val="en-US"/>
        </w:rPr>
      </w:pPr>
    </w:p>
    <w:p w:rsidR="6C9A2BB4" w:rsidP="1B0B79CD" w:rsidRDefault="6C9A2BB4" w14:paraId="3B742114" w14:textId="73899C4E">
      <w:pPr>
        <w:pStyle w:val="Normal"/>
        <w:bidi w:val="0"/>
        <w:spacing w:before="240" w:beforeAutospacing="off" w:after="240" w:afterAutospacing="off" w:line="259" w:lineRule="auto"/>
        <w:ind w:left="0" w:right="0"/>
        <w:jc w:val="left"/>
        <w:rPr>
          <w:rFonts w:ascii="Aptos" w:hAnsi="Aptos" w:eastAsia="Aptos" w:cs="Aptos"/>
          <w:noProof w:val="0"/>
          <w:sz w:val="24"/>
          <w:szCs w:val="24"/>
          <w:lang w:val="en-GB"/>
        </w:rPr>
      </w:pPr>
    </w:p>
    <w:p w:rsidR="6C9A2BB4" w:rsidP="272F73A6" w:rsidRDefault="6C9A2BB4" w14:paraId="3852108D" w14:textId="0F1F8104">
      <w:pPr>
        <w:spacing w:before="240" w:beforeAutospacing="off" w:after="198" w:afterAutospacing="off" w:line="276" w:lineRule="auto"/>
        <w:jc w:val="left"/>
      </w:pPr>
      <w:r>
        <w:br/>
      </w:r>
    </w:p>
    <w:p w:rsidR="5DED3B75" w:rsidP="1EBCF505" w:rsidRDefault="5DED3B75" w14:paraId="29FAA6A0" w14:textId="61C9D0D5">
      <w:pPr>
        <w:pStyle w:val="Normal"/>
        <w:spacing w:before="240" w:beforeAutospacing="off" w:after="198" w:afterAutospacing="off" w:line="276" w:lineRule="auto"/>
        <w:jc w:val="left"/>
        <w:rPr>
          <w:rFonts w:ascii="Aptos" w:hAnsi="Aptos" w:eastAsia="Aptos" w:cs="Aptos"/>
          <w:b w:val="1"/>
          <w:bCs w:val="1"/>
          <w:noProof w:val="0"/>
          <w:sz w:val="32"/>
          <w:szCs w:val="32"/>
          <w:lang w:val="en-GB"/>
        </w:rPr>
      </w:pPr>
      <w:r w:rsidRPr="4DF95668" w:rsidR="330B2789">
        <w:rPr>
          <w:rFonts w:ascii="Aptos" w:hAnsi="Aptos" w:eastAsia="Aptos" w:cs="Aptos"/>
          <w:b w:val="1"/>
          <w:bCs w:val="1"/>
          <w:noProof w:val="0"/>
          <w:sz w:val="32"/>
          <w:szCs w:val="32"/>
          <w:lang w:val="en-GB"/>
        </w:rPr>
        <w:t>3. Porter’s Diamond Model of National Advantage</w:t>
      </w:r>
    </w:p>
    <w:p w:rsidR="5DED3B75" w:rsidP="1EBCF505" w:rsidRDefault="5DED3B75" w14:paraId="529A0FD9" w14:textId="190854F3">
      <w:pPr>
        <w:pStyle w:val="Normal"/>
        <w:spacing w:before="240" w:beforeAutospacing="off" w:after="198" w:afterAutospacing="off" w:line="276" w:lineRule="auto"/>
        <w:jc w:val="both"/>
        <w:rPr>
          <w:rFonts w:ascii="Aptos" w:hAnsi="Aptos" w:eastAsia="Aptos" w:cs="Aptos"/>
          <w:b w:val="0"/>
          <w:bCs w:val="0"/>
          <w:noProof w:val="0"/>
          <w:sz w:val="24"/>
          <w:szCs w:val="24"/>
          <w:lang w:val="en-GB"/>
        </w:rPr>
      </w:pPr>
      <w:r w:rsidRPr="1EBCF505" w:rsidR="297948C4">
        <w:rPr>
          <w:rFonts w:ascii="Aptos" w:hAnsi="Aptos" w:eastAsia="Aptos" w:cs="Aptos"/>
          <w:b w:val="0"/>
          <w:bCs w:val="0"/>
          <w:noProof w:val="0"/>
          <w:sz w:val="24"/>
          <w:szCs w:val="24"/>
          <w:lang w:val="en-GB"/>
        </w:rPr>
        <w:t xml:space="preserve">Porter's Diamond Model describes how four interrelated factors—factor circumstances, demand conditions, linked and supporting industries, and firm strategy, structure, and rivalry—help nations and industries develop a competitive </w:t>
      </w:r>
      <w:r w:rsidRPr="1EBCF505" w:rsidR="297948C4">
        <w:rPr>
          <w:rFonts w:ascii="Aptos" w:hAnsi="Aptos" w:eastAsia="Aptos" w:cs="Aptos"/>
          <w:b w:val="0"/>
          <w:bCs w:val="0"/>
          <w:noProof w:val="0"/>
          <w:sz w:val="24"/>
          <w:szCs w:val="24"/>
          <w:lang w:val="en-GB"/>
        </w:rPr>
        <w:t>edge.</w:t>
      </w:r>
      <w:r w:rsidRPr="1EBCF505" w:rsidR="297948C4">
        <w:rPr>
          <w:rFonts w:ascii="Aptos" w:hAnsi="Aptos" w:eastAsia="Aptos" w:cs="Aptos"/>
          <w:b w:val="0"/>
          <w:bCs w:val="0"/>
          <w:noProof w:val="0"/>
          <w:sz w:val="24"/>
          <w:szCs w:val="24"/>
          <w:lang w:val="en-GB"/>
        </w:rPr>
        <w:t>Resources</w:t>
      </w:r>
      <w:r w:rsidRPr="1EBCF505" w:rsidR="297948C4">
        <w:rPr>
          <w:rFonts w:ascii="Aptos" w:hAnsi="Aptos" w:eastAsia="Aptos" w:cs="Aptos"/>
          <w:b w:val="0"/>
          <w:bCs w:val="0"/>
          <w:noProof w:val="0"/>
          <w:sz w:val="24"/>
          <w:szCs w:val="24"/>
          <w:lang w:val="en-GB"/>
        </w:rPr>
        <w:t xml:space="preserve"> like capital, infrastructure, technology, and skilled labour are examples of factor circumstances. Demand circumstances are the complexity and expectations of domestic consumers, which force businesses to innovate and develop. Strong suppliers, partners, and complementary sectors are provided by related and supporting industries. Competition, self-management, and productivity enhancement are all </w:t>
      </w:r>
      <w:r w:rsidRPr="1EBCF505" w:rsidR="297948C4">
        <w:rPr>
          <w:rFonts w:ascii="Aptos" w:hAnsi="Aptos" w:eastAsia="Aptos" w:cs="Aptos"/>
          <w:b w:val="0"/>
          <w:bCs w:val="0"/>
          <w:noProof w:val="0"/>
          <w:sz w:val="24"/>
          <w:szCs w:val="24"/>
          <w:lang w:val="en-GB"/>
        </w:rPr>
        <w:t>impacted</w:t>
      </w:r>
      <w:r w:rsidRPr="1EBCF505" w:rsidR="297948C4">
        <w:rPr>
          <w:rFonts w:ascii="Aptos" w:hAnsi="Aptos" w:eastAsia="Aptos" w:cs="Aptos"/>
          <w:b w:val="0"/>
          <w:bCs w:val="0"/>
          <w:noProof w:val="0"/>
          <w:sz w:val="24"/>
          <w:szCs w:val="24"/>
          <w:lang w:val="en-GB"/>
        </w:rPr>
        <w:t xml:space="preserve"> by firm strategy, structure, and </w:t>
      </w:r>
      <w:r w:rsidRPr="1EBCF505" w:rsidR="297948C4">
        <w:rPr>
          <w:rFonts w:ascii="Aptos" w:hAnsi="Aptos" w:eastAsia="Aptos" w:cs="Aptos"/>
          <w:b w:val="0"/>
          <w:bCs w:val="0"/>
          <w:noProof w:val="0"/>
          <w:sz w:val="24"/>
          <w:szCs w:val="24"/>
          <w:lang w:val="en-GB"/>
        </w:rPr>
        <w:t>rivalry.</w:t>
      </w:r>
      <w:r w:rsidRPr="1EBCF505" w:rsidR="297948C4">
        <w:rPr>
          <w:rFonts w:ascii="Aptos" w:hAnsi="Aptos" w:eastAsia="Aptos" w:cs="Aptos"/>
          <w:noProof w:val="0"/>
          <w:sz w:val="24"/>
          <w:szCs w:val="24"/>
          <w:lang w:val="en-GB"/>
        </w:rPr>
        <w:t>These</w:t>
      </w:r>
      <w:r w:rsidRPr="1EBCF505" w:rsidR="297948C4">
        <w:rPr>
          <w:rFonts w:ascii="Aptos" w:hAnsi="Aptos" w:eastAsia="Aptos" w:cs="Aptos"/>
          <w:noProof w:val="0"/>
          <w:sz w:val="24"/>
          <w:szCs w:val="24"/>
          <w:lang w:val="en-GB"/>
        </w:rPr>
        <w:t xml:space="preserve"> factors interact as a cycle: improvements in one area can strengthen the others, creating continuous innovation and competitiveness. Government policy, globalization, and sustainability trends can also shape the cycle. Overall, Porter’s Diamond highlights that national competitiveness depends on an interconnected system rather than isolated advantages</w:t>
      </w:r>
      <w:r w:rsidRPr="1EBCF505" w:rsidR="143C7FE3">
        <w:rPr>
          <w:rFonts w:ascii="Aptos" w:hAnsi="Aptos" w:eastAsia="Aptos" w:cs="Aptos"/>
          <w:noProof w:val="0"/>
          <w:sz w:val="24"/>
          <w:szCs w:val="24"/>
          <w:lang w:val="en-GB"/>
        </w:rPr>
        <w:t xml:space="preserve"> (Smit 2010), (Zhang and London 2013), (</w:t>
      </w:r>
      <w:r w:rsidRPr="1EBCF505" w:rsidR="143C7FE3">
        <w:rPr>
          <w:rFonts w:ascii="Aptos" w:hAnsi="Aptos" w:eastAsia="Aptos" w:cs="Aptos"/>
          <w:noProof w:val="0"/>
          <w:sz w:val="24"/>
          <w:szCs w:val="24"/>
          <w:lang w:val="en-GB"/>
        </w:rPr>
        <w:t>Abdelkawy</w:t>
      </w:r>
      <w:r w:rsidRPr="1EBCF505" w:rsidR="143C7FE3">
        <w:rPr>
          <w:rFonts w:ascii="Aptos" w:hAnsi="Aptos" w:eastAsia="Aptos" w:cs="Aptos"/>
          <w:noProof w:val="0"/>
          <w:sz w:val="24"/>
          <w:szCs w:val="24"/>
          <w:lang w:val="en-GB"/>
        </w:rPr>
        <w:t xml:space="preserve"> 2026), (Afzal, Lawrey and Gope 2019),</w:t>
      </w:r>
      <w:r w:rsidRPr="1EBCF505" w:rsidR="04D129E6">
        <w:rPr>
          <w:rFonts w:ascii="Aptos" w:hAnsi="Aptos" w:eastAsia="Aptos" w:cs="Aptos"/>
          <w:noProof w:val="0"/>
          <w:sz w:val="24"/>
          <w:szCs w:val="24"/>
          <w:lang w:val="en-GB"/>
        </w:rPr>
        <w:t xml:space="preserve"> (</w:t>
      </w:r>
      <w:r w:rsidRPr="1EBCF505" w:rsidR="04D129E6">
        <w:rPr>
          <w:rFonts w:ascii="Aptos" w:hAnsi="Aptos" w:eastAsia="Aptos" w:cs="Aptos"/>
          <w:noProof w:val="0"/>
          <w:sz w:val="24"/>
          <w:szCs w:val="24"/>
          <w:lang w:val="en-GB"/>
        </w:rPr>
        <w:t>Kharub</w:t>
      </w:r>
      <w:r w:rsidRPr="1EBCF505" w:rsidR="04D129E6">
        <w:rPr>
          <w:rFonts w:ascii="Aptos" w:hAnsi="Aptos" w:eastAsia="Aptos" w:cs="Aptos"/>
          <w:noProof w:val="0"/>
          <w:sz w:val="24"/>
          <w:szCs w:val="24"/>
          <w:lang w:val="en-GB"/>
        </w:rPr>
        <w:t xml:space="preserve"> and Sharma 2017).</w:t>
      </w:r>
    </w:p>
    <w:p w:rsidR="5DED3B75" w:rsidP="1EBCF505" w:rsidRDefault="5DED3B75" w14:paraId="48E423EA" w14:textId="03BA29B6">
      <w:pPr>
        <w:pStyle w:val="Normal"/>
        <w:spacing w:before="240" w:beforeAutospacing="off" w:after="198" w:afterAutospacing="off" w:line="276" w:lineRule="auto"/>
        <w:jc w:val="both"/>
        <w:rPr>
          <w:rFonts w:ascii="Aptos" w:hAnsi="Aptos" w:eastAsia="Aptos" w:cs="Aptos"/>
          <w:noProof w:val="0"/>
          <w:sz w:val="24"/>
          <w:szCs w:val="24"/>
          <w:lang w:val="en-GB"/>
        </w:rPr>
      </w:pPr>
    </w:p>
    <w:p w:rsidR="5DED3B75" w:rsidP="1EBCF505" w:rsidRDefault="5DED3B75" w14:paraId="23DCF131" w14:textId="4242B6DE">
      <w:pPr>
        <w:pStyle w:val="Normal"/>
        <w:jc w:val="both"/>
      </w:pPr>
      <w:r w:rsidRPr="1EBCF505" w:rsidR="5BE5BF86">
        <w:rPr>
          <w:rFonts w:ascii="Aptos" w:hAnsi="Aptos" w:eastAsia="Aptos" w:cs="Aptos"/>
          <w:noProof w:val="0"/>
          <w:sz w:val="24"/>
          <w:szCs w:val="24"/>
          <w:lang w:val="en-GB"/>
        </w:rPr>
        <w:t>Porter's Diamond is applied in a sophisticated and dynamic manner in this study. Using Porter's diamond model, Bhattacharjee and Chakrabarti (2015) examine India's competitive advantage in the IT-</w:t>
      </w:r>
      <w:r w:rsidRPr="1EBCF505" w:rsidR="5BE5BF86">
        <w:rPr>
          <w:rFonts w:ascii="Aptos" w:hAnsi="Aptos" w:eastAsia="Aptos" w:cs="Aptos"/>
          <w:noProof w:val="0"/>
          <w:sz w:val="24"/>
          <w:szCs w:val="24"/>
          <w:lang w:val="en-GB"/>
        </w:rPr>
        <w:t>ITeS</w:t>
      </w:r>
      <w:r w:rsidRPr="1EBCF505" w:rsidR="5BE5BF86">
        <w:rPr>
          <w:rFonts w:ascii="Aptos" w:hAnsi="Aptos" w:eastAsia="Aptos" w:cs="Aptos"/>
          <w:noProof w:val="0"/>
          <w:sz w:val="24"/>
          <w:szCs w:val="24"/>
          <w:lang w:val="en-GB"/>
        </w:rPr>
        <w:t xml:space="preserve"> </w:t>
      </w:r>
      <w:r w:rsidRPr="1EBCF505" w:rsidR="5BE5BF86">
        <w:rPr>
          <w:rFonts w:ascii="Aptos" w:hAnsi="Aptos" w:eastAsia="Aptos" w:cs="Aptos"/>
          <w:noProof w:val="0"/>
          <w:sz w:val="24"/>
          <w:szCs w:val="24"/>
          <w:lang w:val="en-GB"/>
        </w:rPr>
        <w:t>industry.Because</w:t>
      </w:r>
      <w:r w:rsidRPr="1EBCF505" w:rsidR="5BE5BF86">
        <w:rPr>
          <w:rFonts w:ascii="Aptos" w:hAnsi="Aptos" w:eastAsia="Aptos" w:cs="Aptos"/>
          <w:noProof w:val="0"/>
          <w:sz w:val="24"/>
          <w:szCs w:val="24"/>
          <w:lang w:val="en-GB"/>
        </w:rPr>
        <w:t xml:space="preserve"> it does not approach Porter's framework as a straightforward checklist, the Bhattacharjee and Chakrabarti paper is helpful. Instead of utilising the diamond as a collection of "dump bins," it contends that a proper Porter analysis should </w:t>
      </w:r>
      <w:r w:rsidRPr="1EBCF505" w:rsidR="5BE5BF86">
        <w:rPr>
          <w:rFonts w:ascii="Aptos" w:hAnsi="Aptos" w:eastAsia="Aptos" w:cs="Aptos"/>
          <w:noProof w:val="0"/>
          <w:sz w:val="24"/>
          <w:szCs w:val="24"/>
          <w:lang w:val="en-GB"/>
        </w:rPr>
        <w:t>take into account</w:t>
      </w:r>
      <w:r w:rsidRPr="1EBCF505" w:rsidR="5BE5BF86">
        <w:rPr>
          <w:rFonts w:ascii="Aptos" w:hAnsi="Aptos" w:eastAsia="Aptos" w:cs="Aptos"/>
          <w:noProof w:val="0"/>
          <w:sz w:val="24"/>
          <w:szCs w:val="24"/>
          <w:lang w:val="en-GB"/>
        </w:rPr>
        <w:t xml:space="preserve"> the interaction of factor circumstances, demand, firm competition, supporting industries, government, and chance variables. Due of the industry's transition from resource extraction to sophisticated processing, this strategy is suitable for Australia</w:t>
      </w:r>
      <w:r w:rsidRPr="1EBCF505" w:rsidR="0F99F57A">
        <w:rPr>
          <w:rFonts w:ascii="Aptos" w:hAnsi="Aptos" w:eastAsia="Aptos" w:cs="Aptos"/>
          <w:noProof w:val="0"/>
          <w:sz w:val="24"/>
          <w:szCs w:val="24"/>
          <w:lang w:val="en-GB"/>
        </w:rPr>
        <w:t xml:space="preserve"> (Bhattacharjee and Chakrabarti 2015).</w:t>
      </w:r>
    </w:p>
    <w:p w:rsidR="1EBCF505" w:rsidP="1EBCF505" w:rsidRDefault="1EBCF505" w14:paraId="40EB060A" w14:textId="21375EBA">
      <w:pPr>
        <w:pStyle w:val="Normal"/>
        <w:jc w:val="both"/>
        <w:rPr>
          <w:rFonts w:ascii="Aptos" w:hAnsi="Aptos" w:eastAsia="Aptos" w:cs="Aptos"/>
          <w:noProof w:val="0"/>
          <w:sz w:val="24"/>
          <w:szCs w:val="24"/>
          <w:lang w:val="en-GB"/>
        </w:rPr>
      </w:pPr>
    </w:p>
    <w:p w:rsidR="1EBCF505" w:rsidP="1EBCF505" w:rsidRDefault="1EBCF505" w14:paraId="5ACBDB07" w14:textId="723FDE51">
      <w:pPr>
        <w:pStyle w:val="Normal"/>
        <w:rPr>
          <w:rFonts w:ascii="Aptos" w:hAnsi="Aptos" w:eastAsia="Aptos" w:cs="Aptos"/>
          <w:noProof w:val="0"/>
          <w:sz w:val="24"/>
          <w:szCs w:val="24"/>
          <w:lang w:val="en-GB"/>
        </w:rPr>
      </w:pPr>
    </w:p>
    <w:p w:rsidR="1EBCF505" w:rsidP="1EBCF505" w:rsidRDefault="1EBCF505" w14:paraId="143BA63B" w14:textId="66190C18">
      <w:pPr>
        <w:pStyle w:val="Normal"/>
        <w:rPr>
          <w:rFonts w:ascii="Aptos" w:hAnsi="Aptos" w:eastAsia="Aptos" w:cs="Aptos"/>
          <w:noProof w:val="0"/>
          <w:sz w:val="24"/>
          <w:szCs w:val="24"/>
          <w:lang w:val="en-GB"/>
        </w:rPr>
      </w:pPr>
    </w:p>
    <w:p w:rsidR="1EBCF505" w:rsidP="1EBCF505" w:rsidRDefault="1EBCF505" w14:paraId="5675D0B9" w14:textId="025E53E1">
      <w:pPr>
        <w:pStyle w:val="Normal"/>
        <w:rPr>
          <w:rFonts w:ascii="Aptos" w:hAnsi="Aptos" w:eastAsia="Aptos" w:cs="Aptos"/>
          <w:noProof w:val="0"/>
          <w:sz w:val="24"/>
          <w:szCs w:val="24"/>
          <w:lang w:val="en-GB"/>
        </w:rPr>
      </w:pPr>
    </w:p>
    <w:p w:rsidR="7A22B5C0" w:rsidP="4DF95668" w:rsidRDefault="7A22B5C0" w14:paraId="09048193" w14:textId="7C5756DD">
      <w:pPr>
        <w:pStyle w:val="Normal"/>
        <w:spacing w:before="240" w:beforeAutospacing="off" w:after="240" w:afterAutospacing="off"/>
        <w:rPr>
          <w:rFonts w:ascii="Aptos" w:hAnsi="Aptos" w:eastAsia="Aptos" w:cs="Aptos"/>
          <w:b w:val="1"/>
          <w:bCs w:val="1"/>
          <w:noProof w:val="0"/>
          <w:sz w:val="24"/>
          <w:szCs w:val="24"/>
          <w:lang w:val="en-GB"/>
        </w:rPr>
      </w:pPr>
      <w:r w:rsidRPr="4DF95668" w:rsidR="7A22B5C0">
        <w:rPr>
          <w:rFonts w:ascii="Aptos" w:hAnsi="Aptos" w:eastAsia="Aptos" w:cs="Aptos"/>
          <w:b w:val="1"/>
          <w:bCs w:val="1"/>
          <w:noProof w:val="0"/>
          <w:sz w:val="24"/>
          <w:szCs w:val="24"/>
          <w:lang w:val="en-GB"/>
        </w:rPr>
        <w:t>3.1 Factor conditions</w:t>
      </w:r>
    </w:p>
    <w:p w:rsidR="7A22B5C0" w:rsidP="1EBCF505" w:rsidRDefault="7A22B5C0" w14:paraId="7CAFD98D" w14:textId="74DA11D9">
      <w:pPr>
        <w:pStyle w:val="Normal"/>
        <w:jc w:val="both"/>
        <w:rPr>
          <w:rFonts w:ascii="Aptos" w:hAnsi="Aptos" w:eastAsia="Aptos" w:cs="Aptos"/>
          <w:noProof w:val="0"/>
          <w:sz w:val="24"/>
          <w:szCs w:val="24"/>
          <w:lang w:val="en-GB"/>
        </w:rPr>
      </w:pPr>
      <w:r w:rsidRPr="1EBCF505" w:rsidR="7A22B5C0">
        <w:rPr>
          <w:rFonts w:ascii="Aptos" w:hAnsi="Aptos" w:eastAsia="Aptos" w:cs="Aptos"/>
          <w:noProof w:val="0"/>
          <w:sz w:val="24"/>
          <w:szCs w:val="24"/>
          <w:lang w:val="en-GB"/>
        </w:rPr>
        <w:t xml:space="preserve">Australia’s strongest factor condition is its geological endowment. It has large lithium and rare earth resources, a mature mining industry and strong geological data capability. This gives Australia a strong basic factor advantage. However, Porter’s model suggests that sustained competitive advantage depends more on advanced and specialised factors than on natural resources alone. These include chemical engineering skills, hydrometallurgy, solvent extraction capability, low-carbon energy, industrial infrastructure, skilled </w:t>
      </w:r>
      <w:r w:rsidRPr="1EBCF505" w:rsidR="7A22B5C0">
        <w:rPr>
          <w:rFonts w:ascii="Aptos" w:hAnsi="Aptos" w:eastAsia="Aptos" w:cs="Aptos"/>
          <w:noProof w:val="0"/>
          <w:sz w:val="24"/>
          <w:szCs w:val="24"/>
          <w:lang w:val="en-GB"/>
        </w:rPr>
        <w:t>labour</w:t>
      </w:r>
      <w:r w:rsidRPr="1EBCF505" w:rsidR="7A22B5C0">
        <w:rPr>
          <w:rFonts w:ascii="Aptos" w:hAnsi="Aptos" w:eastAsia="Aptos" w:cs="Aptos"/>
          <w:noProof w:val="0"/>
          <w:sz w:val="24"/>
          <w:szCs w:val="24"/>
          <w:lang w:val="en-GB"/>
        </w:rPr>
        <w:t xml:space="preserve"> and process optimisation.</w:t>
      </w:r>
    </w:p>
    <w:p w:rsidR="1EBCF505" w:rsidP="1EBCF505" w:rsidRDefault="1EBCF505" w14:paraId="0E261DC3" w14:textId="61A370A6">
      <w:pPr>
        <w:pStyle w:val="Normal"/>
        <w:jc w:val="both"/>
        <w:rPr>
          <w:rFonts w:ascii="Aptos" w:hAnsi="Aptos" w:eastAsia="Aptos" w:cs="Aptos"/>
          <w:noProof w:val="0"/>
          <w:sz w:val="24"/>
          <w:szCs w:val="24"/>
          <w:lang w:val="en-GB"/>
        </w:rPr>
      </w:pPr>
    </w:p>
    <w:p w:rsidR="4071A42F" w:rsidP="1EBCF505" w:rsidRDefault="4071A42F" w14:paraId="6339E6EB" w14:textId="61743AB4">
      <w:pPr>
        <w:pStyle w:val="Normal"/>
        <w:jc w:val="both"/>
        <w:rPr>
          <w:rFonts w:ascii="Aptos" w:hAnsi="Aptos" w:eastAsia="Aptos" w:cs="Aptos"/>
          <w:noProof w:val="0"/>
          <w:sz w:val="24"/>
          <w:szCs w:val="24"/>
          <w:lang w:val="en-GB"/>
        </w:rPr>
      </w:pPr>
      <w:r w:rsidRPr="1EBCF505" w:rsidR="4071A42F">
        <w:rPr>
          <w:rFonts w:ascii="Aptos" w:hAnsi="Aptos" w:eastAsia="Aptos" w:cs="Aptos"/>
          <w:noProof w:val="0"/>
          <w:sz w:val="24"/>
          <w:szCs w:val="24"/>
          <w:lang w:val="en-GB"/>
        </w:rPr>
        <w:t xml:space="preserve">Although they are not yet fully developed, Australia's advanced factor conditions are getting better. The Kwinana and Kemerton hubs in Western Australia offer industrial infrastructure for the refining of lithium hydroxide (Department of Jobs, Tourism, </w:t>
      </w:r>
      <w:r w:rsidRPr="1EBCF505" w:rsidR="4071A42F">
        <w:rPr>
          <w:rFonts w:ascii="Aptos" w:hAnsi="Aptos" w:eastAsia="Aptos" w:cs="Aptos"/>
          <w:noProof w:val="0"/>
          <w:sz w:val="24"/>
          <w:szCs w:val="24"/>
          <w:lang w:val="en-GB"/>
        </w:rPr>
        <w:t>Science</w:t>
      </w:r>
      <w:r w:rsidRPr="1EBCF505" w:rsidR="4071A42F">
        <w:rPr>
          <w:rFonts w:ascii="Aptos" w:hAnsi="Aptos" w:eastAsia="Aptos" w:cs="Aptos"/>
          <w:noProof w:val="0"/>
          <w:sz w:val="24"/>
          <w:szCs w:val="24"/>
          <w:lang w:val="en-GB"/>
        </w:rPr>
        <w:t xml:space="preserve"> and Innovation 2024). However, TLEA's Kwinana refinery performance shows how difficult it is to convert lithium hydroxide technically: FY2025 lithium hydroxide production was 6,782 tonnes, up 93% from FY2024 but still well below the plant's 24,000 </w:t>
      </w:r>
      <w:r w:rsidRPr="1EBCF505" w:rsidR="4071A42F">
        <w:rPr>
          <w:rFonts w:ascii="Aptos" w:hAnsi="Aptos" w:eastAsia="Aptos" w:cs="Aptos"/>
          <w:noProof w:val="0"/>
          <w:sz w:val="24"/>
          <w:szCs w:val="24"/>
          <w:lang w:val="en-GB"/>
        </w:rPr>
        <w:t>tpa</w:t>
      </w:r>
      <w:r w:rsidRPr="1EBCF505" w:rsidR="4071A42F">
        <w:rPr>
          <w:rFonts w:ascii="Aptos" w:hAnsi="Aptos" w:eastAsia="Aptos" w:cs="Aptos"/>
          <w:noProof w:val="0"/>
          <w:sz w:val="24"/>
          <w:szCs w:val="24"/>
          <w:lang w:val="en-GB"/>
        </w:rPr>
        <w:t xml:space="preserve"> nameplate capacity (IGO Limited 2025).</w:t>
      </w:r>
    </w:p>
    <w:p w:rsidR="1EBCF505" w:rsidP="1EBCF505" w:rsidRDefault="1EBCF505" w14:paraId="069C202D" w14:textId="2F937066">
      <w:pPr>
        <w:pStyle w:val="Normal"/>
        <w:jc w:val="both"/>
        <w:rPr>
          <w:rFonts w:ascii="Aptos" w:hAnsi="Aptos" w:eastAsia="Aptos" w:cs="Aptos"/>
          <w:noProof w:val="0"/>
          <w:sz w:val="24"/>
          <w:szCs w:val="24"/>
          <w:lang w:val="en-GB"/>
        </w:rPr>
      </w:pPr>
    </w:p>
    <w:p w:rsidR="1EBCF505" w:rsidP="1EBCF505" w:rsidRDefault="1EBCF505" w14:paraId="004C05E6" w14:textId="2666C28C">
      <w:pPr>
        <w:pStyle w:val="Normal"/>
        <w:rPr>
          <w:rFonts w:ascii="Aptos" w:hAnsi="Aptos" w:eastAsia="Aptos" w:cs="Aptos"/>
          <w:noProof w:val="0"/>
          <w:sz w:val="24"/>
          <w:szCs w:val="24"/>
          <w:lang w:val="en-GB"/>
        </w:rPr>
      </w:pPr>
    </w:p>
    <w:p w:rsidR="1EBCF505" w:rsidP="1EBCF505" w:rsidRDefault="1EBCF505" w14:paraId="175BFFFC" w14:textId="3607A16F">
      <w:pPr>
        <w:pStyle w:val="Normal"/>
        <w:rPr>
          <w:rFonts w:ascii="Aptos" w:hAnsi="Aptos" w:eastAsia="Aptos" w:cs="Aptos"/>
          <w:noProof w:val="0"/>
          <w:sz w:val="24"/>
          <w:szCs w:val="24"/>
          <w:lang w:val="en-GB"/>
        </w:rPr>
      </w:pPr>
    </w:p>
    <w:p w:rsidR="1EBCF505" w:rsidP="1EBCF505" w:rsidRDefault="1EBCF505" w14:paraId="1C29D678" w14:textId="4A9F5386">
      <w:pPr>
        <w:pStyle w:val="Normal"/>
        <w:rPr>
          <w:rFonts w:ascii="Aptos" w:hAnsi="Aptos" w:eastAsia="Aptos" w:cs="Aptos"/>
          <w:noProof w:val="0"/>
          <w:sz w:val="24"/>
          <w:szCs w:val="24"/>
          <w:lang w:val="en-GB"/>
        </w:rPr>
      </w:pPr>
    </w:p>
    <w:p w:rsidR="720B8BB1" w:rsidP="1EBCF505" w:rsidRDefault="720B8BB1" w14:paraId="3DDB9B47" w14:textId="060DECBC">
      <w:pPr>
        <w:spacing w:before="240" w:beforeAutospacing="off" w:after="240" w:afterAutospacing="off"/>
        <w:rPr>
          <w:rFonts w:ascii="Aptos" w:hAnsi="Aptos" w:eastAsia="Aptos" w:cs="Aptos"/>
          <w:b w:val="1"/>
          <w:bCs w:val="1"/>
          <w:noProof w:val="0"/>
          <w:sz w:val="24"/>
          <w:szCs w:val="24"/>
          <w:lang w:val="en-GB"/>
        </w:rPr>
      </w:pPr>
      <w:r w:rsidRPr="1EBCF505" w:rsidR="720B8BB1">
        <w:rPr>
          <w:rFonts w:ascii="Aptos" w:hAnsi="Aptos" w:eastAsia="Aptos" w:cs="Aptos"/>
          <w:b w:val="1"/>
          <w:bCs w:val="1"/>
          <w:noProof w:val="0"/>
          <w:sz w:val="24"/>
          <w:szCs w:val="24"/>
          <w:lang w:val="en-GB"/>
        </w:rPr>
        <w:t>3.2 Conditions of demand</w:t>
      </w:r>
    </w:p>
    <w:p w:rsidR="720B8BB1" w:rsidP="1EBCF505" w:rsidRDefault="720B8BB1" w14:paraId="68B6DA8E" w14:textId="155EC64D">
      <w:pPr>
        <w:pStyle w:val="Normal"/>
        <w:spacing w:before="240" w:beforeAutospacing="off" w:after="240" w:afterAutospacing="off"/>
      </w:pPr>
      <w:r w:rsidRPr="1EBCF505" w:rsidR="720B8BB1">
        <w:rPr>
          <w:rFonts w:ascii="Aptos" w:hAnsi="Aptos" w:eastAsia="Aptos" w:cs="Aptos"/>
          <w:noProof w:val="0"/>
          <w:sz w:val="24"/>
          <w:szCs w:val="24"/>
          <w:lang w:val="en-GB"/>
        </w:rPr>
        <w:t>The state of demand worldwide is good. According to the IEA, demand for nickel, cobalt, graphite, and rare earths climbed by 6–8% in 2024, primarily due to EVs, battery storage, renewable energy sources, and grid networks, while demand for lithium increased by over 30% (IEA 2025). As a result, Australia has a robust export-driven demand environment.</w:t>
      </w:r>
    </w:p>
    <w:p w:rsidR="6591B8DF" w:rsidP="1EBCF505" w:rsidRDefault="6591B8DF" w14:paraId="64A82E7E" w14:textId="0C9E0BAC">
      <w:pPr>
        <w:pStyle w:val="Normal"/>
        <w:spacing w:before="240" w:beforeAutospacing="off" w:after="240" w:afterAutospacing="off"/>
        <w:rPr>
          <w:rFonts w:ascii="Aptos" w:hAnsi="Aptos" w:eastAsia="Aptos" w:cs="Aptos"/>
          <w:noProof w:val="0"/>
          <w:sz w:val="24"/>
          <w:szCs w:val="24"/>
          <w:lang w:val="en-GB"/>
        </w:rPr>
      </w:pPr>
      <w:r w:rsidRPr="4DF95668" w:rsidR="6591B8DF">
        <w:rPr>
          <w:rFonts w:ascii="Aptos" w:hAnsi="Aptos" w:eastAsia="Aptos" w:cs="Aptos"/>
          <w:noProof w:val="0"/>
          <w:sz w:val="24"/>
          <w:szCs w:val="24"/>
          <w:lang w:val="en-GB"/>
        </w:rPr>
        <w:t xml:space="preserve">Domestic demand, however, is lower. Australia does not currently have a sizable domestic manufacturing base for batteries or rare earth magnets. This </w:t>
      </w:r>
      <w:r w:rsidRPr="4DF95668" w:rsidR="6591B8DF">
        <w:rPr>
          <w:rFonts w:ascii="Aptos" w:hAnsi="Aptos" w:eastAsia="Aptos" w:cs="Aptos"/>
          <w:noProof w:val="0"/>
          <w:sz w:val="24"/>
          <w:szCs w:val="24"/>
          <w:lang w:val="en-GB"/>
        </w:rPr>
        <w:t>indicates</w:t>
      </w:r>
      <w:r w:rsidRPr="4DF95668" w:rsidR="6591B8DF">
        <w:rPr>
          <w:rFonts w:ascii="Aptos" w:hAnsi="Aptos" w:eastAsia="Aptos" w:cs="Aptos"/>
          <w:noProof w:val="0"/>
          <w:sz w:val="24"/>
          <w:szCs w:val="24"/>
          <w:lang w:val="en-GB"/>
        </w:rPr>
        <w:t xml:space="preserve"> that overseas clients in China, Japan, Korea, Europe, and the US are crucial to Australian processors. According to Porter, the diamond's demand side is robust internationally but weaker at home.</w:t>
      </w:r>
    </w:p>
    <w:p w:rsidR="4DF95668" w:rsidP="4DF95668" w:rsidRDefault="4DF95668" w14:paraId="5712C47C" w14:textId="57264539">
      <w:pPr>
        <w:pStyle w:val="Normal"/>
        <w:spacing w:before="240" w:beforeAutospacing="off" w:after="240" w:afterAutospacing="off"/>
        <w:rPr>
          <w:rFonts w:ascii="Aptos" w:hAnsi="Aptos" w:eastAsia="Aptos" w:cs="Aptos"/>
          <w:b w:val="1"/>
          <w:bCs w:val="1"/>
          <w:noProof w:val="0"/>
          <w:sz w:val="24"/>
          <w:szCs w:val="24"/>
          <w:lang w:val="en-GB"/>
        </w:rPr>
      </w:pPr>
    </w:p>
    <w:p w:rsidR="42DD722F" w:rsidP="4DF95668" w:rsidRDefault="42DD722F" w14:paraId="2A2CCF9B" w14:textId="6EF05E17">
      <w:pPr>
        <w:pStyle w:val="Normal"/>
        <w:spacing w:before="240" w:beforeAutospacing="off" w:after="240" w:afterAutospacing="off"/>
        <w:rPr>
          <w:rFonts w:ascii="Aptos" w:hAnsi="Aptos" w:eastAsia="Aptos" w:cs="Aptos"/>
          <w:b w:val="1"/>
          <w:bCs w:val="1"/>
          <w:noProof w:val="0"/>
          <w:sz w:val="24"/>
          <w:szCs w:val="24"/>
          <w:lang w:val="en-GB"/>
        </w:rPr>
      </w:pPr>
      <w:r w:rsidRPr="4DF95668" w:rsidR="42DD722F">
        <w:rPr>
          <w:rFonts w:ascii="Aptos" w:hAnsi="Aptos" w:eastAsia="Aptos" w:cs="Aptos"/>
          <w:b w:val="1"/>
          <w:bCs w:val="1"/>
          <w:noProof w:val="0"/>
          <w:sz w:val="24"/>
          <w:szCs w:val="24"/>
          <w:lang w:val="en-GB"/>
        </w:rPr>
        <w:t>3.3 Associated and auxiliary sectors</w:t>
      </w:r>
    </w:p>
    <w:p w:rsidR="42DD722F" w:rsidP="1EBCF505" w:rsidRDefault="42DD722F" w14:paraId="4DA74CFA" w14:textId="7AB9F4D2">
      <w:pPr>
        <w:rPr>
          <w:rFonts w:ascii="Aptos" w:hAnsi="Aptos" w:eastAsia="Aptos" w:cs="Aptos"/>
          <w:noProof w:val="0"/>
          <w:sz w:val="24"/>
          <w:szCs w:val="24"/>
          <w:lang w:val="en-GB"/>
        </w:rPr>
      </w:pPr>
      <w:r w:rsidRPr="1EBCF505" w:rsidR="42DD722F">
        <w:rPr>
          <w:rFonts w:ascii="Aptos" w:hAnsi="Aptos" w:eastAsia="Aptos" w:cs="Aptos"/>
          <w:noProof w:val="0"/>
          <w:sz w:val="24"/>
          <w:szCs w:val="24"/>
          <w:lang w:val="en-GB"/>
        </w:rPr>
        <w:t xml:space="preserve">Mining services, engineering, </w:t>
      </w:r>
      <w:r w:rsidRPr="1EBCF505" w:rsidR="42DD722F">
        <w:rPr>
          <w:rFonts w:ascii="Aptos" w:hAnsi="Aptos" w:eastAsia="Aptos" w:cs="Aptos"/>
          <w:noProof w:val="0"/>
          <w:sz w:val="24"/>
          <w:szCs w:val="24"/>
          <w:lang w:val="en-GB"/>
        </w:rPr>
        <w:t>logistics</w:t>
      </w:r>
      <w:r w:rsidRPr="1EBCF505" w:rsidR="42DD722F">
        <w:rPr>
          <w:rFonts w:ascii="Aptos" w:hAnsi="Aptos" w:eastAsia="Aptos" w:cs="Aptos"/>
          <w:noProof w:val="0"/>
          <w:sz w:val="24"/>
          <w:szCs w:val="24"/>
          <w:lang w:val="en-GB"/>
        </w:rPr>
        <w:t xml:space="preserve">, environmental consulting, and resource finance are all robust industry in Australia. Early-stage processing and mining are supported by these sectors. The advantages of industrial co-location, including as innovation, shared infrastructure, and by-product reuse, are highlighted in WA's strategy </w:t>
      </w:r>
      <w:r w:rsidRPr="1EBCF505" w:rsidR="42DD722F">
        <w:rPr>
          <w:rFonts w:ascii="Aptos" w:hAnsi="Aptos" w:eastAsia="Aptos" w:cs="Aptos"/>
          <w:i w:val="1"/>
          <w:iCs w:val="1"/>
          <w:noProof w:val="0"/>
          <w:sz w:val="24"/>
          <w:szCs w:val="24"/>
          <w:lang w:val="en-GB"/>
        </w:rPr>
        <w:t xml:space="preserve">(Department of Jobs, Tourism, </w:t>
      </w:r>
      <w:r w:rsidRPr="1EBCF505" w:rsidR="42DD722F">
        <w:rPr>
          <w:rFonts w:ascii="Aptos" w:hAnsi="Aptos" w:eastAsia="Aptos" w:cs="Aptos"/>
          <w:i w:val="1"/>
          <w:iCs w:val="1"/>
          <w:noProof w:val="0"/>
          <w:sz w:val="24"/>
          <w:szCs w:val="24"/>
          <w:lang w:val="en-GB"/>
        </w:rPr>
        <w:t>Science</w:t>
      </w:r>
      <w:r w:rsidRPr="1EBCF505" w:rsidR="42DD722F">
        <w:rPr>
          <w:rFonts w:ascii="Aptos" w:hAnsi="Aptos" w:eastAsia="Aptos" w:cs="Aptos"/>
          <w:i w:val="1"/>
          <w:iCs w:val="1"/>
          <w:noProof w:val="0"/>
          <w:sz w:val="24"/>
          <w:szCs w:val="24"/>
          <w:lang w:val="en-GB"/>
        </w:rPr>
        <w:t xml:space="preserve"> and Innovation 2024).</w:t>
      </w:r>
    </w:p>
    <w:p w:rsidR="42DD722F" w:rsidP="1EBCF505" w:rsidRDefault="42DD722F" w14:paraId="68C87879" w14:textId="62E98764">
      <w:pPr>
        <w:spacing w:before="240" w:beforeAutospacing="off" w:after="240" w:afterAutospacing="off"/>
      </w:pPr>
      <w:r w:rsidRPr="1EBCF505" w:rsidR="42DD722F">
        <w:rPr>
          <w:rFonts w:ascii="Aptos" w:hAnsi="Aptos" w:eastAsia="Aptos" w:cs="Aptos"/>
          <w:noProof w:val="0"/>
          <w:sz w:val="24"/>
          <w:szCs w:val="24"/>
          <w:lang w:val="en-GB"/>
        </w:rPr>
        <w:t xml:space="preserve">Australia's supporting industries are more robust upstream than downstream, which is a problem. It is less advanced in the production of battery cells, cathode active materials, rare earth magnets, and precision chemicals, but it is very competent in exploration, mining, and bulk export </w:t>
      </w:r>
      <w:r w:rsidRPr="1EBCF505" w:rsidR="42DD722F">
        <w:rPr>
          <w:rFonts w:ascii="Aptos" w:hAnsi="Aptos" w:eastAsia="Aptos" w:cs="Aptos"/>
          <w:noProof w:val="0"/>
          <w:sz w:val="24"/>
          <w:szCs w:val="24"/>
          <w:lang w:val="en-GB"/>
        </w:rPr>
        <w:t>logistics</w:t>
      </w:r>
      <w:r w:rsidRPr="1EBCF505" w:rsidR="42DD722F">
        <w:rPr>
          <w:rFonts w:ascii="Aptos" w:hAnsi="Aptos" w:eastAsia="Aptos" w:cs="Aptos"/>
          <w:noProof w:val="0"/>
          <w:sz w:val="24"/>
          <w:szCs w:val="24"/>
          <w:lang w:val="en-GB"/>
        </w:rPr>
        <w:t>.</w:t>
      </w:r>
    </w:p>
    <w:p w:rsidR="1EBCF505" w:rsidP="1EBCF505" w:rsidRDefault="1EBCF505" w14:paraId="359E421E" w14:textId="7C6AF7A4">
      <w:pPr>
        <w:spacing w:before="240" w:beforeAutospacing="off" w:after="240" w:afterAutospacing="off"/>
        <w:rPr>
          <w:rFonts w:ascii="Aptos" w:hAnsi="Aptos" w:eastAsia="Aptos" w:cs="Aptos"/>
          <w:noProof w:val="0"/>
          <w:sz w:val="24"/>
          <w:szCs w:val="24"/>
          <w:lang w:val="en-GB"/>
        </w:rPr>
      </w:pPr>
    </w:p>
    <w:p w:rsidR="102B41FA" w:rsidP="1EBCF505" w:rsidRDefault="102B41FA" w14:paraId="1DE57F89" w14:textId="1B8B26CA">
      <w:pPr>
        <w:spacing w:before="240" w:beforeAutospacing="off" w:after="240" w:afterAutospacing="off"/>
        <w:rPr>
          <w:rFonts w:ascii="Aptos" w:hAnsi="Aptos" w:eastAsia="Aptos" w:cs="Aptos"/>
          <w:b w:val="1"/>
          <w:bCs w:val="1"/>
          <w:noProof w:val="0"/>
          <w:sz w:val="24"/>
          <w:szCs w:val="24"/>
          <w:lang w:val="en-GB"/>
        </w:rPr>
      </w:pPr>
      <w:r w:rsidRPr="1EBCF505" w:rsidR="102B41FA">
        <w:rPr>
          <w:rFonts w:ascii="Aptos" w:hAnsi="Aptos" w:eastAsia="Aptos" w:cs="Aptos"/>
          <w:b w:val="1"/>
          <w:bCs w:val="1"/>
          <w:noProof w:val="0"/>
          <w:sz w:val="24"/>
          <w:szCs w:val="24"/>
          <w:lang w:val="en-GB"/>
        </w:rPr>
        <w:t>3.4 Structure, rivalry, and firm strategy</w:t>
      </w:r>
    </w:p>
    <w:p w:rsidR="102B41FA" w:rsidP="1EBCF505" w:rsidRDefault="102B41FA" w14:paraId="7A7760D5" w14:textId="21EF7C80">
      <w:pPr>
        <w:pStyle w:val="Normal"/>
        <w:spacing w:before="240" w:beforeAutospacing="off" w:after="240" w:afterAutospacing="off"/>
        <w:rPr>
          <w:rFonts w:ascii="Aptos" w:hAnsi="Aptos" w:eastAsia="Aptos" w:cs="Aptos"/>
          <w:noProof w:val="0"/>
          <w:sz w:val="24"/>
          <w:szCs w:val="24"/>
          <w:lang w:val="en-GB"/>
        </w:rPr>
      </w:pPr>
      <w:r w:rsidRPr="1EBCF505" w:rsidR="102B41FA">
        <w:rPr>
          <w:rFonts w:ascii="Aptos" w:hAnsi="Aptos" w:eastAsia="Aptos" w:cs="Aptos"/>
          <w:noProof w:val="0"/>
          <w:sz w:val="24"/>
          <w:szCs w:val="24"/>
          <w:lang w:val="en-GB"/>
        </w:rPr>
        <w:t xml:space="preserve">Due to the capital-intensive and technologically complicated nature of projects, the business is typified by joint ventures and strategic partnerships. Arafura is creating offtake-backed </w:t>
      </w:r>
      <w:r w:rsidRPr="1EBCF505" w:rsidR="102B41FA">
        <w:rPr>
          <w:rFonts w:ascii="Aptos" w:hAnsi="Aptos" w:eastAsia="Aptos" w:cs="Aptos"/>
          <w:noProof w:val="0"/>
          <w:sz w:val="24"/>
          <w:szCs w:val="24"/>
          <w:lang w:val="en-GB"/>
        </w:rPr>
        <w:t>NdPr</w:t>
      </w:r>
      <w:r w:rsidRPr="1EBCF505" w:rsidR="102B41FA">
        <w:rPr>
          <w:rFonts w:ascii="Aptos" w:hAnsi="Aptos" w:eastAsia="Aptos" w:cs="Aptos"/>
          <w:noProof w:val="0"/>
          <w:sz w:val="24"/>
          <w:szCs w:val="24"/>
          <w:lang w:val="en-GB"/>
        </w:rPr>
        <w:t xml:space="preserve"> production; Tianqi collaborates with IGO through TLEA; SQM collaborates with Wesfarmers through Covalent Lithium; and Iluka receives funding from the government. This implies that businesses compete not just on price but also on technology, resource availability, ESG credibility, and strategic customer connections.</w:t>
      </w:r>
    </w:p>
    <w:p w:rsidR="6D23DF68" w:rsidP="1EBCF505" w:rsidRDefault="6D23DF68" w14:paraId="68CB9EAA" w14:textId="42EB8DB4">
      <w:pPr>
        <w:pStyle w:val="Normal"/>
        <w:spacing w:before="240" w:beforeAutospacing="off" w:after="240" w:afterAutospacing="off"/>
        <w:rPr>
          <w:rFonts w:ascii="Aptos" w:hAnsi="Aptos" w:eastAsia="Aptos" w:cs="Aptos"/>
          <w:noProof w:val="0"/>
          <w:sz w:val="24"/>
          <w:szCs w:val="24"/>
          <w:lang w:val="en-GB"/>
        </w:rPr>
      </w:pPr>
      <w:r w:rsidRPr="1EBCF505" w:rsidR="6D23DF68">
        <w:rPr>
          <w:rFonts w:ascii="Aptos" w:hAnsi="Aptos" w:eastAsia="Aptos" w:cs="Aptos"/>
          <w:noProof w:val="0"/>
          <w:sz w:val="24"/>
          <w:szCs w:val="24"/>
          <w:lang w:val="en-GB"/>
        </w:rPr>
        <w:t xml:space="preserve">There is rivalry within the country, but the primary rivalry is worldwide. Because of its scale, technical </w:t>
      </w:r>
      <w:r w:rsidRPr="1EBCF505" w:rsidR="6D23DF68">
        <w:rPr>
          <w:rFonts w:ascii="Aptos" w:hAnsi="Aptos" w:eastAsia="Aptos" w:cs="Aptos"/>
          <w:noProof w:val="0"/>
          <w:sz w:val="24"/>
          <w:szCs w:val="24"/>
          <w:lang w:val="en-GB"/>
        </w:rPr>
        <w:t>expertise</w:t>
      </w:r>
      <w:r w:rsidRPr="1EBCF505" w:rsidR="6D23DF68">
        <w:rPr>
          <w:rFonts w:ascii="Aptos" w:hAnsi="Aptos" w:eastAsia="Aptos" w:cs="Aptos"/>
          <w:noProof w:val="0"/>
          <w:sz w:val="24"/>
          <w:szCs w:val="24"/>
          <w:lang w:val="en-GB"/>
        </w:rPr>
        <w:t xml:space="preserve">, and downstream demand, China continues to be the benchmark competitor. The IEA's 2024 forecast cautioned that the supply of rare earth magnets is </w:t>
      </w:r>
      <w:r w:rsidRPr="1EBCF505" w:rsidR="6D23DF68">
        <w:rPr>
          <w:rFonts w:ascii="Aptos" w:hAnsi="Aptos" w:eastAsia="Aptos" w:cs="Aptos"/>
          <w:noProof w:val="0"/>
          <w:sz w:val="24"/>
          <w:szCs w:val="24"/>
          <w:lang w:val="en-GB"/>
        </w:rPr>
        <w:t>still .The</w:t>
      </w:r>
      <w:r w:rsidRPr="1EBCF505" w:rsidR="6D23DF68">
        <w:rPr>
          <w:rFonts w:ascii="Aptos" w:hAnsi="Aptos" w:eastAsia="Aptos" w:cs="Aptos"/>
          <w:noProof w:val="0"/>
          <w:sz w:val="24"/>
          <w:szCs w:val="24"/>
          <w:lang w:val="en-GB"/>
        </w:rPr>
        <w:t xml:space="preserve"> IEA's 2024 forecast cautioned that the supply of rare earth magnets is still quite concentrated, with China predicted to </w:t>
      </w:r>
      <w:r w:rsidRPr="1EBCF505" w:rsidR="6D23DF68">
        <w:rPr>
          <w:rFonts w:ascii="Aptos" w:hAnsi="Aptos" w:eastAsia="Aptos" w:cs="Aptos"/>
          <w:noProof w:val="0"/>
          <w:sz w:val="24"/>
          <w:szCs w:val="24"/>
          <w:lang w:val="en-GB"/>
        </w:rPr>
        <w:t>maintain</w:t>
      </w:r>
      <w:r w:rsidRPr="1EBCF505" w:rsidR="6D23DF68">
        <w:rPr>
          <w:rFonts w:ascii="Aptos" w:hAnsi="Aptos" w:eastAsia="Aptos" w:cs="Aptos"/>
          <w:noProof w:val="0"/>
          <w:sz w:val="24"/>
          <w:szCs w:val="24"/>
          <w:lang w:val="en-GB"/>
        </w:rPr>
        <w:t xml:space="preserve"> a leading position in refining (IEA 2024). Australia must therefore compete on reliability, traceability, ESG norms, and geopolitical diversification rather than just cost.</w:t>
      </w:r>
      <w:r w:rsidR="18FC6F81">
        <w:drawing>
          <wp:inline wp14:editId="25782CEC" wp14:anchorId="241D2D46">
            <wp:extent cx="5724525" cy="4048125"/>
            <wp:effectExtent l="0" t="0" r="0" b="0"/>
            <wp:docPr id="1871941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7194135" name="Picture 187194135"/>
                    <pic:cNvPicPr/>
                  </pic:nvPicPr>
                  <pic:blipFill>
                    <a:blip xmlns:r="http://schemas.openxmlformats.org/officeDocument/2006/relationships" r:embed="rId365886485">
                      <a:extLst>
                        <a:ext uri="{28A0092B-C50C-407E-A947-70E740481C1C}">
                          <a14:useLocalDpi xmlns:a14="http://schemas.microsoft.com/office/drawing/2010/main"/>
                        </a:ext>
                      </a:extLst>
                    </a:blip>
                    <a:stretch>
                      <a:fillRect/>
                    </a:stretch>
                  </pic:blipFill>
                  <pic:spPr>
                    <a:xfrm>
                      <a:off x="0" y="0"/>
                      <a:ext cx="5724525" cy="4048125"/>
                    </a:xfrm>
                    <a:prstGeom prst="rect">
                      <a:avLst/>
                    </a:prstGeom>
                  </pic:spPr>
                </pic:pic>
              </a:graphicData>
            </a:graphic>
          </wp:inline>
        </w:drawing>
      </w:r>
      <w:r w:rsidRPr="1EBCF505" w:rsidR="18FC6F81">
        <w:rPr>
          <w:rFonts w:ascii="Aptos" w:hAnsi="Aptos" w:eastAsia="Aptos" w:cs="Aptos"/>
          <w:noProof w:val="0"/>
          <w:sz w:val="24"/>
          <w:szCs w:val="24"/>
          <w:lang w:val="en-GB"/>
        </w:rPr>
        <w:t>IEA (2024) provides an outlook on global demand and supply for critical minerals (s</w:t>
      </w:r>
      <w:r w:rsidRPr="1EBCF505" w:rsidR="21B0BED5">
        <w:rPr>
          <w:rFonts w:ascii="Aptos" w:hAnsi="Aptos" w:eastAsia="Aptos" w:cs="Aptos"/>
          <w:noProof w:val="0"/>
          <w:sz w:val="24"/>
          <w:szCs w:val="24"/>
          <w:lang w:val="en-GB"/>
        </w:rPr>
        <w:t xml:space="preserve">ources </w:t>
      </w:r>
      <w:r w:rsidRPr="1EBCF505" w:rsidR="18FC6F81">
        <w:rPr>
          <w:rFonts w:ascii="Aptos" w:hAnsi="Aptos" w:eastAsia="Aptos" w:cs="Aptos"/>
          <w:noProof w:val="0"/>
          <w:sz w:val="24"/>
          <w:szCs w:val="24"/>
          <w:lang w:val="en-GB"/>
        </w:rPr>
        <w:t>IEA 2024)</w:t>
      </w:r>
      <w:r w:rsidRPr="1EBCF505" w:rsidR="7C0B86ED">
        <w:rPr>
          <w:rFonts w:ascii="Aptos" w:hAnsi="Aptos" w:eastAsia="Aptos" w:cs="Aptos"/>
          <w:noProof w:val="0"/>
          <w:sz w:val="24"/>
          <w:szCs w:val="24"/>
          <w:lang w:val="en-GB"/>
        </w:rPr>
        <w:t>.</w:t>
      </w:r>
    </w:p>
    <w:p w:rsidR="1EBCF505" w:rsidP="1EBCF505" w:rsidRDefault="1EBCF505" w14:paraId="75AD06D5" w14:textId="28B0DDC1">
      <w:pPr>
        <w:pStyle w:val="Normal"/>
        <w:spacing w:before="240" w:beforeAutospacing="off" w:after="240" w:afterAutospacing="off"/>
        <w:rPr>
          <w:rFonts w:ascii="Aptos" w:hAnsi="Aptos" w:eastAsia="Aptos" w:cs="Aptos"/>
          <w:noProof w:val="0"/>
          <w:sz w:val="24"/>
          <w:szCs w:val="24"/>
          <w:lang w:val="en-GB"/>
        </w:rPr>
      </w:pPr>
    </w:p>
    <w:p w:rsidR="1EBCF505" w:rsidP="1EBCF505" w:rsidRDefault="1EBCF505" w14:paraId="660FD13E" w14:textId="27AB3FFD">
      <w:pPr>
        <w:pStyle w:val="Normal"/>
        <w:spacing w:before="240" w:beforeAutospacing="off" w:after="240" w:afterAutospacing="off"/>
        <w:rPr>
          <w:rFonts w:ascii="Aptos" w:hAnsi="Aptos" w:eastAsia="Aptos" w:cs="Aptos"/>
          <w:noProof w:val="0"/>
          <w:sz w:val="24"/>
          <w:szCs w:val="24"/>
          <w:lang w:val="en-GB"/>
        </w:rPr>
      </w:pPr>
    </w:p>
    <w:p w:rsidR="35FB0622" w:rsidP="1EBCF505" w:rsidRDefault="35FB0622" w14:paraId="13102E01" w14:textId="3CBED932">
      <w:pPr>
        <w:spacing w:before="240" w:beforeAutospacing="off" w:after="240" w:afterAutospacing="off"/>
        <w:rPr>
          <w:rFonts w:ascii="Aptos" w:hAnsi="Aptos" w:eastAsia="Aptos" w:cs="Aptos"/>
          <w:b w:val="1"/>
          <w:bCs w:val="1"/>
          <w:noProof w:val="0"/>
          <w:sz w:val="24"/>
          <w:szCs w:val="24"/>
          <w:lang w:val="en-GB"/>
        </w:rPr>
      </w:pPr>
      <w:r w:rsidRPr="1EBCF505" w:rsidR="35FB0622">
        <w:rPr>
          <w:rFonts w:ascii="Aptos" w:hAnsi="Aptos" w:eastAsia="Aptos" w:cs="Aptos"/>
          <w:b w:val="1"/>
          <w:bCs w:val="1"/>
          <w:noProof w:val="0"/>
          <w:sz w:val="24"/>
          <w:szCs w:val="24"/>
          <w:lang w:val="en-GB"/>
        </w:rPr>
        <w:t>3.5 Government</w:t>
      </w:r>
    </w:p>
    <w:p w:rsidR="35FB0622" w:rsidP="1EBCF505" w:rsidRDefault="35FB0622" w14:paraId="53F1DC8E" w14:textId="0260ADAB">
      <w:pPr>
        <w:pStyle w:val="Normal"/>
        <w:spacing w:before="240" w:beforeAutospacing="off" w:after="240" w:afterAutospacing="off"/>
        <w:rPr>
          <w:rFonts w:ascii="Aptos" w:hAnsi="Aptos" w:eastAsia="Aptos" w:cs="Aptos"/>
          <w:noProof w:val="0"/>
          <w:sz w:val="24"/>
          <w:szCs w:val="24"/>
          <w:lang w:val="en-GB"/>
        </w:rPr>
      </w:pPr>
      <w:r w:rsidRPr="1EBCF505" w:rsidR="35FB0622">
        <w:rPr>
          <w:rFonts w:ascii="Aptos" w:hAnsi="Aptos" w:eastAsia="Aptos" w:cs="Aptos"/>
          <w:noProof w:val="0"/>
          <w:sz w:val="24"/>
          <w:szCs w:val="24"/>
          <w:lang w:val="en-GB"/>
        </w:rPr>
        <w:t>One of Australia's diamond's strongest points is its government. Increasing Australia's participation in production, processing, and supply-chain development is the goal of the Critical Minerals Strategy 2023–2030 (Critical Minerals Office 2023).</w:t>
      </w:r>
      <w:r w:rsidRPr="1EBCF505" w:rsidR="0CCC1648">
        <w:rPr>
          <w:rFonts w:ascii="Aptos" w:hAnsi="Aptos" w:eastAsia="Aptos" w:cs="Aptos"/>
          <w:noProof w:val="0"/>
          <w:sz w:val="24"/>
          <w:szCs w:val="24"/>
          <w:lang w:val="en-GB"/>
        </w:rPr>
        <w:t>For qualified processing and refining expenses, the Critical Minerals Production Tax Incentive offers a 10% refundable tax offset from 2027–2028 to 2040–2041 (Reuters 2025).</w:t>
      </w:r>
    </w:p>
    <w:p w:rsidR="6F8AC732" w:rsidP="1EBCF505" w:rsidRDefault="6F8AC732" w14:paraId="2AF41E1C" w14:textId="5D52F0AA">
      <w:pPr>
        <w:pStyle w:val="Normal"/>
        <w:spacing w:before="240" w:beforeAutospacing="off" w:after="240" w:afterAutospacing="off"/>
        <w:rPr>
          <w:rFonts w:ascii="Aptos" w:hAnsi="Aptos" w:eastAsia="Aptos" w:cs="Aptos"/>
          <w:noProof w:val="0"/>
          <w:sz w:val="24"/>
          <w:szCs w:val="24"/>
          <w:lang w:val="en-GB"/>
        </w:rPr>
      </w:pPr>
      <w:r w:rsidRPr="1EBCF505" w:rsidR="6F8AC732">
        <w:rPr>
          <w:rFonts w:ascii="Aptos" w:hAnsi="Aptos" w:eastAsia="Aptos" w:cs="Aptos"/>
          <w:noProof w:val="0"/>
          <w:sz w:val="24"/>
          <w:szCs w:val="24"/>
          <w:lang w:val="en-GB"/>
        </w:rPr>
        <w:t xml:space="preserve">Additionally, the government has set aside A$1.2 billion to create a Critical Minerals Strategic Reserve, which is </w:t>
      </w:r>
      <w:r w:rsidRPr="1EBCF505" w:rsidR="6F8AC732">
        <w:rPr>
          <w:rFonts w:ascii="Aptos" w:hAnsi="Aptos" w:eastAsia="Aptos" w:cs="Aptos"/>
          <w:noProof w:val="0"/>
          <w:sz w:val="24"/>
          <w:szCs w:val="24"/>
          <w:lang w:val="en-GB"/>
        </w:rPr>
        <w:t>anticipated</w:t>
      </w:r>
      <w:r w:rsidRPr="1EBCF505" w:rsidR="6F8AC732">
        <w:rPr>
          <w:rFonts w:ascii="Aptos" w:hAnsi="Aptos" w:eastAsia="Aptos" w:cs="Aptos"/>
          <w:noProof w:val="0"/>
          <w:sz w:val="24"/>
          <w:szCs w:val="24"/>
          <w:lang w:val="en-GB"/>
        </w:rPr>
        <w:t xml:space="preserve"> to start operations in the second half of 2026 (Department of the Prime Minister and Cabinet 2025).</w:t>
      </w:r>
    </w:p>
    <w:p w:rsidR="1EBCF505" w:rsidP="1EBCF505" w:rsidRDefault="1EBCF505" w14:paraId="72883C6F" w14:textId="00B2B6E5">
      <w:pPr>
        <w:pStyle w:val="Normal"/>
        <w:spacing w:before="240" w:beforeAutospacing="off" w:after="240" w:afterAutospacing="off"/>
        <w:rPr>
          <w:rFonts w:ascii="Aptos" w:hAnsi="Aptos" w:eastAsia="Aptos" w:cs="Aptos"/>
          <w:noProof w:val="0"/>
          <w:sz w:val="24"/>
          <w:szCs w:val="24"/>
          <w:lang w:val="en-GB"/>
        </w:rPr>
      </w:pPr>
    </w:p>
    <w:p w:rsidR="1EBCF505" w:rsidP="1EBCF505" w:rsidRDefault="1EBCF505" w14:paraId="5D08B207" w14:textId="31E83D68">
      <w:pPr>
        <w:pStyle w:val="Normal"/>
        <w:spacing w:before="240" w:beforeAutospacing="off" w:after="240" w:afterAutospacing="off"/>
        <w:rPr>
          <w:rFonts w:ascii="Aptos" w:hAnsi="Aptos" w:eastAsia="Aptos" w:cs="Aptos"/>
          <w:noProof w:val="0"/>
          <w:sz w:val="24"/>
          <w:szCs w:val="24"/>
          <w:lang w:val="en-GB"/>
        </w:rPr>
      </w:pPr>
    </w:p>
    <w:p w:rsidR="1EBCF505" w:rsidP="1EBCF505" w:rsidRDefault="1EBCF505" w14:paraId="5C59A6F5" w14:textId="6BA7C985">
      <w:pPr>
        <w:pStyle w:val="Normal"/>
        <w:spacing w:before="240" w:beforeAutospacing="off" w:after="240" w:afterAutospacing="off"/>
        <w:rPr>
          <w:rFonts w:ascii="Aptos" w:hAnsi="Aptos" w:eastAsia="Aptos" w:cs="Aptos"/>
          <w:noProof w:val="0"/>
          <w:sz w:val="24"/>
          <w:szCs w:val="24"/>
          <w:lang w:val="en-GB"/>
        </w:rPr>
      </w:pPr>
    </w:p>
    <w:p w:rsidR="1EBCF505" w:rsidP="1EBCF505" w:rsidRDefault="1EBCF505" w14:paraId="58476484" w14:textId="765A4677">
      <w:pPr>
        <w:spacing w:before="240" w:beforeAutospacing="off" w:after="240" w:afterAutospacing="off"/>
        <w:rPr>
          <w:rFonts w:ascii="Aptos" w:hAnsi="Aptos" w:eastAsia="Aptos" w:cs="Aptos"/>
          <w:noProof w:val="0"/>
          <w:sz w:val="24"/>
          <w:szCs w:val="24"/>
          <w:lang w:val="en-GB"/>
        </w:rPr>
      </w:pPr>
    </w:p>
    <w:p w:rsidR="2FF74345" w:rsidP="1EBCF505" w:rsidRDefault="2FF74345" w14:paraId="3CA1F8B6" w14:textId="6E110CF6">
      <w:pPr>
        <w:pStyle w:val="Normal"/>
        <w:rPr>
          <w:rFonts w:ascii="Aptos" w:hAnsi="Aptos" w:eastAsia="Aptos" w:cs="Aptos"/>
          <w:b w:val="1"/>
          <w:bCs w:val="1"/>
          <w:noProof w:val="0"/>
          <w:sz w:val="24"/>
          <w:szCs w:val="24"/>
          <w:lang w:val="en-GB"/>
        </w:rPr>
      </w:pPr>
      <w:r w:rsidRPr="1EBCF505" w:rsidR="2FF74345">
        <w:rPr>
          <w:rFonts w:ascii="Aptos" w:hAnsi="Aptos" w:eastAsia="Aptos" w:cs="Aptos"/>
          <w:b w:val="1"/>
          <w:bCs w:val="1"/>
          <w:noProof w:val="0"/>
          <w:sz w:val="24"/>
          <w:szCs w:val="24"/>
          <w:lang w:val="en-GB"/>
        </w:rPr>
        <w:t>3.6 Chance and Porter Diamond scorecard</w:t>
      </w:r>
    </w:p>
    <w:p w:rsidR="1EBCF505" w:rsidP="1EBCF505" w:rsidRDefault="1EBCF505" w14:paraId="304C8A59" w14:textId="4A510A4A">
      <w:pPr>
        <w:pStyle w:val="Normal"/>
        <w:rPr>
          <w:rFonts w:ascii="Aptos" w:hAnsi="Aptos" w:eastAsia="Aptos" w:cs="Aptos"/>
          <w:b w:val="1"/>
          <w:bCs w:val="1"/>
          <w:noProof w:val="0"/>
          <w:sz w:val="24"/>
          <w:szCs w:val="24"/>
          <w:lang w:val="en-GB"/>
        </w:rPr>
      </w:pPr>
    </w:p>
    <w:p w:rsidR="1EBCF505" w:rsidP="1EBCF505" w:rsidRDefault="1EBCF505" w14:paraId="3B55B383" w14:textId="3FF51C81">
      <w:pPr>
        <w:pStyle w:val="Normal"/>
        <w:jc w:val="left"/>
        <w:rPr>
          <w:rFonts w:ascii="Aptos" w:hAnsi="Aptos" w:eastAsia="Aptos" w:cs="Aptos"/>
          <w:b w:val="1"/>
          <w:bCs w:val="1"/>
          <w:noProof w:val="0"/>
          <w:sz w:val="24"/>
          <w:szCs w:val="24"/>
          <w:lang w:val="en-GB"/>
        </w:rPr>
      </w:pPr>
    </w:p>
    <w:p w:rsidR="20FB3B77" w:rsidP="1EBCF505" w:rsidRDefault="20FB3B77" w14:paraId="61F1F801" w14:textId="6816BC81">
      <w:pPr>
        <w:pStyle w:val="Normal"/>
        <w:jc w:val="both"/>
        <w:rPr>
          <w:rFonts w:ascii="Aptos" w:hAnsi="Aptos" w:eastAsia="Aptos" w:cs="Aptos"/>
          <w:b w:val="1"/>
          <w:bCs w:val="1"/>
          <w:noProof w:val="0"/>
          <w:sz w:val="24"/>
          <w:szCs w:val="24"/>
          <w:lang w:val="en-GB"/>
        </w:rPr>
      </w:pPr>
      <w:r w:rsidRPr="1EBCF505" w:rsidR="20FB3B77">
        <w:rPr>
          <w:rFonts w:ascii="Aptos" w:hAnsi="Aptos" w:eastAsia="Aptos" w:cs="Aptos"/>
          <w:b w:val="0"/>
          <w:bCs w:val="0"/>
          <w:noProof w:val="0"/>
          <w:sz w:val="24"/>
          <w:szCs w:val="24"/>
          <w:lang w:val="en-GB"/>
        </w:rPr>
        <w:t xml:space="preserve">A useful method for evaluating a nation, sector, or industry's competitiveness using Porter's Diamond Model is a Porter Diamond scorecard. Factor conditions, demand circumstances, linked and supporting industries, and firm strategy, structure, and rivalry are the four </w:t>
      </w:r>
      <w:r w:rsidRPr="1EBCF505" w:rsidR="20FB3B77">
        <w:rPr>
          <w:rFonts w:ascii="Aptos" w:hAnsi="Aptos" w:eastAsia="Aptos" w:cs="Aptos"/>
          <w:b w:val="0"/>
          <w:bCs w:val="0"/>
          <w:noProof w:val="0"/>
          <w:sz w:val="24"/>
          <w:szCs w:val="24"/>
          <w:lang w:val="en-GB"/>
        </w:rPr>
        <w:t>main areas</w:t>
      </w:r>
      <w:r w:rsidRPr="1EBCF505" w:rsidR="20FB3B77">
        <w:rPr>
          <w:rFonts w:ascii="Aptos" w:hAnsi="Aptos" w:eastAsia="Aptos" w:cs="Aptos"/>
          <w:b w:val="0"/>
          <w:bCs w:val="0"/>
          <w:noProof w:val="0"/>
          <w:sz w:val="24"/>
          <w:szCs w:val="24"/>
          <w:lang w:val="en-GB"/>
        </w:rPr>
        <w:t xml:space="preserve"> it assesses.</w:t>
      </w:r>
    </w:p>
    <w:p w:rsidR="20FB3B77" w:rsidP="1EBCF505" w:rsidRDefault="20FB3B77" w14:paraId="0F6FBF02" w14:textId="0A282316">
      <w:pPr>
        <w:pStyle w:val="Normal"/>
        <w:jc w:val="both"/>
      </w:pPr>
      <w:r w:rsidRPr="1EBCF505" w:rsidR="20FB3B77">
        <w:rPr>
          <w:rFonts w:ascii="Aptos" w:hAnsi="Aptos" w:eastAsia="Aptos" w:cs="Aptos"/>
          <w:b w:val="0"/>
          <w:bCs w:val="0"/>
          <w:noProof w:val="0"/>
          <w:sz w:val="24"/>
          <w:szCs w:val="24"/>
          <w:lang w:val="en-GB"/>
        </w:rPr>
        <w:t xml:space="preserve"> </w:t>
      </w:r>
      <w:r w:rsidRPr="1EBCF505" w:rsidR="20FB3B77">
        <w:rPr>
          <w:rFonts w:ascii="Aptos" w:hAnsi="Aptos" w:eastAsia="Aptos" w:cs="Aptos"/>
          <w:b w:val="0"/>
          <w:bCs w:val="0"/>
          <w:noProof w:val="0"/>
          <w:sz w:val="24"/>
          <w:szCs w:val="24"/>
          <w:lang w:val="en-GB"/>
        </w:rPr>
        <w:t>Through the use of</w:t>
      </w:r>
      <w:r w:rsidRPr="1EBCF505" w:rsidR="20FB3B77">
        <w:rPr>
          <w:rFonts w:ascii="Aptos" w:hAnsi="Aptos" w:eastAsia="Aptos" w:cs="Aptos"/>
          <w:b w:val="0"/>
          <w:bCs w:val="0"/>
          <w:noProof w:val="0"/>
          <w:sz w:val="24"/>
          <w:szCs w:val="24"/>
          <w:lang w:val="en-GB"/>
        </w:rPr>
        <w:t xml:space="preserve"> surveys, statistical tests, or productivity metrics, the scorecard transforms these general elements into quantifiable indications. It aids in </w:t>
      </w:r>
      <w:r w:rsidRPr="1EBCF505" w:rsidR="20FB3B77">
        <w:rPr>
          <w:rFonts w:ascii="Aptos" w:hAnsi="Aptos" w:eastAsia="Aptos" w:cs="Aptos"/>
          <w:b w:val="0"/>
          <w:bCs w:val="0"/>
          <w:noProof w:val="0"/>
          <w:sz w:val="24"/>
          <w:szCs w:val="24"/>
          <w:lang w:val="en-GB"/>
        </w:rPr>
        <w:t>determining</w:t>
      </w:r>
      <w:r w:rsidRPr="1EBCF505" w:rsidR="20FB3B77">
        <w:rPr>
          <w:rFonts w:ascii="Aptos" w:hAnsi="Aptos" w:eastAsia="Aptos" w:cs="Aptos"/>
          <w:b w:val="0"/>
          <w:bCs w:val="0"/>
          <w:noProof w:val="0"/>
          <w:sz w:val="24"/>
          <w:szCs w:val="24"/>
          <w:lang w:val="en-GB"/>
        </w:rPr>
        <w:t xml:space="preserve"> an industry's advantages and disadvantages. It has been used, for instance, to compare MSMEs in the pharmaceutical and textile industries in India, analyse China's service trade competitiveness, evaluate innovation systems in ASEAN nations, and examine export restrictions in Iran's automotive sector.</w:t>
      </w:r>
    </w:p>
    <w:p w:rsidR="20FB3B77" w:rsidP="1EBCF505" w:rsidRDefault="20FB3B77" w14:paraId="7B87889C" w14:textId="26C3F343">
      <w:pPr>
        <w:pStyle w:val="Normal"/>
        <w:jc w:val="both"/>
      </w:pPr>
      <w:r w:rsidRPr="1EBCF505" w:rsidR="20FB3B77">
        <w:rPr>
          <w:rFonts w:ascii="Aptos" w:hAnsi="Aptos" w:eastAsia="Aptos" w:cs="Aptos"/>
          <w:b w:val="0"/>
          <w:bCs w:val="0"/>
          <w:noProof w:val="0"/>
          <w:sz w:val="24"/>
          <w:szCs w:val="24"/>
          <w:lang w:val="en-GB"/>
        </w:rPr>
        <w:t xml:space="preserve"> </w:t>
      </w:r>
      <w:r w:rsidRPr="1EBCF505" w:rsidR="20FB3B77">
        <w:rPr>
          <w:rFonts w:ascii="Aptos" w:hAnsi="Aptos" w:eastAsia="Aptos" w:cs="Aptos"/>
          <w:b w:val="0"/>
          <w:bCs w:val="0"/>
          <w:noProof w:val="0"/>
          <w:sz w:val="24"/>
          <w:szCs w:val="24"/>
          <w:lang w:val="en-GB"/>
        </w:rPr>
        <w:t>Overall, by highlighting areas that require development, the Porter Diamond scorecard aids in quantifying competitiveness and promotes better commercial, strategic, and policy decisions (Teng 2011),</w:t>
      </w:r>
      <w:r w:rsidRPr="1EBCF505" w:rsidR="6379148D">
        <w:rPr>
          <w:rFonts w:ascii="Aptos" w:hAnsi="Aptos" w:eastAsia="Aptos" w:cs="Aptos"/>
          <w:noProof w:val="0"/>
          <w:sz w:val="24"/>
          <w:szCs w:val="24"/>
          <w:lang w:val="en-GB"/>
        </w:rPr>
        <w:t xml:space="preserve"> (</w:t>
      </w:r>
      <w:r w:rsidRPr="1EBCF505" w:rsidR="6379148D">
        <w:rPr>
          <w:rFonts w:ascii="Aptos" w:hAnsi="Aptos" w:eastAsia="Aptos" w:cs="Aptos"/>
          <w:noProof w:val="0"/>
          <w:sz w:val="24"/>
          <w:szCs w:val="24"/>
          <w:lang w:val="en-GB"/>
        </w:rPr>
        <w:t>Kharub</w:t>
      </w:r>
      <w:r w:rsidRPr="1EBCF505" w:rsidR="6379148D">
        <w:rPr>
          <w:rFonts w:ascii="Aptos" w:hAnsi="Aptos" w:eastAsia="Aptos" w:cs="Aptos"/>
          <w:noProof w:val="0"/>
          <w:sz w:val="24"/>
          <w:szCs w:val="24"/>
          <w:lang w:val="en-GB"/>
        </w:rPr>
        <w:t xml:space="preserve"> and Sharma 2017), (Alavi et al. 2020), (Afzal, Lawrey and Gope 2019), (Li et al. 2019).</w:t>
      </w:r>
    </w:p>
    <w:p w:rsidR="6B4FA5C8" w:rsidP="1EBCF505" w:rsidRDefault="6B4FA5C8" w14:paraId="4877BDD4" w14:textId="0928DA2C">
      <w:pPr>
        <w:pStyle w:val="Normal"/>
        <w:jc w:val="both"/>
        <w:rPr>
          <w:rFonts w:ascii="Aptos" w:hAnsi="Aptos" w:eastAsia="Aptos" w:cs="Aptos"/>
          <w:noProof w:val="0"/>
          <w:sz w:val="24"/>
          <w:szCs w:val="24"/>
          <w:lang w:val="en-GB"/>
        </w:rPr>
      </w:pPr>
      <w:r w:rsidRPr="1EBCF505" w:rsidR="6B4FA5C8">
        <w:rPr>
          <w:rFonts w:ascii="Aptos" w:hAnsi="Aptos" w:eastAsia="Aptos" w:cs="Aptos"/>
          <w:noProof w:val="0"/>
          <w:sz w:val="24"/>
          <w:szCs w:val="24"/>
          <w:lang w:val="en-GB"/>
        </w:rPr>
        <w:t xml:space="preserve">Lithium price fluctuations, Chinese export restrictions, geopolitical rivalry, uncertainty around EV uptake, technological advancements, and changes in battery chemistry are all risk concerns. If consumers are willing to pay more for safe, </w:t>
      </w:r>
      <w:r w:rsidRPr="1EBCF505" w:rsidR="6B4FA5C8">
        <w:rPr>
          <w:rFonts w:ascii="Aptos" w:hAnsi="Aptos" w:eastAsia="Aptos" w:cs="Aptos"/>
          <w:noProof w:val="0"/>
          <w:sz w:val="24"/>
          <w:szCs w:val="24"/>
          <w:lang w:val="en-GB"/>
        </w:rPr>
        <w:t>non-Chinese</w:t>
      </w:r>
      <w:r w:rsidRPr="1EBCF505" w:rsidR="6B4FA5C8">
        <w:rPr>
          <w:rFonts w:ascii="Aptos" w:hAnsi="Aptos" w:eastAsia="Aptos" w:cs="Aptos"/>
          <w:noProof w:val="0"/>
          <w:sz w:val="24"/>
          <w:szCs w:val="24"/>
          <w:lang w:val="en-GB"/>
        </w:rPr>
        <w:t xml:space="preserve"> supplies, these characteristics may </w:t>
      </w:r>
      <w:r w:rsidRPr="1EBCF505" w:rsidR="6B4FA5C8">
        <w:rPr>
          <w:rFonts w:ascii="Aptos" w:hAnsi="Aptos" w:eastAsia="Aptos" w:cs="Aptos"/>
          <w:noProof w:val="0"/>
          <w:sz w:val="24"/>
          <w:szCs w:val="24"/>
          <w:lang w:val="en-GB"/>
        </w:rPr>
        <w:t>benefit</w:t>
      </w:r>
      <w:r w:rsidRPr="1EBCF505" w:rsidR="6B4FA5C8">
        <w:rPr>
          <w:rFonts w:ascii="Aptos" w:hAnsi="Aptos" w:eastAsia="Aptos" w:cs="Aptos"/>
          <w:noProof w:val="0"/>
          <w:sz w:val="24"/>
          <w:szCs w:val="24"/>
          <w:lang w:val="en-GB"/>
        </w:rPr>
        <w:t xml:space="preserve"> Australia; however, if prices decline or demand decreases, they may potentially have a negative impact on project economics. This </w:t>
      </w:r>
      <w:r w:rsidRPr="1EBCF505" w:rsidR="6B4FA5C8">
        <w:rPr>
          <w:rFonts w:ascii="Aptos" w:hAnsi="Aptos" w:eastAsia="Aptos" w:cs="Aptos"/>
          <w:noProof w:val="0"/>
          <w:sz w:val="24"/>
          <w:szCs w:val="24"/>
          <w:lang w:val="en-GB"/>
        </w:rPr>
        <w:t>indicates</w:t>
      </w:r>
      <w:r w:rsidRPr="1EBCF505" w:rsidR="6B4FA5C8">
        <w:rPr>
          <w:rFonts w:ascii="Aptos" w:hAnsi="Aptos" w:eastAsia="Aptos" w:cs="Aptos"/>
          <w:noProof w:val="0"/>
          <w:sz w:val="24"/>
          <w:szCs w:val="24"/>
          <w:lang w:val="en-GB"/>
        </w:rPr>
        <w:t xml:space="preserve"> that while Australia has a competitive advantage, it is not a given.</w:t>
      </w:r>
    </w:p>
    <w:p w:rsidR="1EBCF505" w:rsidP="1EBCF505" w:rsidRDefault="1EBCF505" w14:paraId="6E232BEF" w14:textId="46FE665E">
      <w:pPr>
        <w:pStyle w:val="Normal"/>
        <w:jc w:val="both"/>
        <w:rPr>
          <w:rFonts w:ascii="Aptos" w:hAnsi="Aptos" w:eastAsia="Aptos" w:cs="Aptos"/>
          <w:noProof w:val="0"/>
          <w:sz w:val="24"/>
          <w:szCs w:val="24"/>
          <w:lang w:val="en-GB"/>
        </w:rPr>
      </w:pPr>
    </w:p>
    <w:p w:rsidR="6681407C" w:rsidP="1EBCF505" w:rsidRDefault="6681407C" w14:paraId="79D022CD" w14:textId="286935DB">
      <w:pPr>
        <w:pStyle w:val="Normal"/>
        <w:jc w:val="left"/>
        <w:rPr>
          <w:rFonts w:ascii="Aptos" w:hAnsi="Aptos" w:eastAsia="Aptos" w:cs="Aptos"/>
          <w:noProof w:val="0"/>
          <w:sz w:val="24"/>
          <w:szCs w:val="24"/>
          <w:lang w:val="en-GB"/>
        </w:rPr>
      </w:pPr>
      <w:r w:rsidRPr="1EBCF505" w:rsidR="6681407C">
        <w:rPr>
          <w:rFonts w:ascii="Aptos" w:hAnsi="Aptos" w:eastAsia="Aptos" w:cs="Aptos"/>
          <w:noProof w:val="0"/>
          <w:sz w:val="24"/>
          <w:szCs w:val="24"/>
          <w:lang w:val="en-GB"/>
        </w:rPr>
        <w:t xml:space="preserve">Australia's key minerals processing sector has a solid competitive position, according to the Porter Diamond assessment, which scores 4.5 out of 5 for both factor conditions and government support. This </w:t>
      </w:r>
      <w:r w:rsidRPr="1EBCF505" w:rsidR="6681407C">
        <w:rPr>
          <w:rFonts w:ascii="Aptos" w:hAnsi="Aptos" w:eastAsia="Aptos" w:cs="Aptos"/>
          <w:noProof w:val="0"/>
          <w:sz w:val="24"/>
          <w:szCs w:val="24"/>
          <w:lang w:val="en-GB"/>
        </w:rPr>
        <w:t>is a reflection of</w:t>
      </w:r>
      <w:r w:rsidRPr="1EBCF505" w:rsidR="6681407C">
        <w:rPr>
          <w:rFonts w:ascii="Aptos" w:hAnsi="Aptos" w:eastAsia="Aptos" w:cs="Aptos"/>
          <w:noProof w:val="0"/>
          <w:sz w:val="24"/>
          <w:szCs w:val="24"/>
          <w:lang w:val="en-GB"/>
        </w:rPr>
        <w:t xml:space="preserve"> Australia's superior mineral resources, expanding processing capacity, robust legislation, tax breaks, and backing from strategic reserves.</w:t>
      </w:r>
    </w:p>
    <w:p w:rsidR="6681407C" w:rsidP="1EBCF505" w:rsidRDefault="6681407C" w14:paraId="00BB111B" w14:textId="770AB494">
      <w:pPr>
        <w:pStyle w:val="Normal"/>
        <w:spacing w:before="240" w:beforeAutospacing="off" w:after="240" w:afterAutospacing="off"/>
        <w:jc w:val="left"/>
      </w:pPr>
      <w:r w:rsidRPr="1EBCF505" w:rsidR="6681407C">
        <w:rPr>
          <w:rFonts w:ascii="Aptos" w:hAnsi="Aptos" w:eastAsia="Aptos" w:cs="Aptos"/>
          <w:noProof w:val="0"/>
          <w:sz w:val="24"/>
          <w:szCs w:val="24"/>
          <w:lang w:val="en-GB"/>
        </w:rPr>
        <w:t xml:space="preserve"> </w:t>
      </w:r>
      <w:r w:rsidRPr="1EBCF505" w:rsidR="6681407C">
        <w:rPr>
          <w:rFonts w:ascii="Aptos" w:hAnsi="Aptos" w:eastAsia="Aptos" w:cs="Aptos"/>
          <w:noProof w:val="0"/>
          <w:sz w:val="24"/>
          <w:szCs w:val="24"/>
          <w:lang w:val="en-GB"/>
        </w:rPr>
        <w:t>The industry has a score of 3.5 out of 5 for firm strategy, supporting industries, and demand circumstances. Domestic manufacturing demand is lower than that of the world. Despite having less developed supply chains for batteries and magnets, Australia also boasts robust mining services. Growth is aided by joint ventures, but China continues to pose a serious threat.</w:t>
      </w:r>
      <w:r w:rsidRPr="1EBCF505" w:rsidR="6681407C">
        <w:rPr>
          <w:rFonts w:ascii="Aptos" w:hAnsi="Aptos" w:eastAsia="Aptos" w:cs="Aptos"/>
          <w:noProof w:val="0"/>
          <w:sz w:val="24"/>
          <w:szCs w:val="24"/>
          <w:lang w:val="en-GB"/>
        </w:rPr>
        <w:t xml:space="preserve"> The lowest score is </w:t>
      </w:r>
      <w:r w:rsidRPr="1EBCF505" w:rsidR="6681407C">
        <w:rPr>
          <w:rFonts w:ascii="Aptos" w:hAnsi="Aptos" w:eastAsia="Aptos" w:cs="Aptos"/>
          <w:b w:val="1"/>
          <w:bCs w:val="1"/>
          <w:noProof w:val="0"/>
          <w:sz w:val="24"/>
          <w:szCs w:val="24"/>
          <w:lang w:val="en-GB"/>
        </w:rPr>
        <w:t>chance</w:t>
      </w:r>
      <w:r w:rsidRPr="1EBCF505" w:rsidR="6681407C">
        <w:rPr>
          <w:rFonts w:ascii="Aptos" w:hAnsi="Aptos" w:eastAsia="Aptos" w:cs="Aptos"/>
          <w:noProof w:val="0"/>
          <w:sz w:val="24"/>
          <w:szCs w:val="24"/>
          <w:lang w:val="en-GB"/>
        </w:rPr>
        <w:t xml:space="preserve">, at </w:t>
      </w:r>
      <w:r w:rsidRPr="1EBCF505" w:rsidR="6681407C">
        <w:rPr>
          <w:rFonts w:ascii="Aptos" w:hAnsi="Aptos" w:eastAsia="Aptos" w:cs="Aptos"/>
          <w:b w:val="1"/>
          <w:bCs w:val="1"/>
          <w:noProof w:val="0"/>
          <w:sz w:val="24"/>
          <w:szCs w:val="24"/>
          <w:lang w:val="en-GB"/>
        </w:rPr>
        <w:t>3.0/5</w:t>
      </w:r>
      <w:r w:rsidRPr="1EBCF505" w:rsidR="6681407C">
        <w:rPr>
          <w:rFonts w:ascii="Aptos" w:hAnsi="Aptos" w:eastAsia="Aptos" w:cs="Aptos"/>
          <w:noProof w:val="0"/>
          <w:sz w:val="24"/>
          <w:szCs w:val="24"/>
          <w:lang w:val="en-GB"/>
        </w:rPr>
        <w:t>, due to uncertainty from price volatility, geopolitical risk, and technology changes.</w:t>
      </w:r>
    </w:p>
    <w:p w:rsidR="6681407C" w:rsidP="1EBCF505" w:rsidRDefault="6681407C" w14:paraId="26633E59" w14:textId="151B3229">
      <w:pPr>
        <w:spacing w:before="240" w:beforeAutospacing="off" w:after="240" w:afterAutospacing="off"/>
        <w:jc w:val="left"/>
      </w:pPr>
      <w:r w:rsidRPr="1EBCF505" w:rsidR="6681407C">
        <w:rPr>
          <w:rFonts w:ascii="Aptos" w:hAnsi="Aptos" w:eastAsia="Aptos" w:cs="Aptos"/>
          <w:noProof w:val="0"/>
          <w:sz w:val="24"/>
          <w:szCs w:val="24"/>
          <w:lang w:val="en-GB"/>
        </w:rPr>
        <w:t>Overall, the scorecard suggests Australia has a solid foundation for critical minerals processing, but it needs stronger downstream industries and domestic manufacturing to improve long-term competitiveness.</w:t>
      </w:r>
    </w:p>
    <w:p w:rsidR="1EBCF505" w:rsidP="1EBCF505" w:rsidRDefault="1EBCF505" w14:paraId="004F7248" w14:textId="67153999">
      <w:pPr>
        <w:pStyle w:val="Normal"/>
        <w:jc w:val="left"/>
        <w:rPr>
          <w:rFonts w:ascii="Aptos" w:hAnsi="Aptos" w:eastAsia="Aptos" w:cs="Aptos"/>
          <w:noProof w:val="0"/>
          <w:sz w:val="24"/>
          <w:szCs w:val="24"/>
          <w:lang w:val="en-GB"/>
        </w:rPr>
      </w:pPr>
    </w:p>
    <w:p w:rsidR="1EBCF505" w:rsidP="1EBCF505" w:rsidRDefault="1EBCF505" w14:paraId="6C5D0E6A" w14:textId="65C22AC2">
      <w:pPr>
        <w:pStyle w:val="Normal"/>
        <w:jc w:val="left"/>
        <w:rPr>
          <w:rFonts w:ascii="Aptos" w:hAnsi="Aptos" w:eastAsia="Aptos" w:cs="Aptos"/>
          <w:noProof w:val="0"/>
          <w:sz w:val="24"/>
          <w:szCs w:val="24"/>
          <w:lang w:val="en-GB"/>
        </w:rPr>
      </w:pPr>
    </w:p>
    <w:p w:rsidR="1EBCF505" w:rsidP="1EBCF505" w:rsidRDefault="1EBCF505" w14:paraId="5B4B1752" w14:textId="0EC4B9B7">
      <w:pPr>
        <w:pStyle w:val="Normal"/>
        <w:jc w:val="left"/>
        <w:rPr>
          <w:rFonts w:ascii="Aptos" w:hAnsi="Aptos" w:eastAsia="Aptos" w:cs="Aptos"/>
          <w:noProof w:val="0"/>
          <w:sz w:val="24"/>
          <w:szCs w:val="24"/>
          <w:lang w:val="en-GB"/>
        </w:rPr>
      </w:pPr>
    </w:p>
    <w:p w:rsidR="1EBCF505" w:rsidP="1EBCF505" w:rsidRDefault="1EBCF505" w14:paraId="2547E28F" w14:textId="0421EE23">
      <w:pPr>
        <w:pStyle w:val="Normal"/>
        <w:jc w:val="left"/>
        <w:rPr>
          <w:rFonts w:ascii="Aptos" w:hAnsi="Aptos" w:eastAsia="Aptos" w:cs="Aptos"/>
          <w:noProof w:val="0"/>
          <w:sz w:val="24"/>
          <w:szCs w:val="24"/>
          <w:lang w:val="en-GB"/>
        </w:rPr>
      </w:pPr>
    </w:p>
    <w:p w:rsidR="1EBCF505" w:rsidP="1EBCF505" w:rsidRDefault="1EBCF505" w14:paraId="06ACC226" w14:textId="7A952E5D">
      <w:pPr>
        <w:pStyle w:val="Normal"/>
        <w:jc w:val="left"/>
        <w:rPr>
          <w:rFonts w:ascii="Aptos" w:hAnsi="Aptos" w:eastAsia="Aptos" w:cs="Aptos"/>
          <w:noProof w:val="0"/>
          <w:sz w:val="24"/>
          <w:szCs w:val="24"/>
          <w:lang w:val="en-GB"/>
        </w:rPr>
      </w:pPr>
    </w:p>
    <w:p w:rsidR="40DFBA8D" w:rsidP="1EBCF505" w:rsidRDefault="40DFBA8D" w14:paraId="32D786C8" w14:textId="0F008FA9">
      <w:pPr>
        <w:pStyle w:val="Normal"/>
        <w:jc w:val="left"/>
        <w:rPr>
          <w:rFonts w:ascii="Aptos" w:hAnsi="Aptos" w:eastAsia="Aptos" w:cs="Aptos"/>
          <w:b w:val="1"/>
          <w:bCs w:val="1"/>
          <w:noProof w:val="0"/>
          <w:sz w:val="32"/>
          <w:szCs w:val="32"/>
          <w:lang w:val="en-GB"/>
        </w:rPr>
      </w:pPr>
      <w:r w:rsidRPr="1EBCF505" w:rsidR="40DFBA8D">
        <w:rPr>
          <w:rFonts w:ascii="Aptos" w:hAnsi="Aptos" w:eastAsia="Aptos" w:cs="Aptos"/>
          <w:b w:val="1"/>
          <w:bCs w:val="1"/>
          <w:noProof w:val="0"/>
          <w:sz w:val="32"/>
          <w:szCs w:val="32"/>
          <w:lang w:val="en-GB"/>
        </w:rPr>
        <w:t>4. Foreign MNC/TNC Analysis: Tianqi Lithium Corporation in Australia</w:t>
      </w:r>
    </w:p>
    <w:p w:rsidR="1EBCF505" w:rsidP="1EBCF505" w:rsidRDefault="1EBCF505" w14:paraId="5D8002F2" w14:textId="30E6E4D8">
      <w:pPr>
        <w:pStyle w:val="Normal"/>
        <w:jc w:val="left"/>
        <w:rPr>
          <w:rFonts w:ascii="Aptos" w:hAnsi="Aptos" w:eastAsia="Aptos" w:cs="Aptos"/>
          <w:noProof w:val="0"/>
          <w:sz w:val="24"/>
          <w:szCs w:val="24"/>
          <w:lang w:val="en-GB"/>
        </w:rPr>
      </w:pPr>
    </w:p>
    <w:p w:rsidR="68B8B56C" w:rsidP="4DF95668" w:rsidRDefault="68B8B56C" w14:paraId="6F108933" w14:textId="191068E6">
      <w:pPr>
        <w:pStyle w:val="Normal"/>
        <w:spacing w:before="240" w:beforeAutospacing="off" w:after="240" w:afterAutospacing="off"/>
        <w:jc w:val="both"/>
        <w:rPr>
          <w:rFonts w:ascii="Aptos" w:hAnsi="Aptos" w:eastAsia="Aptos" w:cs="Aptos"/>
          <w:b w:val="1"/>
          <w:bCs w:val="1"/>
          <w:noProof w:val="0"/>
          <w:sz w:val="24"/>
          <w:szCs w:val="24"/>
          <w:lang w:val="en-GB"/>
        </w:rPr>
      </w:pPr>
      <w:r w:rsidRPr="4DF95668" w:rsidR="68B8B56C">
        <w:rPr>
          <w:rFonts w:ascii="Aptos" w:hAnsi="Aptos" w:eastAsia="Aptos" w:cs="Aptos"/>
          <w:b w:val="1"/>
          <w:bCs w:val="1"/>
          <w:noProof w:val="0"/>
          <w:sz w:val="24"/>
          <w:szCs w:val="24"/>
          <w:lang w:val="en-GB"/>
        </w:rPr>
        <w:t xml:space="preserve">4.1 Company </w:t>
      </w:r>
      <w:r w:rsidRPr="4DF95668" w:rsidR="68B8B56C">
        <w:rPr>
          <w:rFonts w:ascii="Aptos" w:hAnsi="Aptos" w:eastAsia="Aptos" w:cs="Aptos"/>
          <w:b w:val="1"/>
          <w:bCs w:val="1"/>
          <w:noProof w:val="0"/>
          <w:sz w:val="24"/>
          <w:szCs w:val="24"/>
          <w:lang w:val="en-GB"/>
        </w:rPr>
        <w:t>selection</w:t>
      </w:r>
    </w:p>
    <w:p w:rsidR="3A999DE1" w:rsidP="1EBCF505" w:rsidRDefault="3A999DE1" w14:paraId="50CE4A07" w14:textId="33EEBCEF">
      <w:pPr>
        <w:pStyle w:val="Normal"/>
        <w:spacing w:before="240" w:beforeAutospacing="off" w:after="240" w:afterAutospacing="off"/>
        <w:jc w:val="both"/>
        <w:rPr>
          <w:rFonts w:ascii="Aptos" w:hAnsi="Aptos" w:eastAsia="Aptos" w:cs="Aptos"/>
          <w:b w:val="0"/>
          <w:bCs w:val="0"/>
          <w:noProof w:val="0"/>
          <w:sz w:val="24"/>
          <w:szCs w:val="24"/>
          <w:lang w:val="en-GB"/>
        </w:rPr>
      </w:pPr>
      <w:r w:rsidRPr="1EBCF505" w:rsidR="3A999DE1">
        <w:rPr>
          <w:rFonts w:ascii="Aptos" w:hAnsi="Aptos" w:eastAsia="Aptos" w:cs="Aptos"/>
          <w:b w:val="0"/>
          <w:bCs w:val="0"/>
          <w:noProof w:val="0"/>
          <w:sz w:val="24"/>
          <w:szCs w:val="24"/>
          <w:lang w:val="en-GB"/>
        </w:rPr>
        <w:t xml:space="preserve">Tianqi Lithium Corporation, a Chinese multinational that </w:t>
      </w:r>
      <w:r w:rsidRPr="1EBCF505" w:rsidR="3A999DE1">
        <w:rPr>
          <w:rFonts w:ascii="Aptos" w:hAnsi="Aptos" w:eastAsia="Aptos" w:cs="Aptos"/>
          <w:b w:val="0"/>
          <w:bCs w:val="0"/>
          <w:noProof w:val="0"/>
          <w:sz w:val="24"/>
          <w:szCs w:val="24"/>
          <w:lang w:val="en-GB"/>
        </w:rPr>
        <w:t>operates</w:t>
      </w:r>
      <w:r w:rsidRPr="1EBCF505" w:rsidR="3A999DE1">
        <w:rPr>
          <w:rFonts w:ascii="Aptos" w:hAnsi="Aptos" w:eastAsia="Aptos" w:cs="Aptos"/>
          <w:b w:val="0"/>
          <w:bCs w:val="0"/>
          <w:noProof w:val="0"/>
          <w:sz w:val="24"/>
          <w:szCs w:val="24"/>
          <w:lang w:val="en-GB"/>
        </w:rPr>
        <w:t xml:space="preserve"> in Australia through Tianqi Lithium Energy Australia (TLEA), is the chosen foreign MNC. TLEA is significant since it </w:t>
      </w:r>
      <w:r w:rsidRPr="1EBCF505" w:rsidR="3A999DE1">
        <w:rPr>
          <w:rFonts w:ascii="Aptos" w:hAnsi="Aptos" w:eastAsia="Aptos" w:cs="Aptos"/>
          <w:b w:val="0"/>
          <w:bCs w:val="0"/>
          <w:noProof w:val="0"/>
          <w:sz w:val="24"/>
          <w:szCs w:val="24"/>
          <w:lang w:val="en-GB"/>
        </w:rPr>
        <w:t>participates</w:t>
      </w:r>
      <w:r w:rsidRPr="1EBCF505" w:rsidR="3A999DE1">
        <w:rPr>
          <w:rFonts w:ascii="Aptos" w:hAnsi="Aptos" w:eastAsia="Aptos" w:cs="Aptos"/>
          <w:b w:val="0"/>
          <w:bCs w:val="0"/>
          <w:noProof w:val="0"/>
          <w:sz w:val="24"/>
          <w:szCs w:val="24"/>
          <w:lang w:val="en-GB"/>
        </w:rPr>
        <w:t xml:space="preserve"> in both the mining of lithium and the processing of vital minerals. Australia's transition to downstream battery mineral processing is aided by its Kwinana lithium hydroxide refinery in Western Australia, which transforms spodumene concentrate into battery-grade lithium hydroxide.</w:t>
      </w:r>
      <w:r w:rsidRPr="1EBCF505" w:rsidR="3A999DE1">
        <w:rPr>
          <w:rFonts w:ascii="Aptos" w:hAnsi="Aptos" w:eastAsia="Aptos" w:cs="Aptos"/>
          <w:b w:val="0"/>
          <w:bCs w:val="0"/>
          <w:noProof w:val="0"/>
          <w:sz w:val="24"/>
          <w:szCs w:val="24"/>
          <w:lang w:val="en-GB"/>
        </w:rPr>
        <w:t xml:space="preserve"> Tianqi’s Australian operations are strategically significant because they connect the upstream </w:t>
      </w:r>
      <w:r w:rsidRPr="1EBCF505" w:rsidR="3A999DE1">
        <w:rPr>
          <w:rFonts w:ascii="Aptos" w:hAnsi="Aptos" w:eastAsia="Aptos" w:cs="Aptos"/>
          <w:b w:val="0"/>
          <w:bCs w:val="0"/>
          <w:noProof w:val="0"/>
          <w:sz w:val="24"/>
          <w:szCs w:val="24"/>
          <w:lang w:val="en-GB"/>
        </w:rPr>
        <w:t>Greenbushes lithium mine</w:t>
      </w:r>
      <w:r w:rsidRPr="1EBCF505" w:rsidR="3A999DE1">
        <w:rPr>
          <w:rFonts w:ascii="Aptos" w:hAnsi="Aptos" w:eastAsia="Aptos" w:cs="Aptos"/>
          <w:b w:val="0"/>
          <w:bCs w:val="0"/>
          <w:noProof w:val="0"/>
          <w:sz w:val="24"/>
          <w:szCs w:val="24"/>
          <w:lang w:val="en-GB"/>
        </w:rPr>
        <w:t xml:space="preserve">, one of the world’s most important lithium sources, with downstream processing at Kwinana. IGO states that Tianqi owns </w:t>
      </w:r>
      <w:r w:rsidRPr="1EBCF505" w:rsidR="3A999DE1">
        <w:rPr>
          <w:rFonts w:ascii="Aptos" w:hAnsi="Aptos" w:eastAsia="Aptos" w:cs="Aptos"/>
          <w:b w:val="0"/>
          <w:bCs w:val="0"/>
          <w:noProof w:val="0"/>
          <w:sz w:val="24"/>
          <w:szCs w:val="24"/>
          <w:lang w:val="en-GB"/>
        </w:rPr>
        <w:t>51% of TLEA</w:t>
      </w:r>
      <w:r w:rsidRPr="1EBCF505" w:rsidR="3A999DE1">
        <w:rPr>
          <w:rFonts w:ascii="Aptos" w:hAnsi="Aptos" w:eastAsia="Aptos" w:cs="Aptos"/>
          <w:b w:val="0"/>
          <w:bCs w:val="0"/>
          <w:noProof w:val="0"/>
          <w:sz w:val="24"/>
          <w:szCs w:val="24"/>
          <w:lang w:val="en-GB"/>
        </w:rPr>
        <w:t xml:space="preserve">, while </w:t>
      </w:r>
      <w:r w:rsidRPr="1EBCF505" w:rsidR="3A999DE1">
        <w:rPr>
          <w:rFonts w:ascii="Aptos" w:hAnsi="Aptos" w:eastAsia="Aptos" w:cs="Aptos"/>
          <w:b w:val="0"/>
          <w:bCs w:val="0"/>
          <w:noProof w:val="0"/>
          <w:sz w:val="24"/>
          <w:szCs w:val="24"/>
          <w:lang w:val="en-GB"/>
        </w:rPr>
        <w:t>IGO owns 49%</w:t>
      </w:r>
      <w:r w:rsidRPr="1EBCF505" w:rsidR="6705A13B">
        <w:rPr>
          <w:rFonts w:ascii="Aptos" w:hAnsi="Aptos" w:eastAsia="Aptos" w:cs="Aptos"/>
          <w:b w:val="0"/>
          <w:bCs w:val="0"/>
          <w:noProof w:val="0"/>
          <w:sz w:val="24"/>
          <w:szCs w:val="24"/>
          <w:lang w:val="en-GB"/>
        </w:rPr>
        <w:t xml:space="preserve"> </w:t>
      </w:r>
      <w:r w:rsidRPr="1EBCF505" w:rsidR="6705A13B">
        <w:rPr>
          <w:rFonts w:ascii="Aptos" w:hAnsi="Aptos" w:eastAsia="Aptos" w:cs="Aptos"/>
          <w:b w:val="0"/>
          <w:bCs w:val="0"/>
          <w:noProof w:val="0"/>
          <w:sz w:val="24"/>
          <w:szCs w:val="24"/>
          <w:lang w:val="en-GB"/>
        </w:rPr>
        <w:t xml:space="preserve">(IGO </w:t>
      </w:r>
      <w:r w:rsidRPr="1EBCF505" w:rsidR="6705A13B">
        <w:rPr>
          <w:rFonts w:ascii="Aptos" w:hAnsi="Aptos" w:eastAsia="Aptos" w:cs="Aptos"/>
          <w:b w:val="0"/>
          <w:bCs w:val="0"/>
          <w:noProof w:val="0"/>
          <w:sz w:val="24"/>
          <w:szCs w:val="24"/>
          <w:lang w:val="en-GB"/>
        </w:rPr>
        <w:t>Limited )</w:t>
      </w:r>
      <w:r w:rsidRPr="1EBCF505" w:rsidR="6705A13B">
        <w:rPr>
          <w:rFonts w:ascii="Aptos" w:hAnsi="Aptos" w:eastAsia="Aptos" w:cs="Aptos"/>
          <w:b w:val="0"/>
          <w:bCs w:val="0"/>
          <w:noProof w:val="0"/>
          <w:sz w:val="24"/>
          <w:szCs w:val="24"/>
          <w:lang w:val="en-GB"/>
        </w:rPr>
        <w:t>, (Young 2020) (Chemical Week 2021)</w:t>
      </w:r>
      <w:r w:rsidRPr="1EBCF505" w:rsidR="3A999DE1">
        <w:rPr>
          <w:rFonts w:ascii="Aptos" w:hAnsi="Aptos" w:eastAsia="Aptos" w:cs="Aptos"/>
          <w:b w:val="0"/>
          <w:bCs w:val="0"/>
          <w:noProof w:val="0"/>
          <w:sz w:val="24"/>
          <w:szCs w:val="24"/>
          <w:lang w:val="en-GB"/>
        </w:rPr>
        <w:t xml:space="preserve">, reflecting a major joint venture structure. The Western Australian Government has reported that the Kwinana plant has a </w:t>
      </w:r>
      <w:r w:rsidRPr="1EBCF505" w:rsidR="3A999DE1">
        <w:rPr>
          <w:rFonts w:ascii="Aptos" w:hAnsi="Aptos" w:eastAsia="Aptos" w:cs="Aptos"/>
          <w:b w:val="0"/>
          <w:bCs w:val="0"/>
          <w:noProof w:val="0"/>
          <w:sz w:val="24"/>
          <w:szCs w:val="24"/>
          <w:lang w:val="en-GB"/>
        </w:rPr>
        <w:t>24,000-tonne nameplate capacity</w:t>
      </w:r>
      <w:r w:rsidRPr="1EBCF505" w:rsidR="3A999DE1">
        <w:rPr>
          <w:rFonts w:ascii="Aptos" w:hAnsi="Aptos" w:eastAsia="Aptos" w:cs="Aptos"/>
          <w:b w:val="0"/>
          <w:bCs w:val="0"/>
          <w:noProof w:val="0"/>
          <w:sz w:val="24"/>
          <w:szCs w:val="24"/>
          <w:lang w:val="en-GB"/>
        </w:rPr>
        <w:t xml:space="preserve">, created more than </w:t>
      </w:r>
      <w:r w:rsidRPr="1EBCF505" w:rsidR="3A999DE1">
        <w:rPr>
          <w:rFonts w:ascii="Aptos" w:hAnsi="Aptos" w:eastAsia="Aptos" w:cs="Aptos"/>
          <w:b w:val="0"/>
          <w:bCs w:val="0"/>
          <w:noProof w:val="0"/>
          <w:sz w:val="24"/>
          <w:szCs w:val="24"/>
          <w:lang w:val="en-GB"/>
        </w:rPr>
        <w:t>900 construction jobs</w:t>
      </w:r>
      <w:r w:rsidRPr="1EBCF505" w:rsidR="3A999DE1">
        <w:rPr>
          <w:rFonts w:ascii="Aptos" w:hAnsi="Aptos" w:eastAsia="Aptos" w:cs="Aptos"/>
          <w:b w:val="0"/>
          <w:bCs w:val="0"/>
          <w:noProof w:val="0"/>
          <w:sz w:val="24"/>
          <w:szCs w:val="24"/>
          <w:lang w:val="en-GB"/>
        </w:rPr>
        <w:t xml:space="preserve">, and employed around </w:t>
      </w:r>
      <w:r w:rsidRPr="1EBCF505" w:rsidR="3A999DE1">
        <w:rPr>
          <w:rFonts w:ascii="Aptos" w:hAnsi="Aptos" w:eastAsia="Aptos" w:cs="Aptos"/>
          <w:b w:val="0"/>
          <w:bCs w:val="0"/>
          <w:noProof w:val="0"/>
          <w:sz w:val="24"/>
          <w:szCs w:val="24"/>
          <w:lang w:val="en-GB"/>
        </w:rPr>
        <w:t>200 staff</w:t>
      </w:r>
      <w:r w:rsidRPr="1EBCF505" w:rsidR="3A999DE1">
        <w:rPr>
          <w:rFonts w:ascii="Aptos" w:hAnsi="Aptos" w:eastAsia="Aptos" w:cs="Aptos"/>
          <w:b w:val="0"/>
          <w:bCs w:val="0"/>
          <w:noProof w:val="0"/>
          <w:sz w:val="24"/>
          <w:szCs w:val="24"/>
          <w:lang w:val="en-GB"/>
        </w:rPr>
        <w:t xml:space="preserve"> when it produced Australia’s first battery-grade lithium hydroxide</w:t>
      </w:r>
      <w:r w:rsidRPr="1EBCF505" w:rsidR="3462ABF8">
        <w:rPr>
          <w:rFonts w:ascii="Aptos" w:hAnsi="Aptos" w:eastAsia="Aptos" w:cs="Aptos"/>
          <w:b w:val="0"/>
          <w:bCs w:val="0"/>
          <w:noProof w:val="0"/>
          <w:sz w:val="24"/>
          <w:szCs w:val="24"/>
          <w:lang w:val="en-GB"/>
        </w:rPr>
        <w:t xml:space="preserve"> (Government of Western Australia 2022).</w:t>
      </w:r>
    </w:p>
    <w:p w:rsidR="3A999DE1" w:rsidP="1EBCF505" w:rsidRDefault="3A999DE1" w14:paraId="7B969253" w14:textId="6A52D2D7">
      <w:pPr>
        <w:spacing w:before="240" w:beforeAutospacing="off" w:after="240" w:afterAutospacing="off"/>
        <w:jc w:val="both"/>
      </w:pPr>
      <w:r w:rsidRPr="1EBCF505" w:rsidR="3A999DE1">
        <w:rPr>
          <w:rFonts w:ascii="Aptos" w:hAnsi="Aptos" w:eastAsia="Aptos" w:cs="Aptos"/>
          <w:noProof w:val="0"/>
          <w:sz w:val="24"/>
          <w:szCs w:val="24"/>
          <w:lang w:val="en-GB"/>
        </w:rPr>
        <w:t xml:space="preserve">Overall, Tianqi Lithium is a major foreign investor in Australia’s lithium sector. Through its stake in Greenbushes and its involvement in the Kwinana refinery, Tianqi plays </w:t>
      </w:r>
      <w:r w:rsidRPr="1EBCF505" w:rsidR="3A999DE1">
        <w:rPr>
          <w:rFonts w:ascii="Aptos" w:hAnsi="Aptos" w:eastAsia="Aptos" w:cs="Aptos"/>
          <w:noProof w:val="0"/>
          <w:sz w:val="24"/>
          <w:szCs w:val="24"/>
          <w:lang w:val="en-GB"/>
        </w:rPr>
        <w:t>an important role</w:t>
      </w:r>
      <w:r w:rsidRPr="1EBCF505" w:rsidR="3A999DE1">
        <w:rPr>
          <w:rFonts w:ascii="Aptos" w:hAnsi="Aptos" w:eastAsia="Aptos" w:cs="Aptos"/>
          <w:noProof w:val="0"/>
          <w:sz w:val="24"/>
          <w:szCs w:val="24"/>
          <w:lang w:val="en-GB"/>
        </w:rPr>
        <w:t xml:space="preserve"> in linking lithium mining with processing and strengthening Australia’s position in the global battery supply chain.</w:t>
      </w:r>
    </w:p>
    <w:p w:rsidR="1EBCF505" w:rsidP="1EBCF505" w:rsidRDefault="1EBCF505" w14:paraId="79AE24FE" w14:textId="64C81B20">
      <w:pPr>
        <w:spacing w:before="240" w:beforeAutospacing="off" w:after="240" w:afterAutospacing="off"/>
        <w:jc w:val="left"/>
        <w:rPr>
          <w:rFonts w:ascii="Aptos" w:hAnsi="Aptos" w:eastAsia="Aptos" w:cs="Aptos"/>
          <w:noProof w:val="0"/>
          <w:sz w:val="24"/>
          <w:szCs w:val="24"/>
          <w:lang w:val="en-GB"/>
        </w:rPr>
      </w:pPr>
    </w:p>
    <w:p w:rsidR="0B80DBAC" w:rsidP="1EBCF505" w:rsidRDefault="0B80DBAC" w14:paraId="5FE03366" w14:textId="7DC801F0">
      <w:pPr>
        <w:pStyle w:val="Normal"/>
        <w:spacing w:before="240" w:beforeAutospacing="off" w:after="240" w:afterAutospacing="off"/>
        <w:jc w:val="left"/>
        <w:rPr>
          <w:rFonts w:ascii="Aptos" w:hAnsi="Aptos" w:eastAsia="Aptos" w:cs="Aptos"/>
          <w:b w:val="1"/>
          <w:bCs w:val="1"/>
          <w:noProof w:val="0"/>
          <w:sz w:val="24"/>
          <w:szCs w:val="24"/>
          <w:lang w:val="en-GB"/>
        </w:rPr>
      </w:pPr>
      <w:r w:rsidRPr="1EBCF505" w:rsidR="0B80DBAC">
        <w:rPr>
          <w:rFonts w:ascii="Aptos" w:hAnsi="Aptos" w:eastAsia="Aptos" w:cs="Aptos"/>
          <w:b w:val="1"/>
          <w:bCs w:val="1"/>
          <w:noProof w:val="0"/>
          <w:sz w:val="24"/>
          <w:szCs w:val="24"/>
          <w:lang w:val="en-GB"/>
        </w:rPr>
        <w:t>4.2 Political factors</w:t>
      </w:r>
    </w:p>
    <w:p w:rsidR="1EBCF505" w:rsidP="1EBCF505" w:rsidRDefault="1EBCF505" w14:paraId="31EE6253" w14:textId="0A2FD434">
      <w:pPr>
        <w:pStyle w:val="Normal"/>
        <w:spacing w:before="240" w:beforeAutospacing="off" w:after="240" w:afterAutospacing="off"/>
        <w:jc w:val="both"/>
        <w:rPr>
          <w:rFonts w:ascii="Aptos" w:hAnsi="Aptos" w:eastAsia="Aptos" w:cs="Aptos"/>
          <w:b w:val="1"/>
          <w:bCs w:val="1"/>
          <w:noProof w:val="0"/>
          <w:sz w:val="24"/>
          <w:szCs w:val="24"/>
          <w:lang w:val="en-GB"/>
        </w:rPr>
      </w:pPr>
    </w:p>
    <w:p w:rsidR="7F28F470" w:rsidP="1EBCF505" w:rsidRDefault="7F28F470" w14:paraId="534496D0" w14:textId="2BFE1391">
      <w:pPr>
        <w:pStyle w:val="Normal"/>
        <w:spacing w:before="240" w:beforeAutospacing="off" w:after="240" w:afterAutospacing="off"/>
        <w:jc w:val="both"/>
        <w:rPr>
          <w:rFonts w:ascii="Aptos" w:hAnsi="Aptos" w:eastAsia="Aptos" w:cs="Aptos"/>
          <w:b w:val="1"/>
          <w:bCs w:val="1"/>
          <w:noProof w:val="0"/>
          <w:sz w:val="24"/>
          <w:szCs w:val="24"/>
          <w:lang w:val="en-GB"/>
        </w:rPr>
      </w:pPr>
      <w:r w:rsidRPr="1EBCF505" w:rsidR="7F28F470">
        <w:rPr>
          <w:rFonts w:ascii="Aptos" w:hAnsi="Aptos" w:eastAsia="Aptos" w:cs="Aptos"/>
          <w:b w:val="0"/>
          <w:bCs w:val="0"/>
          <w:noProof w:val="0"/>
          <w:sz w:val="24"/>
          <w:szCs w:val="24"/>
          <w:lang w:val="en-GB"/>
        </w:rPr>
        <w:t>Tianqi gains politically from Australia's robust backing of vital mineral processing. The Australian government aims to decrease reliance on concentrated global supply chains, boost supply-chain resilience, and promote downstream processing</w:t>
      </w:r>
      <w:r w:rsidRPr="1EBCF505" w:rsidR="764E8A37">
        <w:rPr>
          <w:rFonts w:ascii="Aptos" w:hAnsi="Aptos" w:eastAsia="Aptos" w:cs="Aptos"/>
          <w:noProof w:val="0"/>
          <w:sz w:val="24"/>
          <w:szCs w:val="24"/>
          <w:lang w:val="en-GB"/>
        </w:rPr>
        <w:t xml:space="preserve"> (Critical Minerals Office 2023)</w:t>
      </w:r>
      <w:r w:rsidRPr="1EBCF505" w:rsidR="7F28F470">
        <w:rPr>
          <w:rFonts w:ascii="Aptos" w:hAnsi="Aptos" w:eastAsia="Aptos" w:cs="Aptos"/>
          <w:b w:val="0"/>
          <w:bCs w:val="0"/>
          <w:noProof w:val="0"/>
          <w:sz w:val="24"/>
          <w:szCs w:val="24"/>
          <w:lang w:val="en-GB"/>
        </w:rPr>
        <w:t>. Because Tianqi's Kwinana refinery complements Australia's goal to generate more value domestically, this creates a beneficial policy climate for the company.</w:t>
      </w:r>
    </w:p>
    <w:p w:rsidR="7432D632" w:rsidP="1EBCF505" w:rsidRDefault="7432D632" w14:paraId="48248A12" w14:textId="081A0240">
      <w:pPr>
        <w:pStyle w:val="Normal"/>
        <w:spacing w:before="240" w:beforeAutospacing="off" w:after="240" w:afterAutospacing="off"/>
        <w:jc w:val="both"/>
        <w:rPr>
          <w:rFonts w:ascii="Aptos" w:hAnsi="Aptos" w:eastAsia="Aptos" w:cs="Aptos"/>
          <w:b w:val="0"/>
          <w:bCs w:val="0"/>
          <w:noProof w:val="0"/>
          <w:sz w:val="24"/>
          <w:szCs w:val="24"/>
          <w:lang w:val="en-GB"/>
        </w:rPr>
      </w:pPr>
      <w:r w:rsidRPr="1EBCF505" w:rsidR="7432D632">
        <w:rPr>
          <w:rFonts w:ascii="Aptos" w:hAnsi="Aptos" w:eastAsia="Aptos" w:cs="Aptos"/>
          <w:b w:val="0"/>
          <w:bCs w:val="0"/>
          <w:noProof w:val="0"/>
          <w:sz w:val="24"/>
          <w:szCs w:val="24"/>
          <w:lang w:val="en-GB"/>
        </w:rPr>
        <w:t>But because Tianqi is a Chinese multinational corporation operating in a field that is becoming more and more connected to national security, it also confronts political danger. According to Australia's foreign investment guidelines, investments in key minerals are often scrutinised more closely during the screening process (Australian Government 2026). According to Australia's national security guidelines, foreign investment may be risky if it gives investors access to or influence over sensitive assets and organisations (Foreign Investment Review Board 2023).</w:t>
      </w:r>
    </w:p>
    <w:p w:rsidR="5419C26A" w:rsidP="1EBCF505" w:rsidRDefault="5419C26A" w14:paraId="3E9D79A6" w14:textId="07634A78">
      <w:pPr>
        <w:pStyle w:val="Normal"/>
        <w:spacing w:before="240" w:beforeAutospacing="off" w:after="240" w:afterAutospacing="off"/>
        <w:jc w:val="both"/>
        <w:rPr>
          <w:rFonts w:ascii="Aptos" w:hAnsi="Aptos" w:eastAsia="Aptos" w:cs="Aptos"/>
          <w:b w:val="0"/>
          <w:bCs w:val="0"/>
          <w:noProof w:val="0"/>
          <w:sz w:val="24"/>
          <w:szCs w:val="24"/>
          <w:lang w:val="en-GB"/>
        </w:rPr>
      </w:pPr>
      <w:r w:rsidRPr="1EBCF505" w:rsidR="5419C26A">
        <w:rPr>
          <w:rFonts w:ascii="Aptos" w:hAnsi="Aptos" w:eastAsia="Aptos" w:cs="Aptos"/>
          <w:b w:val="0"/>
          <w:bCs w:val="0"/>
          <w:noProof w:val="0"/>
          <w:sz w:val="24"/>
          <w:szCs w:val="24"/>
          <w:lang w:val="en-GB"/>
        </w:rPr>
        <w:t xml:space="preserve">As a result, there are conflicting political conclusions. Tianqi backs Australia's downstream processing </w:t>
      </w:r>
      <w:r w:rsidRPr="1EBCF505" w:rsidR="5419C26A">
        <w:rPr>
          <w:rFonts w:ascii="Aptos" w:hAnsi="Aptos" w:eastAsia="Aptos" w:cs="Aptos"/>
          <w:b w:val="0"/>
          <w:bCs w:val="0"/>
          <w:noProof w:val="0"/>
          <w:sz w:val="24"/>
          <w:szCs w:val="24"/>
          <w:lang w:val="en-GB"/>
        </w:rPr>
        <w:t>objectives</w:t>
      </w:r>
      <w:r w:rsidRPr="1EBCF505" w:rsidR="5419C26A">
        <w:rPr>
          <w:rFonts w:ascii="Aptos" w:hAnsi="Aptos" w:eastAsia="Aptos" w:cs="Aptos"/>
          <w:b w:val="0"/>
          <w:bCs w:val="0"/>
          <w:noProof w:val="0"/>
          <w:sz w:val="24"/>
          <w:szCs w:val="24"/>
          <w:lang w:val="en-GB"/>
        </w:rPr>
        <w:t>, but as vital minerals are now strategic assets, its Chinese ownership may come under scrutiny. Transparency, local employment, environmental compliance, and alignment with Australian supply-chain interests are all critical to Tianqi's success.</w:t>
      </w:r>
    </w:p>
    <w:p w:rsidR="5419C26A" w:rsidP="1EBCF505" w:rsidRDefault="5419C26A" w14:paraId="4AC7C24D" w14:textId="5F8A58E6">
      <w:pPr>
        <w:pStyle w:val="Normal"/>
        <w:spacing w:before="240" w:beforeAutospacing="off" w:after="240" w:afterAutospacing="off"/>
        <w:jc w:val="both"/>
        <w:rPr>
          <w:rFonts w:ascii="Aptos" w:hAnsi="Aptos" w:eastAsia="Aptos" w:cs="Aptos"/>
          <w:b w:val="1"/>
          <w:bCs w:val="1"/>
          <w:noProof w:val="0"/>
          <w:sz w:val="24"/>
          <w:szCs w:val="24"/>
          <w:lang w:val="en-GB"/>
        </w:rPr>
      </w:pPr>
      <w:r w:rsidRPr="1EBCF505" w:rsidR="5419C26A">
        <w:rPr>
          <w:rFonts w:ascii="Aptos" w:hAnsi="Aptos" w:eastAsia="Aptos" w:cs="Aptos"/>
          <w:b w:val="1"/>
          <w:bCs w:val="1"/>
          <w:noProof w:val="0"/>
          <w:sz w:val="24"/>
          <w:szCs w:val="24"/>
          <w:lang w:val="en-GB"/>
        </w:rPr>
        <w:t>4.3 Economic factors</w:t>
      </w:r>
    </w:p>
    <w:p w:rsidR="5419C26A" w:rsidP="1EBCF505" w:rsidRDefault="5419C26A" w14:paraId="45757D0D" w14:textId="6C156640">
      <w:pPr>
        <w:pStyle w:val="Normal"/>
        <w:spacing w:before="240" w:beforeAutospacing="off" w:after="240" w:afterAutospacing="off"/>
        <w:jc w:val="left"/>
        <w:rPr>
          <w:rFonts w:ascii="Aptos" w:hAnsi="Aptos" w:eastAsia="Aptos" w:cs="Aptos"/>
          <w:b w:val="0"/>
          <w:bCs w:val="0"/>
          <w:noProof w:val="0"/>
          <w:sz w:val="24"/>
          <w:szCs w:val="24"/>
          <w:lang w:val="en-GB"/>
        </w:rPr>
      </w:pPr>
      <w:r w:rsidRPr="1EBCF505" w:rsidR="5419C26A">
        <w:rPr>
          <w:rFonts w:ascii="Aptos" w:hAnsi="Aptos" w:eastAsia="Aptos" w:cs="Aptos"/>
          <w:b w:val="0"/>
          <w:bCs w:val="0"/>
          <w:noProof w:val="0"/>
          <w:sz w:val="24"/>
          <w:szCs w:val="24"/>
          <w:lang w:val="en-GB"/>
        </w:rPr>
        <w:t>Australia's resource security makes it appealing from an economic standpoint. Tianqi has access to one of the most significant hard-rock lithium systems in the world thanks to the Greenbushes supply chain. This promotes vertical integration and lowers feedstock risk. But processing in Australia is expensive. In comparison to China's well-established conversion hubs, labour, construction, energy, environmental compliance, and commissioning costs are expensive.</w:t>
      </w:r>
    </w:p>
    <w:p w:rsidR="730FE500" w:rsidP="1EBCF505" w:rsidRDefault="730FE500" w14:paraId="1DA62931" w14:textId="59766395">
      <w:pPr>
        <w:pStyle w:val="Normal"/>
        <w:spacing w:before="240" w:beforeAutospacing="off" w:after="240" w:afterAutospacing="off"/>
        <w:jc w:val="left"/>
        <w:rPr>
          <w:rFonts w:ascii="Aptos" w:hAnsi="Aptos" w:eastAsia="Aptos" w:cs="Aptos"/>
          <w:b w:val="0"/>
          <w:bCs w:val="0"/>
          <w:noProof w:val="0"/>
          <w:sz w:val="24"/>
          <w:szCs w:val="24"/>
          <w:lang w:val="en-GB"/>
        </w:rPr>
      </w:pPr>
      <w:r w:rsidRPr="1EBCF505" w:rsidR="730FE500">
        <w:rPr>
          <w:rFonts w:ascii="Aptos" w:hAnsi="Aptos" w:eastAsia="Aptos" w:cs="Aptos"/>
          <w:b w:val="0"/>
          <w:bCs w:val="0"/>
          <w:noProof w:val="0"/>
          <w:sz w:val="24"/>
          <w:szCs w:val="24"/>
          <w:lang w:val="en-GB"/>
        </w:rPr>
        <w:t xml:space="preserve">Operational data from Kwinana illustrates the difficulty. Lithium hydroxide output increased from 3,508 tonnes in FY2024 to 6,782 tonnes in FY2025, according to IGO. Although conversion expenses decreased from A$33,748/t in FY2024 to A$22,748/t in FY2025, the asset is still under financial strain and below nameplate capacity (IGO Limited 2025). According to Argus (Argus Media 2025), the joint venture </w:t>
      </w:r>
      <w:r w:rsidRPr="1EBCF505" w:rsidR="730FE500">
        <w:rPr>
          <w:rFonts w:ascii="Aptos" w:hAnsi="Aptos" w:eastAsia="Aptos" w:cs="Aptos"/>
          <w:b w:val="0"/>
          <w:bCs w:val="0"/>
          <w:noProof w:val="0"/>
          <w:sz w:val="24"/>
          <w:szCs w:val="24"/>
          <w:lang w:val="en-GB"/>
        </w:rPr>
        <w:t>anticipated</w:t>
      </w:r>
      <w:r w:rsidRPr="1EBCF505" w:rsidR="730FE500">
        <w:rPr>
          <w:rFonts w:ascii="Aptos" w:hAnsi="Aptos" w:eastAsia="Aptos" w:cs="Aptos"/>
          <w:b w:val="0"/>
          <w:bCs w:val="0"/>
          <w:noProof w:val="0"/>
          <w:sz w:val="24"/>
          <w:szCs w:val="24"/>
          <w:lang w:val="en-GB"/>
        </w:rPr>
        <w:t xml:space="preserve"> producing 9,000–11,000 tonnes in FY2026, up from 6,782 tonnes in FY2024–2025.</w:t>
      </w:r>
    </w:p>
    <w:p w:rsidR="2D70D009" w:rsidP="1EBCF505" w:rsidRDefault="2D70D009" w14:paraId="41F8DFB5" w14:textId="18E168F5">
      <w:pPr>
        <w:pStyle w:val="Normal"/>
        <w:spacing w:before="240" w:beforeAutospacing="off" w:after="240" w:afterAutospacing="off"/>
        <w:jc w:val="left"/>
        <w:rPr>
          <w:rFonts w:ascii="Aptos" w:hAnsi="Aptos" w:eastAsia="Aptos" w:cs="Aptos"/>
          <w:b w:val="0"/>
          <w:bCs w:val="0"/>
          <w:noProof w:val="0"/>
          <w:sz w:val="24"/>
          <w:szCs w:val="24"/>
          <w:lang w:val="en-GB"/>
        </w:rPr>
      </w:pPr>
      <w:r w:rsidRPr="1EBCF505" w:rsidR="2D70D009">
        <w:rPr>
          <w:rFonts w:ascii="Aptos" w:hAnsi="Aptos" w:eastAsia="Aptos" w:cs="Aptos"/>
          <w:b w:val="0"/>
          <w:bCs w:val="0"/>
          <w:noProof w:val="0"/>
          <w:sz w:val="24"/>
          <w:szCs w:val="24"/>
          <w:lang w:val="en-GB"/>
        </w:rPr>
        <w:t xml:space="preserve">Increased production of lithium hydroxide in </w:t>
      </w:r>
      <w:r w:rsidRPr="1EBCF505" w:rsidR="2D70D009">
        <w:rPr>
          <w:rFonts w:ascii="Aptos" w:hAnsi="Aptos" w:eastAsia="Aptos" w:cs="Aptos"/>
          <w:b w:val="0"/>
          <w:bCs w:val="0"/>
          <w:noProof w:val="0"/>
          <w:sz w:val="24"/>
          <w:szCs w:val="24"/>
          <w:lang w:val="en-GB"/>
        </w:rPr>
        <w:t>Kwinana( sources</w:t>
      </w:r>
      <w:r w:rsidRPr="1EBCF505" w:rsidR="2D70D009">
        <w:rPr>
          <w:rFonts w:ascii="Aptos" w:hAnsi="Aptos" w:eastAsia="Aptos" w:cs="Aptos"/>
          <w:b w:val="0"/>
          <w:bCs w:val="0"/>
          <w:noProof w:val="0"/>
          <w:sz w:val="24"/>
          <w:szCs w:val="24"/>
          <w:lang w:val="en-GB"/>
        </w:rPr>
        <w:t xml:space="preserve"> IGO and Argus):</w:t>
      </w:r>
    </w:p>
    <w:p w:rsidR="2D70D009" w:rsidP="1EBCF505" w:rsidRDefault="2D70D009" w14:paraId="755B7101" w14:textId="1C332296">
      <w:pPr>
        <w:pStyle w:val="Normal"/>
        <w:spacing w:before="240" w:beforeAutospacing="off" w:after="240" w:afterAutospacing="off"/>
        <w:jc w:val="left"/>
      </w:pPr>
      <w:r w:rsidR="2D70D009">
        <w:drawing>
          <wp:inline wp14:editId="628C6273" wp14:anchorId="630CFB84">
            <wp:extent cx="5724525" cy="3581400"/>
            <wp:effectExtent l="0" t="0" r="0" b="0"/>
            <wp:docPr id="166969259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69692596" name="Picture 1669692596"/>
                    <pic:cNvPicPr/>
                  </pic:nvPicPr>
                  <pic:blipFill>
                    <a:blip xmlns:r="http://schemas.openxmlformats.org/officeDocument/2006/relationships" r:embed="rId155533290">
                      <a:extLst>
                        <a:ext uri="{28A0092B-C50C-407E-A947-70E740481C1C}">
                          <a14:useLocalDpi xmlns:a14="http://schemas.microsoft.com/office/drawing/2010/main"/>
                        </a:ext>
                      </a:extLst>
                    </a:blip>
                    <a:stretch>
                      <a:fillRect/>
                    </a:stretch>
                  </pic:blipFill>
                  <pic:spPr>
                    <a:xfrm>
                      <a:off x="0" y="0"/>
                      <a:ext cx="5724525" cy="3581400"/>
                    </a:xfrm>
                    <a:prstGeom prst="rect">
                      <a:avLst/>
                    </a:prstGeom>
                  </pic:spPr>
                </pic:pic>
              </a:graphicData>
            </a:graphic>
          </wp:inline>
        </w:drawing>
      </w:r>
      <w:r w:rsidRPr="1EBCF505" w:rsidR="14FB918E">
        <w:rPr>
          <w:rFonts w:ascii="Aptos" w:hAnsi="Aptos" w:eastAsia="Aptos" w:cs="Aptos"/>
          <w:noProof w:val="0"/>
          <w:sz w:val="24"/>
          <w:szCs w:val="24"/>
          <w:lang w:val="en-GB"/>
        </w:rPr>
        <w:t>The economic risk is evident: Tianqi's operations in Australia are strategically significant, but they still require increased utilisation and reduced unit costs to become profitable.</w:t>
      </w:r>
    </w:p>
    <w:p w:rsidR="5793D439" w:rsidP="1EBCF505" w:rsidRDefault="5793D439" w14:paraId="19492B17" w14:textId="12C2B6B0">
      <w:pPr>
        <w:pStyle w:val="Normal"/>
        <w:spacing w:before="240" w:beforeAutospacing="off" w:after="240" w:afterAutospacing="off"/>
        <w:jc w:val="both"/>
        <w:rPr>
          <w:rFonts w:ascii="Aptos" w:hAnsi="Aptos" w:eastAsia="Aptos" w:cs="Aptos"/>
          <w:b w:val="1"/>
          <w:bCs w:val="1"/>
          <w:noProof w:val="0"/>
          <w:sz w:val="24"/>
          <w:szCs w:val="24"/>
          <w:lang w:val="en-GB"/>
        </w:rPr>
      </w:pPr>
      <w:r w:rsidRPr="1EBCF505" w:rsidR="5793D439">
        <w:rPr>
          <w:rFonts w:ascii="Aptos" w:hAnsi="Aptos" w:eastAsia="Aptos" w:cs="Aptos"/>
          <w:b w:val="1"/>
          <w:bCs w:val="1"/>
          <w:noProof w:val="0"/>
          <w:sz w:val="24"/>
          <w:szCs w:val="24"/>
          <w:lang w:val="en-GB"/>
        </w:rPr>
        <w:t>4.4 Legal factors</w:t>
      </w:r>
    </w:p>
    <w:p w:rsidR="5793D439" w:rsidP="1EBCF505" w:rsidRDefault="5793D439" w14:paraId="1079A39E" w14:textId="65F4C814">
      <w:pPr>
        <w:pStyle w:val="Normal"/>
        <w:spacing w:before="240" w:beforeAutospacing="off" w:after="240" w:afterAutospacing="off"/>
        <w:jc w:val="both"/>
        <w:rPr>
          <w:rFonts w:ascii="Aptos" w:hAnsi="Aptos" w:eastAsia="Aptos" w:cs="Aptos"/>
          <w:b w:val="0"/>
          <w:bCs w:val="0"/>
          <w:noProof w:val="0"/>
          <w:sz w:val="24"/>
          <w:szCs w:val="24"/>
          <w:lang w:val="en-GB"/>
        </w:rPr>
      </w:pPr>
      <w:r w:rsidRPr="1EBCF505" w:rsidR="5793D439">
        <w:rPr>
          <w:rFonts w:ascii="Aptos" w:hAnsi="Aptos" w:eastAsia="Aptos" w:cs="Aptos"/>
          <w:b w:val="0"/>
          <w:bCs w:val="0"/>
          <w:noProof w:val="0"/>
          <w:sz w:val="24"/>
          <w:szCs w:val="24"/>
          <w:lang w:val="en-GB"/>
        </w:rPr>
        <w:t>Australia's legal system is appealing because it offers reliable contract enforcement, transparent regulation, and stable property rights. In contrast to certain mineral-rich states, this lowers sovereign risk. However, strict compliance requirements are also imposed by the same legal environment.</w:t>
      </w:r>
    </w:p>
    <w:p w:rsidR="5793D439" w:rsidP="1EBCF505" w:rsidRDefault="5793D439" w14:paraId="1A8876F0" w14:textId="164A4B27">
      <w:pPr>
        <w:pStyle w:val="Normal"/>
        <w:spacing w:before="240" w:beforeAutospacing="off" w:after="240" w:afterAutospacing="off"/>
        <w:jc w:val="both"/>
      </w:pPr>
      <w:r w:rsidRPr="1EBCF505" w:rsidR="5793D439">
        <w:rPr>
          <w:rFonts w:ascii="Aptos" w:hAnsi="Aptos" w:eastAsia="Aptos" w:cs="Aptos"/>
          <w:b w:val="0"/>
          <w:bCs w:val="0"/>
          <w:noProof w:val="0"/>
          <w:sz w:val="24"/>
          <w:szCs w:val="24"/>
          <w:lang w:val="en-GB"/>
        </w:rPr>
        <w:t xml:space="preserve"> </w:t>
      </w:r>
      <w:r w:rsidRPr="1EBCF505" w:rsidR="5793D439">
        <w:rPr>
          <w:rFonts w:ascii="Aptos" w:hAnsi="Aptos" w:eastAsia="Aptos" w:cs="Aptos"/>
          <w:b w:val="0"/>
          <w:bCs w:val="0"/>
          <w:noProof w:val="0"/>
          <w:sz w:val="24"/>
          <w:szCs w:val="24"/>
          <w:lang w:val="en-GB"/>
        </w:rPr>
        <w:t xml:space="preserve">Tianqi </w:t>
      </w:r>
      <w:r w:rsidRPr="1EBCF505" w:rsidR="5793D439">
        <w:rPr>
          <w:rFonts w:ascii="Aptos" w:hAnsi="Aptos" w:eastAsia="Aptos" w:cs="Aptos"/>
          <w:b w:val="0"/>
          <w:bCs w:val="0"/>
          <w:noProof w:val="0"/>
          <w:sz w:val="24"/>
          <w:szCs w:val="24"/>
          <w:lang w:val="en-GB"/>
        </w:rPr>
        <w:t>has to</w:t>
      </w:r>
      <w:r w:rsidRPr="1EBCF505" w:rsidR="5793D439">
        <w:rPr>
          <w:rFonts w:ascii="Aptos" w:hAnsi="Aptos" w:eastAsia="Aptos" w:cs="Aptos"/>
          <w:b w:val="0"/>
          <w:bCs w:val="0"/>
          <w:noProof w:val="0"/>
          <w:sz w:val="24"/>
          <w:szCs w:val="24"/>
          <w:lang w:val="en-GB"/>
        </w:rPr>
        <w:t xml:space="preserve"> abide by regulations </w:t>
      </w:r>
      <w:r w:rsidRPr="1EBCF505" w:rsidR="5793D439">
        <w:rPr>
          <w:rFonts w:ascii="Aptos" w:hAnsi="Aptos" w:eastAsia="Aptos" w:cs="Aptos"/>
          <w:b w:val="0"/>
          <w:bCs w:val="0"/>
          <w:noProof w:val="0"/>
          <w:sz w:val="24"/>
          <w:szCs w:val="24"/>
          <w:lang w:val="en-GB"/>
        </w:rPr>
        <w:t>pertaining to</w:t>
      </w:r>
      <w:r w:rsidRPr="1EBCF505" w:rsidR="5793D439">
        <w:rPr>
          <w:rFonts w:ascii="Aptos" w:hAnsi="Aptos" w:eastAsia="Aptos" w:cs="Aptos"/>
          <w:b w:val="0"/>
          <w:bCs w:val="0"/>
          <w:noProof w:val="0"/>
          <w:sz w:val="24"/>
          <w:szCs w:val="24"/>
          <w:lang w:val="en-GB"/>
        </w:rPr>
        <w:t xml:space="preserve"> the environment, worker safety, taxation, corporate governance, foreign investment screening, industrial relations, and </w:t>
      </w:r>
      <w:r w:rsidRPr="1EBCF505" w:rsidR="5793D439">
        <w:rPr>
          <w:rFonts w:ascii="Aptos" w:hAnsi="Aptos" w:eastAsia="Aptos" w:cs="Aptos"/>
          <w:b w:val="0"/>
          <w:bCs w:val="0"/>
          <w:noProof w:val="0"/>
          <w:sz w:val="24"/>
          <w:szCs w:val="24"/>
          <w:lang w:val="en-GB"/>
        </w:rPr>
        <w:t>maybe native</w:t>
      </w:r>
      <w:r w:rsidRPr="1EBCF505" w:rsidR="5793D439">
        <w:rPr>
          <w:rFonts w:ascii="Aptos" w:hAnsi="Aptos" w:eastAsia="Aptos" w:cs="Aptos"/>
          <w:b w:val="0"/>
          <w:bCs w:val="0"/>
          <w:noProof w:val="0"/>
          <w:sz w:val="24"/>
          <w:szCs w:val="24"/>
          <w:lang w:val="en-GB"/>
        </w:rPr>
        <w:t xml:space="preserve"> title. Operational efficiency is still necessary, even though the 10% Critical Minerals Production Tax Incentive may support qualified processing expenditures from 2027–2028 to 2040–2041 (Reuters 2025).</w:t>
      </w:r>
    </w:p>
    <w:p w:rsidR="5793D439" w:rsidP="1EBCF505" w:rsidRDefault="5793D439" w14:paraId="5764048D" w14:textId="3CC64E0F">
      <w:pPr>
        <w:pStyle w:val="Normal"/>
        <w:spacing w:before="240" w:beforeAutospacing="off" w:after="240" w:afterAutospacing="off"/>
        <w:jc w:val="both"/>
      </w:pPr>
      <w:r w:rsidRPr="1EBCF505" w:rsidR="5793D439">
        <w:rPr>
          <w:rFonts w:ascii="Aptos" w:hAnsi="Aptos" w:eastAsia="Aptos" w:cs="Aptos"/>
          <w:b w:val="0"/>
          <w:bCs w:val="0"/>
          <w:noProof w:val="0"/>
          <w:sz w:val="24"/>
          <w:szCs w:val="24"/>
          <w:lang w:val="en-GB"/>
        </w:rPr>
        <w:t xml:space="preserve"> </w:t>
      </w:r>
      <w:r w:rsidRPr="1EBCF505" w:rsidR="5793D439">
        <w:rPr>
          <w:rFonts w:ascii="Aptos" w:hAnsi="Aptos" w:eastAsia="Aptos" w:cs="Aptos"/>
          <w:b w:val="0"/>
          <w:bCs w:val="0"/>
          <w:noProof w:val="0"/>
          <w:sz w:val="24"/>
          <w:szCs w:val="24"/>
          <w:lang w:val="en-GB"/>
        </w:rPr>
        <w:t xml:space="preserve">As a result, the legal framework protects investors, but it also limits speed and cost. According to Tianqi, regulations should be viewed as both a burden for compliance and a tool for </w:t>
      </w:r>
      <w:r w:rsidRPr="1EBCF505" w:rsidR="5793D439">
        <w:rPr>
          <w:rFonts w:ascii="Aptos" w:hAnsi="Aptos" w:eastAsia="Aptos" w:cs="Aptos"/>
          <w:b w:val="0"/>
          <w:bCs w:val="0"/>
          <w:noProof w:val="0"/>
          <w:sz w:val="24"/>
          <w:szCs w:val="24"/>
          <w:lang w:val="en-GB"/>
        </w:rPr>
        <w:t>establishing</w:t>
      </w:r>
      <w:r w:rsidRPr="1EBCF505" w:rsidR="5793D439">
        <w:rPr>
          <w:rFonts w:ascii="Aptos" w:hAnsi="Aptos" w:eastAsia="Aptos" w:cs="Aptos"/>
          <w:b w:val="0"/>
          <w:bCs w:val="0"/>
          <w:noProof w:val="0"/>
          <w:sz w:val="24"/>
          <w:szCs w:val="24"/>
          <w:lang w:val="en-GB"/>
        </w:rPr>
        <w:t xml:space="preserve"> legitimacy.</w:t>
      </w:r>
    </w:p>
    <w:p w:rsidR="1EBCF505" w:rsidP="1EBCF505" w:rsidRDefault="1EBCF505" w14:paraId="77E575A8" w14:textId="24D85EEB">
      <w:pPr>
        <w:pStyle w:val="Normal"/>
        <w:spacing w:before="240" w:beforeAutospacing="off" w:after="240" w:afterAutospacing="off"/>
        <w:jc w:val="both"/>
        <w:rPr>
          <w:rFonts w:ascii="Aptos" w:hAnsi="Aptos" w:eastAsia="Aptos" w:cs="Aptos"/>
          <w:b w:val="0"/>
          <w:bCs w:val="0"/>
          <w:noProof w:val="0"/>
          <w:sz w:val="24"/>
          <w:szCs w:val="24"/>
          <w:lang w:val="en-GB"/>
        </w:rPr>
      </w:pPr>
    </w:p>
    <w:p w:rsidR="2BFBA5EF" w:rsidP="1EBCF505" w:rsidRDefault="2BFBA5EF" w14:paraId="6B011A58" w14:textId="48F87C4F">
      <w:pPr>
        <w:pStyle w:val="Normal"/>
        <w:spacing w:before="240" w:beforeAutospacing="off" w:after="240" w:afterAutospacing="off"/>
        <w:jc w:val="both"/>
        <w:rPr>
          <w:rFonts w:ascii="Aptos" w:hAnsi="Aptos" w:eastAsia="Aptos" w:cs="Aptos"/>
          <w:b w:val="1"/>
          <w:bCs w:val="1"/>
          <w:noProof w:val="0"/>
          <w:sz w:val="24"/>
          <w:szCs w:val="24"/>
          <w:lang w:val="en-GB"/>
        </w:rPr>
      </w:pPr>
      <w:r w:rsidRPr="1EBCF505" w:rsidR="2BFBA5EF">
        <w:rPr>
          <w:rFonts w:ascii="Aptos" w:hAnsi="Aptos" w:eastAsia="Aptos" w:cs="Aptos"/>
          <w:b w:val="1"/>
          <w:bCs w:val="1"/>
          <w:noProof w:val="0"/>
          <w:sz w:val="24"/>
          <w:szCs w:val="24"/>
          <w:lang w:val="en-GB"/>
        </w:rPr>
        <w:t>4.5 Cultural factors: Hofstede analysis</w:t>
      </w:r>
    </w:p>
    <w:p w:rsidR="1EBCF505" w:rsidP="1EBCF505" w:rsidRDefault="1EBCF505" w14:paraId="2039380C" w14:textId="7402DD49">
      <w:pPr>
        <w:pStyle w:val="Normal"/>
        <w:spacing w:before="240" w:beforeAutospacing="off" w:after="240" w:afterAutospacing="off"/>
        <w:jc w:val="left"/>
        <w:rPr>
          <w:rFonts w:ascii="Aptos" w:hAnsi="Aptos" w:eastAsia="Aptos" w:cs="Aptos"/>
          <w:b w:val="1"/>
          <w:bCs w:val="1"/>
          <w:noProof w:val="0"/>
          <w:sz w:val="24"/>
          <w:szCs w:val="24"/>
          <w:lang w:val="en-GB"/>
        </w:rPr>
      </w:pPr>
    </w:p>
    <w:p w:rsidR="268EF392" w:rsidP="1EBCF505" w:rsidRDefault="268EF392" w14:paraId="6252A2B5" w14:textId="2B2402DD">
      <w:pPr>
        <w:pStyle w:val="Normal"/>
        <w:spacing w:before="240" w:beforeAutospacing="off" w:after="240" w:afterAutospacing="off"/>
        <w:jc w:val="left"/>
        <w:rPr>
          <w:rFonts w:ascii="Aptos" w:hAnsi="Aptos" w:eastAsia="Aptos" w:cs="Aptos"/>
          <w:b w:val="0"/>
          <w:bCs w:val="0"/>
          <w:noProof w:val="0"/>
          <w:sz w:val="24"/>
          <w:szCs w:val="24"/>
          <w:lang w:val="en-GB"/>
        </w:rPr>
      </w:pPr>
      <w:r w:rsidRPr="1EBCF505" w:rsidR="268EF392">
        <w:rPr>
          <w:rFonts w:ascii="Aptos" w:hAnsi="Aptos" w:eastAsia="Aptos" w:cs="Aptos"/>
          <w:b w:val="0"/>
          <w:bCs w:val="0"/>
          <w:noProof w:val="0"/>
          <w:sz w:val="24"/>
          <w:szCs w:val="24"/>
          <w:lang w:val="en-GB"/>
        </w:rPr>
        <w:t xml:space="preserve">Tianqi is a Chinese multinational that </w:t>
      </w:r>
      <w:r w:rsidRPr="1EBCF505" w:rsidR="268EF392">
        <w:rPr>
          <w:rFonts w:ascii="Aptos" w:hAnsi="Aptos" w:eastAsia="Aptos" w:cs="Aptos"/>
          <w:b w:val="0"/>
          <w:bCs w:val="0"/>
          <w:noProof w:val="0"/>
          <w:sz w:val="24"/>
          <w:szCs w:val="24"/>
          <w:lang w:val="en-GB"/>
        </w:rPr>
        <w:t>operates</w:t>
      </w:r>
      <w:r w:rsidRPr="1EBCF505" w:rsidR="268EF392">
        <w:rPr>
          <w:rFonts w:ascii="Aptos" w:hAnsi="Aptos" w:eastAsia="Aptos" w:cs="Aptos"/>
          <w:b w:val="0"/>
          <w:bCs w:val="0"/>
          <w:noProof w:val="0"/>
          <w:sz w:val="24"/>
          <w:szCs w:val="24"/>
          <w:lang w:val="en-GB"/>
        </w:rPr>
        <w:t xml:space="preserve"> in an Australian workplace and regulatory </w:t>
      </w:r>
      <w:r w:rsidRPr="1EBCF505" w:rsidR="268EF392">
        <w:rPr>
          <w:rFonts w:ascii="Aptos" w:hAnsi="Aptos" w:eastAsia="Aptos" w:cs="Aptos"/>
          <w:b w:val="0"/>
          <w:bCs w:val="0"/>
          <w:noProof w:val="0"/>
          <w:sz w:val="24"/>
          <w:szCs w:val="24"/>
          <w:lang w:val="en-GB"/>
        </w:rPr>
        <w:t>culture,</w:t>
      </w:r>
      <w:r w:rsidRPr="1EBCF505" w:rsidR="268EF392">
        <w:rPr>
          <w:rFonts w:ascii="Aptos" w:hAnsi="Aptos" w:eastAsia="Aptos" w:cs="Aptos"/>
          <w:b w:val="0"/>
          <w:bCs w:val="0"/>
          <w:noProof w:val="0"/>
          <w:sz w:val="24"/>
          <w:szCs w:val="24"/>
          <w:lang w:val="en-GB"/>
        </w:rPr>
        <w:t xml:space="preserve"> therefore Hofstede's cultural elements are helpful. The six-dimension framework for cross-country comparison is provided by the Culture Factor nation comparison tool (The Culture Factor Group 2026).</w:t>
      </w:r>
      <w:r w:rsidRPr="1EBCF505" w:rsidR="7E18F48A">
        <w:rPr>
          <w:rFonts w:ascii="Aptos" w:hAnsi="Aptos" w:eastAsia="Aptos" w:cs="Aptos"/>
          <w:b w:val="0"/>
          <w:bCs w:val="0"/>
          <w:noProof w:val="0"/>
          <w:sz w:val="24"/>
          <w:szCs w:val="24"/>
          <w:lang w:val="en-GB"/>
        </w:rPr>
        <w:t xml:space="preserve"> According to Hofstede-based research, China is typically linked to a higher power distance and a more collectivist perspective, </w:t>
      </w:r>
      <w:r w:rsidRPr="1EBCF505" w:rsidR="7E18F48A">
        <w:rPr>
          <w:rFonts w:ascii="Aptos" w:hAnsi="Aptos" w:eastAsia="Aptos" w:cs="Aptos"/>
          <w:b w:val="0"/>
          <w:bCs w:val="0"/>
          <w:noProof w:val="0"/>
          <w:sz w:val="24"/>
          <w:szCs w:val="24"/>
          <w:lang w:val="en-GB"/>
        </w:rPr>
        <w:t>whereas</w:t>
      </w:r>
      <w:r w:rsidRPr="1EBCF505" w:rsidR="7E18F48A">
        <w:rPr>
          <w:rFonts w:ascii="Aptos" w:hAnsi="Aptos" w:eastAsia="Aptos" w:cs="Aptos"/>
          <w:b w:val="0"/>
          <w:bCs w:val="0"/>
          <w:noProof w:val="0"/>
          <w:sz w:val="24"/>
          <w:szCs w:val="24"/>
          <w:lang w:val="en-GB"/>
        </w:rPr>
        <w:t xml:space="preserve"> Australia is typically identified as extremely individualist and low in power distance (Dolan et al. 2019).</w:t>
      </w:r>
    </w:p>
    <w:p w:rsidR="48ED2219" w:rsidP="1EBCF505" w:rsidRDefault="48ED2219" w14:paraId="78054D3D" w14:textId="37E3F42D">
      <w:pPr>
        <w:pStyle w:val="Normal"/>
        <w:spacing w:before="240" w:beforeAutospacing="off" w:after="240" w:afterAutospacing="off"/>
        <w:jc w:val="both"/>
      </w:pPr>
      <w:r w:rsidR="48ED2219">
        <w:drawing>
          <wp:inline wp14:editId="185C74D2" wp14:anchorId="3CE53D81">
            <wp:extent cx="5724525" cy="2800350"/>
            <wp:effectExtent l="0" t="0" r="0" b="0"/>
            <wp:docPr id="9139794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13979472" name="Picture 913979472"/>
                    <pic:cNvPicPr/>
                  </pic:nvPicPr>
                  <pic:blipFill>
                    <a:blip xmlns:r="http://schemas.openxmlformats.org/officeDocument/2006/relationships" r:embed="rId865948599">
                      <a:extLst>
                        <a:ext uri="{28A0092B-C50C-407E-A947-70E740481C1C}">
                          <a14:useLocalDpi xmlns:a14="http://schemas.microsoft.com/office/drawing/2010/main"/>
                        </a:ext>
                      </a:extLst>
                    </a:blip>
                    <a:stretch>
                      <a:fillRect/>
                    </a:stretch>
                  </pic:blipFill>
                  <pic:spPr>
                    <a:xfrm>
                      <a:off x="0" y="0"/>
                      <a:ext cx="5724525" cy="2800350"/>
                    </a:xfrm>
                    <a:prstGeom prst="rect">
                      <a:avLst/>
                    </a:prstGeom>
                  </pic:spPr>
                </pic:pic>
              </a:graphicData>
            </a:graphic>
          </wp:inline>
        </w:drawing>
      </w:r>
    </w:p>
    <w:p w:rsidR="6284983E" w:rsidP="1EBCF505" w:rsidRDefault="6284983E" w14:paraId="1F3DAB63" w14:textId="596FC2B9">
      <w:pPr>
        <w:pStyle w:val="Normal"/>
        <w:spacing w:before="240" w:beforeAutospacing="off" w:after="240" w:afterAutospacing="off"/>
        <w:jc w:val="left"/>
      </w:pPr>
      <w:r w:rsidR="6284983E">
        <w:rPr/>
        <w:t xml:space="preserve">Tianqi Lithium may </w:t>
      </w:r>
      <w:r w:rsidR="6284983E">
        <w:rPr/>
        <w:t>encounter</w:t>
      </w:r>
      <w:r w:rsidR="6284983E">
        <w:rPr/>
        <w:t xml:space="preserve"> several cultural differences when conducting business in Australia, according to Hofstede's cultural dimensions. Australia </w:t>
      </w:r>
      <w:r w:rsidR="6284983E">
        <w:rPr/>
        <w:t>generally has</w:t>
      </w:r>
      <w:r w:rsidR="6284983E">
        <w:rPr/>
        <w:t xml:space="preserve"> lower power distance, meaning employees often expect consultation, open communication, and involvement in decision-making, while Chinese firms may be more hierarchical. Additionally, because Australia is a more individualistic country, employees may value personal accountability, independence, and direct responsibility more.</w:t>
      </w:r>
    </w:p>
    <w:p w:rsidR="6284983E" w:rsidP="1EBCF505" w:rsidRDefault="6284983E" w14:paraId="0B3EC659" w14:textId="19E3AFB7">
      <w:pPr>
        <w:pStyle w:val="Normal"/>
        <w:spacing w:before="240" w:beforeAutospacing="off" w:after="240" w:afterAutospacing="off"/>
        <w:jc w:val="left"/>
      </w:pPr>
      <w:r w:rsidR="6284983E">
        <w:rPr/>
        <w:t xml:space="preserve">China’s stronger long-term orientation may mean Tianqi is more willing to accept longer payback periods and strategic patience than some Australian investors. Different perspectives on norms, process discipline, and ambiguity may also result from differences in uncertainty avoidance. Nonetheless, both China and Australia have </w:t>
      </w:r>
      <w:r w:rsidR="6284983E">
        <w:rPr/>
        <w:t>a very strong</w:t>
      </w:r>
      <w:r w:rsidR="6284983E">
        <w:rPr/>
        <w:t xml:space="preserve"> achievement focus, which can aid in bringing staff members together around performance goals and KPIs.</w:t>
      </w:r>
    </w:p>
    <w:p w:rsidR="6284983E" w:rsidP="1EBCF505" w:rsidRDefault="6284983E" w14:paraId="3D5E9220" w14:textId="07022A98">
      <w:pPr>
        <w:pStyle w:val="Normal"/>
        <w:spacing w:before="240" w:beforeAutospacing="off" w:after="240" w:afterAutospacing="off"/>
        <w:jc w:val="left"/>
      </w:pPr>
      <w:r w:rsidR="6284983E">
        <w:rPr/>
        <w:t xml:space="preserve">Lastly, Chinese workplace culture may be more conservative than Australian workplace culture, which could lead to disparities in expectations </w:t>
      </w:r>
      <w:r w:rsidR="6284983E">
        <w:rPr/>
        <w:t>regarding</w:t>
      </w:r>
      <w:r w:rsidR="6284983E">
        <w:rPr/>
        <w:t xml:space="preserve"> flexibility and workload.</w:t>
      </w:r>
    </w:p>
    <w:p w:rsidR="6C6EF251" w:rsidP="1EBCF505" w:rsidRDefault="6C6EF251" w14:paraId="7AD16723" w14:textId="252A62EB">
      <w:pPr>
        <w:pStyle w:val="Normal"/>
        <w:spacing w:before="240" w:beforeAutospacing="off" w:after="240" w:afterAutospacing="off"/>
        <w:jc w:val="left"/>
      </w:pPr>
      <w:r w:rsidR="6C6EF251">
        <w:rPr/>
        <w:t>Governance is the most crucial managerial concern. While Australian engineers, managers, and regulators might anticipate consultation, transparency, and decentralised problem-solving, a Chinese parent business might feel more at ease with hierarchical decision-making. This may have an impact on employee engagement, joint venture discussions, safety culture, and reporting.</w:t>
      </w:r>
    </w:p>
    <w:p w:rsidR="6C6EF251" w:rsidP="1EBCF505" w:rsidRDefault="6C6EF251" w14:paraId="6517A52A" w14:textId="04F53E49">
      <w:pPr>
        <w:pStyle w:val="Normal"/>
        <w:spacing w:before="240" w:beforeAutospacing="off" w:after="240" w:afterAutospacing="off"/>
        <w:jc w:val="left"/>
      </w:pPr>
      <w:r w:rsidR="6C6EF251">
        <w:rPr/>
        <w:t xml:space="preserve"> </w:t>
      </w:r>
      <w:r w:rsidR="6C6EF251">
        <w:rPr/>
        <w:t xml:space="preserve">Time horizon is the second problem. While Australian investors could be more concerned about impairment, free cash flow, and short-term return on capital, Tianqi might see Kwinana as a critical long-term supply-chain asset. This helps to explain why, despite production delays and lower lithium prices, Reuters reported </w:t>
      </w:r>
      <w:r w:rsidRPr="1EBCF505" w:rsidR="7955A5E2">
        <w:rPr>
          <w:rFonts w:ascii="Aptos" w:hAnsi="Aptos" w:eastAsia="Aptos" w:cs="Aptos"/>
          <w:noProof w:val="0"/>
          <w:sz w:val="24"/>
          <w:szCs w:val="24"/>
          <w:lang w:val="en-GB"/>
        </w:rPr>
        <w:t xml:space="preserve">(Burton and Jackson 2025) </w:t>
      </w:r>
      <w:r w:rsidR="6C6EF251">
        <w:rPr/>
        <w:t>that Tianqi was open to renegotiating the IGO contract but had no intention of closing the factory.</w:t>
      </w:r>
    </w:p>
    <w:p w:rsidR="5BDFB9BA" w:rsidP="1EBCF505" w:rsidRDefault="5BDFB9BA" w14:paraId="17C0A20E" w14:textId="45B5A7AA">
      <w:pPr>
        <w:spacing w:before="240" w:beforeAutospacing="off" w:after="240" w:afterAutospacing="off"/>
        <w:jc w:val="left"/>
        <w:rPr>
          <w:rFonts w:ascii="Aptos" w:hAnsi="Aptos" w:eastAsia="Aptos" w:cs="Aptos"/>
          <w:b w:val="1"/>
          <w:bCs w:val="1"/>
          <w:noProof w:val="0"/>
          <w:sz w:val="24"/>
          <w:szCs w:val="24"/>
          <w:lang w:val="en-GB"/>
        </w:rPr>
      </w:pPr>
      <w:r w:rsidRPr="1EBCF505" w:rsidR="5BDFB9BA">
        <w:rPr>
          <w:rFonts w:ascii="Aptos" w:hAnsi="Aptos" w:eastAsia="Aptos" w:cs="Aptos"/>
          <w:b w:val="1"/>
          <w:bCs w:val="1"/>
          <w:noProof w:val="0"/>
          <w:sz w:val="24"/>
          <w:szCs w:val="24"/>
          <w:lang w:val="en-GB"/>
        </w:rPr>
        <w:t>4.6 Operational and technological aspects</w:t>
      </w:r>
    </w:p>
    <w:p w:rsidR="5BDFB9BA" w:rsidP="1EBCF505" w:rsidRDefault="5BDFB9BA" w14:paraId="739F0662" w14:textId="1D08353E">
      <w:pPr>
        <w:spacing w:before="240" w:beforeAutospacing="off" w:after="240" w:afterAutospacing="off"/>
        <w:jc w:val="both"/>
      </w:pPr>
      <w:r w:rsidRPr="1EBCF505" w:rsidR="5BDFB9BA">
        <w:rPr>
          <w:rFonts w:ascii="Aptos" w:hAnsi="Aptos" w:eastAsia="Aptos" w:cs="Aptos"/>
          <w:noProof w:val="0"/>
          <w:sz w:val="24"/>
          <w:szCs w:val="24"/>
          <w:lang w:val="en-GB"/>
        </w:rPr>
        <w:t>Technically speaking, exporting spodumene concentrate is simpler than refining lithium hydroxide. Chemical conversion, impurity control, crystallisation, product validation, process stability, and battery-grade uniformity are all necessary. Although Australia has top-notch upstream mining capabilities, lithium chemical refining is still in its infancy.</w:t>
      </w:r>
    </w:p>
    <w:p w:rsidR="5BDFB9BA" w:rsidP="1EBCF505" w:rsidRDefault="5BDFB9BA" w14:paraId="24AD6797" w14:textId="7698A7FA">
      <w:pPr>
        <w:spacing w:before="240" w:beforeAutospacing="off" w:after="240" w:afterAutospacing="off"/>
        <w:jc w:val="both"/>
      </w:pPr>
      <w:r w:rsidRPr="1EBCF505" w:rsidR="5BDFB9BA">
        <w:rPr>
          <w:rFonts w:ascii="Aptos" w:hAnsi="Aptos" w:eastAsia="Aptos" w:cs="Aptos"/>
          <w:noProof w:val="0"/>
          <w:sz w:val="24"/>
          <w:szCs w:val="24"/>
          <w:lang w:val="en-GB"/>
        </w:rPr>
        <w:t xml:space="preserve">Kwinana's ramp-up </w:t>
      </w:r>
      <w:r w:rsidRPr="1EBCF505" w:rsidR="5BDFB9BA">
        <w:rPr>
          <w:rFonts w:ascii="Aptos" w:hAnsi="Aptos" w:eastAsia="Aptos" w:cs="Aptos"/>
          <w:noProof w:val="0"/>
          <w:sz w:val="24"/>
          <w:szCs w:val="24"/>
          <w:lang w:val="en-GB"/>
        </w:rPr>
        <w:t>demonstrates</w:t>
      </w:r>
      <w:r w:rsidRPr="1EBCF505" w:rsidR="5BDFB9BA">
        <w:rPr>
          <w:rFonts w:ascii="Aptos" w:hAnsi="Aptos" w:eastAsia="Aptos" w:cs="Aptos"/>
          <w:noProof w:val="0"/>
          <w:sz w:val="24"/>
          <w:szCs w:val="24"/>
          <w:lang w:val="en-GB"/>
        </w:rPr>
        <w:t xml:space="preserve"> that resource strength alone cannot be used to infer processing competitiveness. According to Porter, Australia still requires sophisticated processing power despite having strong basic characteristics. Australia would be able to compete in downstream lithium compounds if the Kwinana ramp-up was successful. The contrary claim—that Australia is still more competitive in mining than in chemical conversion—would be supported by an unsuccessful ramp-up.</w:t>
      </w:r>
    </w:p>
    <w:p w:rsidR="1EBCF505" w:rsidP="1EBCF505" w:rsidRDefault="1EBCF505" w14:paraId="4AB16BDC" w14:textId="34F6B77A">
      <w:pPr>
        <w:pStyle w:val="Normal"/>
        <w:spacing w:before="240" w:beforeAutospacing="off" w:after="240" w:afterAutospacing="off"/>
        <w:jc w:val="left"/>
      </w:pPr>
    </w:p>
    <w:p w:rsidR="56532210" w:rsidP="1EBCF505" w:rsidRDefault="56532210" w14:paraId="0E513879" w14:textId="43CBE632">
      <w:pPr>
        <w:pStyle w:val="Normal"/>
        <w:spacing w:before="240" w:beforeAutospacing="off" w:after="240" w:afterAutospacing="off"/>
        <w:jc w:val="left"/>
        <w:rPr>
          <w:rFonts w:ascii="Arial" w:hAnsi="Arial" w:eastAsia="Arial" w:cs="Arial"/>
          <w:b w:val="0"/>
          <w:bCs w:val="0"/>
          <w:i w:val="0"/>
          <w:iCs w:val="0"/>
          <w:caps w:val="0"/>
          <w:smallCaps w:val="0"/>
          <w:noProof w:val="0"/>
          <w:color w:val="0A0A0A"/>
          <w:sz w:val="24"/>
          <w:szCs w:val="24"/>
          <w:lang w:val="en-GB"/>
        </w:rPr>
      </w:pPr>
      <w:r w:rsidRPr="1EBCF505" w:rsidR="56532210">
        <w:rPr>
          <w:rFonts w:ascii="Aptos" w:hAnsi="Aptos" w:eastAsia="Aptos" w:cs="Aptos"/>
          <w:b w:val="1"/>
          <w:bCs w:val="1"/>
          <w:noProof w:val="0"/>
          <w:sz w:val="24"/>
          <w:szCs w:val="24"/>
          <w:lang w:val="en-GB"/>
        </w:rPr>
        <w:t xml:space="preserve">4.7 Environmental and ESG factors ( </w:t>
      </w:r>
      <w:r w:rsidRPr="1EBCF505" w:rsidR="56532210">
        <w:rPr>
          <w:rFonts w:ascii="Aptos" w:hAnsi="Aptos" w:eastAsia="Aptos" w:cs="Aptos"/>
          <w:b w:val="1"/>
          <w:bCs w:val="1"/>
          <w:noProof w:val="0"/>
          <w:sz w:val="24"/>
          <w:szCs w:val="24"/>
          <w:lang w:val="en-GB"/>
        </w:rPr>
        <w:t>Envionmental</w:t>
      </w:r>
      <w:r w:rsidRPr="1EBCF505" w:rsidR="56532210">
        <w:rPr>
          <w:rFonts w:ascii="Aptos" w:hAnsi="Aptos" w:eastAsia="Aptos" w:cs="Aptos"/>
          <w:b w:val="1"/>
          <w:bCs w:val="1"/>
          <w:noProof w:val="0"/>
          <w:sz w:val="24"/>
          <w:szCs w:val="24"/>
          <w:lang w:val="en-GB"/>
        </w:rPr>
        <w:t>, Social and Governance)</w:t>
      </w:r>
    </w:p>
    <w:p w:rsidR="7C6061D7" w:rsidP="1EBCF505" w:rsidRDefault="7C6061D7" w14:paraId="0C0EE543" w14:textId="260E5EC3">
      <w:pPr>
        <w:pStyle w:val="Normal"/>
        <w:spacing w:before="240" w:beforeAutospacing="off" w:after="240" w:afterAutospacing="off"/>
        <w:jc w:val="left"/>
      </w:pPr>
      <w:r w:rsidRPr="1EBCF505" w:rsidR="7C6061D7">
        <w:rPr>
          <w:rFonts w:ascii="Aptos" w:hAnsi="Aptos" w:eastAsia="Aptos" w:cs="Aptos"/>
          <w:noProof w:val="0"/>
          <w:sz w:val="24"/>
          <w:szCs w:val="24"/>
          <w:lang w:val="en-GB"/>
        </w:rPr>
        <w:t xml:space="preserve">Although environmental regulations raise Tianqi's expenses, they may also give it a competitive edge. Traceable and ethically manufactured battery materials are becoming </w:t>
      </w:r>
      <w:r w:rsidRPr="1EBCF505" w:rsidR="7C6061D7">
        <w:rPr>
          <w:rFonts w:ascii="Aptos" w:hAnsi="Aptos" w:eastAsia="Aptos" w:cs="Aptos"/>
          <w:noProof w:val="0"/>
          <w:sz w:val="24"/>
          <w:szCs w:val="24"/>
          <w:lang w:val="en-GB"/>
        </w:rPr>
        <w:t>more and more</w:t>
      </w:r>
      <w:r w:rsidRPr="1EBCF505" w:rsidR="7C6061D7">
        <w:rPr>
          <w:rFonts w:ascii="Aptos" w:hAnsi="Aptos" w:eastAsia="Aptos" w:cs="Aptos"/>
          <w:noProof w:val="0"/>
          <w:sz w:val="24"/>
          <w:szCs w:val="24"/>
          <w:lang w:val="en-GB"/>
        </w:rPr>
        <w:t xml:space="preserve"> valued by consumers in North America, Europe, Japan, and Korea. Australia can present itself as a provider of essential minerals that are safe, moral, and subject to environmental regulations. Geoscience Australia makes a clear connection between Australia's vital mineral role and a safe, dependable, and moral supply (Geoscience Australia 2026).</w:t>
      </w:r>
      <w:r w:rsidRPr="1EBCF505" w:rsidR="7C6061D7">
        <w:rPr>
          <w:rFonts w:ascii="Aptos" w:hAnsi="Aptos" w:eastAsia="Aptos" w:cs="Aptos"/>
          <w:noProof w:val="0"/>
          <w:sz w:val="24"/>
          <w:szCs w:val="24"/>
          <w:lang w:val="en-GB"/>
        </w:rPr>
        <w:t xml:space="preserve">ESG benefits, however, need to be </w:t>
      </w:r>
      <w:r w:rsidRPr="1EBCF505" w:rsidR="7C6061D7">
        <w:rPr>
          <w:rFonts w:ascii="Aptos" w:hAnsi="Aptos" w:eastAsia="Aptos" w:cs="Aptos"/>
          <w:noProof w:val="0"/>
          <w:sz w:val="24"/>
          <w:szCs w:val="24"/>
          <w:lang w:val="en-GB"/>
        </w:rPr>
        <w:t>demonstrated</w:t>
      </w:r>
      <w:r w:rsidRPr="1EBCF505" w:rsidR="7C6061D7">
        <w:rPr>
          <w:rFonts w:ascii="Aptos" w:hAnsi="Aptos" w:eastAsia="Aptos" w:cs="Aptos"/>
          <w:noProof w:val="0"/>
          <w:sz w:val="24"/>
          <w:szCs w:val="24"/>
          <w:lang w:val="en-GB"/>
        </w:rPr>
        <w:t>. Energy utilisation, water, reagents, waste, and emissions must all be carefully managed during the lithium hydroxide refining process. Because separation can result in complicated chemical waste streams, rare earth processing is significantly more environmentally sensitive. Australia may be able to justify a security and sustainability premium over less expensive suppliers if it can show better ESG performance.</w:t>
      </w:r>
    </w:p>
    <w:p w:rsidR="42CA2C02" w:rsidP="1EBCF505" w:rsidRDefault="42CA2C02" w14:paraId="25D7B4FE" w14:textId="3FA00B03">
      <w:pPr>
        <w:pStyle w:val="Normal"/>
        <w:spacing w:before="240" w:beforeAutospacing="off" w:after="240" w:afterAutospacing="off"/>
        <w:jc w:val="left"/>
        <w:rPr>
          <w:rFonts w:ascii="Aptos" w:hAnsi="Aptos" w:eastAsia="Aptos" w:cs="Aptos"/>
          <w:b w:val="1"/>
          <w:bCs w:val="1"/>
          <w:i w:val="0"/>
          <w:iCs w:val="0"/>
          <w:noProof w:val="0"/>
          <w:sz w:val="24"/>
          <w:szCs w:val="24"/>
          <w:lang w:val="en-GB"/>
        </w:rPr>
      </w:pPr>
      <w:r w:rsidRPr="1EBCF505" w:rsidR="42CA2C02">
        <w:rPr>
          <w:rFonts w:ascii="Aptos" w:hAnsi="Aptos" w:eastAsia="Aptos" w:cs="Aptos"/>
          <w:b w:val="1"/>
          <w:bCs w:val="1"/>
          <w:i w:val="0"/>
          <w:iCs w:val="0"/>
          <w:noProof w:val="0"/>
          <w:sz w:val="24"/>
          <w:szCs w:val="24"/>
          <w:lang w:val="en-GB"/>
        </w:rPr>
        <w:t>4.8 Forward-market and offtake strategy</w:t>
      </w:r>
    </w:p>
    <w:p w:rsidR="42CA2C02" w:rsidP="1EBCF505" w:rsidRDefault="42CA2C02" w14:paraId="7C30DFDE" w14:textId="4457BA32">
      <w:pPr>
        <w:pStyle w:val="Normal"/>
        <w:spacing w:before="240" w:beforeAutospacing="off" w:after="240" w:afterAutospacing="off"/>
        <w:jc w:val="left"/>
      </w:pPr>
      <w:r w:rsidRPr="1EBCF505" w:rsidR="42CA2C02">
        <w:rPr>
          <w:rFonts w:ascii="Aptos" w:hAnsi="Aptos" w:eastAsia="Aptos" w:cs="Aptos"/>
          <w:b w:val="0"/>
          <w:bCs w:val="0"/>
          <w:i w:val="0"/>
          <w:iCs w:val="0"/>
          <w:noProof w:val="0"/>
          <w:sz w:val="24"/>
          <w:szCs w:val="24"/>
          <w:lang w:val="en-GB"/>
        </w:rPr>
        <w:t xml:space="preserve">Tianqi shouldn't depend solely on the price of lithium hydroxide on the spot market. Both CME and LME currently offer lithium hydroxide futures contracts, and the lithium markets have grown increasingly financialized. With settlement connected to Fastmarkets' CIF China, Japan, and Korea lithium hydroxide evaluation, CME claims that its lithium hydroxide futures and options offer pricing transparency and risk management for lithium-ion battery supply chains. Additionally, LME offers cash-settled contracts for lithium hydroxide that can be traded for up to 15 months (London Metal </w:t>
      </w:r>
      <w:r w:rsidRPr="1EBCF505" w:rsidR="42CA2C02">
        <w:rPr>
          <w:rFonts w:ascii="Aptos" w:hAnsi="Aptos" w:eastAsia="Aptos" w:cs="Aptos"/>
          <w:b w:val="0"/>
          <w:bCs w:val="0"/>
          <w:i w:val="0"/>
          <w:iCs w:val="0"/>
          <w:noProof w:val="0"/>
          <w:sz w:val="24"/>
          <w:szCs w:val="24"/>
          <w:lang w:val="en-GB"/>
        </w:rPr>
        <w:t>Exchange )</w:t>
      </w:r>
      <w:r w:rsidRPr="1EBCF505" w:rsidR="42CA2C02">
        <w:rPr>
          <w:rFonts w:ascii="Aptos" w:hAnsi="Aptos" w:eastAsia="Aptos" w:cs="Aptos"/>
          <w:b w:val="0"/>
          <w:bCs w:val="0"/>
          <w:i w:val="0"/>
          <w:iCs w:val="0"/>
          <w:noProof w:val="0"/>
          <w:sz w:val="24"/>
          <w:szCs w:val="24"/>
          <w:lang w:val="en-GB"/>
        </w:rPr>
        <w:t>, (CME Group</w:t>
      </w:r>
      <w:r w:rsidRPr="1EBCF505" w:rsidR="3F01AC75">
        <w:rPr>
          <w:rFonts w:ascii="Aptos" w:hAnsi="Aptos" w:eastAsia="Aptos" w:cs="Aptos"/>
          <w:b w:val="0"/>
          <w:bCs w:val="0"/>
          <w:i w:val="0"/>
          <w:iCs w:val="0"/>
          <w:noProof w:val="0"/>
          <w:sz w:val="24"/>
          <w:szCs w:val="24"/>
          <w:lang w:val="en-GB"/>
        </w:rPr>
        <w:t>). For Tianqi, an appropriate forward-market approach would incorporate hedging, index-linked contracts, and offtake contracts:</w:t>
      </w:r>
      <w:r w:rsidRPr="1EBCF505" w:rsidR="42CA2C02">
        <w:rPr>
          <w:rFonts w:ascii="Aptos" w:hAnsi="Aptos" w:eastAsia="Aptos" w:cs="Aptos"/>
          <w:b w:val="0"/>
          <w:bCs w:val="0"/>
          <w:i w:val="0"/>
          <w:iCs w:val="0"/>
          <w:noProof w:val="0"/>
          <w:sz w:val="24"/>
          <w:szCs w:val="24"/>
          <w:lang w:val="en-GB"/>
        </w:rPr>
        <w:t xml:space="preserve"> </w:t>
      </w:r>
      <w:r w:rsidR="07CF5A7E">
        <w:drawing>
          <wp:inline wp14:editId="0BC3539C" wp14:anchorId="5A2C885A">
            <wp:extent cx="4629150" cy="3219608"/>
            <wp:effectExtent l="0" t="0" r="0" b="0"/>
            <wp:docPr id="20647398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64739842" name="Picture 2064739842"/>
                    <pic:cNvPicPr/>
                  </pic:nvPicPr>
                  <pic:blipFill>
                    <a:blip xmlns:r="http://schemas.openxmlformats.org/officeDocument/2006/relationships" r:embed="rId679179855">
                      <a:extLst>
                        <a:ext uri="{28A0092B-C50C-407E-A947-70E740481C1C}">
                          <a14:useLocalDpi xmlns:a14="http://schemas.microsoft.com/office/drawing/2010/main"/>
                        </a:ext>
                      </a:extLst>
                    </a:blip>
                    <a:stretch>
                      <a:fillRect/>
                    </a:stretch>
                  </pic:blipFill>
                  <pic:spPr>
                    <a:xfrm rot="0">
                      <a:off x="0" y="0"/>
                      <a:ext cx="4629150" cy="3219608"/>
                    </a:xfrm>
                    <a:prstGeom prst="rect">
                      <a:avLst/>
                    </a:prstGeom>
                  </pic:spPr>
                </pic:pic>
              </a:graphicData>
            </a:graphic>
          </wp:inline>
        </w:drawing>
      </w:r>
    </w:p>
    <w:p w:rsidR="48A70FE5" w:rsidP="1EBCF505" w:rsidRDefault="48A70FE5" w14:paraId="6641FF78" w14:textId="2DA09B26">
      <w:pPr>
        <w:pStyle w:val="Normal"/>
        <w:spacing w:before="240" w:beforeAutospacing="off" w:after="240" w:afterAutospacing="off"/>
        <w:jc w:val="both"/>
      </w:pPr>
      <w:r w:rsidR="48A70FE5">
        <w:rPr/>
        <w:t xml:space="preserve">Kwinana's </w:t>
      </w:r>
      <w:r w:rsidR="48A70FE5">
        <w:rPr/>
        <w:t>large fixed</w:t>
      </w:r>
      <w:r w:rsidR="48A70FE5">
        <w:rPr/>
        <w:t xml:space="preserve"> costs and susceptibility to declines in the price of lithium make this technique particularly pertinent. Additionally, a forward strategy ought to align with feedstock exposure. Tianqi is still vulnerable to margin compression if it hedges sales of lithium hydroxide but keeps input prices for spodumene unhedged.</w:t>
      </w:r>
    </w:p>
    <w:p w:rsidR="48A70FE5" w:rsidP="1EBCF505" w:rsidRDefault="48A70FE5" w14:paraId="58A2B8A2" w14:textId="3F48BF51">
      <w:pPr>
        <w:pStyle w:val="Normal"/>
        <w:spacing w:before="240" w:beforeAutospacing="off" w:after="240" w:afterAutospacing="off"/>
        <w:jc w:val="left"/>
      </w:pPr>
      <w:r w:rsidR="48A70FE5">
        <w:rPr/>
        <w:t xml:space="preserve">Because rare earth markets are less liquid than lithium, rare earth companies need to employ a different approach. Instead of using exchange-traded hedging, companies like Lynas, Iluka, and Arafura are more likely to rely on long-term offtake agreements, government-backed purchasers, and strategic alliances. This could be supported by the Australian government's Critical Minerals Strategic Reserve, which has been granted A$1.2 billion and is </w:t>
      </w:r>
      <w:r w:rsidR="48A70FE5">
        <w:rPr/>
        <w:t>anticipated</w:t>
      </w:r>
      <w:r w:rsidR="48A70FE5">
        <w:rPr/>
        <w:t xml:space="preserve"> to begin operations in the second half of 2026, </w:t>
      </w:r>
      <w:r w:rsidR="48A70FE5">
        <w:rPr/>
        <w:t>through the use of</w:t>
      </w:r>
      <w:r w:rsidR="48A70FE5">
        <w:rPr/>
        <w:t xml:space="preserve"> stockpiling and offtake mechanisms</w:t>
      </w:r>
      <w:r w:rsidRPr="1EBCF505" w:rsidR="66CEF6F6">
        <w:rPr>
          <w:rFonts w:ascii="Aptos" w:hAnsi="Aptos" w:eastAsia="Aptos" w:cs="Aptos"/>
          <w:noProof w:val="0"/>
          <w:sz w:val="24"/>
          <w:szCs w:val="24"/>
          <w:lang w:val="en-GB"/>
        </w:rPr>
        <w:t xml:space="preserve"> (Department of the Prime Minister and Cabinet 2025).</w:t>
      </w:r>
    </w:p>
    <w:p w:rsidR="1EBCF505" w:rsidP="1EBCF505" w:rsidRDefault="1EBCF505" w14:paraId="733A4C48" w14:textId="059891EF">
      <w:pPr>
        <w:pStyle w:val="Normal"/>
        <w:spacing w:before="240" w:beforeAutospacing="off" w:after="240" w:afterAutospacing="off"/>
        <w:jc w:val="both"/>
      </w:pPr>
    </w:p>
    <w:p w:rsidR="0778FEC4" w:rsidP="1EBCF505" w:rsidRDefault="0778FEC4" w14:paraId="20C4E90F" w14:textId="05047D5C">
      <w:pPr>
        <w:spacing w:before="240" w:beforeAutospacing="off" w:after="240" w:afterAutospacing="off"/>
        <w:jc w:val="both"/>
        <w:rPr>
          <w:rFonts w:ascii="Aptos" w:hAnsi="Aptos" w:eastAsia="Aptos" w:cs="Aptos"/>
          <w:b w:val="1"/>
          <w:bCs w:val="1"/>
          <w:noProof w:val="0"/>
          <w:sz w:val="24"/>
          <w:szCs w:val="24"/>
          <w:lang w:val="en-GB"/>
        </w:rPr>
      </w:pPr>
      <w:r w:rsidRPr="1EBCF505" w:rsidR="0778FEC4">
        <w:rPr>
          <w:rFonts w:ascii="Aptos" w:hAnsi="Aptos" w:eastAsia="Aptos" w:cs="Aptos"/>
          <w:b w:val="1"/>
          <w:bCs w:val="1"/>
          <w:noProof w:val="0"/>
          <w:sz w:val="24"/>
          <w:szCs w:val="24"/>
          <w:lang w:val="en-GB"/>
        </w:rPr>
        <w:t>4.10 Situation of equilibrium</w:t>
      </w:r>
    </w:p>
    <w:p w:rsidR="0778FEC4" w:rsidP="1EBCF505" w:rsidRDefault="0778FEC4" w14:paraId="042F322F" w14:textId="12553008">
      <w:pPr>
        <w:spacing w:before="240" w:beforeAutospacing="off" w:after="240" w:afterAutospacing="off"/>
        <w:jc w:val="both"/>
      </w:pPr>
      <w:r w:rsidRPr="1EBCF505" w:rsidR="0778FEC4">
        <w:rPr>
          <w:rFonts w:ascii="Aptos" w:hAnsi="Aptos" w:eastAsia="Aptos" w:cs="Aptos"/>
          <w:noProof w:val="0"/>
          <w:sz w:val="24"/>
          <w:szCs w:val="24"/>
          <w:lang w:val="en-GB"/>
        </w:rPr>
        <w:t xml:space="preserve">It is more likely that a strategic-equilibrium scenario, rather than a pure lowest-cost scenario, will lead to Australia's essential minerals processing competitiveness. Due to its size, cumulative experience, and downstream demand, China is </w:t>
      </w:r>
      <w:r w:rsidRPr="1EBCF505" w:rsidR="0778FEC4">
        <w:rPr>
          <w:rFonts w:ascii="Aptos" w:hAnsi="Aptos" w:eastAsia="Aptos" w:cs="Aptos"/>
          <w:noProof w:val="0"/>
          <w:sz w:val="24"/>
          <w:szCs w:val="24"/>
          <w:lang w:val="en-GB"/>
        </w:rPr>
        <w:t>probably going</w:t>
      </w:r>
      <w:r w:rsidRPr="1EBCF505" w:rsidR="0778FEC4">
        <w:rPr>
          <w:rFonts w:ascii="Aptos" w:hAnsi="Aptos" w:eastAsia="Aptos" w:cs="Aptos"/>
          <w:noProof w:val="0"/>
          <w:sz w:val="24"/>
          <w:szCs w:val="24"/>
          <w:lang w:val="en-GB"/>
        </w:rPr>
        <w:t xml:space="preserve"> to continue to be the most integrated and least expensive processing hub. When consumers and governments value supply security, ESG compliance, and geopolitical diversification enough to pay more for Australian goods, Australia has an equilibrium </w:t>
      </w:r>
      <w:r w:rsidRPr="1EBCF505" w:rsidR="0778FEC4">
        <w:rPr>
          <w:rFonts w:ascii="Aptos" w:hAnsi="Aptos" w:eastAsia="Aptos" w:cs="Aptos"/>
          <w:noProof w:val="0"/>
          <w:sz w:val="24"/>
          <w:szCs w:val="24"/>
          <w:lang w:val="en-GB"/>
        </w:rPr>
        <w:t>advantage.</w:t>
      </w:r>
      <w:r w:rsidRPr="1EBCF505" w:rsidR="0778FEC4">
        <w:rPr>
          <w:rFonts w:ascii="Aptos" w:hAnsi="Aptos" w:eastAsia="Aptos" w:cs="Aptos"/>
          <w:noProof w:val="0"/>
          <w:sz w:val="24"/>
          <w:szCs w:val="24"/>
          <w:lang w:val="en-GB"/>
        </w:rPr>
        <w:t>The</w:t>
      </w:r>
      <w:r w:rsidRPr="1EBCF505" w:rsidR="0778FEC4">
        <w:rPr>
          <w:rFonts w:ascii="Aptos" w:hAnsi="Aptos" w:eastAsia="Aptos" w:cs="Aptos"/>
          <w:noProof w:val="0"/>
          <w:sz w:val="24"/>
          <w:szCs w:val="24"/>
          <w:lang w:val="en-GB"/>
        </w:rPr>
        <w:t xml:space="preserve"> equilibrium condition for lithium is:</w:t>
      </w:r>
    </w:p>
    <w:p w:rsidR="736A8518" w:rsidP="1EBCF505" w:rsidRDefault="736A8518" w14:paraId="58A48D86" w14:textId="3CABFFFD">
      <w:pPr>
        <w:pStyle w:val="Normal"/>
        <w:spacing w:before="240" w:beforeAutospacing="off" w:after="240" w:afterAutospacing="off"/>
        <w:jc w:val="both"/>
      </w:pPr>
      <w:r w:rsidR="736A8518">
        <w:drawing>
          <wp:inline wp14:editId="78ED0286" wp14:anchorId="6DD7939D">
            <wp:extent cx="4086225" cy="2977981"/>
            <wp:effectExtent l="0" t="0" r="0" b="0"/>
            <wp:docPr id="116117343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61173438" name="Picture 1161173438"/>
                    <pic:cNvPicPr/>
                  </pic:nvPicPr>
                  <pic:blipFill>
                    <a:blip xmlns:r="http://schemas.openxmlformats.org/officeDocument/2006/relationships" r:embed="rId785004936">
                      <a:extLst>
                        <a:ext uri="{28A0092B-C50C-407E-A947-70E740481C1C}">
                          <a14:useLocalDpi xmlns:a14="http://schemas.microsoft.com/office/drawing/2010/main"/>
                        </a:ext>
                      </a:extLst>
                    </a:blip>
                    <a:stretch>
                      <a:fillRect/>
                    </a:stretch>
                  </pic:blipFill>
                  <pic:spPr>
                    <a:xfrm rot="0">
                      <a:off x="0" y="0"/>
                      <a:ext cx="4086225" cy="2977981"/>
                    </a:xfrm>
                    <a:prstGeom prst="rect">
                      <a:avLst/>
                    </a:prstGeom>
                  </pic:spPr>
                </pic:pic>
              </a:graphicData>
            </a:graphic>
          </wp:inline>
        </w:drawing>
      </w:r>
    </w:p>
    <w:p w:rsidR="504412C7" w:rsidP="1EBCF505" w:rsidRDefault="504412C7" w14:paraId="4A6688AF" w14:textId="2599E72B">
      <w:pPr>
        <w:pStyle w:val="Normal"/>
        <w:spacing w:before="240" w:beforeAutospacing="off" w:after="240" w:afterAutospacing="off"/>
        <w:jc w:val="left"/>
      </w:pPr>
      <w:r w:rsidR="504412C7">
        <w:rPr/>
        <w:t>Because supply-chain concentration is more severe for rare earths, the strategic premium can be higher. According to the IEA, China continues to dominate the supply of rare earth magnets, which presents Australia with chances for diversification. This helps initiatives like Lynas, Iluka, and Arafura, particularly if manufacturers and partner governments are prepared to sign long-term offtake agreements.</w:t>
      </w:r>
    </w:p>
    <w:p w:rsidR="504412C7" w:rsidP="1EBCF505" w:rsidRDefault="504412C7" w14:paraId="7B3DEEAA" w14:textId="52B3594E">
      <w:pPr>
        <w:pStyle w:val="Normal"/>
        <w:spacing w:before="240" w:beforeAutospacing="off" w:after="240" w:afterAutospacing="off"/>
        <w:jc w:val="both"/>
        <w:rPr>
          <w:rFonts w:ascii="Aptos" w:hAnsi="Aptos" w:eastAsia="Aptos" w:cs="Aptos"/>
          <w:b w:val="1"/>
          <w:bCs w:val="1"/>
          <w:noProof w:val="0"/>
          <w:sz w:val="24"/>
          <w:szCs w:val="24"/>
          <w:lang w:val="en-GB"/>
        </w:rPr>
      </w:pPr>
      <w:r w:rsidRPr="1EBCF505" w:rsidR="504412C7">
        <w:rPr>
          <w:rFonts w:ascii="Aptos" w:hAnsi="Aptos" w:eastAsia="Aptos" w:cs="Aptos"/>
          <w:b w:val="1"/>
          <w:bCs w:val="1"/>
          <w:noProof w:val="0"/>
          <w:sz w:val="24"/>
          <w:szCs w:val="24"/>
          <w:lang w:val="en-GB"/>
        </w:rPr>
        <w:t>4.11 Overall attractiveness of Australia for Tianqi</w:t>
      </w:r>
    </w:p>
    <w:p w:rsidR="613B77BC" w:rsidP="1EBCF505" w:rsidRDefault="613B77BC" w14:paraId="3980EAED" w14:textId="3ADDAB27">
      <w:pPr>
        <w:pStyle w:val="Normal"/>
        <w:spacing w:before="240" w:beforeAutospacing="off" w:after="240" w:afterAutospacing="off"/>
        <w:jc w:val="left"/>
        <w:rPr>
          <w:rFonts w:ascii="Aptos" w:hAnsi="Aptos" w:eastAsia="Aptos" w:cs="Aptos"/>
          <w:b w:val="0"/>
          <w:bCs w:val="0"/>
          <w:noProof w:val="0"/>
          <w:sz w:val="24"/>
          <w:szCs w:val="24"/>
          <w:lang w:val="en-GB"/>
        </w:rPr>
      </w:pPr>
      <w:r w:rsidRPr="1EBCF505" w:rsidR="613B77BC">
        <w:rPr>
          <w:rFonts w:ascii="Aptos" w:hAnsi="Aptos" w:eastAsia="Aptos" w:cs="Aptos"/>
          <w:b w:val="0"/>
          <w:bCs w:val="0"/>
          <w:noProof w:val="0"/>
          <w:sz w:val="24"/>
          <w:szCs w:val="24"/>
          <w:lang w:val="en-GB"/>
        </w:rPr>
        <w:t xml:space="preserve">A number of prerequisites must be met for Australia's lithium hydroxide processing to become more competitive. While decreasing conversion costs through operational learning would </w:t>
      </w:r>
      <w:r w:rsidRPr="1EBCF505" w:rsidR="613B77BC">
        <w:rPr>
          <w:rFonts w:ascii="Aptos" w:hAnsi="Aptos" w:eastAsia="Aptos" w:cs="Aptos"/>
          <w:b w:val="0"/>
          <w:bCs w:val="0"/>
          <w:noProof w:val="0"/>
          <w:sz w:val="24"/>
          <w:szCs w:val="24"/>
          <w:lang w:val="en-GB"/>
        </w:rPr>
        <w:t>assist</w:t>
      </w:r>
      <w:r w:rsidRPr="1EBCF505" w:rsidR="613B77BC">
        <w:rPr>
          <w:rFonts w:ascii="Aptos" w:hAnsi="Aptos" w:eastAsia="Aptos" w:cs="Aptos"/>
          <w:b w:val="0"/>
          <w:bCs w:val="0"/>
          <w:noProof w:val="0"/>
          <w:sz w:val="24"/>
          <w:szCs w:val="24"/>
          <w:lang w:val="en-GB"/>
        </w:rPr>
        <w:t xml:space="preserve"> lessen Australia's high-cost disadvantage, a higher price for lithium hydroxide or a larger conversion margin would increase refinery profitability. Because they lower market risk and offer more consistent revenue, long-term offtake contracts are especially crucial. Customers may be ready to pay a security premium for lithium items supplied from outside China, and government tax subsidies can help overcome the cost gap.</w:t>
      </w:r>
    </w:p>
    <w:p w:rsidR="613B77BC" w:rsidP="1EBCF505" w:rsidRDefault="613B77BC" w14:paraId="793F0373" w14:textId="31F84D16">
      <w:pPr>
        <w:pStyle w:val="Normal"/>
        <w:spacing w:before="240" w:beforeAutospacing="off" w:after="240" w:afterAutospacing="off"/>
        <w:jc w:val="left"/>
        <w:rPr>
          <w:rFonts w:ascii="Aptos" w:hAnsi="Aptos" w:eastAsia="Aptos" w:cs="Aptos"/>
          <w:b w:val="0"/>
          <w:bCs w:val="0"/>
          <w:noProof w:val="0"/>
          <w:sz w:val="24"/>
          <w:szCs w:val="24"/>
          <w:lang w:val="en-GB"/>
        </w:rPr>
      </w:pPr>
      <w:r w:rsidRPr="1EBCF505" w:rsidR="613B77BC">
        <w:rPr>
          <w:rFonts w:ascii="Aptos" w:hAnsi="Aptos" w:eastAsia="Aptos" w:cs="Aptos"/>
          <w:b w:val="0"/>
          <w:bCs w:val="0"/>
          <w:noProof w:val="0"/>
          <w:sz w:val="24"/>
          <w:szCs w:val="24"/>
          <w:lang w:val="en-GB"/>
        </w:rPr>
        <w:t>Because the supply chain is more concentrated for rare earths, the strategic premium might be even higher. Australia has the chance to emerge as a substitute supplier because China continues to dominate the supply of rare earth magnets. This helps Australian projects like Lynas, Iluka, and Arafura, particularly if manufacturers and allied governments offer financial support and long-term offtake agreements.</w:t>
      </w:r>
    </w:p>
    <w:p w:rsidR="1EBCF505" w:rsidP="1EBCF505" w:rsidRDefault="1EBCF505" w14:paraId="3BC91CCB" w14:textId="552778C5">
      <w:pPr>
        <w:pStyle w:val="Normal"/>
        <w:spacing w:before="240" w:beforeAutospacing="off" w:after="240" w:afterAutospacing="off"/>
        <w:jc w:val="both"/>
        <w:rPr>
          <w:rFonts w:ascii="Aptos" w:hAnsi="Aptos" w:eastAsia="Aptos" w:cs="Aptos"/>
          <w:b w:val="1"/>
          <w:bCs w:val="1"/>
          <w:noProof w:val="0"/>
          <w:sz w:val="24"/>
          <w:szCs w:val="24"/>
          <w:lang w:val="en-GB"/>
        </w:rPr>
      </w:pPr>
    </w:p>
    <w:p w:rsidR="1EBCF505" w:rsidP="1EBCF505" w:rsidRDefault="1EBCF505" w14:paraId="517E45B4" w14:textId="2AED1A37">
      <w:pPr>
        <w:pStyle w:val="Normal"/>
        <w:spacing w:before="240" w:beforeAutospacing="off" w:after="240" w:afterAutospacing="off"/>
        <w:jc w:val="left"/>
      </w:pPr>
    </w:p>
    <w:p w:rsidR="1EBCF505" w:rsidP="1EBCF505" w:rsidRDefault="1EBCF505" w14:paraId="1B145E72" w14:textId="309AA789">
      <w:pPr>
        <w:pStyle w:val="Normal"/>
        <w:spacing w:before="240" w:beforeAutospacing="off" w:after="240" w:afterAutospacing="off"/>
        <w:jc w:val="left"/>
      </w:pPr>
    </w:p>
    <w:p w:rsidR="1EBCF505" w:rsidP="1EBCF505" w:rsidRDefault="1EBCF505" w14:paraId="0F4D4556" w14:textId="7BA44773">
      <w:pPr>
        <w:pStyle w:val="Normal"/>
        <w:spacing w:before="240" w:beforeAutospacing="off" w:after="240" w:afterAutospacing="off"/>
        <w:jc w:val="left"/>
      </w:pPr>
    </w:p>
    <w:p w:rsidR="1EBCF505" w:rsidP="1EBCF505" w:rsidRDefault="1EBCF505" w14:paraId="7380CF32" w14:textId="60CD784F">
      <w:pPr>
        <w:pStyle w:val="Normal"/>
        <w:spacing w:before="240" w:beforeAutospacing="off" w:after="240" w:afterAutospacing="off"/>
        <w:jc w:val="left"/>
      </w:pPr>
    </w:p>
    <w:p w:rsidR="1EBCF505" w:rsidP="1EBCF505" w:rsidRDefault="1EBCF505" w14:paraId="59848C45" w14:textId="6B5F3754">
      <w:pPr>
        <w:pStyle w:val="Normal"/>
        <w:spacing w:before="240" w:beforeAutospacing="off" w:after="240" w:afterAutospacing="off"/>
        <w:jc w:val="left"/>
      </w:pPr>
    </w:p>
    <w:p w:rsidR="1EBCF505" w:rsidP="1EBCF505" w:rsidRDefault="1EBCF505" w14:paraId="4A240421" w14:textId="5EDE712F">
      <w:pPr>
        <w:pStyle w:val="Normal"/>
        <w:spacing w:before="240" w:beforeAutospacing="off" w:after="240" w:afterAutospacing="off"/>
        <w:jc w:val="left"/>
      </w:pPr>
    </w:p>
    <w:p w:rsidR="1EBCF505" w:rsidP="1EBCF505" w:rsidRDefault="1EBCF505" w14:paraId="2D6DA77F" w14:textId="5BC65D40">
      <w:pPr>
        <w:pStyle w:val="Normal"/>
        <w:spacing w:before="240" w:beforeAutospacing="off" w:after="240" w:afterAutospacing="off"/>
        <w:jc w:val="left"/>
      </w:pPr>
    </w:p>
    <w:p w:rsidR="1EBCF505" w:rsidP="1EBCF505" w:rsidRDefault="1EBCF505" w14:paraId="0B1C7771" w14:textId="31CCB057">
      <w:pPr>
        <w:pStyle w:val="Normal"/>
        <w:spacing w:before="240" w:beforeAutospacing="off" w:after="240" w:afterAutospacing="off"/>
        <w:jc w:val="left"/>
      </w:pPr>
    </w:p>
    <w:p w:rsidR="1EBCF505" w:rsidP="1EBCF505" w:rsidRDefault="1EBCF505" w14:paraId="312C910F" w14:textId="1BFBC7D9">
      <w:pPr>
        <w:pStyle w:val="Normal"/>
        <w:spacing w:before="240" w:beforeAutospacing="off" w:after="240" w:afterAutospacing="off"/>
        <w:jc w:val="left"/>
      </w:pPr>
    </w:p>
    <w:p w:rsidR="1EBCF505" w:rsidP="1EBCF505" w:rsidRDefault="1EBCF505" w14:paraId="310A4117" w14:textId="04B90BDE">
      <w:pPr>
        <w:pStyle w:val="Normal"/>
        <w:spacing w:before="240" w:beforeAutospacing="off" w:after="240" w:afterAutospacing="off"/>
        <w:jc w:val="left"/>
      </w:pPr>
    </w:p>
    <w:p w:rsidR="1EBCF505" w:rsidP="1EBCF505" w:rsidRDefault="1EBCF505" w14:paraId="604F097A" w14:textId="1E3EB6DE">
      <w:pPr>
        <w:pStyle w:val="Normal"/>
        <w:jc w:val="left"/>
        <w:rPr>
          <w:rFonts w:ascii="Aptos" w:hAnsi="Aptos" w:eastAsia="Aptos" w:cs="Aptos"/>
          <w:noProof w:val="0"/>
          <w:sz w:val="24"/>
          <w:szCs w:val="24"/>
          <w:lang w:val="en-GB"/>
        </w:rPr>
      </w:pPr>
    </w:p>
    <w:p w:rsidR="1EBCF505" w:rsidP="1EBCF505" w:rsidRDefault="1EBCF505" w14:paraId="292F3CE9" w14:textId="1228F04A">
      <w:pPr>
        <w:pStyle w:val="Normal"/>
        <w:jc w:val="left"/>
        <w:rPr>
          <w:rFonts w:ascii="Aptos" w:hAnsi="Aptos" w:eastAsia="Aptos" w:cs="Aptos"/>
          <w:noProof w:val="0"/>
          <w:sz w:val="24"/>
          <w:szCs w:val="24"/>
          <w:lang w:val="en-GB"/>
        </w:rPr>
      </w:pPr>
    </w:p>
    <w:p w:rsidR="1EBCF505" w:rsidP="1EBCF505" w:rsidRDefault="1EBCF505" w14:paraId="7AECDB04" w14:textId="386E845E">
      <w:pPr>
        <w:pStyle w:val="Normal"/>
        <w:jc w:val="left"/>
        <w:rPr>
          <w:rFonts w:ascii="Aptos" w:hAnsi="Aptos" w:eastAsia="Aptos" w:cs="Aptos"/>
          <w:noProof w:val="0"/>
          <w:sz w:val="24"/>
          <w:szCs w:val="24"/>
          <w:lang w:val="en-GB"/>
        </w:rPr>
      </w:pPr>
    </w:p>
    <w:p w:rsidR="1EBCF505" w:rsidP="1EBCF505" w:rsidRDefault="1EBCF505" w14:paraId="55B9CBD3" w14:textId="31F04B10">
      <w:pPr>
        <w:pStyle w:val="Normal"/>
        <w:jc w:val="left"/>
        <w:rPr>
          <w:rFonts w:ascii="Aptos" w:hAnsi="Aptos" w:eastAsia="Aptos" w:cs="Aptos"/>
          <w:noProof w:val="0"/>
          <w:sz w:val="24"/>
          <w:szCs w:val="24"/>
          <w:lang w:val="en-GB"/>
        </w:rPr>
      </w:pPr>
    </w:p>
    <w:p w:rsidR="1EBCF505" w:rsidP="1EBCF505" w:rsidRDefault="1EBCF505" w14:paraId="52A19A3A" w14:textId="2E1A1060">
      <w:pPr>
        <w:pStyle w:val="Normal"/>
        <w:jc w:val="left"/>
        <w:rPr>
          <w:rFonts w:ascii="Aptos" w:hAnsi="Aptos" w:eastAsia="Aptos" w:cs="Aptos"/>
          <w:noProof w:val="0"/>
          <w:sz w:val="24"/>
          <w:szCs w:val="24"/>
          <w:lang w:val="en-GB"/>
        </w:rPr>
      </w:pPr>
    </w:p>
    <w:p w:rsidR="1EBCF505" w:rsidP="1EBCF505" w:rsidRDefault="1EBCF505" w14:paraId="4514E730" w14:textId="63F3AD4C">
      <w:pPr>
        <w:pStyle w:val="Normal"/>
        <w:jc w:val="left"/>
        <w:rPr>
          <w:rFonts w:ascii="Aptos" w:hAnsi="Aptos" w:eastAsia="Aptos" w:cs="Aptos"/>
          <w:noProof w:val="0"/>
          <w:sz w:val="24"/>
          <w:szCs w:val="24"/>
          <w:lang w:val="en-GB"/>
        </w:rPr>
      </w:pPr>
    </w:p>
    <w:p w:rsidR="1EBCF505" w:rsidP="1EBCF505" w:rsidRDefault="1EBCF505" w14:paraId="6121F484" w14:textId="50C4FB92">
      <w:pPr>
        <w:pStyle w:val="Normal"/>
        <w:jc w:val="left"/>
        <w:rPr>
          <w:rFonts w:ascii="Aptos" w:hAnsi="Aptos" w:eastAsia="Aptos" w:cs="Aptos"/>
          <w:noProof w:val="0"/>
          <w:sz w:val="24"/>
          <w:szCs w:val="24"/>
          <w:lang w:val="en-GB"/>
        </w:rPr>
      </w:pPr>
    </w:p>
    <w:p w:rsidR="1EBCF505" w:rsidP="1EBCF505" w:rsidRDefault="1EBCF505" w14:paraId="28ECACF9" w14:textId="14E63CFC">
      <w:pPr>
        <w:pStyle w:val="Normal"/>
        <w:jc w:val="left"/>
        <w:rPr>
          <w:rFonts w:ascii="Aptos" w:hAnsi="Aptos" w:eastAsia="Aptos" w:cs="Aptos"/>
          <w:noProof w:val="0"/>
          <w:sz w:val="24"/>
          <w:szCs w:val="24"/>
          <w:lang w:val="en-GB"/>
        </w:rPr>
      </w:pPr>
    </w:p>
    <w:p w:rsidR="10F57D2E" w:rsidP="1EBCF505" w:rsidRDefault="10F57D2E" w14:paraId="3A6CF99D" w14:textId="06C6C9F0">
      <w:pPr>
        <w:pStyle w:val="Normal"/>
        <w:jc w:val="left"/>
        <w:rPr>
          <w:rFonts w:ascii="Aptos" w:hAnsi="Aptos" w:eastAsia="Aptos" w:cs="Aptos"/>
          <w:b w:val="1"/>
          <w:bCs w:val="1"/>
          <w:noProof w:val="0"/>
          <w:sz w:val="32"/>
          <w:szCs w:val="32"/>
          <w:lang w:val="en-GB"/>
        </w:rPr>
      </w:pPr>
      <w:r w:rsidRPr="1EBCF505" w:rsidR="10F57D2E">
        <w:rPr>
          <w:rFonts w:ascii="Aptos" w:hAnsi="Aptos" w:eastAsia="Aptos" w:cs="Aptos"/>
          <w:b w:val="1"/>
          <w:bCs w:val="1"/>
          <w:noProof w:val="0"/>
          <w:sz w:val="32"/>
          <w:szCs w:val="32"/>
          <w:lang w:val="en-GB"/>
        </w:rPr>
        <w:t>5. Conclusion</w:t>
      </w:r>
    </w:p>
    <w:p w:rsidR="1EBCF505" w:rsidP="1EBCF505" w:rsidRDefault="1EBCF505" w14:paraId="5D28A461" w14:textId="7E27B9FB">
      <w:pPr>
        <w:pStyle w:val="Normal"/>
        <w:jc w:val="left"/>
        <w:rPr>
          <w:rFonts w:ascii="Aptos" w:hAnsi="Aptos" w:eastAsia="Aptos" w:cs="Aptos"/>
          <w:noProof w:val="0"/>
          <w:sz w:val="24"/>
          <w:szCs w:val="24"/>
          <w:lang w:val="en-GB"/>
        </w:rPr>
      </w:pPr>
    </w:p>
    <w:p w:rsidR="380E889F" w:rsidP="1EBCF505" w:rsidRDefault="380E889F" w14:paraId="4E068E0C" w14:textId="7A1F8900">
      <w:pPr>
        <w:pStyle w:val="Normal"/>
        <w:spacing w:before="240" w:beforeAutospacing="off" w:after="240" w:afterAutospacing="off"/>
        <w:jc w:val="both"/>
        <w:rPr>
          <w:rFonts w:ascii="Aptos" w:hAnsi="Aptos" w:eastAsia="Aptos" w:cs="Aptos"/>
          <w:b w:val="0"/>
          <w:bCs w:val="0"/>
          <w:noProof w:val="0"/>
          <w:sz w:val="24"/>
          <w:szCs w:val="24"/>
          <w:lang w:val="en-GB"/>
        </w:rPr>
      </w:pPr>
      <w:r w:rsidRPr="1EBCF505" w:rsidR="380E889F">
        <w:rPr>
          <w:rFonts w:ascii="Aptos" w:hAnsi="Aptos" w:eastAsia="Aptos" w:cs="Aptos"/>
          <w:b w:val="0"/>
          <w:bCs w:val="0"/>
          <w:noProof w:val="0"/>
          <w:sz w:val="24"/>
          <w:szCs w:val="24"/>
          <w:lang w:val="en-GB"/>
        </w:rPr>
        <w:t xml:space="preserve">Australia has a significant but incomplete competitive edge in critical minerals processing. Its strongest advantage lies in </w:t>
      </w:r>
      <w:r w:rsidRPr="1EBCF505" w:rsidR="380E889F">
        <w:rPr>
          <w:rFonts w:ascii="Aptos" w:hAnsi="Aptos" w:eastAsia="Aptos" w:cs="Aptos"/>
          <w:b w:val="0"/>
          <w:bCs w:val="0"/>
          <w:noProof w:val="0"/>
          <w:sz w:val="24"/>
          <w:szCs w:val="24"/>
          <w:lang w:val="en-GB"/>
        </w:rPr>
        <w:t>factor conditions</w:t>
      </w:r>
      <w:r w:rsidRPr="1EBCF505" w:rsidR="380E889F">
        <w:rPr>
          <w:rFonts w:ascii="Aptos" w:hAnsi="Aptos" w:eastAsia="Aptos" w:cs="Aptos"/>
          <w:b w:val="0"/>
          <w:bCs w:val="0"/>
          <w:noProof w:val="0"/>
          <w:sz w:val="24"/>
          <w:szCs w:val="24"/>
          <w:lang w:val="en-GB"/>
        </w:rPr>
        <w:t xml:space="preserve">: world-class lithium and rare earth resources, advanced mining capability, political stability, and established export infrastructure. The sector is economically important, with mining exports excluding petroleum worth </w:t>
      </w:r>
      <w:r w:rsidRPr="1EBCF505" w:rsidR="380E889F">
        <w:rPr>
          <w:rFonts w:ascii="Aptos" w:hAnsi="Aptos" w:eastAsia="Aptos" w:cs="Aptos"/>
          <w:b w:val="0"/>
          <w:bCs w:val="0"/>
          <w:noProof w:val="0"/>
          <w:sz w:val="24"/>
          <w:szCs w:val="24"/>
          <w:lang w:val="en-GB"/>
        </w:rPr>
        <w:t>A$343 billion in 2023</w:t>
      </w:r>
      <w:r w:rsidRPr="1EBCF505" w:rsidR="380E889F">
        <w:rPr>
          <w:rFonts w:ascii="Aptos" w:hAnsi="Aptos" w:eastAsia="Aptos" w:cs="Aptos"/>
          <w:b w:val="0"/>
          <w:bCs w:val="0"/>
          <w:noProof w:val="0"/>
          <w:sz w:val="24"/>
          <w:szCs w:val="24"/>
          <w:lang w:val="en-GB"/>
        </w:rPr>
        <w:t xml:space="preserve">, mining contributing around </w:t>
      </w:r>
      <w:r w:rsidRPr="1EBCF505" w:rsidR="380E889F">
        <w:rPr>
          <w:rFonts w:ascii="Aptos" w:hAnsi="Aptos" w:eastAsia="Aptos" w:cs="Aptos"/>
          <w:b w:val="0"/>
          <w:bCs w:val="0"/>
          <w:noProof w:val="0"/>
          <w:sz w:val="24"/>
          <w:szCs w:val="24"/>
          <w:lang w:val="en-GB"/>
        </w:rPr>
        <w:t>13% of GDP</w:t>
      </w:r>
      <w:r w:rsidRPr="1EBCF505" w:rsidR="380E889F">
        <w:rPr>
          <w:rFonts w:ascii="Aptos" w:hAnsi="Aptos" w:eastAsia="Aptos" w:cs="Aptos"/>
          <w:b w:val="0"/>
          <w:bCs w:val="0"/>
          <w:noProof w:val="0"/>
          <w:sz w:val="24"/>
          <w:szCs w:val="24"/>
          <w:lang w:val="en-GB"/>
        </w:rPr>
        <w:t>, and critical minerals projects forming a growing investment pipeline (Geoscience Australia 2025).</w:t>
      </w:r>
    </w:p>
    <w:p w:rsidR="380E889F" w:rsidP="1EBCF505" w:rsidRDefault="380E889F" w14:paraId="1D92C7C4" w14:textId="1E0C7981">
      <w:pPr>
        <w:pStyle w:val="Normal"/>
        <w:spacing w:before="240" w:beforeAutospacing="off" w:after="240" w:afterAutospacing="off"/>
        <w:jc w:val="both"/>
        <w:rPr>
          <w:rFonts w:ascii="Aptos" w:hAnsi="Aptos" w:eastAsia="Aptos" w:cs="Aptos"/>
          <w:b w:val="0"/>
          <w:bCs w:val="0"/>
          <w:noProof w:val="0"/>
          <w:sz w:val="24"/>
          <w:szCs w:val="24"/>
          <w:lang w:val="en-GB"/>
        </w:rPr>
      </w:pPr>
      <w:r w:rsidRPr="1EBCF505" w:rsidR="380E889F">
        <w:rPr>
          <w:rFonts w:ascii="Aptos" w:hAnsi="Aptos" w:eastAsia="Aptos" w:cs="Aptos"/>
          <w:b w:val="0"/>
          <w:bCs w:val="0"/>
          <w:noProof w:val="0"/>
          <w:sz w:val="24"/>
          <w:szCs w:val="24"/>
          <w:lang w:val="en-GB"/>
        </w:rPr>
        <w:t xml:space="preserve">However, Porter’s Diamond shows that Australia’s downstream processing advantage is still developing. The country has strong resources and government support, but weaker domestic demand, limited battery and magnet manufacturing ecosystems, high operating costs, and technical ramp-up challenges. Tianqi’s Kwinana refinery reflects this tension. It has strategic value because it shifts Australia from spodumene export toward battery-grade lithium hydroxide, but production </w:t>
      </w:r>
      <w:r w:rsidRPr="1EBCF505" w:rsidR="380E889F">
        <w:rPr>
          <w:rFonts w:ascii="Aptos" w:hAnsi="Aptos" w:eastAsia="Aptos" w:cs="Aptos"/>
          <w:b w:val="0"/>
          <w:bCs w:val="0"/>
          <w:noProof w:val="0"/>
          <w:sz w:val="24"/>
          <w:szCs w:val="24"/>
          <w:lang w:val="en-GB"/>
        </w:rPr>
        <w:t>remains</w:t>
      </w:r>
      <w:r w:rsidRPr="1EBCF505" w:rsidR="380E889F">
        <w:rPr>
          <w:rFonts w:ascii="Aptos" w:hAnsi="Aptos" w:eastAsia="Aptos" w:cs="Aptos"/>
          <w:b w:val="0"/>
          <w:bCs w:val="0"/>
          <w:noProof w:val="0"/>
          <w:sz w:val="24"/>
          <w:szCs w:val="24"/>
          <w:lang w:val="en-GB"/>
        </w:rPr>
        <w:t xml:space="preserve"> below nameplate capacity and conversion costs are still significant (IGO Limited 2025).</w:t>
      </w:r>
    </w:p>
    <w:p w:rsidR="380E889F" w:rsidP="1EBCF505" w:rsidRDefault="380E889F" w14:paraId="468DA205" w14:textId="22DFA327">
      <w:pPr>
        <w:spacing w:before="240" w:beforeAutospacing="off" w:after="240" w:afterAutospacing="off"/>
        <w:jc w:val="both"/>
        <w:rPr>
          <w:rFonts w:ascii="Aptos" w:hAnsi="Aptos" w:eastAsia="Aptos" w:cs="Aptos"/>
          <w:b w:val="0"/>
          <w:bCs w:val="0"/>
          <w:noProof w:val="0"/>
          <w:sz w:val="24"/>
          <w:szCs w:val="24"/>
          <w:lang w:val="en-GB"/>
        </w:rPr>
      </w:pPr>
      <w:r w:rsidRPr="1EBCF505" w:rsidR="380E889F">
        <w:rPr>
          <w:rFonts w:ascii="Aptos" w:hAnsi="Aptos" w:eastAsia="Aptos" w:cs="Aptos"/>
          <w:b w:val="0"/>
          <w:bCs w:val="0"/>
          <w:noProof w:val="0"/>
          <w:sz w:val="24"/>
          <w:szCs w:val="24"/>
          <w:lang w:val="en-GB"/>
        </w:rPr>
        <w:t>The Hofstede analysis also shows that Tianqi’s success depends on managing differences in hierarchy, communication, decision-making, and time horizon. Forward-market strategy is important because lithium price volatility can quickly weaken refinery economics.</w:t>
      </w:r>
    </w:p>
    <w:p w:rsidR="380E889F" w:rsidP="1EBCF505" w:rsidRDefault="380E889F" w14:paraId="3EA82F28" w14:textId="5BACDCB4">
      <w:pPr>
        <w:spacing w:before="240" w:beforeAutospacing="off" w:after="240" w:afterAutospacing="off"/>
        <w:jc w:val="both"/>
        <w:rPr>
          <w:rFonts w:ascii="Aptos" w:hAnsi="Aptos" w:eastAsia="Aptos" w:cs="Aptos"/>
          <w:b w:val="0"/>
          <w:bCs w:val="0"/>
          <w:noProof w:val="0"/>
          <w:sz w:val="24"/>
          <w:szCs w:val="24"/>
          <w:lang w:val="en-GB"/>
        </w:rPr>
      </w:pPr>
      <w:r w:rsidRPr="1EBCF505" w:rsidR="380E889F">
        <w:rPr>
          <w:rFonts w:ascii="Aptos" w:hAnsi="Aptos" w:eastAsia="Aptos" w:cs="Aptos"/>
          <w:b w:val="0"/>
          <w:bCs w:val="0"/>
          <w:noProof w:val="0"/>
          <w:sz w:val="24"/>
          <w:szCs w:val="24"/>
          <w:lang w:val="en-GB"/>
        </w:rPr>
        <w:t>Overall, Australia is highly competitive in critical minerals extraction and increasingly competitive in selected processing niches. Its future advantage will depend on shifting from a resource-driven mining model to an innovation-driven processing model supported by scale, technology, offtake contracts, ESG credibility, and allied supply-chain demand.</w:t>
      </w:r>
    </w:p>
    <w:p w:rsidR="1EBCF505" w:rsidP="1EBCF505" w:rsidRDefault="1EBCF505" w14:paraId="51F269C8" w14:textId="0AD39567">
      <w:pPr>
        <w:pStyle w:val="Normal"/>
        <w:jc w:val="left"/>
        <w:rPr>
          <w:rFonts w:ascii="Aptos" w:hAnsi="Aptos" w:eastAsia="Aptos" w:cs="Aptos"/>
          <w:noProof w:val="0"/>
          <w:sz w:val="24"/>
          <w:szCs w:val="24"/>
          <w:lang w:val="en-GB"/>
        </w:rPr>
      </w:pPr>
    </w:p>
    <w:p w:rsidR="1EBCF505" w:rsidP="1EBCF505" w:rsidRDefault="1EBCF505" w14:paraId="6289D762" w14:textId="3BC94DBA">
      <w:pPr>
        <w:pStyle w:val="Normal"/>
        <w:jc w:val="both"/>
        <w:rPr>
          <w:rFonts w:ascii="Aptos" w:hAnsi="Aptos" w:eastAsia="Aptos" w:cs="Aptos"/>
          <w:noProof w:val="0"/>
          <w:sz w:val="24"/>
          <w:szCs w:val="24"/>
          <w:lang w:val="en-GB"/>
        </w:rPr>
      </w:pPr>
    </w:p>
    <w:p w:rsidR="6C9A2BB4" w:rsidP="272F73A6" w:rsidRDefault="6C9A2BB4" w14:paraId="6E139E50" w14:textId="08B545A8">
      <w:pPr>
        <w:pStyle w:val="Normal"/>
        <w:spacing w:before="240" w:beforeAutospacing="off" w:after="240" w:afterAutospacing="off"/>
        <w:rPr>
          <w:rFonts w:ascii="Aptos" w:hAnsi="Aptos" w:eastAsia="Aptos" w:cs="Aptos"/>
          <w:b w:val="1"/>
          <w:bCs w:val="1"/>
          <w:noProof w:val="0"/>
          <w:sz w:val="24"/>
          <w:szCs w:val="24"/>
          <w:lang w:val="en-GB"/>
        </w:rPr>
      </w:pPr>
    </w:p>
    <w:p w:rsidR="6C9A2BB4" w:rsidP="272F73A6" w:rsidRDefault="6C9A2BB4" w14:paraId="60F6735F" w14:textId="64D67180">
      <w:pPr>
        <w:pStyle w:val="Normal"/>
        <w:spacing w:before="240" w:beforeAutospacing="off" w:after="240" w:afterAutospacing="off"/>
        <w:rPr>
          <w:rFonts w:ascii="Aptos" w:hAnsi="Aptos" w:eastAsia="Aptos" w:cs="Aptos"/>
          <w:b w:val="1"/>
          <w:bCs w:val="1"/>
          <w:noProof w:val="0"/>
          <w:sz w:val="24"/>
          <w:szCs w:val="24"/>
          <w:lang w:val="en-GB"/>
        </w:rPr>
      </w:pPr>
    </w:p>
    <w:p w:rsidR="7E164910" w:rsidP="7E164910" w:rsidRDefault="7E164910" w14:paraId="099F98CA" w14:textId="6BD1DFDC">
      <w:pPr>
        <w:pStyle w:val="Normal"/>
        <w:spacing w:before="240" w:beforeAutospacing="off" w:after="240" w:afterAutospacing="off"/>
        <w:rPr>
          <w:rFonts w:ascii="Aptos" w:hAnsi="Aptos" w:eastAsia="Aptos" w:cs="Aptos"/>
          <w:b w:val="1"/>
          <w:bCs w:val="1"/>
          <w:noProof w:val="0"/>
          <w:sz w:val="24"/>
          <w:szCs w:val="24"/>
          <w:lang w:val="en-GB"/>
        </w:rPr>
      </w:pPr>
    </w:p>
    <w:p w:rsidR="24D733EA" w:rsidP="24D733EA" w:rsidRDefault="24D733EA" w14:paraId="5FE57ACC" w14:textId="0657A7F1">
      <w:pPr>
        <w:pStyle w:val="Normal"/>
        <w:spacing w:before="240" w:beforeAutospacing="off" w:after="240" w:afterAutospacing="off"/>
        <w:ind w:left="0"/>
        <w:rPr>
          <w:rFonts w:ascii="Aptos" w:hAnsi="Aptos" w:eastAsia="Aptos" w:cs="Aptos"/>
          <w:noProof w:val="0"/>
          <w:sz w:val="24"/>
          <w:szCs w:val="24"/>
          <w:lang w:val="en-GB"/>
        </w:rPr>
      </w:pPr>
    </w:p>
    <w:p w:rsidR="24D733EA" w:rsidP="24D733EA" w:rsidRDefault="24D733EA" w14:paraId="3821A75D" w14:textId="7B2C8EB0">
      <w:pPr>
        <w:pStyle w:val="Normal"/>
        <w:spacing w:before="240" w:beforeAutospacing="off" w:after="240" w:afterAutospacing="off"/>
        <w:rPr>
          <w:rFonts w:ascii="Aptos" w:hAnsi="Aptos" w:eastAsia="Aptos" w:cs="Aptos"/>
          <w:noProof w:val="0"/>
          <w:sz w:val="24"/>
          <w:szCs w:val="24"/>
          <w:lang w:val="en-GB"/>
        </w:rPr>
      </w:pPr>
    </w:p>
    <w:p w:rsidR="6C9A2BB4" w:rsidP="49E66D2A" w:rsidRDefault="6C9A2BB4" w14:paraId="7FFA6ABE" w14:textId="25CE71A3">
      <w:pPr>
        <w:spacing w:before="240" w:beforeAutospacing="off" w:after="240" w:afterAutospacing="off"/>
        <w:rPr>
          <w:rFonts w:ascii="Aptos" w:hAnsi="Aptos" w:eastAsia="Aptos" w:cs="Aptos"/>
          <w:noProof w:val="0"/>
          <w:sz w:val="24"/>
          <w:szCs w:val="24"/>
          <w:lang w:val="en-GB"/>
        </w:rPr>
      </w:pPr>
    </w:p>
    <w:p w:rsidR="6C9A2BB4" w:rsidP="49E66D2A" w:rsidRDefault="6C9A2BB4" w14:paraId="259E64B8" w14:textId="168CA769">
      <w:pPr>
        <w:spacing w:before="240" w:beforeAutospacing="off" w:after="240" w:afterAutospacing="off"/>
        <w:rPr>
          <w:rFonts w:ascii="Aptos" w:hAnsi="Aptos" w:eastAsia="Aptos" w:cs="Aptos"/>
          <w:noProof w:val="0"/>
          <w:sz w:val="24"/>
          <w:szCs w:val="24"/>
          <w:lang w:val="en-GB"/>
        </w:rPr>
      </w:pPr>
    </w:p>
    <w:p w:rsidR="6C9A2BB4" w:rsidP="49E66D2A" w:rsidRDefault="6C9A2BB4" w14:paraId="054F45F7" w14:textId="64B75BB2">
      <w:pPr>
        <w:spacing w:before="240" w:beforeAutospacing="off" w:after="240" w:afterAutospacing="off"/>
        <w:rPr>
          <w:rFonts w:ascii="Aptos" w:hAnsi="Aptos" w:eastAsia="Aptos" w:cs="Aptos"/>
          <w:noProof w:val="0"/>
          <w:sz w:val="24"/>
          <w:szCs w:val="24"/>
          <w:lang w:val="en-GB"/>
        </w:rPr>
      </w:pPr>
    </w:p>
    <w:p w:rsidR="6C9A2BB4" w:rsidP="4DF95668" w:rsidRDefault="6C9A2BB4" w14:paraId="7E19E795" w14:textId="3D88B18D">
      <w:pPr>
        <w:pStyle w:val="Normal"/>
        <w:spacing w:before="240" w:beforeAutospacing="off" w:after="240" w:afterAutospacing="off"/>
        <w:rPr>
          <w:rFonts w:ascii="Aptos" w:hAnsi="Aptos" w:eastAsia="Aptos" w:cs="Aptos"/>
          <w:b w:val="1"/>
          <w:bCs w:val="1"/>
          <w:noProof w:val="0"/>
          <w:sz w:val="32"/>
          <w:szCs w:val="32"/>
          <w:lang w:val="en-GB"/>
        </w:rPr>
      </w:pPr>
      <w:r w:rsidRPr="4DF95668" w:rsidR="29679A0B">
        <w:rPr>
          <w:rFonts w:ascii="Aptos" w:hAnsi="Aptos" w:eastAsia="Aptos" w:cs="Aptos"/>
          <w:b w:val="1"/>
          <w:bCs w:val="1"/>
          <w:noProof w:val="0"/>
          <w:sz w:val="32"/>
          <w:szCs w:val="32"/>
          <w:lang w:val="en-GB"/>
        </w:rPr>
        <w:t xml:space="preserve"> SECTION </w:t>
      </w:r>
      <w:r w:rsidRPr="4DF95668" w:rsidR="29679A0B">
        <w:rPr>
          <w:rFonts w:ascii="Aptos" w:hAnsi="Aptos" w:eastAsia="Aptos" w:cs="Aptos"/>
          <w:b w:val="1"/>
          <w:bCs w:val="1"/>
          <w:noProof w:val="0"/>
          <w:sz w:val="32"/>
          <w:szCs w:val="32"/>
          <w:lang w:val="en-GB"/>
        </w:rPr>
        <w:t xml:space="preserve">2 </w:t>
      </w:r>
      <w:r w:rsidRPr="4DF95668" w:rsidR="1CA11FD0">
        <w:rPr>
          <w:rFonts w:ascii="Aptos" w:hAnsi="Aptos" w:eastAsia="Aptos" w:cs="Aptos"/>
          <w:b w:val="1"/>
          <w:bCs w:val="1"/>
          <w:noProof w:val="0"/>
          <w:sz w:val="32"/>
          <w:szCs w:val="32"/>
          <w:lang w:val="en-GB"/>
        </w:rPr>
        <w:t>:</w:t>
      </w:r>
      <w:r w:rsidRPr="4DF95668" w:rsidR="1CA11FD0">
        <w:rPr>
          <w:rFonts w:ascii="Aptos" w:hAnsi="Aptos" w:eastAsia="Aptos" w:cs="Aptos"/>
          <w:b w:val="1"/>
          <w:bCs w:val="1"/>
          <w:noProof w:val="0"/>
          <w:sz w:val="32"/>
          <w:szCs w:val="32"/>
          <w:lang w:val="en-GB"/>
        </w:rPr>
        <w:t xml:space="preserve"> </w:t>
      </w:r>
      <w:r w:rsidRPr="4DF95668" w:rsidR="464A12B3">
        <w:rPr>
          <w:rFonts w:ascii="Aptos" w:hAnsi="Aptos" w:eastAsia="Aptos" w:cs="Aptos"/>
          <w:b w:val="1"/>
          <w:bCs w:val="1"/>
          <w:noProof w:val="0"/>
          <w:sz w:val="32"/>
          <w:szCs w:val="32"/>
          <w:lang w:val="en-GB"/>
        </w:rPr>
        <w:t>Reflective Account Using Gibbs’ Reflective Cycle: Researching, Analysing, and Preparing the Assessment Section</w:t>
      </w:r>
    </w:p>
    <w:p w:rsidR="0EF96DB8" w:rsidP="4DF95668" w:rsidRDefault="0EF96DB8" w14:paraId="4F6D9B10" w14:textId="29E1E511">
      <w:pPr>
        <w:pStyle w:val="Normal"/>
        <w:spacing w:before="240" w:beforeAutospacing="off" w:after="240" w:afterAutospacing="off"/>
        <w:jc w:val="both"/>
        <w:rPr>
          <w:rFonts w:ascii="Aptos" w:hAnsi="Aptos" w:eastAsia="Aptos" w:cs="Aptos"/>
          <w:b w:val="0"/>
          <w:bCs w:val="0"/>
          <w:noProof w:val="0"/>
          <w:sz w:val="24"/>
          <w:szCs w:val="24"/>
          <w:lang w:val="en-GB"/>
        </w:rPr>
      </w:pPr>
      <w:r w:rsidRPr="4DF95668" w:rsidR="0EF96DB8">
        <w:rPr>
          <w:rFonts w:ascii="Aptos" w:hAnsi="Aptos" w:eastAsia="Aptos" w:cs="Aptos"/>
          <w:b w:val="0"/>
          <w:bCs w:val="0"/>
          <w:noProof w:val="0"/>
          <w:sz w:val="24"/>
          <w:szCs w:val="24"/>
          <w:lang w:val="en-GB"/>
        </w:rPr>
        <w:t xml:space="preserve">A methodical framework for thinking back on experiences and drawing lessons from them is Gibbs' Reflective Cycle. Education, nursing, business, and professional development all make extensive use of it. </w:t>
      </w:r>
    </w:p>
    <w:p w:rsidR="0EF96DB8" w:rsidP="4DF95668" w:rsidRDefault="0EF96DB8" w14:paraId="23EAA8C4" w14:textId="329F2AFD">
      <w:pPr>
        <w:pStyle w:val="Normal"/>
        <w:spacing w:before="240" w:beforeAutospacing="off" w:after="240" w:afterAutospacing="off"/>
        <w:jc w:val="both"/>
      </w:pPr>
      <w:r w:rsidRPr="4DF95668" w:rsidR="0EF96DB8">
        <w:rPr>
          <w:rFonts w:ascii="Aptos" w:hAnsi="Aptos" w:eastAsia="Aptos" w:cs="Aptos"/>
          <w:b w:val="0"/>
          <w:bCs w:val="0"/>
          <w:noProof w:val="0"/>
          <w:sz w:val="24"/>
          <w:szCs w:val="24"/>
          <w:lang w:val="en-GB"/>
        </w:rPr>
        <w:t xml:space="preserve"> The model has six stages: description, feelings, evaluation, analysis, conclusion, and action plan. These phases </w:t>
      </w:r>
      <w:r w:rsidRPr="4DF95668" w:rsidR="0EF96DB8">
        <w:rPr>
          <w:rFonts w:ascii="Aptos" w:hAnsi="Aptos" w:eastAsia="Aptos" w:cs="Aptos"/>
          <w:b w:val="0"/>
          <w:bCs w:val="0"/>
          <w:noProof w:val="0"/>
          <w:sz w:val="24"/>
          <w:szCs w:val="24"/>
          <w:lang w:val="en-GB"/>
        </w:rPr>
        <w:t>assist</w:t>
      </w:r>
      <w:r w:rsidRPr="4DF95668" w:rsidR="0EF96DB8">
        <w:rPr>
          <w:rFonts w:ascii="Aptos" w:hAnsi="Aptos" w:eastAsia="Aptos" w:cs="Aptos"/>
          <w:b w:val="0"/>
          <w:bCs w:val="0"/>
          <w:noProof w:val="0"/>
          <w:sz w:val="24"/>
          <w:szCs w:val="24"/>
          <w:lang w:val="en-GB"/>
        </w:rPr>
        <w:t xml:space="preserve"> a person in explaining what </w:t>
      </w:r>
      <w:r w:rsidRPr="4DF95668" w:rsidR="0EF96DB8">
        <w:rPr>
          <w:rFonts w:ascii="Aptos" w:hAnsi="Aptos" w:eastAsia="Aptos" w:cs="Aptos"/>
          <w:b w:val="0"/>
          <w:bCs w:val="0"/>
          <w:noProof w:val="0"/>
          <w:sz w:val="24"/>
          <w:szCs w:val="24"/>
          <w:lang w:val="en-GB"/>
        </w:rPr>
        <w:t>transpired</w:t>
      </w:r>
      <w:r w:rsidRPr="4DF95668" w:rsidR="0EF96DB8">
        <w:rPr>
          <w:rFonts w:ascii="Aptos" w:hAnsi="Aptos" w:eastAsia="Aptos" w:cs="Aptos"/>
          <w:b w:val="0"/>
          <w:bCs w:val="0"/>
          <w:noProof w:val="0"/>
          <w:sz w:val="24"/>
          <w:szCs w:val="24"/>
          <w:lang w:val="en-GB"/>
        </w:rPr>
        <w:t xml:space="preserve">, </w:t>
      </w:r>
      <w:r w:rsidRPr="4DF95668" w:rsidR="0EF96DB8">
        <w:rPr>
          <w:rFonts w:ascii="Aptos" w:hAnsi="Aptos" w:eastAsia="Aptos" w:cs="Aptos"/>
          <w:b w:val="0"/>
          <w:bCs w:val="0"/>
          <w:noProof w:val="0"/>
          <w:sz w:val="24"/>
          <w:szCs w:val="24"/>
          <w:lang w:val="en-GB"/>
        </w:rPr>
        <w:t>taking into account</w:t>
      </w:r>
      <w:r w:rsidRPr="4DF95668" w:rsidR="0EF96DB8">
        <w:rPr>
          <w:rFonts w:ascii="Aptos" w:hAnsi="Aptos" w:eastAsia="Aptos" w:cs="Aptos"/>
          <w:b w:val="0"/>
          <w:bCs w:val="0"/>
          <w:noProof w:val="0"/>
          <w:sz w:val="24"/>
          <w:szCs w:val="24"/>
          <w:lang w:val="en-GB"/>
        </w:rPr>
        <w:t xml:space="preserve"> their feelings, evaluating what went well or poorly, </w:t>
      </w:r>
      <w:r w:rsidRPr="4DF95668" w:rsidR="0EF96DB8">
        <w:rPr>
          <w:rFonts w:ascii="Aptos" w:hAnsi="Aptos" w:eastAsia="Aptos" w:cs="Aptos"/>
          <w:b w:val="0"/>
          <w:bCs w:val="0"/>
          <w:noProof w:val="0"/>
          <w:sz w:val="24"/>
          <w:szCs w:val="24"/>
          <w:lang w:val="en-GB"/>
        </w:rPr>
        <w:t>comprehending</w:t>
      </w:r>
      <w:r w:rsidRPr="4DF95668" w:rsidR="0EF96DB8">
        <w:rPr>
          <w:rFonts w:ascii="Aptos" w:hAnsi="Aptos" w:eastAsia="Aptos" w:cs="Aptos"/>
          <w:b w:val="0"/>
          <w:bCs w:val="0"/>
          <w:noProof w:val="0"/>
          <w:sz w:val="24"/>
          <w:szCs w:val="24"/>
          <w:lang w:val="en-GB"/>
        </w:rPr>
        <w:t xml:space="preserve"> why it occurred, </w:t>
      </w:r>
      <w:r w:rsidRPr="4DF95668" w:rsidR="0EF96DB8">
        <w:rPr>
          <w:rFonts w:ascii="Aptos" w:hAnsi="Aptos" w:eastAsia="Aptos" w:cs="Aptos"/>
          <w:b w:val="0"/>
          <w:bCs w:val="0"/>
          <w:noProof w:val="0"/>
          <w:sz w:val="24"/>
          <w:szCs w:val="24"/>
          <w:lang w:val="en-GB"/>
        </w:rPr>
        <w:t>identifying</w:t>
      </w:r>
      <w:r w:rsidRPr="4DF95668" w:rsidR="0EF96DB8">
        <w:rPr>
          <w:rFonts w:ascii="Aptos" w:hAnsi="Aptos" w:eastAsia="Aptos" w:cs="Aptos"/>
          <w:b w:val="0"/>
          <w:bCs w:val="0"/>
          <w:noProof w:val="0"/>
          <w:sz w:val="24"/>
          <w:szCs w:val="24"/>
          <w:lang w:val="en-GB"/>
        </w:rPr>
        <w:t xml:space="preserve"> areas for growth, and making better </w:t>
      </w:r>
      <w:r w:rsidRPr="4DF95668" w:rsidR="0EF96DB8">
        <w:rPr>
          <w:rFonts w:ascii="Aptos" w:hAnsi="Aptos" w:eastAsia="Aptos" w:cs="Aptos"/>
          <w:b w:val="0"/>
          <w:bCs w:val="0"/>
          <w:noProof w:val="0"/>
          <w:sz w:val="24"/>
          <w:szCs w:val="24"/>
          <w:lang w:val="en-GB"/>
        </w:rPr>
        <w:t>plans for the future</w:t>
      </w:r>
      <w:r w:rsidRPr="4DF95668" w:rsidR="0EF96DB8">
        <w:rPr>
          <w:rFonts w:ascii="Aptos" w:hAnsi="Aptos" w:eastAsia="Aptos" w:cs="Aptos"/>
          <w:b w:val="0"/>
          <w:bCs w:val="0"/>
          <w:noProof w:val="0"/>
          <w:sz w:val="24"/>
          <w:szCs w:val="24"/>
          <w:lang w:val="en-GB"/>
        </w:rPr>
        <w:t xml:space="preserve">. In general, Gibbs' paradigm </w:t>
      </w:r>
      <w:r w:rsidRPr="4DF95668" w:rsidR="0EF96DB8">
        <w:rPr>
          <w:rFonts w:ascii="Aptos" w:hAnsi="Aptos" w:eastAsia="Aptos" w:cs="Aptos"/>
          <w:b w:val="0"/>
          <w:bCs w:val="0"/>
          <w:noProof w:val="0"/>
          <w:sz w:val="24"/>
          <w:szCs w:val="24"/>
          <w:lang w:val="en-GB"/>
        </w:rPr>
        <w:t>facilitates</w:t>
      </w:r>
      <w:r w:rsidRPr="4DF95668" w:rsidR="0EF96DB8">
        <w:rPr>
          <w:rFonts w:ascii="Aptos" w:hAnsi="Aptos" w:eastAsia="Aptos" w:cs="Aptos"/>
          <w:b w:val="0"/>
          <w:bCs w:val="0"/>
          <w:noProof w:val="0"/>
          <w:sz w:val="24"/>
          <w:szCs w:val="24"/>
          <w:lang w:val="en-GB"/>
        </w:rPr>
        <w:t xml:space="preserve"> the conversion of experience into useful learning and ongoing development. </w:t>
      </w:r>
    </w:p>
    <w:p w:rsidR="5FE3B452" w:rsidP="4DF95668" w:rsidRDefault="5FE3B452" w14:paraId="293BE472" w14:textId="608CB517">
      <w:pPr>
        <w:pStyle w:val="Normal"/>
        <w:spacing w:before="240" w:beforeAutospacing="off" w:after="240" w:afterAutospacing="off"/>
      </w:pPr>
      <w:r w:rsidR="5FE3B452">
        <w:drawing>
          <wp:inline wp14:editId="06AECD4C" wp14:anchorId="61F6B3E3">
            <wp:extent cx="5724525" cy="5133975"/>
            <wp:effectExtent l="0" t="0" r="0" b="0"/>
            <wp:docPr id="77727625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77276250" name="Picture 777276250"/>
                    <pic:cNvPicPr/>
                  </pic:nvPicPr>
                  <pic:blipFill>
                    <a:blip xmlns:r="http://schemas.openxmlformats.org/officeDocument/2006/relationships" r:embed="rId1250059823">
                      <a:extLst>
                        <a:ext uri="{28A0092B-C50C-407E-A947-70E740481C1C}">
                          <a14:useLocalDpi xmlns:a14="http://schemas.microsoft.com/office/drawing/2010/main"/>
                        </a:ext>
                      </a:extLst>
                    </a:blip>
                    <a:stretch>
                      <a:fillRect/>
                    </a:stretch>
                  </pic:blipFill>
                  <pic:spPr>
                    <a:xfrm>
                      <a:off x="0" y="0"/>
                      <a:ext cx="5724525" cy="5133975"/>
                    </a:xfrm>
                    <a:prstGeom prst="rect">
                      <a:avLst/>
                    </a:prstGeom>
                  </pic:spPr>
                </pic:pic>
              </a:graphicData>
            </a:graphic>
          </wp:inline>
        </w:drawing>
      </w:r>
      <w:r w:rsidRPr="4DF95668" w:rsidR="5FE3B452">
        <w:rPr>
          <w:rFonts w:ascii="Aptos" w:hAnsi="Aptos" w:eastAsia="Aptos" w:cs="Aptos"/>
          <w:noProof w:val="0"/>
          <w:sz w:val="24"/>
          <w:szCs w:val="24"/>
          <w:lang w:val="en-GB"/>
        </w:rPr>
        <w:t>(Gibbs, 1988).</w:t>
      </w:r>
    </w:p>
    <w:p w:rsidR="4DF95668" w:rsidP="4DF95668" w:rsidRDefault="4DF95668" w14:paraId="2B54B840" w14:textId="65158ED9">
      <w:pPr>
        <w:pStyle w:val="Normal"/>
        <w:spacing w:before="240" w:beforeAutospacing="off" w:after="240" w:afterAutospacing="off"/>
        <w:rPr>
          <w:rFonts w:ascii="Aptos" w:hAnsi="Aptos" w:eastAsia="Aptos" w:cs="Aptos"/>
          <w:b w:val="0"/>
          <w:bCs w:val="0"/>
          <w:noProof w:val="0"/>
          <w:sz w:val="24"/>
          <w:szCs w:val="24"/>
          <w:lang w:val="en-GB"/>
        </w:rPr>
      </w:pPr>
    </w:p>
    <w:p w:rsidR="6C9A2BB4" w:rsidP="4DF95668" w:rsidRDefault="6C9A2BB4" w14:paraId="1C816613" w14:textId="4037E213">
      <w:pPr>
        <w:pStyle w:val="Normal"/>
        <w:rPr>
          <w:b w:val="1"/>
          <w:bCs w:val="1"/>
          <w:sz w:val="28"/>
          <w:szCs w:val="28"/>
        </w:rPr>
      </w:pPr>
      <w:r w:rsidRPr="4DF95668" w:rsidR="185C92FE">
        <w:rPr>
          <w:b w:val="1"/>
          <w:bCs w:val="1"/>
          <w:sz w:val="28"/>
          <w:szCs w:val="28"/>
        </w:rPr>
        <w:t xml:space="preserve">1.Description </w:t>
      </w:r>
    </w:p>
    <w:p w:rsidR="4DF95668" w:rsidP="4DF95668" w:rsidRDefault="4DF95668" w14:paraId="7F8E47B8" w14:textId="4878B277">
      <w:pPr>
        <w:pStyle w:val="Normal"/>
        <w:rPr>
          <w:b w:val="1"/>
          <w:bCs w:val="1"/>
          <w:sz w:val="28"/>
          <w:szCs w:val="28"/>
        </w:rPr>
      </w:pPr>
    </w:p>
    <w:p w:rsidR="2C11FB0F" w:rsidP="4DF95668" w:rsidRDefault="2C11FB0F" w14:paraId="41BA091B" w14:textId="16A9D33F">
      <w:pPr>
        <w:pStyle w:val="Normal"/>
        <w:rPr>
          <w:b w:val="0"/>
          <w:bCs w:val="0"/>
          <w:sz w:val="24"/>
          <w:szCs w:val="24"/>
        </w:rPr>
      </w:pPr>
      <w:r w:rsidRPr="4DF95668" w:rsidR="2C11FB0F">
        <w:rPr>
          <w:b w:val="0"/>
          <w:bCs w:val="0"/>
          <w:sz w:val="24"/>
          <w:szCs w:val="24"/>
        </w:rPr>
        <w:t>I investigated Australia's competitive edge in critical minerals processing using a systematic research and analysis approach, concentrating on rare earth separation and lithium hydroxide refining. I chose this industry because it is strategically significant for sophisticated manufacturing, defence technology, wind turbines, electric vehicles, and renewable energy storage. Additionally, Australia has a solid resource base and a well-defined governmental objective of shifting from mining to downstream processing.</w:t>
      </w:r>
    </w:p>
    <w:p w:rsidR="2C11FB0F" w:rsidP="4DF95668" w:rsidRDefault="2C11FB0F" w14:paraId="74771DA5" w14:textId="14D9E6FB">
      <w:pPr>
        <w:pStyle w:val="Normal"/>
        <w:rPr>
          <w:b w:val="0"/>
          <w:bCs w:val="0"/>
          <w:sz w:val="24"/>
          <w:szCs w:val="24"/>
        </w:rPr>
      </w:pPr>
      <w:r w:rsidRPr="4DF95668" w:rsidR="2C11FB0F">
        <w:rPr>
          <w:b w:val="0"/>
          <w:bCs w:val="0"/>
          <w:sz w:val="24"/>
          <w:szCs w:val="24"/>
        </w:rPr>
        <w:t xml:space="preserve">Because Tianqi Lithium Corporation is directly involved in the processing of lithium hydroxide and </w:t>
      </w:r>
      <w:r w:rsidRPr="4DF95668" w:rsidR="2C11FB0F">
        <w:rPr>
          <w:b w:val="0"/>
          <w:bCs w:val="0"/>
          <w:sz w:val="24"/>
          <w:szCs w:val="24"/>
        </w:rPr>
        <w:t>operates</w:t>
      </w:r>
      <w:r w:rsidRPr="4DF95668" w:rsidR="2C11FB0F">
        <w:rPr>
          <w:b w:val="0"/>
          <w:bCs w:val="0"/>
          <w:sz w:val="24"/>
          <w:szCs w:val="24"/>
        </w:rPr>
        <w:t xml:space="preserve"> in Australia through Tianqi Lithium Energy Australia, I selected it as the foreign multinational corporation. I utilised Gibbs' Reflective Cycle to organise the reflection, which enabled me to think about what </w:t>
      </w:r>
      <w:r w:rsidRPr="4DF95668" w:rsidR="2C11FB0F">
        <w:rPr>
          <w:b w:val="0"/>
          <w:bCs w:val="0"/>
          <w:sz w:val="24"/>
          <w:szCs w:val="24"/>
        </w:rPr>
        <w:t>transpired</w:t>
      </w:r>
      <w:r w:rsidRPr="4DF95668" w:rsidR="2C11FB0F">
        <w:rPr>
          <w:b w:val="0"/>
          <w:bCs w:val="0"/>
          <w:sz w:val="24"/>
          <w:szCs w:val="24"/>
        </w:rPr>
        <w:t>, how I felt, what went well, what could be improved, what I learnt, and how I would approach future work.</w:t>
      </w:r>
    </w:p>
    <w:p w:rsidR="2C11FB0F" w:rsidP="4DF95668" w:rsidRDefault="2C11FB0F" w14:paraId="56065E24" w14:textId="7FCC0D9B">
      <w:pPr>
        <w:pStyle w:val="Normal"/>
        <w:rPr>
          <w:b w:val="0"/>
          <w:bCs w:val="0"/>
          <w:sz w:val="24"/>
          <w:szCs w:val="24"/>
        </w:rPr>
      </w:pPr>
      <w:r w:rsidRPr="4DF95668" w:rsidR="2C11FB0F">
        <w:rPr>
          <w:b w:val="0"/>
          <w:bCs w:val="0"/>
          <w:sz w:val="24"/>
          <w:szCs w:val="24"/>
        </w:rPr>
        <w:t>Selecting the topic was the first step in the research process. At first, I thought about more general businesses like semiconductors, retail, cars, and pharmaceuticals. But because it links international supply chains, foreign direct investment, national competitiveness, international trade, and geopolitics, critical minerals processing seemed more appropriate. I limited the issue to lithium hydroxide and rare earth processing in order to keep the research focused. This allowed me to contrast Australia's mining prowess with its developing downstream processing capacity.</w:t>
      </w:r>
    </w:p>
    <w:p w:rsidR="4DF95668" w:rsidP="4DF95668" w:rsidRDefault="4DF95668" w14:paraId="63FAF315" w14:textId="798D14DE">
      <w:pPr>
        <w:pStyle w:val="Normal"/>
        <w:rPr>
          <w:b w:val="0"/>
          <w:bCs w:val="0"/>
          <w:sz w:val="24"/>
          <w:szCs w:val="24"/>
        </w:rPr>
      </w:pPr>
    </w:p>
    <w:p w:rsidR="6C9A2BB4" w:rsidP="49E66D2A" w:rsidRDefault="6C9A2BB4" w14:paraId="6B31DF02" w14:textId="758DD036">
      <w:pPr>
        <w:pStyle w:val="Normal"/>
        <w:rPr>
          <w:b w:val="1"/>
          <w:bCs w:val="1"/>
        </w:rPr>
      </w:pPr>
    </w:p>
    <w:p w:rsidR="6C9A2BB4" w:rsidP="49E66D2A" w:rsidRDefault="6C9A2BB4" w14:paraId="2FBA2D7E" w14:textId="6DA86A1E">
      <w:pPr>
        <w:pStyle w:val="Normal"/>
        <w:rPr>
          <w:b w:val="1"/>
          <w:bCs w:val="1"/>
        </w:rPr>
      </w:pPr>
    </w:p>
    <w:p w:rsidR="272F73A6" w:rsidP="4DF95668" w:rsidRDefault="272F73A6" w14:paraId="3CDBBC22" w14:textId="4E9BA631">
      <w:pPr>
        <w:pStyle w:val="Normal"/>
        <w:spacing w:before="240" w:beforeAutospacing="off" w:after="240" w:afterAutospacing="off"/>
        <w:rPr>
          <w:rFonts w:ascii="Aptos" w:hAnsi="Aptos" w:eastAsia="Aptos" w:cs="Aptos"/>
          <w:b w:val="1"/>
          <w:bCs w:val="1"/>
          <w:noProof w:val="0"/>
          <w:sz w:val="28"/>
          <w:szCs w:val="28"/>
          <w:lang w:val="en-GB"/>
        </w:rPr>
      </w:pPr>
      <w:r w:rsidRPr="4DF95668" w:rsidR="4DF95668">
        <w:rPr>
          <w:rFonts w:ascii="Aptos" w:hAnsi="Aptos" w:eastAsia="Aptos" w:cs="Aptos"/>
          <w:b w:val="1"/>
          <w:bCs w:val="1"/>
          <w:noProof w:val="0"/>
          <w:sz w:val="28"/>
          <w:szCs w:val="28"/>
          <w:lang w:val="en-GB"/>
        </w:rPr>
        <w:t xml:space="preserve">2. </w:t>
      </w:r>
      <w:r w:rsidRPr="4DF95668" w:rsidR="0041B4F2">
        <w:rPr>
          <w:rFonts w:ascii="Aptos" w:hAnsi="Aptos" w:eastAsia="Aptos" w:cs="Aptos"/>
          <w:b w:val="1"/>
          <w:bCs w:val="1"/>
          <w:noProof w:val="0"/>
          <w:sz w:val="28"/>
          <w:szCs w:val="28"/>
          <w:lang w:val="en-GB"/>
        </w:rPr>
        <w:t>Feelings</w:t>
      </w:r>
    </w:p>
    <w:p w:rsidR="7F55911A" w:rsidP="4DF95668" w:rsidRDefault="7F55911A" w14:paraId="36D17D0E" w14:textId="4F5F8473">
      <w:pPr>
        <w:pStyle w:val="Normal"/>
        <w:spacing w:before="240" w:beforeAutospacing="off" w:after="240" w:afterAutospacing="off"/>
        <w:ind/>
        <w:jc w:val="left"/>
        <w:rPr>
          <w:rFonts w:ascii="Aptos" w:hAnsi="Aptos" w:eastAsia="Aptos" w:cs="Aptos"/>
          <w:b w:val="1"/>
          <w:bCs w:val="1"/>
          <w:noProof w:val="0"/>
          <w:sz w:val="24"/>
          <w:szCs w:val="24"/>
          <w:lang w:val="en-GB"/>
        </w:rPr>
      </w:pPr>
      <w:r w:rsidRPr="4DF95668" w:rsidR="65DD14C2">
        <w:rPr>
          <w:rFonts w:ascii="Aptos" w:hAnsi="Aptos" w:eastAsia="Aptos" w:cs="Aptos"/>
          <w:b w:val="0"/>
          <w:bCs w:val="0"/>
          <w:noProof w:val="0"/>
          <w:sz w:val="24"/>
          <w:szCs w:val="24"/>
          <w:lang w:val="en-GB"/>
        </w:rPr>
        <w:t xml:space="preserve">Because the subject was technically complicated and involved a wide range of materials, including lithium, cobalt, nickel, graphite, and rare earths, I was initially uneasy. Additionally, because mining and processing are discussed simultaneously in many sources, I was worried that the study may become overly general. As I conducted more study, I </w:t>
      </w:r>
      <w:r w:rsidRPr="4DF95668" w:rsidR="65DD14C2">
        <w:rPr>
          <w:rFonts w:ascii="Aptos" w:hAnsi="Aptos" w:eastAsia="Aptos" w:cs="Aptos"/>
          <w:b w:val="0"/>
          <w:bCs w:val="0"/>
          <w:noProof w:val="0"/>
          <w:sz w:val="24"/>
          <w:szCs w:val="24"/>
          <w:lang w:val="en-GB"/>
        </w:rPr>
        <w:t>came to the conclusion</w:t>
      </w:r>
      <w:r w:rsidRPr="4DF95668" w:rsidR="65DD14C2">
        <w:rPr>
          <w:rFonts w:ascii="Aptos" w:hAnsi="Aptos" w:eastAsia="Aptos" w:cs="Aptos"/>
          <w:b w:val="0"/>
          <w:bCs w:val="0"/>
          <w:noProof w:val="0"/>
          <w:sz w:val="24"/>
          <w:szCs w:val="24"/>
          <w:lang w:val="en-GB"/>
        </w:rPr>
        <w:t xml:space="preserve"> that, given Australia's strength in mining but ongoing development of higher-value processing capabilities, distinguishing extraction from processing was crucial to the analysis.</w:t>
      </w:r>
      <w:r w:rsidRPr="4DF95668" w:rsidR="65DD14C2">
        <w:rPr>
          <w:rFonts w:ascii="Aptos" w:hAnsi="Aptos" w:eastAsia="Aptos" w:cs="Aptos"/>
          <w:b w:val="0"/>
          <w:bCs w:val="0"/>
          <w:noProof w:val="0"/>
          <w:sz w:val="24"/>
          <w:szCs w:val="24"/>
          <w:lang w:val="en-GB"/>
        </w:rPr>
        <w:t xml:space="preserve"> Finding solid proof, such the data from Geoscience Australia </w:t>
      </w:r>
      <w:r w:rsidRPr="4DF95668" w:rsidR="65DD14C2">
        <w:rPr>
          <w:rFonts w:ascii="Aptos" w:hAnsi="Aptos" w:eastAsia="Aptos" w:cs="Aptos"/>
          <w:b w:val="0"/>
          <w:bCs w:val="0"/>
          <w:noProof w:val="0"/>
          <w:sz w:val="24"/>
          <w:szCs w:val="24"/>
          <w:lang w:val="en-GB"/>
        </w:rPr>
        <w:t>indicating</w:t>
      </w:r>
      <w:r w:rsidRPr="4DF95668" w:rsidR="65DD14C2">
        <w:rPr>
          <w:rFonts w:ascii="Aptos" w:hAnsi="Aptos" w:eastAsia="Aptos" w:cs="Aptos"/>
          <w:b w:val="0"/>
          <w:bCs w:val="0"/>
          <w:noProof w:val="0"/>
          <w:sz w:val="24"/>
          <w:szCs w:val="24"/>
          <w:lang w:val="en-GB"/>
        </w:rPr>
        <w:t xml:space="preserve"> that Australia contributed 49% of the world's lithium production in 2023, gave me greater confidence. The claim that Australia is </w:t>
      </w:r>
      <w:r w:rsidRPr="4DF95668" w:rsidR="65DD14C2">
        <w:rPr>
          <w:rFonts w:ascii="Aptos" w:hAnsi="Aptos" w:eastAsia="Aptos" w:cs="Aptos"/>
          <w:b w:val="0"/>
          <w:bCs w:val="0"/>
          <w:noProof w:val="0"/>
          <w:sz w:val="24"/>
          <w:szCs w:val="24"/>
          <w:lang w:val="en-GB"/>
        </w:rPr>
        <w:t>attempting</w:t>
      </w:r>
      <w:r w:rsidRPr="4DF95668" w:rsidR="65DD14C2">
        <w:rPr>
          <w:rFonts w:ascii="Aptos" w:hAnsi="Aptos" w:eastAsia="Aptos" w:cs="Aptos"/>
          <w:b w:val="0"/>
          <w:bCs w:val="0"/>
          <w:noProof w:val="0"/>
          <w:sz w:val="24"/>
          <w:szCs w:val="24"/>
          <w:lang w:val="en-GB"/>
        </w:rPr>
        <w:t xml:space="preserve"> to increase processing and supply-chain capacity was further bolstered by the government's Critical Minerals Strategy 2023–2030. The report became more evidence-based thanks to these sources.</w:t>
      </w:r>
    </w:p>
    <w:p w:rsidR="7F55911A" w:rsidP="4DF95668" w:rsidRDefault="7F55911A" w14:paraId="2DE82EBE" w14:textId="75891B0D">
      <w:pPr>
        <w:pStyle w:val="Normal"/>
        <w:spacing w:before="240" w:beforeAutospacing="off" w:after="240" w:afterAutospacing="off"/>
        <w:ind/>
        <w:jc w:val="left"/>
      </w:pPr>
      <w:r w:rsidRPr="4DF95668" w:rsidR="65DD14C2">
        <w:rPr>
          <w:rFonts w:ascii="Aptos" w:hAnsi="Aptos" w:eastAsia="Aptos" w:cs="Aptos"/>
          <w:b w:val="0"/>
          <w:bCs w:val="0"/>
          <w:noProof w:val="0"/>
          <w:sz w:val="24"/>
          <w:szCs w:val="24"/>
          <w:lang w:val="en-GB"/>
        </w:rPr>
        <w:t xml:space="preserve">The study was enhanced by the addition of graphs, tables, and business comparisons, which </w:t>
      </w:r>
      <w:r w:rsidRPr="4DF95668" w:rsidR="65DD14C2">
        <w:rPr>
          <w:rFonts w:ascii="Aptos" w:hAnsi="Aptos" w:eastAsia="Aptos" w:cs="Aptos"/>
          <w:b w:val="0"/>
          <w:bCs w:val="0"/>
          <w:noProof w:val="0"/>
          <w:sz w:val="24"/>
          <w:szCs w:val="24"/>
          <w:lang w:val="en-GB"/>
        </w:rPr>
        <w:t>demonstrated</w:t>
      </w:r>
      <w:r w:rsidRPr="4DF95668" w:rsidR="65DD14C2">
        <w:rPr>
          <w:rFonts w:ascii="Aptos" w:hAnsi="Aptos" w:eastAsia="Aptos" w:cs="Aptos"/>
          <w:b w:val="0"/>
          <w:bCs w:val="0"/>
          <w:noProof w:val="0"/>
          <w:sz w:val="24"/>
          <w:szCs w:val="24"/>
          <w:lang w:val="en-GB"/>
        </w:rPr>
        <w:t xml:space="preserve"> the disparity between Australia's strong resource position and its growing processing capacity.</w:t>
      </w:r>
    </w:p>
    <w:p w:rsidR="4DF95668" w:rsidP="4DF95668" w:rsidRDefault="4DF95668" w14:paraId="5858A141" w14:textId="6F23420C">
      <w:pPr>
        <w:pStyle w:val="Normal"/>
        <w:spacing w:before="240" w:beforeAutospacing="off" w:after="240" w:afterAutospacing="off"/>
        <w:jc w:val="left"/>
        <w:rPr>
          <w:rFonts w:ascii="Aptos" w:hAnsi="Aptos" w:eastAsia="Aptos" w:cs="Aptos"/>
          <w:b w:val="0"/>
          <w:bCs w:val="0"/>
          <w:noProof w:val="0"/>
          <w:sz w:val="24"/>
          <w:szCs w:val="24"/>
          <w:lang w:val="en-GB"/>
        </w:rPr>
      </w:pPr>
    </w:p>
    <w:p w:rsidR="3BE61FBD" w:rsidP="4DF95668" w:rsidRDefault="3BE61FBD" w14:paraId="43DA6CC6" w14:textId="07205D14">
      <w:pPr>
        <w:pStyle w:val="Normal"/>
        <w:spacing w:before="240" w:beforeAutospacing="off" w:after="240" w:afterAutospacing="off"/>
        <w:jc w:val="left"/>
        <w:rPr>
          <w:rFonts w:ascii="Aptos" w:hAnsi="Aptos" w:eastAsia="Aptos" w:cs="Aptos"/>
          <w:b w:val="0"/>
          <w:bCs w:val="0"/>
          <w:noProof w:val="0"/>
          <w:sz w:val="24"/>
          <w:szCs w:val="24"/>
          <w:lang w:val="en-GB"/>
        </w:rPr>
      </w:pPr>
      <w:r w:rsidRPr="4DF95668" w:rsidR="3BE61FBD">
        <w:rPr>
          <w:rFonts w:ascii="Aptos" w:hAnsi="Aptos" w:eastAsia="Aptos" w:cs="Aptos"/>
          <w:b w:val="1"/>
          <w:bCs w:val="1"/>
          <w:noProof w:val="0"/>
          <w:sz w:val="28"/>
          <w:szCs w:val="28"/>
          <w:lang w:val="en-GB"/>
        </w:rPr>
        <w:t>3.Evaluation</w:t>
      </w:r>
    </w:p>
    <w:p w:rsidR="210DBC1F" w:rsidP="4DF95668" w:rsidRDefault="210DBC1F" w14:paraId="7FC37740" w14:textId="08445786">
      <w:pPr>
        <w:pStyle w:val="Normal"/>
        <w:jc w:val="left"/>
      </w:pPr>
      <w:r w:rsidRPr="4DF95668" w:rsidR="210DBC1F">
        <w:rPr>
          <w:rFonts w:ascii="Aptos" w:hAnsi="Aptos" w:eastAsia="Aptos" w:cs="Aptos"/>
          <w:noProof w:val="0"/>
          <w:sz w:val="24"/>
          <w:szCs w:val="24"/>
          <w:lang w:val="en-GB"/>
        </w:rPr>
        <w:t>The research approach was successful overall because it produced a targeted country-industry-company combination: Tianqi Lithium, Australia, and critical minerals processing. This was successful because the study was backed up by public statistics, corporate data, government policies, and news on international markets.</w:t>
      </w:r>
    </w:p>
    <w:p w:rsidR="210DBC1F" w:rsidP="4DF95668" w:rsidRDefault="210DBC1F" w14:paraId="72A7066F" w14:textId="67A36011">
      <w:pPr>
        <w:pStyle w:val="Normal"/>
        <w:jc w:val="left"/>
      </w:pPr>
      <w:r w:rsidRPr="4DF95668" w:rsidR="210DBC1F">
        <w:rPr>
          <w:rFonts w:ascii="Aptos" w:hAnsi="Aptos" w:eastAsia="Aptos" w:cs="Aptos"/>
          <w:noProof w:val="0"/>
          <w:sz w:val="24"/>
          <w:szCs w:val="24"/>
          <w:lang w:val="en-GB"/>
        </w:rPr>
        <w:t xml:space="preserve"> </w:t>
      </w:r>
    </w:p>
    <w:p w:rsidR="210DBC1F" w:rsidP="4DF95668" w:rsidRDefault="210DBC1F" w14:paraId="17CF3748" w14:textId="61DA08EF">
      <w:pPr>
        <w:pStyle w:val="Normal"/>
        <w:jc w:val="left"/>
      </w:pPr>
      <w:r w:rsidRPr="4DF95668" w:rsidR="210DBC1F">
        <w:rPr>
          <w:rFonts w:ascii="Aptos" w:hAnsi="Aptos" w:eastAsia="Aptos" w:cs="Aptos"/>
          <w:noProof w:val="0"/>
          <w:sz w:val="24"/>
          <w:szCs w:val="24"/>
          <w:lang w:val="en-GB"/>
        </w:rPr>
        <w:t>The application of multiple analytical frameworks was one of its main advantages. PESTEL studied the external business environment, Hofstede's cultural aspects contrasted Australian and Chinese workplace cultures, and Porter's Diamond Model assisted in evaluating Australia's competitiveness. The six Hofstede dimensions were also compared with the aid of the Culture Factor tool.</w:t>
      </w:r>
    </w:p>
    <w:p w:rsidR="210DBC1F" w:rsidP="4DF95668" w:rsidRDefault="210DBC1F" w14:paraId="3087A633" w14:textId="40494006">
      <w:pPr>
        <w:pStyle w:val="Normal"/>
        <w:jc w:val="left"/>
        <w:rPr>
          <w:rFonts w:ascii="Aptos" w:hAnsi="Aptos" w:eastAsia="Aptos" w:cs="Aptos"/>
          <w:noProof w:val="0"/>
          <w:sz w:val="24"/>
          <w:szCs w:val="24"/>
          <w:lang w:val="en-GB"/>
        </w:rPr>
      </w:pPr>
      <w:r w:rsidRPr="4DF95668" w:rsidR="210DBC1F">
        <w:rPr>
          <w:rFonts w:ascii="Aptos" w:hAnsi="Aptos" w:eastAsia="Aptos" w:cs="Aptos"/>
          <w:noProof w:val="0"/>
          <w:sz w:val="24"/>
          <w:szCs w:val="24"/>
          <w:lang w:val="en-GB"/>
        </w:rPr>
        <w:t>Using the essay by Bhattacharjee and Chakrabarti as a methodological guide was another strength. Their method demonstrated how government and chance variables may be incorporated into Porter's Diamond to assist explain the relationships between resources, demand, supporting industries, rivalry, policy, and uncertainty.</w:t>
      </w:r>
    </w:p>
    <w:p w:rsidR="210DBC1F" w:rsidP="4DF95668" w:rsidRDefault="210DBC1F" w14:paraId="3936C7FD" w14:textId="1D6DDABF">
      <w:pPr>
        <w:pStyle w:val="Normal"/>
        <w:jc w:val="left"/>
      </w:pPr>
      <w:r w:rsidRPr="4DF95668" w:rsidR="210DBC1F">
        <w:rPr>
          <w:rFonts w:ascii="Aptos" w:hAnsi="Aptos" w:eastAsia="Aptos" w:cs="Aptos"/>
          <w:noProof w:val="0"/>
          <w:sz w:val="24"/>
          <w:szCs w:val="24"/>
          <w:lang w:val="en-GB"/>
        </w:rPr>
        <w:t xml:space="preserve"> </w:t>
      </w:r>
    </w:p>
    <w:p w:rsidR="210DBC1F" w:rsidP="4DF95668" w:rsidRDefault="210DBC1F" w14:paraId="4704C318" w14:textId="213AC4EC">
      <w:pPr>
        <w:pStyle w:val="Normal"/>
        <w:jc w:val="left"/>
      </w:pPr>
      <w:r w:rsidRPr="4DF95668" w:rsidR="210DBC1F">
        <w:rPr>
          <w:rFonts w:ascii="Aptos" w:hAnsi="Aptos" w:eastAsia="Aptos" w:cs="Aptos"/>
          <w:noProof w:val="0"/>
          <w:sz w:val="24"/>
          <w:szCs w:val="24"/>
          <w:lang w:val="en-GB"/>
        </w:rPr>
        <w:t>One drawback, though, was that the markets for rare earths and lithium are distinct. Rare earths are more dependent on strategic offtake agreements, whereas lithium hydroxide has more sophisticated pricing instruments. In order to handle this, I chose rare earths to support the broader topic of Australia's processing aspirations and Tianqi and lithium processing as the primary corporate case.</w:t>
      </w:r>
    </w:p>
    <w:p w:rsidR="4DF95668" w:rsidP="4DF95668" w:rsidRDefault="4DF95668" w14:paraId="00591833" w14:textId="6F9B7B67">
      <w:pPr>
        <w:pStyle w:val="Normal"/>
        <w:jc w:val="left"/>
        <w:rPr>
          <w:rFonts w:ascii="Aptos" w:hAnsi="Aptos" w:eastAsia="Aptos" w:cs="Aptos"/>
          <w:noProof w:val="0"/>
          <w:sz w:val="24"/>
          <w:szCs w:val="24"/>
          <w:lang w:val="en-GB"/>
        </w:rPr>
      </w:pPr>
    </w:p>
    <w:p w:rsidR="4DF95668" w:rsidP="4DF95668" w:rsidRDefault="4DF95668" w14:paraId="5F79CDE2" w14:textId="7B63959D">
      <w:pPr>
        <w:pStyle w:val="Normal"/>
        <w:jc w:val="left"/>
        <w:rPr>
          <w:rFonts w:ascii="Aptos" w:hAnsi="Aptos" w:eastAsia="Aptos" w:cs="Aptos"/>
          <w:b w:val="1"/>
          <w:bCs w:val="1"/>
          <w:noProof w:val="0"/>
          <w:sz w:val="28"/>
          <w:szCs w:val="28"/>
          <w:lang w:val="en-GB"/>
        </w:rPr>
      </w:pPr>
    </w:p>
    <w:p w:rsidR="4DF95668" w:rsidP="4DF95668" w:rsidRDefault="4DF95668" w14:paraId="194251CA" w14:textId="0AC47767">
      <w:pPr>
        <w:pStyle w:val="Normal"/>
        <w:jc w:val="left"/>
        <w:rPr>
          <w:rFonts w:ascii="Aptos" w:hAnsi="Aptos" w:eastAsia="Aptos" w:cs="Aptos"/>
          <w:b w:val="1"/>
          <w:bCs w:val="1"/>
          <w:noProof w:val="0"/>
          <w:sz w:val="28"/>
          <w:szCs w:val="28"/>
          <w:lang w:val="en-GB"/>
        </w:rPr>
      </w:pPr>
    </w:p>
    <w:p w:rsidR="4DF95668" w:rsidP="4DF95668" w:rsidRDefault="4DF95668" w14:paraId="6C3CAA78" w14:textId="44DD0B52">
      <w:pPr>
        <w:pStyle w:val="Normal"/>
        <w:jc w:val="left"/>
        <w:rPr>
          <w:rFonts w:ascii="Aptos" w:hAnsi="Aptos" w:eastAsia="Aptos" w:cs="Aptos"/>
          <w:b w:val="1"/>
          <w:bCs w:val="1"/>
          <w:noProof w:val="0"/>
          <w:sz w:val="28"/>
          <w:szCs w:val="28"/>
          <w:lang w:val="en-GB"/>
        </w:rPr>
      </w:pPr>
    </w:p>
    <w:p w:rsidR="4DF95668" w:rsidP="4DF95668" w:rsidRDefault="4DF95668" w14:paraId="61E42B02" w14:textId="3107055F">
      <w:pPr>
        <w:pStyle w:val="Normal"/>
        <w:jc w:val="left"/>
        <w:rPr>
          <w:rFonts w:ascii="Aptos" w:hAnsi="Aptos" w:eastAsia="Aptos" w:cs="Aptos"/>
          <w:b w:val="1"/>
          <w:bCs w:val="1"/>
          <w:noProof w:val="0"/>
          <w:sz w:val="28"/>
          <w:szCs w:val="28"/>
          <w:lang w:val="en-GB"/>
        </w:rPr>
      </w:pPr>
    </w:p>
    <w:p w:rsidR="4DF95668" w:rsidP="4DF95668" w:rsidRDefault="4DF95668" w14:paraId="3704FC01" w14:textId="16B13B0A">
      <w:pPr>
        <w:pStyle w:val="Normal"/>
        <w:jc w:val="left"/>
        <w:rPr>
          <w:rFonts w:ascii="Aptos" w:hAnsi="Aptos" w:eastAsia="Aptos" w:cs="Aptos"/>
          <w:b w:val="1"/>
          <w:bCs w:val="1"/>
          <w:noProof w:val="0"/>
          <w:sz w:val="28"/>
          <w:szCs w:val="28"/>
          <w:lang w:val="en-GB"/>
        </w:rPr>
      </w:pPr>
    </w:p>
    <w:p w:rsidR="4DF95668" w:rsidP="4DF95668" w:rsidRDefault="4DF95668" w14:paraId="12A10138" w14:textId="38B5FFC8">
      <w:pPr>
        <w:pStyle w:val="Normal"/>
        <w:jc w:val="left"/>
        <w:rPr>
          <w:rFonts w:ascii="Aptos" w:hAnsi="Aptos" w:eastAsia="Aptos" w:cs="Aptos"/>
          <w:b w:val="1"/>
          <w:bCs w:val="1"/>
          <w:noProof w:val="0"/>
          <w:sz w:val="28"/>
          <w:szCs w:val="28"/>
          <w:lang w:val="en-GB"/>
        </w:rPr>
      </w:pPr>
    </w:p>
    <w:p w:rsidR="4DF95668" w:rsidP="4DF95668" w:rsidRDefault="4DF95668" w14:paraId="3A16AC56" w14:textId="05C24BA8">
      <w:pPr>
        <w:pStyle w:val="Normal"/>
        <w:jc w:val="left"/>
        <w:rPr>
          <w:rFonts w:ascii="Aptos" w:hAnsi="Aptos" w:eastAsia="Aptos" w:cs="Aptos"/>
          <w:b w:val="1"/>
          <w:bCs w:val="1"/>
          <w:noProof w:val="0"/>
          <w:sz w:val="28"/>
          <w:szCs w:val="28"/>
          <w:lang w:val="en-GB"/>
        </w:rPr>
      </w:pPr>
    </w:p>
    <w:p w:rsidR="3BE61FBD" w:rsidP="4DF95668" w:rsidRDefault="3BE61FBD" w14:paraId="58F1D61C" w14:textId="20AF0952">
      <w:pPr>
        <w:pStyle w:val="Normal"/>
        <w:jc w:val="left"/>
        <w:rPr>
          <w:rFonts w:ascii="Aptos" w:hAnsi="Aptos" w:eastAsia="Aptos" w:cs="Aptos"/>
          <w:b w:val="1"/>
          <w:bCs w:val="1"/>
          <w:noProof w:val="0"/>
          <w:sz w:val="28"/>
          <w:szCs w:val="28"/>
          <w:lang w:val="en-GB"/>
        </w:rPr>
      </w:pPr>
      <w:r w:rsidRPr="4DF95668" w:rsidR="3BE61FBD">
        <w:rPr>
          <w:rFonts w:ascii="Aptos" w:hAnsi="Aptos" w:eastAsia="Aptos" w:cs="Aptos"/>
          <w:b w:val="1"/>
          <w:bCs w:val="1"/>
          <w:noProof w:val="0"/>
          <w:sz w:val="28"/>
          <w:szCs w:val="28"/>
          <w:lang w:val="en-GB"/>
        </w:rPr>
        <w:t>4.Analysis</w:t>
      </w:r>
    </w:p>
    <w:p w:rsidR="4DF95668" w:rsidP="4DF95668" w:rsidRDefault="4DF95668" w14:paraId="4EDA6B0D" w14:textId="57B32589">
      <w:pPr>
        <w:pStyle w:val="Normal"/>
        <w:jc w:val="left"/>
        <w:rPr>
          <w:rFonts w:ascii="Aptos" w:hAnsi="Aptos" w:eastAsia="Aptos" w:cs="Aptos"/>
          <w:b w:val="1"/>
          <w:bCs w:val="1"/>
          <w:noProof w:val="0"/>
          <w:sz w:val="28"/>
          <w:szCs w:val="28"/>
          <w:lang w:val="en-GB"/>
        </w:rPr>
      </w:pPr>
    </w:p>
    <w:p w:rsidR="05A9301E" w:rsidP="4DF95668" w:rsidRDefault="05A9301E" w14:paraId="3D8EAD59" w14:textId="1AEEEEEC">
      <w:pPr>
        <w:pStyle w:val="Normal"/>
        <w:jc w:val="left"/>
        <w:rPr>
          <w:rFonts w:ascii="Aptos" w:hAnsi="Aptos" w:eastAsia="Aptos" w:cs="Aptos"/>
          <w:b w:val="0"/>
          <w:bCs w:val="0"/>
          <w:noProof w:val="0"/>
          <w:sz w:val="24"/>
          <w:szCs w:val="24"/>
          <w:lang w:val="en-GB"/>
        </w:rPr>
      </w:pPr>
      <w:r w:rsidRPr="4DF95668" w:rsidR="05A9301E">
        <w:rPr>
          <w:rFonts w:ascii="Aptos" w:hAnsi="Aptos" w:eastAsia="Aptos" w:cs="Aptos"/>
          <w:b w:val="0"/>
          <w:bCs w:val="0"/>
          <w:noProof w:val="0"/>
          <w:sz w:val="24"/>
          <w:szCs w:val="24"/>
          <w:lang w:val="en-GB"/>
        </w:rPr>
        <w:t>The process taught us that having a competitive advantage is not a given. At first, I thought that Australia's substantial mineral reserves would inevitably lead to competition in vital resources. Porter's Diamond, however, demonstrated that resources are only one aspect of a country's superiority. Technology, skilled labour, processing infrastructure, financing, supply chains, and innovation are all necessary for long-term competitiveness.</w:t>
      </w:r>
    </w:p>
    <w:p w:rsidR="05A9301E" w:rsidP="4DF95668" w:rsidRDefault="05A9301E" w14:paraId="2A387F76" w14:textId="16E6AEF1">
      <w:pPr>
        <w:pStyle w:val="Normal"/>
        <w:jc w:val="left"/>
      </w:pPr>
      <w:r w:rsidRPr="4DF95668" w:rsidR="05A9301E">
        <w:rPr>
          <w:rFonts w:ascii="Aptos" w:hAnsi="Aptos" w:eastAsia="Aptos" w:cs="Aptos"/>
          <w:b w:val="0"/>
          <w:bCs w:val="0"/>
          <w:noProof w:val="0"/>
          <w:sz w:val="24"/>
          <w:szCs w:val="24"/>
          <w:lang w:val="en-GB"/>
        </w:rPr>
        <w:t xml:space="preserve"> </w:t>
      </w:r>
    </w:p>
    <w:p w:rsidR="05A9301E" w:rsidP="4DF95668" w:rsidRDefault="05A9301E" w14:paraId="5067BDC1" w14:textId="6F01733E">
      <w:pPr>
        <w:pStyle w:val="Normal"/>
        <w:jc w:val="left"/>
      </w:pPr>
      <w:r w:rsidRPr="4DF95668" w:rsidR="05A9301E">
        <w:rPr>
          <w:rFonts w:ascii="Aptos" w:hAnsi="Aptos" w:eastAsia="Aptos" w:cs="Aptos"/>
          <w:b w:val="0"/>
          <w:bCs w:val="0"/>
          <w:noProof w:val="0"/>
          <w:sz w:val="24"/>
          <w:szCs w:val="24"/>
          <w:lang w:val="en-GB"/>
        </w:rPr>
        <w:t xml:space="preserve">In the lithium industry, this became </w:t>
      </w:r>
      <w:r w:rsidRPr="4DF95668" w:rsidR="05A9301E">
        <w:rPr>
          <w:rFonts w:ascii="Aptos" w:hAnsi="Aptos" w:eastAsia="Aptos" w:cs="Aptos"/>
          <w:b w:val="0"/>
          <w:bCs w:val="0"/>
          <w:noProof w:val="0"/>
          <w:sz w:val="24"/>
          <w:szCs w:val="24"/>
          <w:lang w:val="en-GB"/>
        </w:rPr>
        <w:t>evident</w:t>
      </w:r>
      <w:r w:rsidRPr="4DF95668" w:rsidR="05A9301E">
        <w:rPr>
          <w:rFonts w:ascii="Aptos" w:hAnsi="Aptos" w:eastAsia="Aptos" w:cs="Aptos"/>
          <w:b w:val="0"/>
          <w:bCs w:val="0"/>
          <w:noProof w:val="0"/>
          <w:sz w:val="24"/>
          <w:szCs w:val="24"/>
          <w:lang w:val="en-GB"/>
        </w:rPr>
        <w:t xml:space="preserve">. Although Australia has abundant lithium resources, producing lithium hydroxide </w:t>
      </w:r>
      <w:r w:rsidRPr="4DF95668" w:rsidR="05A9301E">
        <w:rPr>
          <w:rFonts w:ascii="Aptos" w:hAnsi="Aptos" w:eastAsia="Aptos" w:cs="Aptos"/>
          <w:b w:val="0"/>
          <w:bCs w:val="0"/>
          <w:noProof w:val="0"/>
          <w:sz w:val="24"/>
          <w:szCs w:val="24"/>
          <w:lang w:val="en-GB"/>
        </w:rPr>
        <w:t>necessitates</w:t>
      </w:r>
      <w:r w:rsidRPr="4DF95668" w:rsidR="05A9301E">
        <w:rPr>
          <w:rFonts w:ascii="Aptos" w:hAnsi="Aptos" w:eastAsia="Aptos" w:cs="Aptos"/>
          <w:b w:val="0"/>
          <w:bCs w:val="0"/>
          <w:noProof w:val="0"/>
          <w:sz w:val="24"/>
          <w:szCs w:val="24"/>
          <w:lang w:val="en-GB"/>
        </w:rPr>
        <w:t xml:space="preserve"> cost management, consistent production, chemical knowledge, and environmental compliance. As a result, Australia's challenge is to extract more value through local processing in addition to mining more resources.</w:t>
      </w:r>
    </w:p>
    <w:p w:rsidR="05A9301E" w:rsidP="4DF95668" w:rsidRDefault="05A9301E" w14:paraId="33E1C1A2" w14:textId="14EED28F">
      <w:pPr>
        <w:pStyle w:val="Normal"/>
        <w:jc w:val="left"/>
        <w:rPr>
          <w:rFonts w:ascii="Aptos" w:hAnsi="Aptos" w:eastAsia="Aptos" w:cs="Aptos"/>
          <w:b w:val="0"/>
          <w:bCs w:val="0"/>
          <w:noProof w:val="0"/>
          <w:sz w:val="24"/>
          <w:szCs w:val="24"/>
          <w:lang w:val="en-GB"/>
        </w:rPr>
      </w:pPr>
      <w:r w:rsidRPr="4DF95668" w:rsidR="05A9301E">
        <w:rPr>
          <w:rFonts w:ascii="Aptos" w:hAnsi="Aptos" w:eastAsia="Aptos" w:cs="Aptos"/>
          <w:b w:val="0"/>
          <w:bCs w:val="0"/>
          <w:noProof w:val="0"/>
          <w:sz w:val="24"/>
          <w:szCs w:val="24"/>
          <w:lang w:val="en-GB"/>
        </w:rPr>
        <w:t>According to IEA data, demand for lithium, nickel, cobalt, graphite, and rare earths is rising due to electric vehicles, battery storage, renewable energy sources, and grid networks. However, issues like high Australian costs, price volatility, Chinese competition, and technological advancement persist despite strong demand.</w:t>
      </w:r>
    </w:p>
    <w:p w:rsidR="05A9301E" w:rsidP="4DF95668" w:rsidRDefault="05A9301E" w14:paraId="1117FAEA" w14:textId="258D8BF4">
      <w:pPr>
        <w:pStyle w:val="Normal"/>
        <w:jc w:val="left"/>
      </w:pPr>
      <w:r w:rsidRPr="4DF95668" w:rsidR="05A9301E">
        <w:rPr>
          <w:rFonts w:ascii="Aptos" w:hAnsi="Aptos" w:eastAsia="Aptos" w:cs="Aptos"/>
          <w:b w:val="0"/>
          <w:bCs w:val="0"/>
          <w:noProof w:val="0"/>
          <w:sz w:val="24"/>
          <w:szCs w:val="24"/>
          <w:lang w:val="en-GB"/>
        </w:rPr>
        <w:t xml:space="preserve"> </w:t>
      </w:r>
    </w:p>
    <w:p w:rsidR="05A9301E" w:rsidP="4DF95668" w:rsidRDefault="05A9301E" w14:paraId="405DD526" w14:textId="7FA8572E">
      <w:pPr>
        <w:pStyle w:val="Normal"/>
        <w:jc w:val="left"/>
      </w:pPr>
      <w:r w:rsidRPr="4DF95668" w:rsidR="05A9301E">
        <w:rPr>
          <w:rFonts w:ascii="Aptos" w:hAnsi="Aptos" w:eastAsia="Aptos" w:cs="Aptos"/>
          <w:b w:val="0"/>
          <w:bCs w:val="0"/>
          <w:noProof w:val="0"/>
          <w:sz w:val="24"/>
          <w:szCs w:val="24"/>
          <w:lang w:val="en-GB"/>
        </w:rPr>
        <w:t>The Hofstede study provided an international business perspective by showing how Tianqi's success in Australia also depended on handling cultural differences, joint venture relationships, communication styles, hierarchy, and decision-making. Finally, the forward-market discussion made clear how Tianqi might use index-linked contracts, long-term offtake contracts, hedging, and reduced spot-market exposure to manage price risk.</w:t>
      </w:r>
    </w:p>
    <w:p w:rsidR="4DF95668" w:rsidP="4DF95668" w:rsidRDefault="4DF95668" w14:paraId="09E3B6A6" w14:textId="58B4A834">
      <w:pPr>
        <w:pStyle w:val="Normal"/>
        <w:jc w:val="left"/>
        <w:rPr>
          <w:rFonts w:ascii="Aptos" w:hAnsi="Aptos" w:eastAsia="Aptos" w:cs="Aptos"/>
          <w:b w:val="0"/>
          <w:bCs w:val="0"/>
          <w:noProof w:val="0"/>
          <w:sz w:val="24"/>
          <w:szCs w:val="24"/>
          <w:lang w:val="en-GB"/>
        </w:rPr>
      </w:pPr>
    </w:p>
    <w:p w:rsidR="7F55911A" w:rsidP="4DF95668" w:rsidRDefault="7F55911A" w14:paraId="066C9657" w14:textId="01AD1CCE">
      <w:pPr>
        <w:pStyle w:val="Normal"/>
        <w:ind w:left="0"/>
        <w:jc w:val="both"/>
        <w:rPr>
          <w:rFonts w:ascii="Aptos" w:hAnsi="Aptos" w:eastAsia="Aptos" w:cs="Aptos"/>
          <w:b w:val="1"/>
          <w:bCs w:val="1"/>
          <w:noProof w:val="0"/>
          <w:sz w:val="28"/>
          <w:szCs w:val="28"/>
          <w:lang w:val="en-GB"/>
        </w:rPr>
      </w:pPr>
      <w:r w:rsidRPr="4DF95668" w:rsidR="2FEA1A4B">
        <w:rPr>
          <w:rFonts w:ascii="Aptos" w:hAnsi="Aptos" w:eastAsia="Aptos" w:cs="Aptos"/>
          <w:b w:val="1"/>
          <w:bCs w:val="1"/>
          <w:noProof w:val="0"/>
          <w:sz w:val="28"/>
          <w:szCs w:val="28"/>
          <w:lang w:val="en-GB"/>
        </w:rPr>
        <w:t xml:space="preserve">5.Conclusion </w:t>
      </w:r>
    </w:p>
    <w:p w:rsidR="2FEA1A4B" w:rsidP="4DF95668" w:rsidRDefault="2FEA1A4B" w14:paraId="10D6C615" w14:textId="76AF357E">
      <w:pPr>
        <w:jc w:val="both"/>
      </w:pPr>
      <w:r w:rsidRPr="4DF95668" w:rsidR="2FEA1A4B">
        <w:rPr>
          <w:rFonts w:ascii="Aptos" w:hAnsi="Aptos" w:eastAsia="Aptos" w:cs="Aptos"/>
          <w:noProof w:val="0"/>
          <w:sz w:val="24"/>
          <w:szCs w:val="24"/>
          <w:lang w:val="en-GB"/>
        </w:rPr>
        <w:t>In conclusion, I now have a better grasp of how to write an international industry report thanks to the research and writing process. I discovered that a strong report requires rigorous analysis, pertinent frameworks, solid facts, and a clear country-industry-MNC focus.</w:t>
      </w:r>
    </w:p>
    <w:p w:rsidR="2FEA1A4B" w:rsidP="4DF95668" w:rsidRDefault="2FEA1A4B" w14:paraId="08BAED5F" w14:textId="6ADC0209">
      <w:pPr>
        <w:jc w:val="both"/>
      </w:pPr>
      <w:r w:rsidRPr="4DF95668" w:rsidR="2FEA1A4B">
        <w:rPr>
          <w:rFonts w:ascii="Aptos" w:hAnsi="Aptos" w:eastAsia="Aptos" w:cs="Aptos"/>
          <w:noProof w:val="0"/>
          <w:sz w:val="24"/>
          <w:szCs w:val="24"/>
          <w:lang w:val="en-GB"/>
        </w:rPr>
        <w:t>The key finding was that while Australia is very competitive in the mining of important minerals, its processing capacity is still growing. As a result, rather than exaggerating Australia's competitiveness, the report had to make a fair case.</w:t>
      </w:r>
    </w:p>
    <w:p w:rsidR="2FEA1A4B" w:rsidP="4DF95668" w:rsidRDefault="2FEA1A4B" w14:paraId="09C97064" w14:textId="66223A3A">
      <w:pPr>
        <w:jc w:val="both"/>
      </w:pPr>
      <w:r w:rsidRPr="4DF95668" w:rsidR="2FEA1A4B">
        <w:rPr>
          <w:rFonts w:ascii="Aptos" w:hAnsi="Aptos" w:eastAsia="Aptos" w:cs="Aptos"/>
          <w:noProof w:val="0"/>
          <w:sz w:val="24"/>
          <w:szCs w:val="24"/>
          <w:lang w:val="en-GB"/>
        </w:rPr>
        <w:t>I also discovered that analysis is strengthened when theory and evidence are combined. The thesis was supported by statistics from international and governmental sources, and Porter's Diamond offered structure. By connecting cultural and risk-management concerns to Tianqi's situation, Hofstede and forward-market analysis offered depth.</w:t>
      </w:r>
    </w:p>
    <w:p w:rsidR="4DF95668" w:rsidP="4DF95668" w:rsidRDefault="4DF95668" w14:paraId="1BED9871" w14:textId="7D254919">
      <w:pPr>
        <w:pStyle w:val="Normal"/>
        <w:ind w:left="0"/>
        <w:jc w:val="both"/>
        <w:rPr>
          <w:rFonts w:ascii="Aptos" w:hAnsi="Aptos" w:eastAsia="Aptos" w:cs="Aptos"/>
          <w:noProof w:val="0"/>
          <w:sz w:val="24"/>
          <w:szCs w:val="24"/>
          <w:lang w:val="en-GB"/>
        </w:rPr>
      </w:pPr>
    </w:p>
    <w:p w:rsidR="7F55911A" w:rsidP="3702754F" w:rsidRDefault="7F55911A" w14:paraId="1375815B" w14:textId="57E5173E">
      <w:pPr>
        <w:pStyle w:val="Normal"/>
        <w:ind w:left="0"/>
        <w:jc w:val="both"/>
        <w:rPr>
          <w:rFonts w:ascii="Aptos" w:hAnsi="Aptos" w:eastAsia="Aptos" w:cs="Aptos"/>
          <w:b w:val="1"/>
          <w:bCs w:val="1"/>
          <w:noProof w:val="0"/>
          <w:sz w:val="36"/>
          <w:szCs w:val="36"/>
          <w:lang w:val="en-GB"/>
        </w:rPr>
      </w:pPr>
    </w:p>
    <w:p w:rsidR="7F55911A" w:rsidP="3702754F" w:rsidRDefault="7F55911A" w14:paraId="186B8800" w14:textId="01723732">
      <w:pPr>
        <w:pStyle w:val="Normal"/>
        <w:ind w:left="0"/>
        <w:jc w:val="both"/>
        <w:rPr>
          <w:rFonts w:ascii="Aptos" w:hAnsi="Aptos" w:eastAsia="Aptos" w:cs="Aptos"/>
          <w:b w:val="1"/>
          <w:bCs w:val="1"/>
          <w:noProof w:val="0"/>
          <w:sz w:val="36"/>
          <w:szCs w:val="36"/>
          <w:lang w:val="en-GB"/>
        </w:rPr>
      </w:pPr>
    </w:p>
    <w:p w:rsidR="7F55911A" w:rsidP="3702754F" w:rsidRDefault="7F55911A" w14:paraId="3587AD73" w14:textId="4545AF51">
      <w:pPr>
        <w:pStyle w:val="Normal"/>
        <w:ind w:left="0"/>
        <w:jc w:val="both"/>
        <w:rPr>
          <w:rFonts w:ascii="Aptos" w:hAnsi="Aptos" w:eastAsia="Aptos" w:cs="Aptos"/>
          <w:b w:val="1"/>
          <w:bCs w:val="1"/>
          <w:noProof w:val="0"/>
          <w:sz w:val="36"/>
          <w:szCs w:val="36"/>
          <w:lang w:val="en-GB"/>
        </w:rPr>
      </w:pPr>
    </w:p>
    <w:p w:rsidR="7F55911A" w:rsidP="3702754F" w:rsidRDefault="7F55911A" w14:paraId="0B5CD037" w14:textId="48CDEDD4">
      <w:pPr>
        <w:pStyle w:val="Normal"/>
        <w:ind w:left="0"/>
        <w:jc w:val="both"/>
        <w:rPr>
          <w:rFonts w:ascii="Aptos" w:hAnsi="Aptos" w:eastAsia="Aptos" w:cs="Aptos"/>
          <w:b w:val="1"/>
          <w:bCs w:val="1"/>
          <w:noProof w:val="0"/>
          <w:sz w:val="36"/>
          <w:szCs w:val="36"/>
          <w:lang w:val="en-GB"/>
        </w:rPr>
      </w:pPr>
    </w:p>
    <w:p w:rsidR="7F55911A" w:rsidP="3702754F" w:rsidRDefault="7F55911A" w14:paraId="07DE352C" w14:textId="463BA0AB">
      <w:pPr>
        <w:pStyle w:val="Normal"/>
        <w:ind w:left="0"/>
        <w:jc w:val="both"/>
        <w:rPr>
          <w:rFonts w:ascii="Aptos" w:hAnsi="Aptos" w:eastAsia="Aptos" w:cs="Aptos"/>
          <w:b w:val="1"/>
          <w:bCs w:val="1"/>
          <w:noProof w:val="0"/>
          <w:sz w:val="36"/>
          <w:szCs w:val="36"/>
          <w:lang w:val="en-GB"/>
        </w:rPr>
      </w:pPr>
    </w:p>
    <w:p w:rsidR="7F55911A" w:rsidP="3702754F" w:rsidRDefault="7F55911A" w14:paraId="2F80BA1E" w14:textId="5B4D590F">
      <w:pPr>
        <w:pStyle w:val="Normal"/>
        <w:ind w:left="0"/>
        <w:jc w:val="both"/>
        <w:rPr>
          <w:rFonts w:ascii="Aptos" w:hAnsi="Aptos" w:eastAsia="Aptos" w:cs="Aptos"/>
          <w:b w:val="1"/>
          <w:bCs w:val="1"/>
          <w:noProof w:val="0"/>
          <w:sz w:val="36"/>
          <w:szCs w:val="36"/>
          <w:lang w:val="en-GB"/>
        </w:rPr>
      </w:pPr>
    </w:p>
    <w:p w:rsidR="7F55911A" w:rsidP="3702754F" w:rsidRDefault="7F55911A" w14:paraId="39FFAAAC" w14:textId="3A2E53A9">
      <w:pPr>
        <w:pStyle w:val="Normal"/>
        <w:ind w:left="0"/>
        <w:jc w:val="both"/>
        <w:rPr>
          <w:rFonts w:ascii="Aptos" w:hAnsi="Aptos" w:eastAsia="Aptos" w:cs="Aptos"/>
          <w:b w:val="1"/>
          <w:bCs w:val="1"/>
          <w:noProof w:val="0"/>
          <w:sz w:val="36"/>
          <w:szCs w:val="36"/>
          <w:lang w:val="en-GB"/>
        </w:rPr>
      </w:pPr>
    </w:p>
    <w:p w:rsidR="7F55911A" w:rsidP="3702754F" w:rsidRDefault="7F55911A" w14:paraId="6177C103" w14:textId="075B0E1F">
      <w:pPr>
        <w:pStyle w:val="Normal"/>
        <w:ind w:left="0"/>
        <w:jc w:val="both"/>
        <w:rPr>
          <w:rFonts w:ascii="Aptos" w:hAnsi="Aptos" w:eastAsia="Aptos" w:cs="Aptos"/>
          <w:b w:val="1"/>
          <w:bCs w:val="1"/>
          <w:noProof w:val="0"/>
          <w:sz w:val="36"/>
          <w:szCs w:val="36"/>
          <w:lang w:val="en-GB"/>
        </w:rPr>
      </w:pPr>
    </w:p>
    <w:p w:rsidR="7F55911A" w:rsidP="3702754F" w:rsidRDefault="7F55911A" w14:paraId="1386EC34" w14:textId="1628F5E3">
      <w:pPr>
        <w:pStyle w:val="Normal"/>
        <w:ind w:left="0"/>
        <w:jc w:val="both"/>
        <w:rPr>
          <w:rFonts w:ascii="Aptos" w:hAnsi="Aptos" w:eastAsia="Aptos" w:cs="Aptos"/>
          <w:b w:val="1"/>
          <w:bCs w:val="1"/>
          <w:noProof w:val="0"/>
          <w:sz w:val="36"/>
          <w:szCs w:val="36"/>
          <w:lang w:val="en-GB"/>
        </w:rPr>
      </w:pPr>
    </w:p>
    <w:p w:rsidR="7F55911A" w:rsidP="3702754F" w:rsidRDefault="7F55911A" w14:paraId="17DB6C6C" w14:textId="0B453BEC">
      <w:pPr>
        <w:pStyle w:val="Normal"/>
        <w:ind w:left="0"/>
        <w:jc w:val="both"/>
        <w:rPr>
          <w:rFonts w:ascii="Aptos" w:hAnsi="Aptos" w:eastAsia="Aptos" w:cs="Aptos"/>
          <w:b w:val="1"/>
          <w:bCs w:val="1"/>
          <w:noProof w:val="0"/>
          <w:sz w:val="36"/>
          <w:szCs w:val="36"/>
          <w:lang w:val="en-GB"/>
        </w:rPr>
      </w:pPr>
    </w:p>
    <w:p w:rsidR="7F55911A" w:rsidP="3702754F" w:rsidRDefault="7F55911A" w14:paraId="17469749" w14:textId="557B67DD">
      <w:pPr>
        <w:pStyle w:val="Normal"/>
        <w:ind w:left="0"/>
        <w:jc w:val="both"/>
        <w:rPr>
          <w:rFonts w:ascii="Aptos" w:hAnsi="Aptos" w:eastAsia="Aptos" w:cs="Aptos"/>
          <w:b w:val="1"/>
          <w:bCs w:val="1"/>
          <w:noProof w:val="0"/>
          <w:sz w:val="36"/>
          <w:szCs w:val="36"/>
          <w:lang w:val="en-GB"/>
        </w:rPr>
      </w:pPr>
    </w:p>
    <w:p w:rsidR="7F55911A" w:rsidP="3702754F" w:rsidRDefault="7F55911A" w14:paraId="401C1C41" w14:textId="3F6AECE6">
      <w:pPr>
        <w:pStyle w:val="Normal"/>
        <w:ind w:left="0"/>
        <w:jc w:val="both"/>
        <w:rPr>
          <w:rFonts w:ascii="Aptos" w:hAnsi="Aptos" w:eastAsia="Aptos" w:cs="Aptos"/>
          <w:b w:val="1"/>
          <w:bCs w:val="1"/>
          <w:noProof w:val="0"/>
          <w:sz w:val="36"/>
          <w:szCs w:val="36"/>
          <w:lang w:val="en-GB"/>
        </w:rPr>
      </w:pPr>
    </w:p>
    <w:p w:rsidR="7F55911A" w:rsidP="4DF95668" w:rsidRDefault="7F55911A" w14:paraId="75C66D09" w14:textId="0511F687">
      <w:pPr>
        <w:pStyle w:val="Normal"/>
        <w:ind w:left="0"/>
        <w:jc w:val="both"/>
        <w:rPr>
          <w:rFonts w:ascii="Aptos" w:hAnsi="Aptos" w:eastAsia="Aptos" w:cs="Aptos"/>
          <w:b w:val="1"/>
          <w:bCs w:val="1"/>
          <w:noProof w:val="0"/>
          <w:sz w:val="28"/>
          <w:szCs w:val="28"/>
          <w:lang w:val="en-GB"/>
        </w:rPr>
      </w:pPr>
      <w:r w:rsidRPr="4DF95668" w:rsidR="2FEA1A4B">
        <w:rPr>
          <w:rFonts w:ascii="Aptos" w:hAnsi="Aptos" w:eastAsia="Aptos" w:cs="Aptos"/>
          <w:b w:val="1"/>
          <w:bCs w:val="1"/>
          <w:noProof w:val="0"/>
          <w:sz w:val="28"/>
          <w:szCs w:val="28"/>
          <w:lang w:val="en-GB"/>
        </w:rPr>
        <w:t>6.Action Plan</w:t>
      </w:r>
    </w:p>
    <w:p w:rsidR="4DF95668" w:rsidP="4DF95668" w:rsidRDefault="4DF95668" w14:paraId="05FFB8D2" w14:textId="07EE6255">
      <w:pPr>
        <w:pStyle w:val="Normal"/>
        <w:ind w:left="0"/>
        <w:jc w:val="both"/>
        <w:rPr>
          <w:rFonts w:ascii="Aptos" w:hAnsi="Aptos" w:eastAsia="Aptos" w:cs="Aptos"/>
          <w:b w:val="0"/>
          <w:bCs w:val="0"/>
          <w:noProof w:val="0"/>
          <w:sz w:val="24"/>
          <w:szCs w:val="24"/>
          <w:lang w:val="en-GB"/>
        </w:rPr>
      </w:pPr>
    </w:p>
    <w:p w:rsidR="4E101B08" w:rsidP="4DF95668" w:rsidRDefault="4E101B08" w14:paraId="78DE8270" w14:textId="2FD8908D">
      <w:pPr>
        <w:pStyle w:val="Normal"/>
        <w:ind w:left="0"/>
        <w:jc w:val="both"/>
        <w:rPr>
          <w:rFonts w:ascii="Aptos" w:hAnsi="Aptos" w:eastAsia="Aptos" w:cs="Aptos"/>
          <w:b w:val="0"/>
          <w:bCs w:val="0"/>
          <w:noProof w:val="0"/>
          <w:sz w:val="24"/>
          <w:szCs w:val="24"/>
          <w:lang w:val="en-GB"/>
        </w:rPr>
      </w:pPr>
      <w:r w:rsidRPr="4DF95668" w:rsidR="4E101B08">
        <w:rPr>
          <w:rFonts w:ascii="Aptos" w:hAnsi="Aptos" w:eastAsia="Aptos" w:cs="Aptos"/>
          <w:b w:val="0"/>
          <w:bCs w:val="0"/>
          <w:noProof w:val="0"/>
          <w:sz w:val="24"/>
          <w:szCs w:val="24"/>
          <w:lang w:val="en-GB"/>
        </w:rPr>
        <w:t>In order to focus the research and prevent it from becoming overly descriptive, I would narrow the issue early in future evaluations. In order to arrange academic theory, government statistics, business data, and market reports, I would also start from scratch with a source matrix.</w:t>
      </w:r>
    </w:p>
    <w:p w:rsidR="4E101B08" w:rsidP="4DF95668" w:rsidRDefault="4E101B08" w14:paraId="424B9BD0" w14:textId="1DB1FF6E">
      <w:pPr>
        <w:pStyle w:val="Normal"/>
        <w:ind w:left="0"/>
        <w:jc w:val="both"/>
      </w:pPr>
      <w:r w:rsidRPr="4DF95668" w:rsidR="4E101B08">
        <w:rPr>
          <w:rFonts w:ascii="Aptos" w:hAnsi="Aptos" w:eastAsia="Aptos" w:cs="Aptos"/>
          <w:b w:val="0"/>
          <w:bCs w:val="0"/>
          <w:noProof w:val="0"/>
          <w:sz w:val="24"/>
          <w:szCs w:val="24"/>
          <w:lang w:val="en-GB"/>
        </w:rPr>
        <w:t xml:space="preserve"> </w:t>
      </w:r>
    </w:p>
    <w:p w:rsidR="4E101B08" w:rsidP="4DF95668" w:rsidRDefault="4E101B08" w14:paraId="1D99611E" w14:textId="1B66C95B">
      <w:pPr>
        <w:pStyle w:val="Normal"/>
        <w:ind w:left="0"/>
        <w:jc w:val="both"/>
      </w:pPr>
      <w:r w:rsidRPr="4DF95668" w:rsidR="4E101B08">
        <w:rPr>
          <w:rFonts w:ascii="Aptos" w:hAnsi="Aptos" w:eastAsia="Aptos" w:cs="Aptos"/>
          <w:b w:val="0"/>
          <w:bCs w:val="0"/>
          <w:noProof w:val="0"/>
          <w:sz w:val="24"/>
          <w:szCs w:val="24"/>
          <w:lang w:val="en-GB"/>
        </w:rPr>
        <w:t>In order to strengthen the argument, I would create visual proof earlier in the process, such as graphs on production, processing capacity, and demand. Porter's Diamond for competitiveness, PESTEL for the market environment, Hofstede for cultural management, and forward-market analysis for price-risk strategy are some of the frameworks I would still use, but I would make sure each had a distinct function. Future reports would be more professional, coherent, and focused as a re</w:t>
      </w:r>
    </w:p>
    <w:p w:rsidR="4DF95668" w:rsidP="4DF95668" w:rsidRDefault="4DF95668" w14:paraId="4B2D2B28" w14:textId="3C2F1705">
      <w:pPr>
        <w:pStyle w:val="Normal"/>
        <w:ind w:left="0"/>
        <w:jc w:val="both"/>
        <w:rPr>
          <w:rFonts w:ascii="Aptos" w:hAnsi="Aptos" w:eastAsia="Aptos" w:cs="Aptos"/>
          <w:b w:val="0"/>
          <w:bCs w:val="0"/>
          <w:noProof w:val="0"/>
          <w:sz w:val="24"/>
          <w:szCs w:val="24"/>
          <w:lang w:val="en-GB"/>
        </w:rPr>
      </w:pPr>
    </w:p>
    <w:p w:rsidR="7F55911A" w:rsidP="3702754F" w:rsidRDefault="7F55911A" w14:paraId="1CCA487E" w14:textId="1C2A3D25">
      <w:pPr>
        <w:pStyle w:val="Normal"/>
        <w:ind w:left="0"/>
        <w:jc w:val="both"/>
        <w:rPr>
          <w:rFonts w:ascii="Aptos" w:hAnsi="Aptos" w:eastAsia="Aptos" w:cs="Aptos"/>
          <w:b w:val="1"/>
          <w:bCs w:val="1"/>
          <w:noProof w:val="0"/>
          <w:sz w:val="36"/>
          <w:szCs w:val="36"/>
          <w:lang w:val="en-GB"/>
        </w:rPr>
      </w:pPr>
    </w:p>
    <w:p w:rsidR="7F55911A" w:rsidP="4DF95668" w:rsidRDefault="7F55911A" w14:paraId="5CC7852E" w14:textId="5070F6A9">
      <w:pPr>
        <w:pStyle w:val="Normal"/>
        <w:ind w:left="0"/>
        <w:jc w:val="both"/>
        <w:rPr>
          <w:rFonts w:ascii="Aptos" w:hAnsi="Aptos" w:eastAsia="Aptos" w:cs="Aptos"/>
          <w:b w:val="1"/>
          <w:bCs w:val="1"/>
          <w:noProof w:val="0"/>
          <w:sz w:val="36"/>
          <w:szCs w:val="36"/>
          <w:lang w:val="en-GB"/>
        </w:rPr>
      </w:pPr>
    </w:p>
    <w:p w:rsidR="7F55911A" w:rsidP="4DF95668" w:rsidRDefault="7F55911A" w14:paraId="7A1F962A" w14:textId="7E86A0B6">
      <w:pPr>
        <w:pStyle w:val="Normal"/>
        <w:ind w:left="0"/>
        <w:jc w:val="both"/>
        <w:rPr>
          <w:rFonts w:ascii="Aptos" w:hAnsi="Aptos" w:eastAsia="Aptos" w:cs="Aptos"/>
          <w:b w:val="1"/>
          <w:bCs w:val="1"/>
          <w:noProof w:val="0"/>
          <w:sz w:val="36"/>
          <w:szCs w:val="36"/>
          <w:lang w:val="en-GB"/>
        </w:rPr>
      </w:pPr>
    </w:p>
    <w:p w:rsidR="7F55911A" w:rsidP="4DF95668" w:rsidRDefault="7F55911A" w14:paraId="5668C04B" w14:textId="0D29B3FE">
      <w:pPr>
        <w:pStyle w:val="Normal"/>
        <w:ind w:left="0"/>
        <w:jc w:val="both"/>
        <w:rPr>
          <w:rFonts w:ascii="Aptos" w:hAnsi="Aptos" w:eastAsia="Aptos" w:cs="Aptos"/>
          <w:b w:val="1"/>
          <w:bCs w:val="1"/>
          <w:noProof w:val="0"/>
          <w:sz w:val="36"/>
          <w:szCs w:val="36"/>
          <w:lang w:val="en-GB"/>
        </w:rPr>
      </w:pPr>
    </w:p>
    <w:p w:rsidR="7F55911A" w:rsidP="4DF95668" w:rsidRDefault="7F55911A" w14:paraId="0BCE2EE0" w14:textId="171721AD">
      <w:pPr>
        <w:pStyle w:val="Normal"/>
        <w:ind w:left="0"/>
        <w:jc w:val="both"/>
        <w:rPr>
          <w:rFonts w:ascii="Aptos" w:hAnsi="Aptos" w:eastAsia="Aptos" w:cs="Aptos"/>
          <w:b w:val="1"/>
          <w:bCs w:val="1"/>
          <w:noProof w:val="0"/>
          <w:sz w:val="36"/>
          <w:szCs w:val="36"/>
          <w:lang w:val="en-GB"/>
        </w:rPr>
      </w:pPr>
    </w:p>
    <w:p w:rsidR="7F55911A" w:rsidP="4DF95668" w:rsidRDefault="7F55911A" w14:paraId="456782AB" w14:textId="2903FCE1">
      <w:pPr>
        <w:pStyle w:val="Normal"/>
        <w:ind w:left="0"/>
        <w:jc w:val="both"/>
        <w:rPr>
          <w:rFonts w:ascii="Aptos" w:hAnsi="Aptos" w:eastAsia="Aptos" w:cs="Aptos"/>
          <w:b w:val="1"/>
          <w:bCs w:val="1"/>
          <w:noProof w:val="0"/>
          <w:sz w:val="36"/>
          <w:szCs w:val="36"/>
          <w:lang w:val="en-GB"/>
        </w:rPr>
      </w:pPr>
    </w:p>
    <w:p w:rsidR="7F55911A" w:rsidP="4DF95668" w:rsidRDefault="7F55911A" w14:paraId="71557AC6" w14:textId="31515BAF">
      <w:pPr>
        <w:pStyle w:val="Normal"/>
        <w:ind w:left="0"/>
        <w:jc w:val="both"/>
        <w:rPr>
          <w:rFonts w:ascii="Aptos" w:hAnsi="Aptos" w:eastAsia="Aptos" w:cs="Aptos"/>
          <w:b w:val="1"/>
          <w:bCs w:val="1"/>
          <w:noProof w:val="0"/>
          <w:sz w:val="36"/>
          <w:szCs w:val="36"/>
          <w:lang w:val="en-GB"/>
        </w:rPr>
      </w:pPr>
    </w:p>
    <w:p w:rsidR="7F55911A" w:rsidP="4DF95668" w:rsidRDefault="7F55911A" w14:paraId="2833EC9F" w14:textId="10BFDC15">
      <w:pPr>
        <w:pStyle w:val="Normal"/>
        <w:ind w:left="0"/>
        <w:jc w:val="both"/>
        <w:rPr>
          <w:rFonts w:ascii="Aptos" w:hAnsi="Aptos" w:eastAsia="Aptos" w:cs="Aptos"/>
          <w:b w:val="1"/>
          <w:bCs w:val="1"/>
          <w:noProof w:val="0"/>
          <w:sz w:val="36"/>
          <w:szCs w:val="36"/>
          <w:lang w:val="en-GB"/>
        </w:rPr>
      </w:pPr>
    </w:p>
    <w:p w:rsidR="7F55911A" w:rsidP="4DF95668" w:rsidRDefault="7F55911A" w14:paraId="34429A0E" w14:textId="153CE9DD">
      <w:pPr>
        <w:pStyle w:val="Normal"/>
        <w:ind w:left="0"/>
        <w:jc w:val="both"/>
        <w:rPr>
          <w:rFonts w:ascii="Aptos" w:hAnsi="Aptos" w:eastAsia="Aptos" w:cs="Aptos"/>
          <w:b w:val="1"/>
          <w:bCs w:val="1"/>
          <w:noProof w:val="0"/>
          <w:sz w:val="36"/>
          <w:szCs w:val="36"/>
          <w:lang w:val="en-GB"/>
        </w:rPr>
      </w:pPr>
    </w:p>
    <w:p w:rsidR="7F55911A" w:rsidP="4DF95668" w:rsidRDefault="7F55911A" w14:paraId="41D6EB9D" w14:textId="5D2CEAD4">
      <w:pPr>
        <w:pStyle w:val="Normal"/>
        <w:ind w:left="0"/>
        <w:jc w:val="both"/>
        <w:rPr>
          <w:rFonts w:ascii="Aptos" w:hAnsi="Aptos" w:eastAsia="Aptos" w:cs="Aptos"/>
          <w:b w:val="1"/>
          <w:bCs w:val="1"/>
          <w:noProof w:val="0"/>
          <w:sz w:val="36"/>
          <w:szCs w:val="36"/>
          <w:lang w:val="en-GB"/>
        </w:rPr>
      </w:pPr>
    </w:p>
    <w:p w:rsidR="7F55911A" w:rsidP="4DF95668" w:rsidRDefault="7F55911A" w14:paraId="7A6D8FCD" w14:textId="6EC759D7">
      <w:pPr>
        <w:pStyle w:val="Normal"/>
        <w:ind w:left="0"/>
        <w:jc w:val="both"/>
        <w:rPr>
          <w:rFonts w:ascii="Aptos" w:hAnsi="Aptos" w:eastAsia="Aptos" w:cs="Aptos"/>
          <w:b w:val="1"/>
          <w:bCs w:val="1"/>
          <w:noProof w:val="0"/>
          <w:sz w:val="36"/>
          <w:szCs w:val="36"/>
          <w:lang w:val="en-GB"/>
        </w:rPr>
      </w:pPr>
    </w:p>
    <w:p w:rsidR="7F55911A" w:rsidP="4DF95668" w:rsidRDefault="7F55911A" w14:paraId="3050C22C" w14:textId="6CFCB61D">
      <w:pPr>
        <w:pStyle w:val="Normal"/>
        <w:ind w:left="0"/>
        <w:jc w:val="both"/>
        <w:rPr>
          <w:rFonts w:ascii="Aptos" w:hAnsi="Aptos" w:eastAsia="Aptos" w:cs="Aptos"/>
          <w:b w:val="1"/>
          <w:bCs w:val="1"/>
          <w:noProof w:val="0"/>
          <w:sz w:val="36"/>
          <w:szCs w:val="36"/>
          <w:lang w:val="en-GB"/>
        </w:rPr>
      </w:pPr>
    </w:p>
    <w:p w:rsidR="7F55911A" w:rsidP="4DF95668" w:rsidRDefault="7F55911A" w14:paraId="7361EFD2" w14:textId="253167A6">
      <w:pPr>
        <w:pStyle w:val="Normal"/>
        <w:ind w:left="0"/>
        <w:jc w:val="both"/>
        <w:rPr>
          <w:rFonts w:ascii="Aptos" w:hAnsi="Aptos" w:eastAsia="Aptos" w:cs="Aptos"/>
          <w:b w:val="1"/>
          <w:bCs w:val="1"/>
          <w:noProof w:val="0"/>
          <w:sz w:val="36"/>
          <w:szCs w:val="36"/>
          <w:lang w:val="en-GB"/>
        </w:rPr>
      </w:pPr>
    </w:p>
    <w:p w:rsidR="7F55911A" w:rsidP="4DF95668" w:rsidRDefault="7F55911A" w14:paraId="0A2F0DB5" w14:textId="5D3E5BD5">
      <w:pPr>
        <w:pStyle w:val="Normal"/>
        <w:ind w:left="0"/>
        <w:jc w:val="both"/>
        <w:rPr>
          <w:rFonts w:ascii="Aptos" w:hAnsi="Aptos" w:eastAsia="Aptos" w:cs="Aptos"/>
          <w:b w:val="1"/>
          <w:bCs w:val="1"/>
          <w:noProof w:val="0"/>
          <w:sz w:val="36"/>
          <w:szCs w:val="36"/>
          <w:lang w:val="en-GB"/>
        </w:rPr>
      </w:pPr>
    </w:p>
    <w:p w:rsidR="7F55911A" w:rsidP="4DF95668" w:rsidRDefault="7F55911A" w14:paraId="132BE309" w14:textId="60F3872C">
      <w:pPr>
        <w:pStyle w:val="Normal"/>
        <w:ind w:left="0"/>
        <w:jc w:val="both"/>
        <w:rPr>
          <w:rFonts w:ascii="Aptos" w:hAnsi="Aptos" w:eastAsia="Aptos" w:cs="Aptos"/>
          <w:b w:val="1"/>
          <w:bCs w:val="1"/>
          <w:noProof w:val="0"/>
          <w:sz w:val="36"/>
          <w:szCs w:val="36"/>
          <w:lang w:val="en-GB"/>
        </w:rPr>
      </w:pPr>
    </w:p>
    <w:p w:rsidR="7F55911A" w:rsidP="4DF95668" w:rsidRDefault="7F55911A" w14:paraId="09E2F8ED" w14:textId="4D079105">
      <w:pPr>
        <w:pStyle w:val="Normal"/>
        <w:ind w:left="0"/>
        <w:jc w:val="both"/>
        <w:rPr>
          <w:rFonts w:ascii="Aptos" w:hAnsi="Aptos" w:eastAsia="Aptos" w:cs="Aptos"/>
          <w:b w:val="1"/>
          <w:bCs w:val="1"/>
          <w:noProof w:val="0"/>
          <w:sz w:val="36"/>
          <w:szCs w:val="36"/>
          <w:lang w:val="en-GB"/>
        </w:rPr>
      </w:pPr>
    </w:p>
    <w:p w:rsidR="7F55911A" w:rsidP="4DF95668" w:rsidRDefault="7F55911A" w14:paraId="3E9D56E1" w14:textId="5D4CF0E2">
      <w:pPr>
        <w:pStyle w:val="Normal"/>
        <w:ind w:left="0"/>
        <w:jc w:val="both"/>
        <w:rPr>
          <w:rFonts w:ascii="Aptos" w:hAnsi="Aptos" w:eastAsia="Aptos" w:cs="Aptos"/>
          <w:b w:val="1"/>
          <w:bCs w:val="1"/>
          <w:noProof w:val="0"/>
          <w:sz w:val="36"/>
          <w:szCs w:val="36"/>
          <w:lang w:val="en-GB"/>
        </w:rPr>
      </w:pPr>
    </w:p>
    <w:p w:rsidR="7F55911A" w:rsidP="4DF95668" w:rsidRDefault="7F55911A" w14:paraId="353BE26C" w14:textId="7D3BEE3E">
      <w:pPr>
        <w:pStyle w:val="Normal"/>
        <w:ind w:left="0"/>
        <w:jc w:val="both"/>
        <w:rPr>
          <w:rFonts w:ascii="Aptos" w:hAnsi="Aptos" w:eastAsia="Aptos" w:cs="Aptos"/>
          <w:b w:val="1"/>
          <w:bCs w:val="1"/>
          <w:noProof w:val="0"/>
          <w:sz w:val="36"/>
          <w:szCs w:val="36"/>
          <w:lang w:val="en-GB"/>
        </w:rPr>
      </w:pPr>
    </w:p>
    <w:p w:rsidR="7F55911A" w:rsidP="4DF95668" w:rsidRDefault="7F55911A" w14:paraId="3F4F948A" w14:textId="2CD8BDDE">
      <w:pPr>
        <w:pStyle w:val="Normal"/>
        <w:ind w:left="0"/>
        <w:jc w:val="both"/>
        <w:rPr>
          <w:rFonts w:ascii="Aptos" w:hAnsi="Aptos" w:eastAsia="Aptos" w:cs="Aptos"/>
          <w:b w:val="1"/>
          <w:bCs w:val="1"/>
          <w:noProof w:val="0"/>
          <w:sz w:val="36"/>
          <w:szCs w:val="36"/>
          <w:lang w:val="en-GB"/>
        </w:rPr>
      </w:pPr>
    </w:p>
    <w:p w:rsidR="7F55911A" w:rsidP="4DF95668" w:rsidRDefault="7F55911A" w14:paraId="54068160" w14:textId="68EA0EF0">
      <w:pPr>
        <w:pStyle w:val="Normal"/>
        <w:ind w:left="0"/>
        <w:jc w:val="both"/>
        <w:rPr>
          <w:rFonts w:ascii="Aptos" w:hAnsi="Aptos" w:eastAsia="Aptos" w:cs="Aptos"/>
          <w:b w:val="1"/>
          <w:bCs w:val="1"/>
          <w:noProof w:val="0"/>
          <w:sz w:val="36"/>
          <w:szCs w:val="36"/>
          <w:lang w:val="en-GB"/>
        </w:rPr>
      </w:pPr>
    </w:p>
    <w:p w:rsidR="7F55911A" w:rsidP="4DF95668" w:rsidRDefault="7F55911A" w14:paraId="70B1E444" w14:textId="588DDF24">
      <w:pPr>
        <w:pStyle w:val="Normal"/>
        <w:ind w:left="0"/>
        <w:jc w:val="both"/>
        <w:rPr>
          <w:rFonts w:ascii="Aptos" w:hAnsi="Aptos" w:eastAsia="Aptos" w:cs="Aptos"/>
          <w:b w:val="1"/>
          <w:bCs w:val="1"/>
          <w:noProof w:val="0"/>
          <w:sz w:val="36"/>
          <w:szCs w:val="36"/>
          <w:lang w:val="en-GB"/>
        </w:rPr>
      </w:pPr>
    </w:p>
    <w:p w:rsidR="7F55911A" w:rsidP="4DF95668" w:rsidRDefault="7F55911A" w14:paraId="6E96A817" w14:textId="306FBEF9">
      <w:pPr>
        <w:pStyle w:val="Normal"/>
        <w:ind w:left="0"/>
        <w:jc w:val="both"/>
        <w:rPr>
          <w:rFonts w:ascii="Aptos" w:hAnsi="Aptos" w:eastAsia="Aptos" w:cs="Aptos"/>
          <w:b w:val="1"/>
          <w:bCs w:val="1"/>
          <w:noProof w:val="0"/>
          <w:sz w:val="36"/>
          <w:szCs w:val="36"/>
          <w:lang w:val="en-GB"/>
        </w:rPr>
      </w:pPr>
    </w:p>
    <w:p w:rsidR="7F55911A" w:rsidP="695E7775" w:rsidRDefault="7F55911A" w14:paraId="05210378" w14:textId="49D3CE34">
      <w:pPr>
        <w:pStyle w:val="Normal"/>
        <w:ind w:left="0"/>
        <w:jc w:val="both"/>
        <w:rPr>
          <w:rFonts w:ascii="Aptos" w:hAnsi="Aptos" w:eastAsia="Aptos" w:cs="Aptos"/>
          <w:noProof w:val="0"/>
          <w:sz w:val="24"/>
          <w:szCs w:val="24"/>
          <w:lang w:val="en-GB"/>
        </w:rPr>
      </w:pPr>
      <w:r w:rsidRPr="4DF95668" w:rsidR="7F55911A">
        <w:rPr>
          <w:rFonts w:ascii="Aptos" w:hAnsi="Aptos" w:eastAsia="Aptos" w:cs="Aptos"/>
          <w:b w:val="1"/>
          <w:bCs w:val="1"/>
          <w:noProof w:val="0"/>
          <w:sz w:val="36"/>
          <w:szCs w:val="36"/>
          <w:lang w:val="en-GB"/>
        </w:rPr>
        <w:t>REFERENCES</w:t>
      </w:r>
    </w:p>
    <w:p w:rsidR="4DF95668" w:rsidP="4DF95668" w:rsidRDefault="4DF95668" w14:paraId="49BF2C84" w14:textId="4879F626">
      <w:pPr>
        <w:pStyle w:val="Normal"/>
        <w:ind w:left="0"/>
        <w:jc w:val="both"/>
        <w:rPr>
          <w:rFonts w:ascii="Aptos" w:hAnsi="Aptos" w:eastAsia="Aptos" w:cs="Aptos"/>
          <w:b w:val="1"/>
          <w:bCs w:val="1"/>
          <w:noProof w:val="0"/>
          <w:sz w:val="36"/>
          <w:szCs w:val="36"/>
          <w:lang w:val="en-GB"/>
        </w:rPr>
      </w:pPr>
    </w:p>
    <w:p w:rsidR="0E864ECA" w:rsidP="4DF95668" w:rsidRDefault="0E864ECA" w14:paraId="2250B970" w14:textId="043E19F8">
      <w:pPr>
        <w:spacing w:before="240" w:beforeAutospacing="off" w:after="240" w:afterAutospacing="off"/>
        <w:jc w:val="both"/>
      </w:pPr>
      <w:r w:rsidRPr="4DF95668" w:rsidR="0E864ECA">
        <w:rPr>
          <w:rFonts w:ascii="Aptos" w:hAnsi="Aptos" w:eastAsia="Aptos" w:cs="Aptos"/>
          <w:noProof w:val="0"/>
          <w:sz w:val="24"/>
          <w:szCs w:val="24"/>
          <w:lang w:val="en-GB"/>
        </w:rPr>
        <w:t xml:space="preserve">Abdelkawy, N.A. 2026, ‘National competitiveness and economic transformation in Saudi Arabia: a conceptual analysis using Porter’s Diamond Model’, </w:t>
      </w:r>
      <w:r w:rsidRPr="4DF95668" w:rsidR="0E864ECA">
        <w:rPr>
          <w:rFonts w:ascii="Aptos" w:hAnsi="Aptos" w:eastAsia="Aptos" w:cs="Aptos"/>
          <w:i w:val="1"/>
          <w:iCs w:val="1"/>
          <w:noProof w:val="0"/>
          <w:sz w:val="24"/>
          <w:szCs w:val="24"/>
          <w:lang w:val="en-GB"/>
        </w:rPr>
        <w:t>Systems</w:t>
      </w:r>
      <w:r w:rsidRPr="4DF95668" w:rsidR="0E864ECA">
        <w:rPr>
          <w:rFonts w:ascii="Aptos" w:hAnsi="Aptos" w:eastAsia="Aptos" w:cs="Aptos"/>
          <w:noProof w:val="0"/>
          <w:sz w:val="24"/>
          <w:szCs w:val="24"/>
          <w:lang w:val="en-GB"/>
        </w:rPr>
        <w:t xml:space="preserve">, vol. 14, no. 4, article 338. Available at: </w:t>
      </w:r>
      <w:hyperlink r:id="Re888391d7d41402c">
        <w:r w:rsidRPr="4DF95668" w:rsidR="0E864ECA">
          <w:rPr>
            <w:rStyle w:val="Hyperlink"/>
            <w:rFonts w:ascii="Aptos" w:hAnsi="Aptos" w:eastAsia="Aptos" w:cs="Aptos"/>
            <w:noProof w:val="0"/>
            <w:sz w:val="24"/>
            <w:szCs w:val="24"/>
            <w:lang w:val="en-GB"/>
          </w:rPr>
          <w:t>https://doi.org/10.3390/systems14040338</w:t>
        </w:r>
      </w:hyperlink>
      <w:r w:rsidRPr="4DF95668" w:rsidR="0E864ECA">
        <w:rPr>
          <w:rFonts w:ascii="Aptos" w:hAnsi="Aptos" w:eastAsia="Aptos" w:cs="Aptos"/>
          <w:noProof w:val="0"/>
          <w:sz w:val="24"/>
          <w:szCs w:val="24"/>
          <w:lang w:val="en-GB"/>
        </w:rPr>
        <w:t>.</w:t>
      </w:r>
    </w:p>
    <w:p w:rsidR="0E864ECA" w:rsidP="4DF95668" w:rsidRDefault="0E864ECA" w14:paraId="39C41F01" w14:textId="0E5C692A">
      <w:pPr>
        <w:spacing w:before="240" w:beforeAutospacing="off" w:after="240" w:afterAutospacing="off"/>
        <w:jc w:val="both"/>
      </w:pPr>
      <w:r w:rsidRPr="4DF95668" w:rsidR="0E864ECA">
        <w:rPr>
          <w:rFonts w:ascii="Aptos" w:hAnsi="Aptos" w:eastAsia="Aptos" w:cs="Aptos"/>
          <w:noProof w:val="0"/>
          <w:sz w:val="24"/>
          <w:szCs w:val="24"/>
          <w:lang w:val="en-GB"/>
        </w:rPr>
        <w:t xml:space="preserve">Afzal, M., Lawrey, R. and Gope, J. 2019, ‘Understanding national innovation system (NIS) using Porter’s Diamond Model (PDM) of competitiveness in ASEAN-05’, </w:t>
      </w:r>
      <w:r w:rsidRPr="4DF95668" w:rsidR="0E864ECA">
        <w:rPr>
          <w:rFonts w:ascii="Aptos" w:hAnsi="Aptos" w:eastAsia="Aptos" w:cs="Aptos"/>
          <w:i w:val="1"/>
          <w:iCs w:val="1"/>
          <w:noProof w:val="0"/>
          <w:sz w:val="24"/>
          <w:szCs w:val="24"/>
          <w:lang w:val="en-GB"/>
        </w:rPr>
        <w:t>Competitiveness Review</w:t>
      </w:r>
      <w:r w:rsidRPr="4DF95668" w:rsidR="0E864ECA">
        <w:rPr>
          <w:rFonts w:ascii="Aptos" w:hAnsi="Aptos" w:eastAsia="Aptos" w:cs="Aptos"/>
          <w:noProof w:val="0"/>
          <w:sz w:val="24"/>
          <w:szCs w:val="24"/>
          <w:lang w:val="en-GB"/>
        </w:rPr>
        <w:t xml:space="preserve">, vol. 29, no. 4, pp. 336–355. Available at: </w:t>
      </w:r>
      <w:hyperlink r:id="R91503f491c6f43fe">
        <w:r w:rsidRPr="4DF95668" w:rsidR="0E864ECA">
          <w:rPr>
            <w:rStyle w:val="Hyperlink"/>
            <w:rFonts w:ascii="Aptos" w:hAnsi="Aptos" w:eastAsia="Aptos" w:cs="Aptos"/>
            <w:noProof w:val="0"/>
            <w:sz w:val="24"/>
            <w:szCs w:val="24"/>
            <w:lang w:val="en-GB"/>
          </w:rPr>
          <w:t>https://doi.org/10.1108/CR-12-2017-0088</w:t>
        </w:r>
      </w:hyperlink>
      <w:r w:rsidRPr="4DF95668" w:rsidR="0E864ECA">
        <w:rPr>
          <w:rFonts w:ascii="Aptos" w:hAnsi="Aptos" w:eastAsia="Aptos" w:cs="Aptos"/>
          <w:noProof w:val="0"/>
          <w:sz w:val="24"/>
          <w:szCs w:val="24"/>
          <w:lang w:val="en-GB"/>
        </w:rPr>
        <w:t>.</w:t>
      </w:r>
    </w:p>
    <w:p w:rsidR="0E864ECA" w:rsidP="4DF95668" w:rsidRDefault="0E864ECA" w14:paraId="73A8D5AE" w14:textId="18C02081">
      <w:pPr>
        <w:spacing w:before="240" w:beforeAutospacing="off" w:after="240" w:afterAutospacing="off"/>
        <w:jc w:val="both"/>
      </w:pPr>
      <w:r w:rsidRPr="4DF95668" w:rsidR="0E864ECA">
        <w:rPr>
          <w:rFonts w:ascii="Aptos" w:hAnsi="Aptos" w:eastAsia="Aptos" w:cs="Aptos"/>
          <w:noProof w:val="0"/>
          <w:sz w:val="24"/>
          <w:szCs w:val="24"/>
          <w:lang w:val="en-GB"/>
        </w:rPr>
        <w:t xml:space="preserve">Alavi, A. et al. 2020, ‘Analysing competitive advantage of Iranian automotive industry using Porter’s Diamond Model, case study: Iranian car manufacturers’, </w:t>
      </w:r>
      <w:r w:rsidRPr="4DF95668" w:rsidR="0E864ECA">
        <w:rPr>
          <w:rFonts w:ascii="Aptos" w:hAnsi="Aptos" w:eastAsia="Aptos" w:cs="Aptos"/>
          <w:i w:val="1"/>
          <w:iCs w:val="1"/>
          <w:noProof w:val="0"/>
          <w:sz w:val="24"/>
          <w:szCs w:val="24"/>
          <w:lang w:val="en-GB"/>
        </w:rPr>
        <w:t>International Journal of Business and Systems Research</w:t>
      </w:r>
      <w:r w:rsidRPr="4DF95668" w:rsidR="0E864ECA">
        <w:rPr>
          <w:rFonts w:ascii="Aptos" w:hAnsi="Aptos" w:eastAsia="Aptos" w:cs="Aptos"/>
          <w:noProof w:val="0"/>
          <w:sz w:val="24"/>
          <w:szCs w:val="24"/>
          <w:lang w:val="en-GB"/>
        </w:rPr>
        <w:t xml:space="preserve">, vol. 14, no. 3, pp. 298–313. Available at: </w:t>
      </w:r>
      <w:hyperlink r:id="Ra5668845f605401a">
        <w:r w:rsidRPr="4DF95668" w:rsidR="0E864ECA">
          <w:rPr>
            <w:rStyle w:val="Hyperlink"/>
            <w:rFonts w:ascii="Aptos" w:hAnsi="Aptos" w:eastAsia="Aptos" w:cs="Aptos"/>
            <w:noProof w:val="0"/>
            <w:sz w:val="24"/>
            <w:szCs w:val="24"/>
            <w:lang w:val="en-GB"/>
          </w:rPr>
          <w:t>https://doi.org/10.1504/IJBSR.2020.108269</w:t>
        </w:r>
      </w:hyperlink>
      <w:r w:rsidRPr="4DF95668" w:rsidR="0E864ECA">
        <w:rPr>
          <w:rFonts w:ascii="Aptos" w:hAnsi="Aptos" w:eastAsia="Aptos" w:cs="Aptos"/>
          <w:noProof w:val="0"/>
          <w:sz w:val="24"/>
          <w:szCs w:val="24"/>
          <w:lang w:val="en-GB"/>
        </w:rPr>
        <w:t>.</w:t>
      </w:r>
    </w:p>
    <w:p w:rsidR="0E864ECA" w:rsidP="4DF95668" w:rsidRDefault="0E864ECA" w14:paraId="11539B42" w14:textId="3AAB5375">
      <w:pPr>
        <w:spacing w:before="240" w:beforeAutospacing="off" w:after="240" w:afterAutospacing="off"/>
        <w:jc w:val="both"/>
      </w:pPr>
      <w:r w:rsidRPr="4DF95668" w:rsidR="0E864ECA">
        <w:rPr>
          <w:rFonts w:ascii="Aptos" w:hAnsi="Aptos" w:eastAsia="Aptos" w:cs="Aptos"/>
          <w:noProof w:val="0"/>
          <w:sz w:val="24"/>
          <w:szCs w:val="24"/>
          <w:lang w:val="en-GB"/>
        </w:rPr>
        <w:t xml:space="preserve">Arafura Rare Earths n.d., </w:t>
      </w:r>
      <w:r w:rsidRPr="4DF95668" w:rsidR="0E864ECA">
        <w:rPr>
          <w:rFonts w:ascii="Aptos" w:hAnsi="Aptos" w:eastAsia="Aptos" w:cs="Aptos"/>
          <w:i w:val="1"/>
          <w:iCs w:val="1"/>
          <w:noProof w:val="0"/>
          <w:sz w:val="24"/>
          <w:szCs w:val="24"/>
          <w:lang w:val="en-GB"/>
        </w:rPr>
        <w:t>Nolans</w:t>
      </w:r>
      <w:r w:rsidRPr="4DF95668" w:rsidR="0E864ECA">
        <w:rPr>
          <w:rFonts w:ascii="Aptos" w:hAnsi="Aptos" w:eastAsia="Aptos" w:cs="Aptos"/>
          <w:noProof w:val="0"/>
          <w:sz w:val="24"/>
          <w:szCs w:val="24"/>
          <w:lang w:val="en-GB"/>
        </w:rPr>
        <w:t xml:space="preserve">. Available at: </w:t>
      </w:r>
      <w:hyperlink r:id="R37a66031479a4721">
        <w:r w:rsidRPr="4DF95668" w:rsidR="0E864ECA">
          <w:rPr>
            <w:rStyle w:val="Hyperlink"/>
            <w:rFonts w:ascii="Aptos" w:hAnsi="Aptos" w:eastAsia="Aptos" w:cs="Aptos"/>
            <w:noProof w:val="0"/>
            <w:sz w:val="24"/>
            <w:szCs w:val="24"/>
            <w:lang w:val="en-GB"/>
          </w:rPr>
          <w:t>https://www.arultd.com/projects/nolans/</w:t>
        </w:r>
      </w:hyperlink>
      <w:r w:rsidRPr="4DF95668" w:rsidR="0E864ECA">
        <w:rPr>
          <w:rFonts w:ascii="Aptos" w:hAnsi="Aptos" w:eastAsia="Aptos" w:cs="Aptos"/>
          <w:noProof w:val="0"/>
          <w:sz w:val="24"/>
          <w:szCs w:val="24"/>
          <w:lang w:val="en-GB"/>
        </w:rPr>
        <w:t xml:space="preserve"> (Accessed: 27 April 2026).</w:t>
      </w:r>
    </w:p>
    <w:p w:rsidR="0E864ECA" w:rsidP="4DF95668" w:rsidRDefault="0E864ECA" w14:paraId="40AF8C65" w14:textId="3F67E04A">
      <w:pPr>
        <w:spacing w:before="240" w:beforeAutospacing="off" w:after="240" w:afterAutospacing="off"/>
        <w:jc w:val="both"/>
      </w:pPr>
      <w:r w:rsidRPr="4DF95668" w:rsidR="0E864ECA">
        <w:rPr>
          <w:rFonts w:ascii="Aptos" w:hAnsi="Aptos" w:eastAsia="Aptos" w:cs="Aptos"/>
          <w:noProof w:val="0"/>
          <w:sz w:val="24"/>
          <w:szCs w:val="24"/>
          <w:lang w:val="en-GB"/>
        </w:rPr>
        <w:t xml:space="preserve">Argus Media 2025, ‘Australia’s IGO, Tianqi in talks over lithium refinery’, </w:t>
      </w:r>
      <w:r w:rsidRPr="4DF95668" w:rsidR="0E864ECA">
        <w:rPr>
          <w:rFonts w:ascii="Aptos" w:hAnsi="Aptos" w:eastAsia="Aptos" w:cs="Aptos"/>
          <w:i w:val="1"/>
          <w:iCs w:val="1"/>
          <w:noProof w:val="0"/>
          <w:sz w:val="24"/>
          <w:szCs w:val="24"/>
          <w:lang w:val="en-GB"/>
        </w:rPr>
        <w:t>Argus Media</w:t>
      </w:r>
      <w:r w:rsidRPr="4DF95668" w:rsidR="0E864ECA">
        <w:rPr>
          <w:rFonts w:ascii="Aptos" w:hAnsi="Aptos" w:eastAsia="Aptos" w:cs="Aptos"/>
          <w:noProof w:val="0"/>
          <w:sz w:val="24"/>
          <w:szCs w:val="24"/>
          <w:lang w:val="en-GB"/>
        </w:rPr>
        <w:t xml:space="preserve">, 28 August. Available at: </w:t>
      </w:r>
      <w:hyperlink r:id="R4b1d29b92f76468f">
        <w:r w:rsidRPr="4DF95668" w:rsidR="0E864ECA">
          <w:rPr>
            <w:rStyle w:val="Hyperlink"/>
            <w:rFonts w:ascii="Aptos" w:hAnsi="Aptos" w:eastAsia="Aptos" w:cs="Aptos"/>
            <w:noProof w:val="0"/>
            <w:sz w:val="24"/>
            <w:szCs w:val="24"/>
            <w:lang w:val="en-GB"/>
          </w:rPr>
          <w:t>https://www.argusmedia.com/en/news-and-insights/latest-market-news/2725675-australia-s-igo-tianqi-in-talks-over-lithium-refinery</w:t>
        </w:r>
      </w:hyperlink>
      <w:r w:rsidRPr="4DF95668" w:rsidR="0E864ECA">
        <w:rPr>
          <w:rFonts w:ascii="Aptos" w:hAnsi="Aptos" w:eastAsia="Aptos" w:cs="Aptos"/>
          <w:noProof w:val="0"/>
          <w:sz w:val="24"/>
          <w:szCs w:val="24"/>
          <w:lang w:val="en-GB"/>
        </w:rPr>
        <w:t xml:space="preserve"> (Accessed: 27 April 2026).</w:t>
      </w:r>
    </w:p>
    <w:p w:rsidR="0E864ECA" w:rsidP="4DF95668" w:rsidRDefault="0E864ECA" w14:paraId="7022124D" w14:textId="67B54D38">
      <w:pPr>
        <w:spacing w:before="240" w:beforeAutospacing="off" w:after="240" w:afterAutospacing="off"/>
        <w:jc w:val="both"/>
      </w:pPr>
      <w:r w:rsidRPr="4DF95668" w:rsidR="0E864ECA">
        <w:rPr>
          <w:rFonts w:ascii="Aptos" w:hAnsi="Aptos" w:eastAsia="Aptos" w:cs="Aptos"/>
          <w:noProof w:val="0"/>
          <w:sz w:val="24"/>
          <w:szCs w:val="24"/>
          <w:lang w:val="en-GB"/>
        </w:rPr>
        <w:t xml:space="preserve">Australian Government 2026, </w:t>
      </w:r>
      <w:r w:rsidRPr="4DF95668" w:rsidR="0E864ECA">
        <w:rPr>
          <w:rFonts w:ascii="Aptos" w:hAnsi="Aptos" w:eastAsia="Aptos" w:cs="Aptos"/>
          <w:i w:val="1"/>
          <w:iCs w:val="1"/>
          <w:noProof w:val="0"/>
          <w:sz w:val="24"/>
          <w:szCs w:val="24"/>
          <w:lang w:val="en-GB"/>
        </w:rPr>
        <w:t>Guidance Note 5: Mining</w:t>
      </w:r>
      <w:r w:rsidRPr="4DF95668" w:rsidR="0E864ECA">
        <w:rPr>
          <w:rFonts w:ascii="Aptos" w:hAnsi="Aptos" w:eastAsia="Aptos" w:cs="Aptos"/>
          <w:noProof w:val="0"/>
          <w:sz w:val="24"/>
          <w:szCs w:val="24"/>
          <w:lang w:val="en-GB"/>
        </w:rPr>
        <w:t xml:space="preserve">, version 6, 2 January. Available at: </w:t>
      </w:r>
      <w:hyperlink r:id="R6727fc81ff614abc">
        <w:r w:rsidRPr="4DF95668" w:rsidR="0E864ECA">
          <w:rPr>
            <w:rStyle w:val="Hyperlink"/>
            <w:rFonts w:ascii="Aptos" w:hAnsi="Aptos" w:eastAsia="Aptos" w:cs="Aptos"/>
            <w:noProof w:val="0"/>
            <w:sz w:val="24"/>
            <w:szCs w:val="24"/>
            <w:lang w:val="en-GB"/>
          </w:rPr>
          <w:t>https://foreigninvestment.gov.au/sites/foreigninvestment.gov.au/files/2026-01/guidance-note-5-mining.pdf</w:t>
        </w:r>
      </w:hyperlink>
      <w:r w:rsidRPr="4DF95668" w:rsidR="0E864ECA">
        <w:rPr>
          <w:rFonts w:ascii="Aptos" w:hAnsi="Aptos" w:eastAsia="Aptos" w:cs="Aptos"/>
          <w:noProof w:val="0"/>
          <w:sz w:val="24"/>
          <w:szCs w:val="24"/>
          <w:lang w:val="en-GB"/>
        </w:rPr>
        <w:t xml:space="preserve"> (Accessed: 27 April 2026).</w:t>
      </w:r>
    </w:p>
    <w:p w:rsidR="0E864ECA" w:rsidP="4DF95668" w:rsidRDefault="0E864ECA" w14:paraId="08FDF51A" w14:textId="793FBA07">
      <w:pPr>
        <w:spacing w:before="240" w:beforeAutospacing="off" w:after="240" w:afterAutospacing="off"/>
        <w:jc w:val="both"/>
      </w:pPr>
      <w:r w:rsidRPr="4DF95668" w:rsidR="0E864ECA">
        <w:rPr>
          <w:rFonts w:ascii="Aptos" w:hAnsi="Aptos" w:eastAsia="Aptos" w:cs="Aptos"/>
          <w:noProof w:val="0"/>
          <w:sz w:val="24"/>
          <w:szCs w:val="24"/>
          <w:lang w:val="en-GB"/>
        </w:rPr>
        <w:t xml:space="preserve">Bhattacharjee, S. and Chakrabarti, D. 2015, ‘Investigating India’s competitive edge in the IT-ITeS sector’, </w:t>
      </w:r>
      <w:r w:rsidRPr="4DF95668" w:rsidR="0E864ECA">
        <w:rPr>
          <w:rFonts w:ascii="Aptos" w:hAnsi="Aptos" w:eastAsia="Aptos" w:cs="Aptos"/>
          <w:i w:val="1"/>
          <w:iCs w:val="1"/>
          <w:noProof w:val="0"/>
          <w:sz w:val="24"/>
          <w:szCs w:val="24"/>
          <w:lang w:val="en-GB"/>
        </w:rPr>
        <w:t>IIMB Management Review</w:t>
      </w:r>
      <w:r w:rsidRPr="4DF95668" w:rsidR="0E864ECA">
        <w:rPr>
          <w:rFonts w:ascii="Aptos" w:hAnsi="Aptos" w:eastAsia="Aptos" w:cs="Aptos"/>
          <w:noProof w:val="0"/>
          <w:sz w:val="24"/>
          <w:szCs w:val="24"/>
          <w:lang w:val="en-GB"/>
        </w:rPr>
        <w:t xml:space="preserve">, vol. 27, no. 1, pp. 19–34. Available at: </w:t>
      </w:r>
      <w:hyperlink r:id="R68977da6ad784206">
        <w:r w:rsidRPr="4DF95668" w:rsidR="0E864ECA">
          <w:rPr>
            <w:rStyle w:val="Hyperlink"/>
            <w:rFonts w:ascii="Aptos" w:hAnsi="Aptos" w:eastAsia="Aptos" w:cs="Aptos"/>
            <w:noProof w:val="0"/>
            <w:sz w:val="24"/>
            <w:szCs w:val="24"/>
            <w:lang w:val="en-GB"/>
          </w:rPr>
          <w:t>https://doi.org/10.1016/j.iimb.2015.01.003</w:t>
        </w:r>
      </w:hyperlink>
      <w:r w:rsidRPr="4DF95668" w:rsidR="0E864ECA">
        <w:rPr>
          <w:rFonts w:ascii="Aptos" w:hAnsi="Aptos" w:eastAsia="Aptos" w:cs="Aptos"/>
          <w:noProof w:val="0"/>
          <w:sz w:val="24"/>
          <w:szCs w:val="24"/>
          <w:lang w:val="en-GB"/>
        </w:rPr>
        <w:t>.</w:t>
      </w:r>
    </w:p>
    <w:p w:rsidR="0E864ECA" w:rsidP="4DF95668" w:rsidRDefault="0E864ECA" w14:paraId="2A2D4AB6" w14:textId="315C7188">
      <w:pPr>
        <w:spacing w:before="240" w:beforeAutospacing="off" w:after="240" w:afterAutospacing="off"/>
        <w:jc w:val="both"/>
      </w:pPr>
      <w:r w:rsidRPr="4DF95668" w:rsidR="0E864ECA">
        <w:rPr>
          <w:rFonts w:ascii="Aptos" w:hAnsi="Aptos" w:eastAsia="Aptos" w:cs="Aptos"/>
          <w:noProof w:val="0"/>
          <w:sz w:val="24"/>
          <w:szCs w:val="24"/>
          <w:lang w:val="en-GB"/>
        </w:rPr>
        <w:t xml:space="preserve">Burton, M. and Jackson, L. 2025, ‘China’s Tianqi open to renegotiating lithium refinery deal with Australia’s IGO’, </w:t>
      </w:r>
      <w:r w:rsidRPr="4DF95668" w:rsidR="0E864ECA">
        <w:rPr>
          <w:rFonts w:ascii="Aptos" w:hAnsi="Aptos" w:eastAsia="Aptos" w:cs="Aptos"/>
          <w:i w:val="1"/>
          <w:iCs w:val="1"/>
          <w:noProof w:val="0"/>
          <w:sz w:val="24"/>
          <w:szCs w:val="24"/>
          <w:lang w:val="en-GB"/>
        </w:rPr>
        <w:t>Reuters</w:t>
      </w:r>
      <w:r w:rsidRPr="4DF95668" w:rsidR="0E864ECA">
        <w:rPr>
          <w:rFonts w:ascii="Aptos" w:hAnsi="Aptos" w:eastAsia="Aptos" w:cs="Aptos"/>
          <w:noProof w:val="0"/>
          <w:sz w:val="24"/>
          <w:szCs w:val="24"/>
          <w:lang w:val="en-GB"/>
        </w:rPr>
        <w:t xml:space="preserve">, 20 August. Available at: </w:t>
      </w:r>
      <w:hyperlink r:id="Re88b5ce8b5b34697">
        <w:r w:rsidRPr="4DF95668" w:rsidR="0E864ECA">
          <w:rPr>
            <w:rStyle w:val="Hyperlink"/>
            <w:rFonts w:ascii="Aptos" w:hAnsi="Aptos" w:eastAsia="Aptos" w:cs="Aptos"/>
            <w:noProof w:val="0"/>
            <w:sz w:val="24"/>
            <w:szCs w:val="24"/>
            <w:lang w:val="en-GB"/>
          </w:rPr>
          <w:t>https://www.reuters.com/markets/commodities/chinas-tianqi-open-renegotiating-lithium-refinery-deal-with-australias-igo-2025-08-20/</w:t>
        </w:r>
      </w:hyperlink>
      <w:r w:rsidRPr="4DF95668" w:rsidR="0E864ECA">
        <w:rPr>
          <w:rFonts w:ascii="Aptos" w:hAnsi="Aptos" w:eastAsia="Aptos" w:cs="Aptos"/>
          <w:noProof w:val="0"/>
          <w:sz w:val="24"/>
          <w:szCs w:val="24"/>
          <w:lang w:val="en-GB"/>
        </w:rPr>
        <w:t xml:space="preserve"> (Accessed: 27 April 2026).</w:t>
      </w:r>
    </w:p>
    <w:p w:rsidR="0E864ECA" w:rsidP="4DF95668" w:rsidRDefault="0E864ECA" w14:paraId="24DF1C30" w14:textId="5DCBAC0D">
      <w:pPr>
        <w:spacing w:before="240" w:beforeAutospacing="off" w:after="240" w:afterAutospacing="off"/>
        <w:jc w:val="both"/>
      </w:pPr>
      <w:r w:rsidRPr="4DF95668" w:rsidR="0E864ECA">
        <w:rPr>
          <w:rFonts w:ascii="Aptos" w:hAnsi="Aptos" w:eastAsia="Aptos" w:cs="Aptos"/>
          <w:noProof w:val="0"/>
          <w:sz w:val="24"/>
          <w:szCs w:val="24"/>
          <w:lang w:val="en-GB"/>
        </w:rPr>
        <w:t xml:space="preserve">Chemical Week 2021, ‘IGO, Tianqi lithium venture’, </w:t>
      </w:r>
      <w:r w:rsidRPr="4DF95668" w:rsidR="0E864ECA">
        <w:rPr>
          <w:rFonts w:ascii="Aptos" w:hAnsi="Aptos" w:eastAsia="Aptos" w:cs="Aptos"/>
          <w:i w:val="1"/>
          <w:iCs w:val="1"/>
          <w:noProof w:val="0"/>
          <w:sz w:val="24"/>
          <w:szCs w:val="24"/>
          <w:lang w:val="en-GB"/>
        </w:rPr>
        <w:t>Chemical Week</w:t>
      </w:r>
      <w:r w:rsidRPr="4DF95668" w:rsidR="0E864ECA">
        <w:rPr>
          <w:rFonts w:ascii="Aptos" w:hAnsi="Aptos" w:eastAsia="Aptos" w:cs="Aptos"/>
          <w:noProof w:val="0"/>
          <w:sz w:val="24"/>
          <w:szCs w:val="24"/>
          <w:lang w:val="en-GB"/>
        </w:rPr>
        <w:t>, vol. 183, no. 18, p. 5.</w:t>
      </w:r>
    </w:p>
    <w:p w:rsidR="0E864ECA" w:rsidP="4DF95668" w:rsidRDefault="0E864ECA" w14:paraId="70B8EE5F" w14:textId="492739AA">
      <w:pPr>
        <w:spacing w:before="240" w:beforeAutospacing="off" w:after="240" w:afterAutospacing="off"/>
        <w:jc w:val="both"/>
      </w:pPr>
      <w:r w:rsidRPr="4DF95668" w:rsidR="0E864ECA">
        <w:rPr>
          <w:rFonts w:ascii="Aptos" w:hAnsi="Aptos" w:eastAsia="Aptos" w:cs="Aptos"/>
          <w:noProof w:val="0"/>
          <w:sz w:val="24"/>
          <w:szCs w:val="24"/>
          <w:lang w:val="en-GB"/>
        </w:rPr>
        <w:t xml:space="preserve">CME Group n.d., </w:t>
      </w:r>
      <w:r w:rsidRPr="4DF95668" w:rsidR="0E864ECA">
        <w:rPr>
          <w:rFonts w:ascii="Aptos" w:hAnsi="Aptos" w:eastAsia="Aptos" w:cs="Aptos"/>
          <w:i w:val="1"/>
          <w:iCs w:val="1"/>
          <w:noProof w:val="0"/>
          <w:sz w:val="24"/>
          <w:szCs w:val="24"/>
          <w:lang w:val="en-GB"/>
        </w:rPr>
        <w:t>Lithium Hydroxide CIF CJK (Fastmarkets) Overview</w:t>
      </w:r>
      <w:r w:rsidRPr="4DF95668" w:rsidR="0E864ECA">
        <w:rPr>
          <w:rFonts w:ascii="Aptos" w:hAnsi="Aptos" w:eastAsia="Aptos" w:cs="Aptos"/>
          <w:noProof w:val="0"/>
          <w:sz w:val="24"/>
          <w:szCs w:val="24"/>
          <w:lang w:val="en-GB"/>
        </w:rPr>
        <w:t xml:space="preserve">. Available at: </w:t>
      </w:r>
      <w:hyperlink r:id="R4a5ec1a32d154128">
        <w:r w:rsidRPr="4DF95668" w:rsidR="0E864ECA">
          <w:rPr>
            <w:rStyle w:val="Hyperlink"/>
            <w:rFonts w:ascii="Aptos" w:hAnsi="Aptos" w:eastAsia="Aptos" w:cs="Aptos"/>
            <w:noProof w:val="0"/>
            <w:sz w:val="24"/>
            <w:szCs w:val="24"/>
            <w:lang w:val="en-GB"/>
          </w:rPr>
          <w:t>https://www.cmegroup.com/markets/metals/battery-metals/lithium-hydroxide-cif-cjk-fastmarkets.html</w:t>
        </w:r>
      </w:hyperlink>
      <w:r w:rsidRPr="4DF95668" w:rsidR="0E864ECA">
        <w:rPr>
          <w:rFonts w:ascii="Aptos" w:hAnsi="Aptos" w:eastAsia="Aptos" w:cs="Aptos"/>
          <w:noProof w:val="0"/>
          <w:sz w:val="24"/>
          <w:szCs w:val="24"/>
          <w:lang w:val="en-GB"/>
        </w:rPr>
        <w:t xml:space="preserve"> (Accessed: 27 April 2026).</w:t>
      </w:r>
    </w:p>
    <w:p w:rsidR="0E864ECA" w:rsidP="4DF95668" w:rsidRDefault="0E864ECA" w14:paraId="5ED245D2" w14:textId="6DEB3C20">
      <w:pPr>
        <w:spacing w:before="240" w:beforeAutospacing="off" w:after="240" w:afterAutospacing="off"/>
        <w:jc w:val="both"/>
      </w:pPr>
      <w:r w:rsidRPr="4DF95668" w:rsidR="0E864ECA">
        <w:rPr>
          <w:rFonts w:ascii="Aptos" w:hAnsi="Aptos" w:eastAsia="Aptos" w:cs="Aptos"/>
          <w:noProof w:val="0"/>
          <w:sz w:val="24"/>
          <w:szCs w:val="24"/>
          <w:lang w:val="en-GB"/>
        </w:rPr>
        <w:t xml:space="preserve">Critical Minerals Office 2023, </w:t>
      </w:r>
      <w:r w:rsidRPr="4DF95668" w:rsidR="0E864ECA">
        <w:rPr>
          <w:rFonts w:ascii="Aptos" w:hAnsi="Aptos" w:eastAsia="Aptos" w:cs="Aptos"/>
          <w:i w:val="1"/>
          <w:iCs w:val="1"/>
          <w:noProof w:val="0"/>
          <w:sz w:val="24"/>
          <w:szCs w:val="24"/>
          <w:lang w:val="en-GB"/>
        </w:rPr>
        <w:t>Critical Minerals Strategy 2023–2030</w:t>
      </w:r>
      <w:r w:rsidRPr="4DF95668" w:rsidR="0E864ECA">
        <w:rPr>
          <w:rFonts w:ascii="Aptos" w:hAnsi="Aptos" w:eastAsia="Aptos" w:cs="Aptos"/>
          <w:noProof w:val="0"/>
          <w:sz w:val="24"/>
          <w:szCs w:val="24"/>
          <w:lang w:val="en-GB"/>
        </w:rPr>
        <w:t xml:space="preserve">, Department of Industry, Science and Resources, Australian Government. Available at: </w:t>
      </w:r>
      <w:hyperlink r:id="Ra49b8bc62137425d">
        <w:r w:rsidRPr="4DF95668" w:rsidR="0E864ECA">
          <w:rPr>
            <w:rStyle w:val="Hyperlink"/>
            <w:rFonts w:ascii="Aptos" w:hAnsi="Aptos" w:eastAsia="Aptos" w:cs="Aptos"/>
            <w:noProof w:val="0"/>
            <w:sz w:val="24"/>
            <w:szCs w:val="24"/>
            <w:lang w:val="en-GB"/>
          </w:rPr>
          <w:t>https://www.industry.gov.au/publications/critical-minerals-strategy-2023-2030</w:t>
        </w:r>
      </w:hyperlink>
      <w:r w:rsidRPr="4DF95668" w:rsidR="0E864ECA">
        <w:rPr>
          <w:rFonts w:ascii="Aptos" w:hAnsi="Aptos" w:eastAsia="Aptos" w:cs="Aptos"/>
          <w:noProof w:val="0"/>
          <w:sz w:val="24"/>
          <w:szCs w:val="24"/>
          <w:lang w:val="en-GB"/>
        </w:rPr>
        <w:t xml:space="preserve"> (Accessed: 27 April 2026).</w:t>
      </w:r>
    </w:p>
    <w:p w:rsidR="0E864ECA" w:rsidP="4DF95668" w:rsidRDefault="0E864ECA" w14:paraId="1348EFAB" w14:textId="21E68247">
      <w:pPr>
        <w:spacing w:before="240" w:beforeAutospacing="off" w:after="240" w:afterAutospacing="off"/>
        <w:jc w:val="both"/>
      </w:pPr>
      <w:r w:rsidRPr="4DF95668" w:rsidR="0E864ECA">
        <w:rPr>
          <w:rFonts w:ascii="Aptos" w:hAnsi="Aptos" w:eastAsia="Aptos" w:cs="Aptos"/>
          <w:noProof w:val="0"/>
          <w:sz w:val="24"/>
          <w:szCs w:val="24"/>
          <w:lang w:val="en-GB"/>
        </w:rPr>
        <w:t xml:space="preserve">Department of Industry, Science and Resources 2024, </w:t>
      </w:r>
      <w:r w:rsidRPr="4DF95668" w:rsidR="0E864ECA">
        <w:rPr>
          <w:rFonts w:ascii="Aptos" w:hAnsi="Aptos" w:eastAsia="Aptos" w:cs="Aptos"/>
          <w:i w:val="1"/>
          <w:iCs w:val="1"/>
          <w:noProof w:val="0"/>
          <w:sz w:val="24"/>
          <w:szCs w:val="24"/>
          <w:lang w:val="en-GB"/>
        </w:rPr>
        <w:t>Resources and Energy Major Projects 2024 Report</w:t>
      </w:r>
      <w:r w:rsidRPr="4DF95668" w:rsidR="0E864ECA">
        <w:rPr>
          <w:rFonts w:ascii="Aptos" w:hAnsi="Aptos" w:eastAsia="Aptos" w:cs="Aptos"/>
          <w:noProof w:val="0"/>
          <w:sz w:val="24"/>
          <w:szCs w:val="24"/>
          <w:lang w:val="en-GB"/>
        </w:rPr>
        <w:t xml:space="preserve">, Australian Government. Available at: </w:t>
      </w:r>
      <w:hyperlink r:id="R3a803071dacc440f">
        <w:r w:rsidRPr="4DF95668" w:rsidR="0E864ECA">
          <w:rPr>
            <w:rStyle w:val="Hyperlink"/>
            <w:rFonts w:ascii="Aptos" w:hAnsi="Aptos" w:eastAsia="Aptos" w:cs="Aptos"/>
            <w:noProof w:val="0"/>
            <w:sz w:val="24"/>
            <w:szCs w:val="24"/>
            <w:lang w:val="en-GB"/>
          </w:rPr>
          <w:t>https://www.industry.gov.au/sites/default/files/2024-12/remp_2024.pdf</w:t>
        </w:r>
      </w:hyperlink>
      <w:r w:rsidRPr="4DF95668" w:rsidR="0E864ECA">
        <w:rPr>
          <w:rFonts w:ascii="Aptos" w:hAnsi="Aptos" w:eastAsia="Aptos" w:cs="Aptos"/>
          <w:noProof w:val="0"/>
          <w:sz w:val="24"/>
          <w:szCs w:val="24"/>
          <w:lang w:val="en-GB"/>
        </w:rPr>
        <w:t xml:space="preserve"> (Accessed: 27 April 2026).</w:t>
      </w:r>
    </w:p>
    <w:p w:rsidR="0E864ECA" w:rsidP="4DF95668" w:rsidRDefault="0E864ECA" w14:paraId="1B75A2F7" w14:textId="704F7A96">
      <w:pPr>
        <w:spacing w:before="240" w:beforeAutospacing="off" w:after="240" w:afterAutospacing="off"/>
        <w:jc w:val="both"/>
      </w:pPr>
      <w:r w:rsidRPr="4DF95668" w:rsidR="0E864ECA">
        <w:rPr>
          <w:rFonts w:ascii="Aptos" w:hAnsi="Aptos" w:eastAsia="Aptos" w:cs="Aptos"/>
          <w:noProof w:val="0"/>
          <w:sz w:val="24"/>
          <w:szCs w:val="24"/>
          <w:lang w:val="en-GB"/>
        </w:rPr>
        <w:t xml:space="preserve">Department of Jobs, Tourism, Science and Innovation 2024, </w:t>
      </w:r>
      <w:r w:rsidRPr="4DF95668" w:rsidR="0E864ECA">
        <w:rPr>
          <w:rFonts w:ascii="Aptos" w:hAnsi="Aptos" w:eastAsia="Aptos" w:cs="Aptos"/>
          <w:i w:val="1"/>
          <w:iCs w:val="1"/>
          <w:noProof w:val="0"/>
          <w:sz w:val="24"/>
          <w:szCs w:val="24"/>
          <w:lang w:val="en-GB"/>
        </w:rPr>
        <w:t>Western Australia’s Battery and Critical Minerals Strategy 2024–2030</w:t>
      </w:r>
      <w:r w:rsidRPr="4DF95668" w:rsidR="0E864ECA">
        <w:rPr>
          <w:rFonts w:ascii="Aptos" w:hAnsi="Aptos" w:eastAsia="Aptos" w:cs="Aptos"/>
          <w:noProof w:val="0"/>
          <w:sz w:val="24"/>
          <w:szCs w:val="24"/>
          <w:lang w:val="en-GB"/>
        </w:rPr>
        <w:t xml:space="preserve">, Government of Western Australia. Available at: </w:t>
      </w:r>
      <w:hyperlink r:id="R4be375c0e03743f8">
        <w:r w:rsidRPr="4DF95668" w:rsidR="0E864ECA">
          <w:rPr>
            <w:rStyle w:val="Hyperlink"/>
            <w:rFonts w:ascii="Aptos" w:hAnsi="Aptos" w:eastAsia="Aptos" w:cs="Aptos"/>
            <w:noProof w:val="0"/>
            <w:sz w:val="24"/>
            <w:szCs w:val="24"/>
            <w:lang w:val="en-GB"/>
          </w:rPr>
          <w:t>https://www.wa.gov.au/system/files/2024-05/00361_battery_strategy_a4_5.3_web.pdf</w:t>
        </w:r>
      </w:hyperlink>
      <w:r w:rsidRPr="4DF95668" w:rsidR="0E864ECA">
        <w:rPr>
          <w:rFonts w:ascii="Aptos" w:hAnsi="Aptos" w:eastAsia="Aptos" w:cs="Aptos"/>
          <w:noProof w:val="0"/>
          <w:sz w:val="24"/>
          <w:szCs w:val="24"/>
          <w:lang w:val="en-GB"/>
        </w:rPr>
        <w:t xml:space="preserve"> (Accessed: 27 April 2026).</w:t>
      </w:r>
    </w:p>
    <w:p w:rsidR="0E864ECA" w:rsidP="4DF95668" w:rsidRDefault="0E864ECA" w14:paraId="1C62DDE4" w14:textId="07B25B5B">
      <w:pPr>
        <w:spacing w:before="240" w:beforeAutospacing="off" w:after="240" w:afterAutospacing="off"/>
        <w:jc w:val="both"/>
      </w:pPr>
      <w:r w:rsidRPr="4DF95668" w:rsidR="0E864ECA">
        <w:rPr>
          <w:rFonts w:ascii="Aptos" w:hAnsi="Aptos" w:eastAsia="Aptos" w:cs="Aptos"/>
          <w:noProof w:val="0"/>
          <w:sz w:val="24"/>
          <w:szCs w:val="24"/>
          <w:lang w:val="en-GB"/>
        </w:rPr>
        <w:t xml:space="preserve">Department of the Prime Minister and Cabinet 2025, </w:t>
      </w:r>
      <w:r w:rsidRPr="4DF95668" w:rsidR="0E864ECA">
        <w:rPr>
          <w:rFonts w:ascii="Aptos" w:hAnsi="Aptos" w:eastAsia="Aptos" w:cs="Aptos"/>
          <w:i w:val="1"/>
          <w:iCs w:val="1"/>
          <w:noProof w:val="0"/>
          <w:sz w:val="24"/>
          <w:szCs w:val="24"/>
          <w:lang w:val="en-GB"/>
        </w:rPr>
        <w:t>Critical Minerals Strategic Reserve</w:t>
      </w:r>
      <w:r w:rsidRPr="4DF95668" w:rsidR="0E864ECA">
        <w:rPr>
          <w:rFonts w:ascii="Aptos" w:hAnsi="Aptos" w:eastAsia="Aptos" w:cs="Aptos"/>
          <w:noProof w:val="0"/>
          <w:sz w:val="24"/>
          <w:szCs w:val="24"/>
          <w:lang w:val="en-GB"/>
        </w:rPr>
        <w:t xml:space="preserve">, Australian Government. Available at: </w:t>
      </w:r>
      <w:hyperlink r:id="R73c687484e274bdc">
        <w:r w:rsidRPr="4DF95668" w:rsidR="0E864ECA">
          <w:rPr>
            <w:rStyle w:val="Hyperlink"/>
            <w:rFonts w:ascii="Aptos" w:hAnsi="Aptos" w:eastAsia="Aptos" w:cs="Aptos"/>
            <w:noProof w:val="0"/>
            <w:sz w:val="24"/>
            <w:szCs w:val="24"/>
            <w:lang w:val="en-GB"/>
          </w:rPr>
          <w:t>https://www.pmc.gov.au/domestic-policy/critical-minerals-strategic-reserve</w:t>
        </w:r>
      </w:hyperlink>
      <w:r w:rsidRPr="4DF95668" w:rsidR="0E864ECA">
        <w:rPr>
          <w:rFonts w:ascii="Aptos" w:hAnsi="Aptos" w:eastAsia="Aptos" w:cs="Aptos"/>
          <w:noProof w:val="0"/>
          <w:sz w:val="24"/>
          <w:szCs w:val="24"/>
          <w:lang w:val="en-GB"/>
        </w:rPr>
        <w:t xml:space="preserve"> (Accessed: 27 April 2026).</w:t>
      </w:r>
    </w:p>
    <w:p w:rsidR="0E864ECA" w:rsidP="4DF95668" w:rsidRDefault="0E864ECA" w14:paraId="728E246F" w14:textId="77688747">
      <w:pPr>
        <w:spacing w:before="240" w:beforeAutospacing="off" w:after="240" w:afterAutospacing="off"/>
        <w:jc w:val="both"/>
      </w:pPr>
      <w:r w:rsidRPr="4DF95668" w:rsidR="0E864ECA">
        <w:rPr>
          <w:rFonts w:ascii="Aptos" w:hAnsi="Aptos" w:eastAsia="Aptos" w:cs="Aptos"/>
          <w:noProof w:val="0"/>
          <w:sz w:val="24"/>
          <w:szCs w:val="24"/>
          <w:lang w:val="en-GB"/>
        </w:rPr>
        <w:t xml:space="preserve">Dolan, H. et al. 2019, ‘Culture, self, and medical decision making in Australia and China: a structural model analysis’, </w:t>
      </w:r>
      <w:r w:rsidRPr="4DF95668" w:rsidR="0E864ECA">
        <w:rPr>
          <w:rFonts w:ascii="Aptos" w:hAnsi="Aptos" w:eastAsia="Aptos" w:cs="Aptos"/>
          <w:i w:val="1"/>
          <w:iCs w:val="1"/>
          <w:noProof w:val="0"/>
          <w:sz w:val="24"/>
          <w:szCs w:val="24"/>
          <w:lang w:val="en-GB"/>
        </w:rPr>
        <w:t>MDM Policy &amp; Practice</w:t>
      </w:r>
      <w:r w:rsidRPr="4DF95668" w:rsidR="0E864ECA">
        <w:rPr>
          <w:rFonts w:ascii="Aptos" w:hAnsi="Aptos" w:eastAsia="Aptos" w:cs="Aptos"/>
          <w:noProof w:val="0"/>
          <w:sz w:val="24"/>
          <w:szCs w:val="24"/>
          <w:lang w:val="en-GB"/>
        </w:rPr>
        <w:t xml:space="preserve">, vol. 4, no. 2, article 2381468319871018. Available at: </w:t>
      </w:r>
      <w:hyperlink r:id="R60bdc07844bd4112">
        <w:r w:rsidRPr="4DF95668" w:rsidR="0E864ECA">
          <w:rPr>
            <w:rStyle w:val="Hyperlink"/>
            <w:rFonts w:ascii="Aptos" w:hAnsi="Aptos" w:eastAsia="Aptos" w:cs="Aptos"/>
            <w:noProof w:val="0"/>
            <w:sz w:val="24"/>
            <w:szCs w:val="24"/>
            <w:lang w:val="en-GB"/>
          </w:rPr>
          <w:t>https://doi.org/10.1177/2381468319871018</w:t>
        </w:r>
      </w:hyperlink>
      <w:r w:rsidRPr="4DF95668" w:rsidR="0E864ECA">
        <w:rPr>
          <w:rFonts w:ascii="Aptos" w:hAnsi="Aptos" w:eastAsia="Aptos" w:cs="Aptos"/>
          <w:noProof w:val="0"/>
          <w:sz w:val="24"/>
          <w:szCs w:val="24"/>
          <w:lang w:val="en-GB"/>
        </w:rPr>
        <w:t>.</w:t>
      </w:r>
    </w:p>
    <w:p w:rsidR="0E864ECA" w:rsidP="4DF95668" w:rsidRDefault="0E864ECA" w14:paraId="4C5D420F" w14:textId="38EEB1F1">
      <w:pPr>
        <w:spacing w:before="240" w:beforeAutospacing="off" w:after="240" w:afterAutospacing="off"/>
        <w:jc w:val="both"/>
      </w:pPr>
      <w:r w:rsidRPr="4DF95668" w:rsidR="0E864ECA">
        <w:rPr>
          <w:rFonts w:ascii="Aptos" w:hAnsi="Aptos" w:eastAsia="Aptos" w:cs="Aptos"/>
          <w:noProof w:val="0"/>
          <w:sz w:val="24"/>
          <w:szCs w:val="24"/>
          <w:lang w:val="en-GB"/>
        </w:rPr>
        <w:t xml:space="preserve">D’Silva, B. 2025, ‘Covalent Lithium operational update – 23 July 2025’, </w:t>
      </w:r>
      <w:r w:rsidRPr="4DF95668" w:rsidR="0E864ECA">
        <w:rPr>
          <w:rFonts w:ascii="Aptos" w:hAnsi="Aptos" w:eastAsia="Aptos" w:cs="Aptos"/>
          <w:i w:val="1"/>
          <w:iCs w:val="1"/>
          <w:noProof w:val="0"/>
          <w:sz w:val="24"/>
          <w:szCs w:val="24"/>
          <w:lang w:val="en-GB"/>
        </w:rPr>
        <w:t>Covalent Lithium</w:t>
      </w:r>
      <w:r w:rsidRPr="4DF95668" w:rsidR="0E864ECA">
        <w:rPr>
          <w:rFonts w:ascii="Aptos" w:hAnsi="Aptos" w:eastAsia="Aptos" w:cs="Aptos"/>
          <w:noProof w:val="0"/>
          <w:sz w:val="24"/>
          <w:szCs w:val="24"/>
          <w:lang w:val="en-GB"/>
        </w:rPr>
        <w:t xml:space="preserve">, 23 July. Available at: </w:t>
      </w:r>
      <w:hyperlink r:id="R4e8be355d8b9450c">
        <w:r w:rsidRPr="4DF95668" w:rsidR="0E864ECA">
          <w:rPr>
            <w:rStyle w:val="Hyperlink"/>
            <w:rFonts w:ascii="Aptos" w:hAnsi="Aptos" w:eastAsia="Aptos" w:cs="Aptos"/>
            <w:noProof w:val="0"/>
            <w:sz w:val="24"/>
            <w:szCs w:val="24"/>
            <w:lang w:val="en-GB"/>
          </w:rPr>
          <w:t>https://www.covalentlithium.com/news/covalent-lithium-operational-update-23-july-2025</w:t>
        </w:r>
      </w:hyperlink>
      <w:r w:rsidRPr="4DF95668" w:rsidR="0E864ECA">
        <w:rPr>
          <w:rFonts w:ascii="Aptos" w:hAnsi="Aptos" w:eastAsia="Aptos" w:cs="Aptos"/>
          <w:noProof w:val="0"/>
          <w:sz w:val="24"/>
          <w:szCs w:val="24"/>
          <w:lang w:val="en-GB"/>
        </w:rPr>
        <w:t xml:space="preserve"> (Accessed: 27 April 2026).</w:t>
      </w:r>
    </w:p>
    <w:p w:rsidR="0E864ECA" w:rsidP="4DF95668" w:rsidRDefault="0E864ECA" w14:paraId="2C674ACF" w14:textId="34AA495B">
      <w:pPr>
        <w:spacing w:before="240" w:beforeAutospacing="off" w:after="240" w:afterAutospacing="off"/>
        <w:jc w:val="both"/>
      </w:pPr>
      <w:r w:rsidRPr="4DF95668" w:rsidR="0E864ECA">
        <w:rPr>
          <w:rFonts w:ascii="Aptos" w:hAnsi="Aptos" w:eastAsia="Aptos" w:cs="Aptos"/>
          <w:noProof w:val="0"/>
          <w:sz w:val="24"/>
          <w:szCs w:val="24"/>
          <w:lang w:val="en-GB"/>
        </w:rPr>
        <w:t xml:space="preserve">Foreign Investment Review Board 2023, </w:t>
      </w:r>
      <w:r w:rsidRPr="4DF95668" w:rsidR="0E864ECA">
        <w:rPr>
          <w:rFonts w:ascii="Aptos" w:hAnsi="Aptos" w:eastAsia="Aptos" w:cs="Aptos"/>
          <w:i w:val="1"/>
          <w:iCs w:val="1"/>
          <w:noProof w:val="0"/>
          <w:sz w:val="24"/>
          <w:szCs w:val="24"/>
          <w:lang w:val="en-GB"/>
        </w:rPr>
        <w:t>National security</w:t>
      </w:r>
      <w:r w:rsidRPr="4DF95668" w:rsidR="0E864ECA">
        <w:rPr>
          <w:rFonts w:ascii="Aptos" w:hAnsi="Aptos" w:eastAsia="Aptos" w:cs="Aptos"/>
          <w:noProof w:val="0"/>
          <w:sz w:val="24"/>
          <w:szCs w:val="24"/>
          <w:lang w:val="en-GB"/>
        </w:rPr>
        <w:t xml:space="preserve">, Australian Government. Available at: </w:t>
      </w:r>
      <w:hyperlink r:id="R5995353635d64f19">
        <w:r w:rsidRPr="4DF95668" w:rsidR="0E864ECA">
          <w:rPr>
            <w:rStyle w:val="Hyperlink"/>
            <w:rFonts w:ascii="Aptos" w:hAnsi="Aptos" w:eastAsia="Aptos" w:cs="Aptos"/>
            <w:noProof w:val="0"/>
            <w:sz w:val="24"/>
            <w:szCs w:val="24"/>
            <w:lang w:val="en-GB"/>
          </w:rPr>
          <w:t>https://foreigninvestment.gov.au/guidance/types-investments/national-security</w:t>
        </w:r>
      </w:hyperlink>
      <w:r w:rsidRPr="4DF95668" w:rsidR="0E864ECA">
        <w:rPr>
          <w:rFonts w:ascii="Aptos" w:hAnsi="Aptos" w:eastAsia="Aptos" w:cs="Aptos"/>
          <w:noProof w:val="0"/>
          <w:sz w:val="24"/>
          <w:szCs w:val="24"/>
          <w:lang w:val="en-GB"/>
        </w:rPr>
        <w:t xml:space="preserve"> (Accessed: 27 April 2026).</w:t>
      </w:r>
    </w:p>
    <w:p w:rsidR="0E864ECA" w:rsidP="4DF95668" w:rsidRDefault="0E864ECA" w14:paraId="7A3976DE" w14:textId="6B410CA9">
      <w:pPr>
        <w:spacing w:before="240" w:beforeAutospacing="off" w:after="240" w:afterAutospacing="off"/>
        <w:jc w:val="both"/>
      </w:pPr>
      <w:r w:rsidRPr="4DF95668" w:rsidR="0E864ECA">
        <w:rPr>
          <w:rFonts w:ascii="Aptos" w:hAnsi="Aptos" w:eastAsia="Aptos" w:cs="Aptos"/>
          <w:noProof w:val="0"/>
          <w:sz w:val="24"/>
          <w:szCs w:val="24"/>
          <w:lang w:val="en-GB"/>
        </w:rPr>
        <w:t xml:space="preserve">Geoscience Australia 2025, </w:t>
      </w:r>
      <w:r w:rsidRPr="4DF95668" w:rsidR="0E864ECA">
        <w:rPr>
          <w:rFonts w:ascii="Aptos" w:hAnsi="Aptos" w:eastAsia="Aptos" w:cs="Aptos"/>
          <w:i w:val="1"/>
          <w:iCs w:val="1"/>
          <w:noProof w:val="0"/>
          <w:sz w:val="24"/>
          <w:szCs w:val="24"/>
          <w:lang w:val="en-GB"/>
        </w:rPr>
        <w:t>Australia’s Identified Mineral Resources 2024: Introduction</w:t>
      </w:r>
      <w:r w:rsidRPr="4DF95668" w:rsidR="0E864ECA">
        <w:rPr>
          <w:rFonts w:ascii="Aptos" w:hAnsi="Aptos" w:eastAsia="Aptos" w:cs="Aptos"/>
          <w:noProof w:val="0"/>
          <w:sz w:val="24"/>
          <w:szCs w:val="24"/>
          <w:lang w:val="en-GB"/>
        </w:rPr>
        <w:t xml:space="preserve">, Australian Government. Available at: </w:t>
      </w:r>
      <w:hyperlink r:id="Rc330410387df4959">
        <w:r w:rsidRPr="4DF95668" w:rsidR="0E864ECA">
          <w:rPr>
            <w:rStyle w:val="Hyperlink"/>
            <w:rFonts w:ascii="Aptos" w:hAnsi="Aptos" w:eastAsia="Aptos" w:cs="Aptos"/>
            <w:noProof w:val="0"/>
            <w:sz w:val="24"/>
            <w:szCs w:val="24"/>
            <w:lang w:val="en-GB"/>
          </w:rPr>
          <w:t>https://www.ga.gov.au/aimr2024/introduction</w:t>
        </w:r>
      </w:hyperlink>
      <w:r w:rsidRPr="4DF95668" w:rsidR="0E864ECA">
        <w:rPr>
          <w:rFonts w:ascii="Aptos" w:hAnsi="Aptos" w:eastAsia="Aptos" w:cs="Aptos"/>
          <w:noProof w:val="0"/>
          <w:sz w:val="24"/>
          <w:szCs w:val="24"/>
          <w:lang w:val="en-GB"/>
        </w:rPr>
        <w:t xml:space="preserve"> (Accessed: 27 April 2026).</w:t>
      </w:r>
    </w:p>
    <w:p w:rsidR="0E864ECA" w:rsidP="4DF95668" w:rsidRDefault="0E864ECA" w14:paraId="16B32EBD" w14:textId="5585DA9A">
      <w:pPr>
        <w:spacing w:before="240" w:beforeAutospacing="off" w:after="240" w:afterAutospacing="off"/>
        <w:jc w:val="both"/>
      </w:pPr>
      <w:r w:rsidRPr="4DF95668" w:rsidR="0E864ECA">
        <w:rPr>
          <w:rFonts w:ascii="Aptos" w:hAnsi="Aptos" w:eastAsia="Aptos" w:cs="Aptos"/>
          <w:noProof w:val="0"/>
          <w:sz w:val="24"/>
          <w:szCs w:val="24"/>
          <w:lang w:val="en-GB"/>
        </w:rPr>
        <w:t xml:space="preserve">Geoscience Australia 2026, </w:t>
      </w:r>
      <w:r w:rsidRPr="4DF95668" w:rsidR="0E864ECA">
        <w:rPr>
          <w:rFonts w:ascii="Aptos" w:hAnsi="Aptos" w:eastAsia="Aptos" w:cs="Aptos"/>
          <w:i w:val="1"/>
          <w:iCs w:val="1"/>
          <w:noProof w:val="0"/>
          <w:sz w:val="24"/>
          <w:szCs w:val="24"/>
          <w:lang w:val="en-GB"/>
        </w:rPr>
        <w:t>Critical minerals at Geoscience Australia</w:t>
      </w:r>
      <w:r w:rsidRPr="4DF95668" w:rsidR="0E864ECA">
        <w:rPr>
          <w:rFonts w:ascii="Aptos" w:hAnsi="Aptos" w:eastAsia="Aptos" w:cs="Aptos"/>
          <w:noProof w:val="0"/>
          <w:sz w:val="24"/>
          <w:szCs w:val="24"/>
          <w:lang w:val="en-GB"/>
        </w:rPr>
        <w:t xml:space="preserve">, Australian Government. Available at: </w:t>
      </w:r>
      <w:hyperlink r:id="R7e90599e7b8c4539">
        <w:r w:rsidRPr="4DF95668" w:rsidR="0E864ECA">
          <w:rPr>
            <w:rStyle w:val="Hyperlink"/>
            <w:rFonts w:ascii="Aptos" w:hAnsi="Aptos" w:eastAsia="Aptos" w:cs="Aptos"/>
            <w:noProof w:val="0"/>
            <w:sz w:val="24"/>
            <w:szCs w:val="24"/>
            <w:lang w:val="en-GB"/>
          </w:rPr>
          <w:t>https://www.ga.gov.au/scientific-topics/minerals/critical-minerals</w:t>
        </w:r>
      </w:hyperlink>
      <w:r w:rsidRPr="4DF95668" w:rsidR="0E864ECA">
        <w:rPr>
          <w:rFonts w:ascii="Aptos" w:hAnsi="Aptos" w:eastAsia="Aptos" w:cs="Aptos"/>
          <w:noProof w:val="0"/>
          <w:sz w:val="24"/>
          <w:szCs w:val="24"/>
          <w:lang w:val="en-GB"/>
        </w:rPr>
        <w:t xml:space="preserve"> (Accessed: 27 April 2026).</w:t>
      </w:r>
    </w:p>
    <w:p w:rsidR="0E864ECA" w:rsidP="4DF95668" w:rsidRDefault="0E864ECA" w14:paraId="05E3FE3A" w14:textId="0F505599">
      <w:pPr>
        <w:spacing w:before="240" w:beforeAutospacing="off" w:after="240" w:afterAutospacing="off"/>
        <w:jc w:val="both"/>
      </w:pPr>
      <w:r w:rsidRPr="4DF95668" w:rsidR="0E864ECA">
        <w:rPr>
          <w:rFonts w:ascii="Aptos" w:hAnsi="Aptos" w:eastAsia="Aptos" w:cs="Aptos"/>
          <w:noProof w:val="0"/>
          <w:sz w:val="24"/>
          <w:szCs w:val="24"/>
          <w:lang w:val="en-GB"/>
        </w:rPr>
        <w:t xml:space="preserve">Gibbs, G. 1988, </w:t>
      </w:r>
      <w:r w:rsidRPr="4DF95668" w:rsidR="0E864ECA">
        <w:rPr>
          <w:rFonts w:ascii="Aptos" w:hAnsi="Aptos" w:eastAsia="Aptos" w:cs="Aptos"/>
          <w:i w:val="1"/>
          <w:iCs w:val="1"/>
          <w:noProof w:val="0"/>
          <w:sz w:val="24"/>
          <w:szCs w:val="24"/>
          <w:lang w:val="en-GB"/>
        </w:rPr>
        <w:t>Learning by Doing: A Guide to Teaching and Learning Methods</w:t>
      </w:r>
      <w:r w:rsidRPr="4DF95668" w:rsidR="0E864ECA">
        <w:rPr>
          <w:rFonts w:ascii="Aptos" w:hAnsi="Aptos" w:eastAsia="Aptos" w:cs="Aptos"/>
          <w:noProof w:val="0"/>
          <w:sz w:val="24"/>
          <w:szCs w:val="24"/>
          <w:lang w:val="en-GB"/>
        </w:rPr>
        <w:t>, Further Education Unit, Oxford Brookes University, Oxford.</w:t>
      </w:r>
    </w:p>
    <w:p w:rsidR="0E864ECA" w:rsidP="4DF95668" w:rsidRDefault="0E864ECA" w14:paraId="346598C7" w14:textId="31118485">
      <w:pPr>
        <w:spacing w:before="240" w:beforeAutospacing="off" w:after="240" w:afterAutospacing="off"/>
        <w:jc w:val="both"/>
      </w:pPr>
      <w:r w:rsidRPr="4DF95668" w:rsidR="0E864ECA">
        <w:rPr>
          <w:rFonts w:ascii="Aptos" w:hAnsi="Aptos" w:eastAsia="Aptos" w:cs="Aptos"/>
          <w:noProof w:val="0"/>
          <w:sz w:val="24"/>
          <w:szCs w:val="24"/>
          <w:lang w:val="en-GB"/>
        </w:rPr>
        <w:t xml:space="preserve">Government of Western Australia 2022, ‘Tianqi produces Australia’s first battery-grade lithium hydroxide’, </w:t>
      </w:r>
      <w:r w:rsidRPr="4DF95668" w:rsidR="0E864ECA">
        <w:rPr>
          <w:rFonts w:ascii="Aptos" w:hAnsi="Aptos" w:eastAsia="Aptos" w:cs="Aptos"/>
          <w:i w:val="1"/>
          <w:iCs w:val="1"/>
          <w:noProof w:val="0"/>
          <w:sz w:val="24"/>
          <w:szCs w:val="24"/>
          <w:lang w:val="en-GB"/>
        </w:rPr>
        <w:t>Western Australian Government</w:t>
      </w:r>
      <w:r w:rsidRPr="4DF95668" w:rsidR="0E864ECA">
        <w:rPr>
          <w:rFonts w:ascii="Aptos" w:hAnsi="Aptos" w:eastAsia="Aptos" w:cs="Aptos"/>
          <w:noProof w:val="0"/>
          <w:sz w:val="24"/>
          <w:szCs w:val="24"/>
          <w:lang w:val="en-GB"/>
        </w:rPr>
        <w:t xml:space="preserve">, 20 May. Available at: </w:t>
      </w:r>
      <w:hyperlink r:id="R9f4288d665274458">
        <w:r w:rsidRPr="4DF95668" w:rsidR="0E864ECA">
          <w:rPr>
            <w:rStyle w:val="Hyperlink"/>
            <w:rFonts w:ascii="Aptos" w:hAnsi="Aptos" w:eastAsia="Aptos" w:cs="Aptos"/>
            <w:noProof w:val="0"/>
            <w:sz w:val="24"/>
            <w:szCs w:val="24"/>
            <w:lang w:val="en-GB"/>
          </w:rPr>
          <w:t>https://www.wa.gov.au/government/media-statements/McGowan%20Labor%20Government/Tianqi-produces-Australia%27s-first-battery-grade-lithium-hydroxide-20220520</w:t>
        </w:r>
      </w:hyperlink>
      <w:r w:rsidRPr="4DF95668" w:rsidR="0E864ECA">
        <w:rPr>
          <w:rFonts w:ascii="Aptos" w:hAnsi="Aptos" w:eastAsia="Aptos" w:cs="Aptos"/>
          <w:noProof w:val="0"/>
          <w:sz w:val="24"/>
          <w:szCs w:val="24"/>
          <w:lang w:val="en-GB"/>
        </w:rPr>
        <w:t xml:space="preserve"> (Accessed: 27 April 2026).</w:t>
      </w:r>
    </w:p>
    <w:p w:rsidR="11E1DBD7" w:rsidP="4DF95668" w:rsidRDefault="11E1DBD7" w14:paraId="356559C2" w14:textId="1246E25F">
      <w:pPr>
        <w:pStyle w:val="Normal"/>
        <w:spacing w:before="240" w:beforeAutospacing="off" w:after="240" w:afterAutospacing="off"/>
        <w:jc w:val="both"/>
      </w:pPr>
      <w:r w:rsidRPr="4DF95668" w:rsidR="11E1DBD7">
        <w:rPr>
          <w:rFonts w:ascii="Aptos" w:hAnsi="Aptos" w:eastAsia="Aptos" w:cs="Aptos"/>
          <w:noProof w:val="0"/>
          <w:sz w:val="24"/>
          <w:szCs w:val="24"/>
          <w:lang w:val="en-GB"/>
        </w:rPr>
        <w:t xml:space="preserve">Griffin, R.W. and Pustay, M.W. (2020) </w:t>
      </w:r>
      <w:r w:rsidRPr="4DF95668" w:rsidR="11E1DBD7">
        <w:rPr>
          <w:rFonts w:ascii="Aptos" w:hAnsi="Aptos" w:eastAsia="Aptos" w:cs="Aptos"/>
          <w:i w:val="1"/>
          <w:iCs w:val="1"/>
          <w:noProof w:val="0"/>
          <w:sz w:val="24"/>
          <w:szCs w:val="24"/>
          <w:lang w:val="en-GB"/>
        </w:rPr>
        <w:t>International Business: A Managerial Perspective</w:t>
      </w:r>
      <w:r w:rsidRPr="4DF95668" w:rsidR="11E1DBD7">
        <w:rPr>
          <w:rFonts w:ascii="Aptos" w:hAnsi="Aptos" w:eastAsia="Aptos" w:cs="Aptos"/>
          <w:noProof w:val="0"/>
          <w:sz w:val="24"/>
          <w:szCs w:val="24"/>
          <w:lang w:val="en-GB"/>
        </w:rPr>
        <w:t>. 9th global edn. Harlow: Pearson.</w:t>
      </w:r>
    </w:p>
    <w:p w:rsidR="0E864ECA" w:rsidP="4DF95668" w:rsidRDefault="0E864ECA" w14:paraId="088625DC" w14:textId="0EC88F04">
      <w:pPr>
        <w:spacing w:before="240" w:beforeAutospacing="off" w:after="240" w:afterAutospacing="off"/>
        <w:jc w:val="both"/>
      </w:pPr>
      <w:r w:rsidRPr="4DF95668" w:rsidR="0E864ECA">
        <w:rPr>
          <w:rFonts w:ascii="Aptos" w:hAnsi="Aptos" w:eastAsia="Aptos" w:cs="Aptos"/>
          <w:noProof w:val="0"/>
          <w:sz w:val="24"/>
          <w:szCs w:val="24"/>
          <w:lang w:val="en-GB"/>
        </w:rPr>
        <w:t xml:space="preserve">IEA 2024, </w:t>
      </w:r>
      <w:r w:rsidRPr="4DF95668" w:rsidR="0E864ECA">
        <w:rPr>
          <w:rFonts w:ascii="Aptos" w:hAnsi="Aptos" w:eastAsia="Aptos" w:cs="Aptos"/>
          <w:i w:val="1"/>
          <w:iCs w:val="1"/>
          <w:noProof w:val="0"/>
          <w:sz w:val="24"/>
          <w:szCs w:val="24"/>
          <w:lang w:val="en-GB"/>
        </w:rPr>
        <w:t>Global Critical Minerals Outlook 2024</w:t>
      </w:r>
      <w:r w:rsidRPr="4DF95668" w:rsidR="0E864ECA">
        <w:rPr>
          <w:rFonts w:ascii="Aptos" w:hAnsi="Aptos" w:eastAsia="Aptos" w:cs="Aptos"/>
          <w:noProof w:val="0"/>
          <w:sz w:val="24"/>
          <w:szCs w:val="24"/>
          <w:lang w:val="en-GB"/>
        </w:rPr>
        <w:t xml:space="preserve">, IEA, Paris. Available at: </w:t>
      </w:r>
      <w:hyperlink r:id="R1a21fe10fd454f1f">
        <w:r w:rsidRPr="4DF95668" w:rsidR="0E864ECA">
          <w:rPr>
            <w:rStyle w:val="Hyperlink"/>
            <w:rFonts w:ascii="Aptos" w:hAnsi="Aptos" w:eastAsia="Aptos" w:cs="Aptos"/>
            <w:noProof w:val="0"/>
            <w:sz w:val="24"/>
            <w:szCs w:val="24"/>
            <w:lang w:val="en-GB"/>
          </w:rPr>
          <w:t>https://www.iea.org/reports/global-critical-minerals-outlook-2024</w:t>
        </w:r>
      </w:hyperlink>
      <w:r w:rsidRPr="4DF95668" w:rsidR="0E864ECA">
        <w:rPr>
          <w:rFonts w:ascii="Aptos" w:hAnsi="Aptos" w:eastAsia="Aptos" w:cs="Aptos"/>
          <w:noProof w:val="0"/>
          <w:sz w:val="24"/>
          <w:szCs w:val="24"/>
          <w:lang w:val="en-GB"/>
        </w:rPr>
        <w:t xml:space="preserve"> (Accessed: 27 April 2026).</w:t>
      </w:r>
    </w:p>
    <w:p w:rsidR="0E864ECA" w:rsidP="4DF95668" w:rsidRDefault="0E864ECA" w14:paraId="2C77CCC9" w14:textId="4170830D">
      <w:pPr>
        <w:spacing w:before="240" w:beforeAutospacing="off" w:after="240" w:afterAutospacing="off"/>
        <w:jc w:val="both"/>
      </w:pPr>
      <w:r w:rsidRPr="4DF95668" w:rsidR="0E864ECA">
        <w:rPr>
          <w:rFonts w:ascii="Aptos" w:hAnsi="Aptos" w:eastAsia="Aptos" w:cs="Aptos"/>
          <w:noProof w:val="0"/>
          <w:sz w:val="24"/>
          <w:szCs w:val="24"/>
          <w:lang w:val="en-GB"/>
        </w:rPr>
        <w:t xml:space="preserve">IEA 2025, </w:t>
      </w:r>
      <w:r w:rsidRPr="4DF95668" w:rsidR="0E864ECA">
        <w:rPr>
          <w:rFonts w:ascii="Aptos" w:hAnsi="Aptos" w:eastAsia="Aptos" w:cs="Aptos"/>
          <w:i w:val="1"/>
          <w:iCs w:val="1"/>
          <w:noProof w:val="0"/>
          <w:sz w:val="24"/>
          <w:szCs w:val="24"/>
          <w:lang w:val="en-GB"/>
        </w:rPr>
        <w:t>Global Critical Minerals Outlook 2025</w:t>
      </w:r>
      <w:r w:rsidRPr="4DF95668" w:rsidR="0E864ECA">
        <w:rPr>
          <w:rFonts w:ascii="Aptos" w:hAnsi="Aptos" w:eastAsia="Aptos" w:cs="Aptos"/>
          <w:noProof w:val="0"/>
          <w:sz w:val="24"/>
          <w:szCs w:val="24"/>
          <w:lang w:val="en-GB"/>
        </w:rPr>
        <w:t xml:space="preserve">, IEA, Paris. Available at: </w:t>
      </w:r>
      <w:hyperlink r:id="Rcb731e29254741e6">
        <w:r w:rsidRPr="4DF95668" w:rsidR="0E864ECA">
          <w:rPr>
            <w:rStyle w:val="Hyperlink"/>
            <w:rFonts w:ascii="Aptos" w:hAnsi="Aptos" w:eastAsia="Aptos" w:cs="Aptos"/>
            <w:noProof w:val="0"/>
            <w:sz w:val="24"/>
            <w:szCs w:val="24"/>
            <w:lang w:val="en-GB"/>
          </w:rPr>
          <w:t>https://www.iea.org/reports/global-critical-minerals-outlook-2025</w:t>
        </w:r>
      </w:hyperlink>
      <w:r w:rsidRPr="4DF95668" w:rsidR="0E864ECA">
        <w:rPr>
          <w:rFonts w:ascii="Aptos" w:hAnsi="Aptos" w:eastAsia="Aptos" w:cs="Aptos"/>
          <w:noProof w:val="0"/>
          <w:sz w:val="24"/>
          <w:szCs w:val="24"/>
          <w:lang w:val="en-GB"/>
        </w:rPr>
        <w:t xml:space="preserve"> (Accessed: 27 April 2026).</w:t>
      </w:r>
    </w:p>
    <w:p w:rsidR="0E864ECA" w:rsidP="4DF95668" w:rsidRDefault="0E864ECA" w14:paraId="284EF15C" w14:textId="03B1E093">
      <w:pPr>
        <w:spacing w:before="240" w:beforeAutospacing="off" w:after="240" w:afterAutospacing="off"/>
        <w:jc w:val="both"/>
      </w:pPr>
      <w:r w:rsidRPr="4DF95668" w:rsidR="0E864ECA">
        <w:rPr>
          <w:rFonts w:ascii="Aptos" w:hAnsi="Aptos" w:eastAsia="Aptos" w:cs="Aptos"/>
          <w:noProof w:val="0"/>
          <w:sz w:val="24"/>
          <w:szCs w:val="24"/>
          <w:lang w:val="en-GB"/>
        </w:rPr>
        <w:t xml:space="preserve">IGO Limited n.d., </w:t>
      </w:r>
      <w:r w:rsidRPr="4DF95668" w:rsidR="0E864ECA">
        <w:rPr>
          <w:rFonts w:ascii="Aptos" w:hAnsi="Aptos" w:eastAsia="Aptos" w:cs="Aptos"/>
          <w:i w:val="1"/>
          <w:iCs w:val="1"/>
          <w:noProof w:val="0"/>
          <w:sz w:val="24"/>
          <w:szCs w:val="24"/>
          <w:lang w:val="en-GB"/>
        </w:rPr>
        <w:t>Lithium Joint Venture</w:t>
      </w:r>
      <w:r w:rsidRPr="4DF95668" w:rsidR="0E864ECA">
        <w:rPr>
          <w:rFonts w:ascii="Aptos" w:hAnsi="Aptos" w:eastAsia="Aptos" w:cs="Aptos"/>
          <w:noProof w:val="0"/>
          <w:sz w:val="24"/>
          <w:szCs w:val="24"/>
          <w:lang w:val="en-GB"/>
        </w:rPr>
        <w:t xml:space="preserve">. Available at: </w:t>
      </w:r>
      <w:hyperlink r:id="R16b99d3e07ab4932">
        <w:r w:rsidRPr="4DF95668" w:rsidR="0E864ECA">
          <w:rPr>
            <w:rStyle w:val="Hyperlink"/>
            <w:rFonts w:ascii="Aptos" w:hAnsi="Aptos" w:eastAsia="Aptos" w:cs="Aptos"/>
            <w:noProof w:val="0"/>
            <w:sz w:val="24"/>
            <w:szCs w:val="24"/>
            <w:lang w:val="en-GB"/>
          </w:rPr>
          <w:t>https://www.igo.com.au/site/operations/lithium-holdco-joint-venture</w:t>
        </w:r>
      </w:hyperlink>
      <w:r w:rsidRPr="4DF95668" w:rsidR="0E864ECA">
        <w:rPr>
          <w:rFonts w:ascii="Aptos" w:hAnsi="Aptos" w:eastAsia="Aptos" w:cs="Aptos"/>
          <w:noProof w:val="0"/>
          <w:sz w:val="24"/>
          <w:szCs w:val="24"/>
          <w:lang w:val="en-GB"/>
        </w:rPr>
        <w:t xml:space="preserve"> (Accessed: 27 April 2026).</w:t>
      </w:r>
    </w:p>
    <w:p w:rsidR="0E864ECA" w:rsidP="4DF95668" w:rsidRDefault="0E864ECA" w14:paraId="5D2E8461" w14:textId="0A7AB87A">
      <w:pPr>
        <w:spacing w:before="240" w:beforeAutospacing="off" w:after="240" w:afterAutospacing="off"/>
        <w:jc w:val="both"/>
      </w:pPr>
      <w:r w:rsidRPr="4DF95668" w:rsidR="0E864ECA">
        <w:rPr>
          <w:rFonts w:ascii="Aptos" w:hAnsi="Aptos" w:eastAsia="Aptos" w:cs="Aptos"/>
          <w:noProof w:val="0"/>
          <w:sz w:val="24"/>
          <w:szCs w:val="24"/>
          <w:lang w:val="en-GB"/>
        </w:rPr>
        <w:t xml:space="preserve">IGO Limited 2025, </w:t>
      </w:r>
      <w:r w:rsidRPr="4DF95668" w:rsidR="0E864ECA">
        <w:rPr>
          <w:rFonts w:ascii="Aptos" w:hAnsi="Aptos" w:eastAsia="Aptos" w:cs="Aptos"/>
          <w:i w:val="1"/>
          <w:iCs w:val="1"/>
          <w:noProof w:val="0"/>
          <w:sz w:val="24"/>
          <w:szCs w:val="24"/>
          <w:lang w:val="en-GB"/>
        </w:rPr>
        <w:t>Annual Report 2025</w:t>
      </w:r>
      <w:r w:rsidRPr="4DF95668" w:rsidR="0E864ECA">
        <w:rPr>
          <w:rFonts w:ascii="Aptos" w:hAnsi="Aptos" w:eastAsia="Aptos" w:cs="Aptos"/>
          <w:noProof w:val="0"/>
          <w:sz w:val="24"/>
          <w:szCs w:val="24"/>
          <w:lang w:val="en-GB"/>
        </w:rPr>
        <w:t xml:space="preserve">. Available at: </w:t>
      </w:r>
      <w:hyperlink r:id="R2ee4fae3a0354694">
        <w:r w:rsidRPr="4DF95668" w:rsidR="0E864ECA">
          <w:rPr>
            <w:rStyle w:val="Hyperlink"/>
            <w:rFonts w:ascii="Aptos" w:hAnsi="Aptos" w:eastAsia="Aptos" w:cs="Aptos"/>
            <w:noProof w:val="0"/>
            <w:sz w:val="24"/>
            <w:szCs w:val="24"/>
            <w:lang w:val="en-GB"/>
          </w:rPr>
          <w:t>https://www.igo.com.au/site/pdf/378b29b1-90bc-4fca-afbe-28f669c92d0d/IGO-Annual-Report-2025.pdf</w:t>
        </w:r>
      </w:hyperlink>
      <w:r w:rsidRPr="4DF95668" w:rsidR="0E864ECA">
        <w:rPr>
          <w:rFonts w:ascii="Aptos" w:hAnsi="Aptos" w:eastAsia="Aptos" w:cs="Aptos"/>
          <w:noProof w:val="0"/>
          <w:sz w:val="24"/>
          <w:szCs w:val="24"/>
          <w:lang w:val="en-GB"/>
        </w:rPr>
        <w:t xml:space="preserve"> (Accessed: 27 April 2026).</w:t>
      </w:r>
    </w:p>
    <w:p w:rsidR="0E864ECA" w:rsidP="4DF95668" w:rsidRDefault="0E864ECA" w14:paraId="2F2BDFFB" w14:textId="688C2D76">
      <w:pPr>
        <w:spacing w:before="240" w:beforeAutospacing="off" w:after="240" w:afterAutospacing="off"/>
        <w:jc w:val="both"/>
      </w:pPr>
      <w:r w:rsidRPr="4DF95668" w:rsidR="0E864ECA">
        <w:rPr>
          <w:rFonts w:ascii="Aptos" w:hAnsi="Aptos" w:eastAsia="Aptos" w:cs="Aptos"/>
          <w:noProof w:val="0"/>
          <w:sz w:val="24"/>
          <w:szCs w:val="24"/>
          <w:lang w:val="en-GB"/>
        </w:rPr>
        <w:t xml:space="preserve">Iluka Resources 2026, </w:t>
      </w:r>
      <w:r w:rsidRPr="4DF95668" w:rsidR="0E864ECA">
        <w:rPr>
          <w:rFonts w:ascii="Aptos" w:hAnsi="Aptos" w:eastAsia="Aptos" w:cs="Aptos"/>
          <w:i w:val="1"/>
          <w:iCs w:val="1"/>
          <w:noProof w:val="0"/>
          <w:sz w:val="24"/>
          <w:szCs w:val="24"/>
          <w:lang w:val="en-GB"/>
        </w:rPr>
        <w:t>2025 Full Year Results</w:t>
      </w:r>
      <w:r w:rsidRPr="4DF95668" w:rsidR="0E864ECA">
        <w:rPr>
          <w:rFonts w:ascii="Aptos" w:hAnsi="Aptos" w:eastAsia="Aptos" w:cs="Aptos"/>
          <w:noProof w:val="0"/>
          <w:sz w:val="24"/>
          <w:szCs w:val="24"/>
          <w:lang w:val="en-GB"/>
        </w:rPr>
        <w:t xml:space="preserve">. Available at: </w:t>
      </w:r>
      <w:hyperlink r:id="R18c4d92d3d884dd0">
        <w:r w:rsidRPr="4DF95668" w:rsidR="0E864ECA">
          <w:rPr>
            <w:rStyle w:val="Hyperlink"/>
            <w:rFonts w:ascii="Aptos" w:hAnsi="Aptos" w:eastAsia="Aptos" w:cs="Aptos"/>
            <w:noProof w:val="0"/>
            <w:sz w:val="24"/>
            <w:szCs w:val="24"/>
            <w:lang w:val="en-GB"/>
          </w:rPr>
          <w:t>https://www.iluka.com/media/jp1mawlt/2025-full-year-results-presentation.pdf</w:t>
        </w:r>
      </w:hyperlink>
      <w:r w:rsidRPr="4DF95668" w:rsidR="0E864ECA">
        <w:rPr>
          <w:rFonts w:ascii="Aptos" w:hAnsi="Aptos" w:eastAsia="Aptos" w:cs="Aptos"/>
          <w:noProof w:val="0"/>
          <w:sz w:val="24"/>
          <w:szCs w:val="24"/>
          <w:lang w:val="en-GB"/>
        </w:rPr>
        <w:t xml:space="preserve"> (Accessed: 27 April 2026).</w:t>
      </w:r>
    </w:p>
    <w:p w:rsidR="0E864ECA" w:rsidP="4DF95668" w:rsidRDefault="0E864ECA" w14:paraId="43970DB6" w14:textId="153A2F5F">
      <w:pPr>
        <w:spacing w:before="240" w:beforeAutospacing="off" w:after="240" w:afterAutospacing="off"/>
        <w:jc w:val="both"/>
      </w:pPr>
      <w:r w:rsidRPr="4DF95668" w:rsidR="0E864ECA">
        <w:rPr>
          <w:rFonts w:ascii="Aptos" w:hAnsi="Aptos" w:eastAsia="Aptos" w:cs="Aptos"/>
          <w:noProof w:val="0"/>
          <w:sz w:val="24"/>
          <w:szCs w:val="24"/>
          <w:lang w:val="en-GB"/>
        </w:rPr>
        <w:t xml:space="preserve">Kharub, M. and Sharma, R. 2017, ‘Comparative analyses of competitive advantage using Porter Diamond Model: the case of MSMEs in Himachal Pradesh’, </w:t>
      </w:r>
      <w:r w:rsidRPr="4DF95668" w:rsidR="0E864ECA">
        <w:rPr>
          <w:rFonts w:ascii="Aptos" w:hAnsi="Aptos" w:eastAsia="Aptos" w:cs="Aptos"/>
          <w:i w:val="1"/>
          <w:iCs w:val="1"/>
          <w:noProof w:val="0"/>
          <w:sz w:val="24"/>
          <w:szCs w:val="24"/>
          <w:lang w:val="en-GB"/>
        </w:rPr>
        <w:t>Competitiveness Review</w:t>
      </w:r>
      <w:r w:rsidRPr="4DF95668" w:rsidR="0E864ECA">
        <w:rPr>
          <w:rFonts w:ascii="Aptos" w:hAnsi="Aptos" w:eastAsia="Aptos" w:cs="Aptos"/>
          <w:noProof w:val="0"/>
          <w:sz w:val="24"/>
          <w:szCs w:val="24"/>
          <w:lang w:val="en-GB"/>
        </w:rPr>
        <w:t xml:space="preserve">, vol. 27, no. 2, pp. 132–160. Available at: </w:t>
      </w:r>
      <w:hyperlink r:id="R9f7ecc707a8f4e69">
        <w:r w:rsidRPr="4DF95668" w:rsidR="0E864ECA">
          <w:rPr>
            <w:rStyle w:val="Hyperlink"/>
            <w:rFonts w:ascii="Aptos" w:hAnsi="Aptos" w:eastAsia="Aptos" w:cs="Aptos"/>
            <w:noProof w:val="0"/>
            <w:sz w:val="24"/>
            <w:szCs w:val="24"/>
            <w:lang w:val="en-GB"/>
          </w:rPr>
          <w:t>https://doi.org/10.1108/CR-02-2016-0007</w:t>
        </w:r>
      </w:hyperlink>
      <w:r w:rsidRPr="4DF95668" w:rsidR="0E864ECA">
        <w:rPr>
          <w:rFonts w:ascii="Aptos" w:hAnsi="Aptos" w:eastAsia="Aptos" w:cs="Aptos"/>
          <w:noProof w:val="0"/>
          <w:sz w:val="24"/>
          <w:szCs w:val="24"/>
          <w:lang w:val="en-GB"/>
        </w:rPr>
        <w:t>.</w:t>
      </w:r>
    </w:p>
    <w:p w:rsidR="0E864ECA" w:rsidP="4DF95668" w:rsidRDefault="0E864ECA" w14:paraId="161A292E" w14:textId="128968C4">
      <w:pPr>
        <w:spacing w:before="240" w:beforeAutospacing="off" w:after="240" w:afterAutospacing="off"/>
        <w:jc w:val="both"/>
      </w:pPr>
      <w:r w:rsidRPr="4DF95668" w:rsidR="0E864ECA">
        <w:rPr>
          <w:rFonts w:ascii="Aptos" w:hAnsi="Aptos" w:eastAsia="Aptos" w:cs="Aptos"/>
          <w:noProof w:val="0"/>
          <w:sz w:val="24"/>
          <w:szCs w:val="24"/>
          <w:lang w:val="en-GB"/>
        </w:rPr>
        <w:t xml:space="preserve">Kohli, K. 2022, ‘Australia’s critical mineral ambitions’, </w:t>
      </w:r>
      <w:r w:rsidRPr="4DF95668" w:rsidR="0E864ECA">
        <w:rPr>
          <w:rFonts w:ascii="Aptos" w:hAnsi="Aptos" w:eastAsia="Aptos" w:cs="Aptos"/>
          <w:i w:val="1"/>
          <w:iCs w:val="1"/>
          <w:noProof w:val="0"/>
          <w:sz w:val="24"/>
          <w:szCs w:val="24"/>
          <w:lang w:val="en-GB"/>
        </w:rPr>
        <w:t>Chemical Week</w:t>
      </w:r>
      <w:r w:rsidRPr="4DF95668" w:rsidR="0E864ECA">
        <w:rPr>
          <w:rFonts w:ascii="Aptos" w:hAnsi="Aptos" w:eastAsia="Aptos" w:cs="Aptos"/>
          <w:noProof w:val="0"/>
          <w:sz w:val="24"/>
          <w:szCs w:val="24"/>
          <w:lang w:val="en-GB"/>
        </w:rPr>
        <w:t>, vol. 184, no. 24, p. 26.</w:t>
      </w:r>
    </w:p>
    <w:p w:rsidR="0E864ECA" w:rsidP="4DF95668" w:rsidRDefault="0E864ECA" w14:paraId="4855AC46" w14:textId="4FE6CEA4">
      <w:pPr>
        <w:spacing w:before="240" w:beforeAutospacing="off" w:after="240" w:afterAutospacing="off"/>
        <w:jc w:val="both"/>
      </w:pPr>
      <w:r w:rsidRPr="4DF95668" w:rsidR="0E864ECA">
        <w:rPr>
          <w:rFonts w:ascii="Aptos" w:hAnsi="Aptos" w:eastAsia="Aptos" w:cs="Aptos"/>
          <w:noProof w:val="0"/>
          <w:sz w:val="24"/>
          <w:szCs w:val="24"/>
          <w:lang w:val="en-GB"/>
        </w:rPr>
        <w:t xml:space="preserve">Li, Y. et al. 2019, ‘Research on the influencing factors of China’s service trade international competitiveness based on Michael Porter Diamond Model’, </w:t>
      </w:r>
      <w:r w:rsidRPr="4DF95668" w:rsidR="0E864ECA">
        <w:rPr>
          <w:rFonts w:ascii="Aptos" w:hAnsi="Aptos" w:eastAsia="Aptos" w:cs="Aptos"/>
          <w:i w:val="1"/>
          <w:iCs w:val="1"/>
          <w:noProof w:val="0"/>
          <w:sz w:val="24"/>
          <w:szCs w:val="24"/>
          <w:lang w:val="en-GB"/>
        </w:rPr>
        <w:t>IOP Conference Series: Materials Science and Engineering</w:t>
      </w:r>
      <w:r w:rsidRPr="4DF95668" w:rsidR="0E864ECA">
        <w:rPr>
          <w:rFonts w:ascii="Aptos" w:hAnsi="Aptos" w:eastAsia="Aptos" w:cs="Aptos"/>
          <w:noProof w:val="0"/>
          <w:sz w:val="24"/>
          <w:szCs w:val="24"/>
          <w:lang w:val="en-GB"/>
        </w:rPr>
        <w:t xml:space="preserve">, vol. 688, no. 5, article 055053. Available at: </w:t>
      </w:r>
      <w:hyperlink r:id="R4e461b1fa9164260">
        <w:r w:rsidRPr="4DF95668" w:rsidR="0E864ECA">
          <w:rPr>
            <w:rStyle w:val="Hyperlink"/>
            <w:rFonts w:ascii="Aptos" w:hAnsi="Aptos" w:eastAsia="Aptos" w:cs="Aptos"/>
            <w:noProof w:val="0"/>
            <w:sz w:val="24"/>
            <w:szCs w:val="24"/>
            <w:lang w:val="en-GB"/>
          </w:rPr>
          <w:t>https://doi.org/10.1088/1757-899X/688/5/055053</w:t>
        </w:r>
      </w:hyperlink>
      <w:r w:rsidRPr="4DF95668" w:rsidR="0E864ECA">
        <w:rPr>
          <w:rFonts w:ascii="Aptos" w:hAnsi="Aptos" w:eastAsia="Aptos" w:cs="Aptos"/>
          <w:noProof w:val="0"/>
          <w:sz w:val="24"/>
          <w:szCs w:val="24"/>
          <w:lang w:val="en-GB"/>
        </w:rPr>
        <w:t>.</w:t>
      </w:r>
    </w:p>
    <w:p w:rsidR="0E864ECA" w:rsidP="4DF95668" w:rsidRDefault="0E864ECA" w14:paraId="28F232B2" w14:textId="5EC7A15A">
      <w:pPr>
        <w:spacing w:before="240" w:beforeAutospacing="off" w:after="240" w:afterAutospacing="off"/>
        <w:jc w:val="both"/>
      </w:pPr>
      <w:r w:rsidRPr="4DF95668" w:rsidR="0E864ECA">
        <w:rPr>
          <w:rFonts w:ascii="Aptos" w:hAnsi="Aptos" w:eastAsia="Aptos" w:cs="Aptos"/>
          <w:noProof w:val="0"/>
          <w:sz w:val="24"/>
          <w:szCs w:val="24"/>
          <w:lang w:val="en-GB"/>
        </w:rPr>
        <w:t xml:space="preserve">London Metal Exchange n.d., </w:t>
      </w:r>
      <w:r w:rsidRPr="4DF95668" w:rsidR="0E864ECA">
        <w:rPr>
          <w:rFonts w:ascii="Aptos" w:hAnsi="Aptos" w:eastAsia="Aptos" w:cs="Aptos"/>
          <w:i w:val="1"/>
          <w:iCs w:val="1"/>
          <w:noProof w:val="0"/>
          <w:sz w:val="24"/>
          <w:szCs w:val="24"/>
          <w:lang w:val="en-GB"/>
        </w:rPr>
        <w:t>LME Lithium Hydroxide CIF Fastmarkets MB: Contract Specifications</w:t>
      </w:r>
      <w:r w:rsidRPr="4DF95668" w:rsidR="0E864ECA">
        <w:rPr>
          <w:rFonts w:ascii="Aptos" w:hAnsi="Aptos" w:eastAsia="Aptos" w:cs="Aptos"/>
          <w:noProof w:val="0"/>
          <w:sz w:val="24"/>
          <w:szCs w:val="24"/>
          <w:lang w:val="en-GB"/>
        </w:rPr>
        <w:t xml:space="preserve">. Available at: </w:t>
      </w:r>
      <w:hyperlink r:id="Rb48ecddebb594ece">
        <w:r w:rsidRPr="4DF95668" w:rsidR="0E864ECA">
          <w:rPr>
            <w:rStyle w:val="Hyperlink"/>
            <w:rFonts w:ascii="Aptos" w:hAnsi="Aptos" w:eastAsia="Aptos" w:cs="Aptos"/>
            <w:noProof w:val="0"/>
            <w:sz w:val="24"/>
            <w:szCs w:val="24"/>
            <w:lang w:val="en-GB"/>
          </w:rPr>
          <w:t>https://www.lme.com/metals/ev/lme-lithium-hydroxide-cif-fastmarkets-mb/contract-specifications</w:t>
        </w:r>
      </w:hyperlink>
      <w:r w:rsidRPr="4DF95668" w:rsidR="0E864ECA">
        <w:rPr>
          <w:rFonts w:ascii="Aptos" w:hAnsi="Aptos" w:eastAsia="Aptos" w:cs="Aptos"/>
          <w:noProof w:val="0"/>
          <w:sz w:val="24"/>
          <w:szCs w:val="24"/>
          <w:lang w:val="en-GB"/>
        </w:rPr>
        <w:t xml:space="preserve"> (Accessed: 27 April 2026).</w:t>
      </w:r>
    </w:p>
    <w:p w:rsidR="0E864ECA" w:rsidP="4DF95668" w:rsidRDefault="0E864ECA" w14:paraId="2C315265" w14:textId="42BB88DA">
      <w:pPr>
        <w:spacing w:before="240" w:beforeAutospacing="off" w:after="240" w:afterAutospacing="off"/>
        <w:jc w:val="both"/>
      </w:pPr>
      <w:r w:rsidRPr="4DF95668" w:rsidR="0E864ECA">
        <w:rPr>
          <w:rFonts w:ascii="Aptos" w:hAnsi="Aptos" w:eastAsia="Aptos" w:cs="Aptos"/>
          <w:noProof w:val="0"/>
          <w:sz w:val="24"/>
          <w:szCs w:val="24"/>
          <w:lang w:val="en-GB"/>
        </w:rPr>
        <w:t xml:space="preserve">Lynas Rare Earths Limited 2025, </w:t>
      </w:r>
      <w:r w:rsidRPr="4DF95668" w:rsidR="0E864ECA">
        <w:rPr>
          <w:rFonts w:ascii="Aptos" w:hAnsi="Aptos" w:eastAsia="Aptos" w:cs="Aptos"/>
          <w:i w:val="1"/>
          <w:iCs w:val="1"/>
          <w:noProof w:val="0"/>
          <w:sz w:val="24"/>
          <w:szCs w:val="24"/>
          <w:lang w:val="en-GB"/>
        </w:rPr>
        <w:t>Appendix 4E and 2025 Annual Report</w:t>
      </w:r>
      <w:r w:rsidRPr="4DF95668" w:rsidR="0E864ECA">
        <w:rPr>
          <w:rFonts w:ascii="Aptos" w:hAnsi="Aptos" w:eastAsia="Aptos" w:cs="Aptos"/>
          <w:noProof w:val="0"/>
          <w:sz w:val="24"/>
          <w:szCs w:val="24"/>
          <w:lang w:val="en-GB"/>
        </w:rPr>
        <w:t xml:space="preserve">. Available at: </w:t>
      </w:r>
      <w:hyperlink r:id="R4031c52eaaa04b3a">
        <w:r w:rsidRPr="4DF95668" w:rsidR="0E864ECA">
          <w:rPr>
            <w:rStyle w:val="Hyperlink"/>
            <w:rFonts w:ascii="Aptos" w:hAnsi="Aptos" w:eastAsia="Aptos" w:cs="Aptos"/>
            <w:noProof w:val="0"/>
            <w:sz w:val="24"/>
            <w:szCs w:val="24"/>
            <w:lang w:val="en-GB"/>
          </w:rPr>
          <w:t>https://www.listcorp.com/asx/lyc/lynas-rare-earths-limited/news/appendix-4e-and-2025-annual-report-3234309.html</w:t>
        </w:r>
      </w:hyperlink>
      <w:r w:rsidRPr="4DF95668" w:rsidR="0E864ECA">
        <w:rPr>
          <w:rFonts w:ascii="Aptos" w:hAnsi="Aptos" w:eastAsia="Aptos" w:cs="Aptos"/>
          <w:noProof w:val="0"/>
          <w:sz w:val="24"/>
          <w:szCs w:val="24"/>
          <w:lang w:val="en-GB"/>
        </w:rPr>
        <w:t xml:space="preserve"> (Accessed: 27 April 2026).</w:t>
      </w:r>
    </w:p>
    <w:p w:rsidR="0E864ECA" w:rsidP="4DF95668" w:rsidRDefault="0E864ECA" w14:paraId="5CC053A9" w14:textId="01DC5120">
      <w:pPr>
        <w:spacing w:before="240" w:beforeAutospacing="off" w:after="240" w:afterAutospacing="off"/>
        <w:jc w:val="both"/>
      </w:pPr>
      <w:r w:rsidRPr="4DF95668" w:rsidR="0E864ECA">
        <w:rPr>
          <w:rFonts w:ascii="Aptos" w:hAnsi="Aptos" w:eastAsia="Aptos" w:cs="Aptos"/>
          <w:noProof w:val="0"/>
          <w:sz w:val="24"/>
          <w:szCs w:val="24"/>
          <w:lang w:val="en-GB"/>
        </w:rPr>
        <w:t xml:space="preserve">Mining Engineering 2024, ‘China’s ability to invest in Australia critical minerals on the agenda’, </w:t>
      </w:r>
      <w:r w:rsidRPr="4DF95668" w:rsidR="0E864ECA">
        <w:rPr>
          <w:rFonts w:ascii="Aptos" w:hAnsi="Aptos" w:eastAsia="Aptos" w:cs="Aptos"/>
          <w:i w:val="1"/>
          <w:iCs w:val="1"/>
          <w:noProof w:val="0"/>
          <w:sz w:val="24"/>
          <w:szCs w:val="24"/>
          <w:lang w:val="en-GB"/>
        </w:rPr>
        <w:t>Mining Engineering</w:t>
      </w:r>
      <w:r w:rsidRPr="4DF95668" w:rsidR="0E864ECA">
        <w:rPr>
          <w:rFonts w:ascii="Aptos" w:hAnsi="Aptos" w:eastAsia="Aptos" w:cs="Aptos"/>
          <w:noProof w:val="0"/>
          <w:sz w:val="24"/>
          <w:szCs w:val="24"/>
          <w:lang w:val="en-GB"/>
        </w:rPr>
        <w:t>, vol. 76, no. 7, pp. 10–14.</w:t>
      </w:r>
    </w:p>
    <w:p w:rsidR="0E864ECA" w:rsidP="4DF95668" w:rsidRDefault="0E864ECA" w14:paraId="52C9B8F4" w14:textId="5348BE37">
      <w:pPr>
        <w:spacing w:before="240" w:beforeAutospacing="off" w:after="240" w:afterAutospacing="off"/>
        <w:jc w:val="both"/>
      </w:pPr>
      <w:r w:rsidRPr="4DF95668" w:rsidR="0E864ECA">
        <w:rPr>
          <w:rFonts w:ascii="Aptos" w:hAnsi="Aptos" w:eastAsia="Aptos" w:cs="Aptos"/>
          <w:noProof w:val="0"/>
          <w:sz w:val="24"/>
          <w:szCs w:val="24"/>
          <w:lang w:val="en-GB"/>
        </w:rPr>
        <w:t xml:space="preserve">Mining Engineering 2025, ‘Australia weighs price floor for critical minerals’, </w:t>
      </w:r>
      <w:r w:rsidRPr="4DF95668" w:rsidR="0E864ECA">
        <w:rPr>
          <w:rFonts w:ascii="Aptos" w:hAnsi="Aptos" w:eastAsia="Aptos" w:cs="Aptos"/>
          <w:i w:val="1"/>
          <w:iCs w:val="1"/>
          <w:noProof w:val="0"/>
          <w:sz w:val="24"/>
          <w:szCs w:val="24"/>
          <w:lang w:val="en-GB"/>
        </w:rPr>
        <w:t>Mining Engineering</w:t>
      </w:r>
      <w:r w:rsidRPr="4DF95668" w:rsidR="0E864ECA">
        <w:rPr>
          <w:rFonts w:ascii="Aptos" w:hAnsi="Aptos" w:eastAsia="Aptos" w:cs="Aptos"/>
          <w:noProof w:val="0"/>
          <w:sz w:val="24"/>
          <w:szCs w:val="24"/>
          <w:lang w:val="en-GB"/>
        </w:rPr>
        <w:t>, vol. 77, no. 9, p. 6.</w:t>
      </w:r>
    </w:p>
    <w:p w:rsidR="0E864ECA" w:rsidP="4DF95668" w:rsidRDefault="0E864ECA" w14:paraId="0589A2BC" w14:textId="3A1E4DA9">
      <w:pPr>
        <w:spacing w:before="240" w:beforeAutospacing="off" w:after="240" w:afterAutospacing="off"/>
        <w:jc w:val="both"/>
      </w:pPr>
      <w:r w:rsidRPr="4DF95668" w:rsidR="0E864ECA">
        <w:rPr>
          <w:rFonts w:ascii="Aptos" w:hAnsi="Aptos" w:eastAsia="Aptos" w:cs="Aptos"/>
          <w:noProof w:val="0"/>
          <w:sz w:val="24"/>
          <w:szCs w:val="24"/>
          <w:lang w:val="en-GB"/>
        </w:rPr>
        <w:t xml:space="preserve">Reuters 2025, ‘Australia passes tax incentives law for critical minerals’, </w:t>
      </w:r>
      <w:r w:rsidRPr="4DF95668" w:rsidR="0E864ECA">
        <w:rPr>
          <w:rFonts w:ascii="Aptos" w:hAnsi="Aptos" w:eastAsia="Aptos" w:cs="Aptos"/>
          <w:i w:val="1"/>
          <w:iCs w:val="1"/>
          <w:noProof w:val="0"/>
          <w:sz w:val="24"/>
          <w:szCs w:val="24"/>
          <w:lang w:val="en-GB"/>
        </w:rPr>
        <w:t>Reuters</w:t>
      </w:r>
      <w:r w:rsidRPr="4DF95668" w:rsidR="0E864ECA">
        <w:rPr>
          <w:rFonts w:ascii="Aptos" w:hAnsi="Aptos" w:eastAsia="Aptos" w:cs="Aptos"/>
          <w:noProof w:val="0"/>
          <w:sz w:val="24"/>
          <w:szCs w:val="24"/>
          <w:lang w:val="en-GB"/>
        </w:rPr>
        <w:t xml:space="preserve">, 11 February. Available at: </w:t>
      </w:r>
      <w:hyperlink r:id="R3df1fa6f91924c96">
        <w:r w:rsidRPr="4DF95668" w:rsidR="0E864ECA">
          <w:rPr>
            <w:rStyle w:val="Hyperlink"/>
            <w:rFonts w:ascii="Aptos" w:hAnsi="Aptos" w:eastAsia="Aptos" w:cs="Aptos"/>
            <w:noProof w:val="0"/>
            <w:sz w:val="24"/>
            <w:szCs w:val="24"/>
            <w:lang w:val="en-GB"/>
          </w:rPr>
          <w:t>https://www.reuters.com/markets/commodities/australia-passes-tax-incentives-law-critical-minerals-2025-02-11/</w:t>
        </w:r>
      </w:hyperlink>
      <w:r w:rsidRPr="4DF95668" w:rsidR="0E864ECA">
        <w:rPr>
          <w:rFonts w:ascii="Aptos" w:hAnsi="Aptos" w:eastAsia="Aptos" w:cs="Aptos"/>
          <w:noProof w:val="0"/>
          <w:sz w:val="24"/>
          <w:szCs w:val="24"/>
          <w:lang w:val="en-GB"/>
        </w:rPr>
        <w:t xml:space="preserve"> (Accessed: 27 April 2026).</w:t>
      </w:r>
    </w:p>
    <w:p w:rsidR="0E864ECA" w:rsidP="4DF95668" w:rsidRDefault="0E864ECA" w14:paraId="51982E83" w14:textId="17B781F8">
      <w:pPr>
        <w:spacing w:before="240" w:beforeAutospacing="off" w:after="240" w:afterAutospacing="off"/>
        <w:jc w:val="both"/>
      </w:pPr>
      <w:r w:rsidRPr="4DF95668" w:rsidR="0E864ECA">
        <w:rPr>
          <w:rFonts w:ascii="Aptos" w:hAnsi="Aptos" w:eastAsia="Aptos" w:cs="Aptos"/>
          <w:noProof w:val="0"/>
          <w:sz w:val="24"/>
          <w:szCs w:val="24"/>
          <w:lang w:val="en-GB"/>
        </w:rPr>
        <w:t xml:space="preserve">Rudko, H.I. and Bala, H.R. 2021, ‘Critical mineral raw materials and their prospects in Ukraine’, </w:t>
      </w:r>
      <w:r w:rsidRPr="4DF95668" w:rsidR="0E864ECA">
        <w:rPr>
          <w:rFonts w:ascii="Aptos" w:hAnsi="Aptos" w:eastAsia="Aptos" w:cs="Aptos"/>
          <w:i w:val="1"/>
          <w:iCs w:val="1"/>
          <w:noProof w:val="0"/>
          <w:sz w:val="24"/>
          <w:szCs w:val="24"/>
          <w:lang w:val="en-GB"/>
        </w:rPr>
        <w:t>Мінеральні ресурси України</w:t>
      </w:r>
      <w:r w:rsidRPr="4DF95668" w:rsidR="0E864ECA">
        <w:rPr>
          <w:rFonts w:ascii="Aptos" w:hAnsi="Aptos" w:eastAsia="Aptos" w:cs="Aptos"/>
          <w:noProof w:val="0"/>
          <w:sz w:val="24"/>
          <w:szCs w:val="24"/>
          <w:lang w:val="en-GB"/>
        </w:rPr>
        <w:t xml:space="preserve">, no. 2, pp. 3–14. Available at: </w:t>
      </w:r>
      <w:hyperlink r:id="R162839bb3eb34b0d">
        <w:r w:rsidRPr="4DF95668" w:rsidR="0E864ECA">
          <w:rPr>
            <w:rStyle w:val="Hyperlink"/>
            <w:rFonts w:ascii="Aptos" w:hAnsi="Aptos" w:eastAsia="Aptos" w:cs="Aptos"/>
            <w:noProof w:val="0"/>
            <w:sz w:val="24"/>
            <w:szCs w:val="24"/>
            <w:lang w:val="en-GB"/>
          </w:rPr>
          <w:t>https://doi.org/10.31996/mru.2021.2.3-14</w:t>
        </w:r>
      </w:hyperlink>
      <w:r w:rsidRPr="4DF95668" w:rsidR="0E864ECA">
        <w:rPr>
          <w:rFonts w:ascii="Aptos" w:hAnsi="Aptos" w:eastAsia="Aptos" w:cs="Aptos"/>
          <w:noProof w:val="0"/>
          <w:sz w:val="24"/>
          <w:szCs w:val="24"/>
          <w:lang w:val="en-GB"/>
        </w:rPr>
        <w:t>.</w:t>
      </w:r>
    </w:p>
    <w:p w:rsidR="0E864ECA" w:rsidP="4DF95668" w:rsidRDefault="0E864ECA" w14:paraId="4149F020" w14:textId="314A3BB2">
      <w:pPr>
        <w:spacing w:before="240" w:beforeAutospacing="off" w:after="240" w:afterAutospacing="off"/>
        <w:jc w:val="both"/>
      </w:pPr>
      <w:r w:rsidRPr="4DF95668" w:rsidR="0E864ECA">
        <w:rPr>
          <w:rFonts w:ascii="Aptos" w:hAnsi="Aptos" w:eastAsia="Aptos" w:cs="Aptos"/>
          <w:noProof w:val="0"/>
          <w:sz w:val="24"/>
          <w:szCs w:val="24"/>
          <w:lang w:val="en-GB"/>
        </w:rPr>
        <w:t xml:space="preserve">Smit, A.J. 2010, ‘The competitive advantage of nations: is Porter’s Diamond Framework a new theory that explains the international competitiveness of countries?’, </w:t>
      </w:r>
      <w:r w:rsidRPr="4DF95668" w:rsidR="0E864ECA">
        <w:rPr>
          <w:rFonts w:ascii="Aptos" w:hAnsi="Aptos" w:eastAsia="Aptos" w:cs="Aptos"/>
          <w:i w:val="1"/>
          <w:iCs w:val="1"/>
          <w:noProof w:val="0"/>
          <w:sz w:val="24"/>
          <w:szCs w:val="24"/>
          <w:lang w:val="en-GB"/>
        </w:rPr>
        <w:t>Southern African Business Review</w:t>
      </w:r>
      <w:r w:rsidRPr="4DF95668" w:rsidR="0E864ECA">
        <w:rPr>
          <w:rFonts w:ascii="Aptos" w:hAnsi="Aptos" w:eastAsia="Aptos" w:cs="Aptos"/>
          <w:noProof w:val="0"/>
          <w:sz w:val="24"/>
          <w:szCs w:val="24"/>
          <w:lang w:val="en-GB"/>
        </w:rPr>
        <w:t>, vol. 14, no. 1, pp. 105–130.</w:t>
      </w:r>
    </w:p>
    <w:p w:rsidR="0E864ECA" w:rsidP="4DF95668" w:rsidRDefault="0E864ECA" w14:paraId="59091FB9" w14:textId="5C5A2E16">
      <w:pPr>
        <w:spacing w:before="240" w:beforeAutospacing="off" w:after="240" w:afterAutospacing="off"/>
        <w:jc w:val="both"/>
      </w:pPr>
      <w:r w:rsidRPr="4DF95668" w:rsidR="0E864ECA">
        <w:rPr>
          <w:rFonts w:ascii="Aptos" w:hAnsi="Aptos" w:eastAsia="Aptos" w:cs="Aptos"/>
          <w:noProof w:val="0"/>
          <w:sz w:val="24"/>
          <w:szCs w:val="24"/>
          <w:lang w:val="en-GB"/>
        </w:rPr>
        <w:t xml:space="preserve">Teng, D. 2011, ‘National competitiveness in global economy: evolution of approaches and methods of assessment’, </w:t>
      </w:r>
      <w:r w:rsidRPr="4DF95668" w:rsidR="0E864ECA">
        <w:rPr>
          <w:rFonts w:ascii="Aptos" w:hAnsi="Aptos" w:eastAsia="Aptos" w:cs="Aptos"/>
          <w:i w:val="1"/>
          <w:iCs w:val="1"/>
          <w:noProof w:val="0"/>
          <w:sz w:val="24"/>
          <w:szCs w:val="24"/>
          <w:lang w:val="en-GB"/>
        </w:rPr>
        <w:t>Vestnik</w:t>
      </w:r>
      <w:r w:rsidRPr="4DF95668" w:rsidR="0E864ECA">
        <w:rPr>
          <w:rFonts w:ascii="Aptos" w:hAnsi="Aptos" w:eastAsia="Aptos" w:cs="Aptos"/>
          <w:i w:val="1"/>
          <w:iCs w:val="1"/>
          <w:noProof w:val="0"/>
          <w:sz w:val="24"/>
          <w:szCs w:val="24"/>
          <w:lang w:val="en-GB"/>
        </w:rPr>
        <w:t xml:space="preserve"> </w:t>
      </w:r>
      <w:r w:rsidRPr="4DF95668" w:rsidR="0E864ECA">
        <w:rPr>
          <w:rFonts w:ascii="Aptos" w:hAnsi="Aptos" w:eastAsia="Aptos" w:cs="Aptos"/>
          <w:i w:val="1"/>
          <w:iCs w:val="1"/>
          <w:noProof w:val="0"/>
          <w:sz w:val="24"/>
          <w:szCs w:val="24"/>
          <w:lang w:val="en-GB"/>
        </w:rPr>
        <w:t>Rossiĭskogo</w:t>
      </w:r>
      <w:r w:rsidRPr="4DF95668" w:rsidR="0E864ECA">
        <w:rPr>
          <w:rFonts w:ascii="Aptos" w:hAnsi="Aptos" w:eastAsia="Aptos" w:cs="Aptos"/>
          <w:i w:val="1"/>
          <w:iCs w:val="1"/>
          <w:noProof w:val="0"/>
          <w:sz w:val="24"/>
          <w:szCs w:val="24"/>
          <w:lang w:val="en-GB"/>
        </w:rPr>
        <w:t xml:space="preserve"> </w:t>
      </w:r>
      <w:r w:rsidRPr="4DF95668" w:rsidR="0E864ECA">
        <w:rPr>
          <w:rFonts w:ascii="Aptos" w:hAnsi="Aptos" w:eastAsia="Aptos" w:cs="Aptos"/>
          <w:i w:val="1"/>
          <w:iCs w:val="1"/>
          <w:noProof w:val="0"/>
          <w:sz w:val="24"/>
          <w:szCs w:val="24"/>
          <w:lang w:val="en-GB"/>
        </w:rPr>
        <w:t>universiteta</w:t>
      </w:r>
      <w:r w:rsidRPr="4DF95668" w:rsidR="0E864ECA">
        <w:rPr>
          <w:rFonts w:ascii="Aptos" w:hAnsi="Aptos" w:eastAsia="Aptos" w:cs="Aptos"/>
          <w:i w:val="1"/>
          <w:iCs w:val="1"/>
          <w:noProof w:val="0"/>
          <w:sz w:val="24"/>
          <w:szCs w:val="24"/>
          <w:lang w:val="en-GB"/>
        </w:rPr>
        <w:t xml:space="preserve"> </w:t>
      </w:r>
      <w:r w:rsidRPr="4DF95668" w:rsidR="0E864ECA">
        <w:rPr>
          <w:rFonts w:ascii="Aptos" w:hAnsi="Aptos" w:eastAsia="Aptos" w:cs="Aptos"/>
          <w:i w:val="1"/>
          <w:iCs w:val="1"/>
          <w:noProof w:val="0"/>
          <w:sz w:val="24"/>
          <w:szCs w:val="24"/>
          <w:lang w:val="en-GB"/>
        </w:rPr>
        <w:t>druzhby</w:t>
      </w:r>
      <w:r w:rsidRPr="4DF95668" w:rsidR="0E864ECA">
        <w:rPr>
          <w:rFonts w:ascii="Aptos" w:hAnsi="Aptos" w:eastAsia="Aptos" w:cs="Aptos"/>
          <w:i w:val="1"/>
          <w:iCs w:val="1"/>
          <w:noProof w:val="0"/>
          <w:sz w:val="24"/>
          <w:szCs w:val="24"/>
          <w:lang w:val="en-GB"/>
        </w:rPr>
        <w:t xml:space="preserve"> </w:t>
      </w:r>
      <w:r w:rsidRPr="4DF95668" w:rsidR="0E864ECA">
        <w:rPr>
          <w:rFonts w:ascii="Aptos" w:hAnsi="Aptos" w:eastAsia="Aptos" w:cs="Aptos"/>
          <w:i w:val="1"/>
          <w:iCs w:val="1"/>
          <w:noProof w:val="0"/>
          <w:sz w:val="24"/>
          <w:szCs w:val="24"/>
          <w:lang w:val="en-GB"/>
        </w:rPr>
        <w:t>narodov</w:t>
      </w:r>
      <w:r w:rsidRPr="4DF95668" w:rsidR="0E864ECA">
        <w:rPr>
          <w:rFonts w:ascii="Aptos" w:hAnsi="Aptos" w:eastAsia="Aptos" w:cs="Aptos"/>
          <w:i w:val="1"/>
          <w:iCs w:val="1"/>
          <w:noProof w:val="0"/>
          <w:sz w:val="24"/>
          <w:szCs w:val="24"/>
          <w:lang w:val="en-GB"/>
        </w:rPr>
        <w:t xml:space="preserve">. </w:t>
      </w:r>
      <w:r w:rsidRPr="4DF95668" w:rsidR="0E864ECA">
        <w:rPr>
          <w:rFonts w:ascii="Aptos" w:hAnsi="Aptos" w:eastAsia="Aptos" w:cs="Aptos"/>
          <w:i w:val="1"/>
          <w:iCs w:val="1"/>
          <w:noProof w:val="0"/>
          <w:sz w:val="24"/>
          <w:szCs w:val="24"/>
          <w:lang w:val="en-GB"/>
        </w:rPr>
        <w:t>Seriia</w:t>
      </w:r>
      <w:r w:rsidRPr="4DF95668" w:rsidR="0E864ECA">
        <w:rPr>
          <w:rFonts w:ascii="Aptos" w:hAnsi="Aptos" w:eastAsia="Aptos" w:cs="Aptos"/>
          <w:i w:val="1"/>
          <w:iCs w:val="1"/>
          <w:noProof w:val="0"/>
          <w:sz w:val="24"/>
          <w:szCs w:val="24"/>
          <w:lang w:val="en-GB"/>
        </w:rPr>
        <w:t xml:space="preserve"> </w:t>
      </w:r>
      <w:r w:rsidRPr="4DF95668" w:rsidR="0E864ECA">
        <w:rPr>
          <w:rFonts w:ascii="Aptos" w:hAnsi="Aptos" w:eastAsia="Aptos" w:cs="Aptos"/>
          <w:i w:val="1"/>
          <w:iCs w:val="1"/>
          <w:noProof w:val="0"/>
          <w:sz w:val="24"/>
          <w:szCs w:val="24"/>
          <w:lang w:val="en-GB"/>
        </w:rPr>
        <w:t>Mezhdunarodnye</w:t>
      </w:r>
      <w:r w:rsidRPr="4DF95668" w:rsidR="0E864ECA">
        <w:rPr>
          <w:rFonts w:ascii="Aptos" w:hAnsi="Aptos" w:eastAsia="Aptos" w:cs="Aptos"/>
          <w:i w:val="1"/>
          <w:iCs w:val="1"/>
          <w:noProof w:val="0"/>
          <w:sz w:val="24"/>
          <w:szCs w:val="24"/>
          <w:lang w:val="en-GB"/>
        </w:rPr>
        <w:t xml:space="preserve"> </w:t>
      </w:r>
      <w:r w:rsidRPr="4DF95668" w:rsidR="0E864ECA">
        <w:rPr>
          <w:rFonts w:ascii="Aptos" w:hAnsi="Aptos" w:eastAsia="Aptos" w:cs="Aptos"/>
          <w:i w:val="1"/>
          <w:iCs w:val="1"/>
          <w:noProof w:val="0"/>
          <w:sz w:val="24"/>
          <w:szCs w:val="24"/>
          <w:lang w:val="en-GB"/>
        </w:rPr>
        <w:t>otnosheniia</w:t>
      </w:r>
      <w:r w:rsidRPr="4DF95668" w:rsidR="0E864ECA">
        <w:rPr>
          <w:rFonts w:ascii="Aptos" w:hAnsi="Aptos" w:eastAsia="Aptos" w:cs="Aptos"/>
          <w:noProof w:val="0"/>
          <w:sz w:val="24"/>
          <w:szCs w:val="24"/>
          <w:lang w:val="en-GB"/>
        </w:rPr>
        <w:t>, no. 3, pp. 51–55.</w:t>
      </w:r>
    </w:p>
    <w:p w:rsidR="2446A190" w:rsidP="4DF95668" w:rsidRDefault="2446A190" w14:paraId="4AAB985F" w14:textId="77AE92DF">
      <w:pPr>
        <w:pStyle w:val="Normal"/>
        <w:spacing w:before="240" w:beforeAutospacing="off" w:after="240" w:afterAutospacing="off"/>
        <w:jc w:val="both"/>
      </w:pPr>
      <w:r w:rsidRPr="4DF95668" w:rsidR="2446A190">
        <w:rPr>
          <w:rFonts w:ascii="Aptos" w:hAnsi="Aptos" w:eastAsia="Aptos" w:cs="Aptos"/>
          <w:noProof w:val="0"/>
          <w:sz w:val="24"/>
          <w:szCs w:val="24"/>
          <w:lang w:val="en-GB"/>
        </w:rPr>
        <w:t xml:space="preserve">Teixeira, N.M. (2020) </w:t>
      </w:r>
      <w:r w:rsidRPr="4DF95668" w:rsidR="2446A190">
        <w:rPr>
          <w:rFonts w:ascii="Aptos" w:hAnsi="Aptos" w:eastAsia="Aptos" w:cs="Aptos"/>
          <w:i w:val="1"/>
          <w:iCs w:val="1"/>
          <w:noProof w:val="0"/>
          <w:sz w:val="24"/>
          <w:szCs w:val="24"/>
          <w:lang w:val="en-GB"/>
        </w:rPr>
        <w:t>Management Control Systems and Tools for Internationalization Success</w:t>
      </w:r>
      <w:r w:rsidRPr="4DF95668" w:rsidR="2446A190">
        <w:rPr>
          <w:rFonts w:ascii="Aptos" w:hAnsi="Aptos" w:eastAsia="Aptos" w:cs="Aptos"/>
          <w:noProof w:val="0"/>
          <w:sz w:val="24"/>
          <w:szCs w:val="24"/>
          <w:lang w:val="en-GB"/>
        </w:rPr>
        <w:t>. Hershey, PA: IGI Global.</w:t>
      </w:r>
    </w:p>
    <w:p w:rsidR="0E864ECA" w:rsidP="4DF95668" w:rsidRDefault="0E864ECA" w14:paraId="78FFE16E" w14:textId="3BDEFD66">
      <w:pPr>
        <w:spacing w:before="240" w:beforeAutospacing="off" w:after="240" w:afterAutospacing="off"/>
        <w:jc w:val="both"/>
      </w:pPr>
      <w:r w:rsidRPr="4DF95668" w:rsidR="0E864ECA">
        <w:rPr>
          <w:rFonts w:ascii="Aptos" w:hAnsi="Aptos" w:eastAsia="Aptos" w:cs="Aptos"/>
          <w:noProof w:val="0"/>
          <w:sz w:val="24"/>
          <w:szCs w:val="24"/>
          <w:lang w:val="en-GB"/>
        </w:rPr>
        <w:t xml:space="preserve">The Culture Factor Group n.d., </w:t>
      </w:r>
      <w:r w:rsidRPr="4DF95668" w:rsidR="0E864ECA">
        <w:rPr>
          <w:rFonts w:ascii="Aptos" w:hAnsi="Aptos" w:eastAsia="Aptos" w:cs="Aptos"/>
          <w:i w:val="1"/>
          <w:iCs w:val="1"/>
          <w:noProof w:val="0"/>
          <w:sz w:val="24"/>
          <w:szCs w:val="24"/>
          <w:lang w:val="en-GB"/>
        </w:rPr>
        <w:t>Country Comparison Tool</w:t>
      </w:r>
      <w:r w:rsidRPr="4DF95668" w:rsidR="0E864ECA">
        <w:rPr>
          <w:rFonts w:ascii="Aptos" w:hAnsi="Aptos" w:eastAsia="Aptos" w:cs="Aptos"/>
          <w:noProof w:val="0"/>
          <w:sz w:val="24"/>
          <w:szCs w:val="24"/>
          <w:lang w:val="en-GB"/>
        </w:rPr>
        <w:t xml:space="preserve">. Available at: </w:t>
      </w:r>
      <w:hyperlink r:id="R1111182631964935">
        <w:r w:rsidRPr="4DF95668" w:rsidR="0E864ECA">
          <w:rPr>
            <w:rStyle w:val="Hyperlink"/>
            <w:rFonts w:ascii="Aptos" w:hAnsi="Aptos" w:eastAsia="Aptos" w:cs="Aptos"/>
            <w:noProof w:val="0"/>
            <w:sz w:val="24"/>
            <w:szCs w:val="24"/>
            <w:lang w:val="en-GB"/>
          </w:rPr>
          <w:t>https://www.theculturefactor.com/country-comparison-tool?countries=australia%2Cchina</w:t>
        </w:r>
      </w:hyperlink>
      <w:r w:rsidRPr="4DF95668" w:rsidR="0E864ECA">
        <w:rPr>
          <w:rFonts w:ascii="Aptos" w:hAnsi="Aptos" w:eastAsia="Aptos" w:cs="Aptos"/>
          <w:noProof w:val="0"/>
          <w:sz w:val="24"/>
          <w:szCs w:val="24"/>
          <w:lang w:val="en-GB"/>
        </w:rPr>
        <w:t xml:space="preserve"> (Accessed: 27 April 2026).</w:t>
      </w:r>
    </w:p>
    <w:p w:rsidR="0E864ECA" w:rsidP="4DF95668" w:rsidRDefault="0E864ECA" w14:paraId="49138E75" w14:textId="1E9A3CAA">
      <w:pPr>
        <w:spacing w:before="240" w:beforeAutospacing="off" w:after="240" w:afterAutospacing="off"/>
        <w:jc w:val="both"/>
      </w:pPr>
      <w:r w:rsidRPr="4DF95668" w:rsidR="0E864ECA">
        <w:rPr>
          <w:rFonts w:ascii="Aptos" w:hAnsi="Aptos" w:eastAsia="Aptos" w:cs="Aptos"/>
          <w:noProof w:val="0"/>
          <w:sz w:val="24"/>
          <w:szCs w:val="24"/>
          <w:lang w:val="en-GB"/>
        </w:rPr>
        <w:t xml:space="preserve">Young, I. 2020, ‘Metals firm IGO buys Australia lithium mine stake from Tianqi’, </w:t>
      </w:r>
      <w:r w:rsidRPr="4DF95668" w:rsidR="0E864ECA">
        <w:rPr>
          <w:rFonts w:ascii="Aptos" w:hAnsi="Aptos" w:eastAsia="Aptos" w:cs="Aptos"/>
          <w:i w:val="1"/>
          <w:iCs w:val="1"/>
          <w:noProof w:val="0"/>
          <w:sz w:val="24"/>
          <w:szCs w:val="24"/>
          <w:lang w:val="en-GB"/>
        </w:rPr>
        <w:t>Chemical Week</w:t>
      </w:r>
      <w:r w:rsidRPr="4DF95668" w:rsidR="0E864ECA">
        <w:rPr>
          <w:rFonts w:ascii="Aptos" w:hAnsi="Aptos" w:eastAsia="Aptos" w:cs="Aptos"/>
          <w:noProof w:val="0"/>
          <w:sz w:val="24"/>
          <w:szCs w:val="24"/>
          <w:lang w:val="en-GB"/>
        </w:rPr>
        <w:t>, vol. 183, no. 1, p. 12.</w:t>
      </w:r>
    </w:p>
    <w:p w:rsidR="0E864ECA" w:rsidP="4DF95668" w:rsidRDefault="0E864ECA" w14:paraId="1F591869" w14:textId="25174BC2">
      <w:pPr>
        <w:spacing w:before="240" w:beforeAutospacing="off" w:after="240" w:afterAutospacing="off"/>
        <w:jc w:val="both"/>
      </w:pPr>
      <w:r w:rsidRPr="4DF95668" w:rsidR="0E864ECA">
        <w:rPr>
          <w:rFonts w:ascii="Aptos" w:hAnsi="Aptos" w:eastAsia="Aptos" w:cs="Aptos"/>
          <w:noProof w:val="0"/>
          <w:sz w:val="24"/>
          <w:szCs w:val="24"/>
          <w:lang w:val="en-GB"/>
        </w:rPr>
        <w:t xml:space="preserve">Zhang, P. and London, K. 2013, ‘Towards an internationalized sustainable industrial competitiveness model’, </w:t>
      </w:r>
      <w:r w:rsidRPr="4DF95668" w:rsidR="0E864ECA">
        <w:rPr>
          <w:rFonts w:ascii="Aptos" w:hAnsi="Aptos" w:eastAsia="Aptos" w:cs="Aptos"/>
          <w:i w:val="1"/>
          <w:iCs w:val="1"/>
          <w:noProof w:val="0"/>
          <w:sz w:val="24"/>
          <w:szCs w:val="24"/>
          <w:lang w:val="en-GB"/>
        </w:rPr>
        <w:t>Competitiveness Review</w:t>
      </w:r>
      <w:r w:rsidRPr="4DF95668" w:rsidR="0E864ECA">
        <w:rPr>
          <w:rFonts w:ascii="Aptos" w:hAnsi="Aptos" w:eastAsia="Aptos" w:cs="Aptos"/>
          <w:noProof w:val="0"/>
          <w:sz w:val="24"/>
          <w:szCs w:val="24"/>
          <w:lang w:val="en-GB"/>
        </w:rPr>
        <w:t xml:space="preserve">, vol. 23, no. 2, pp. 95–113. Available at: </w:t>
      </w:r>
      <w:hyperlink r:id="R1229c87567aa49c0">
        <w:r w:rsidRPr="4DF95668" w:rsidR="0E864ECA">
          <w:rPr>
            <w:rStyle w:val="Hyperlink"/>
            <w:rFonts w:ascii="Aptos" w:hAnsi="Aptos" w:eastAsia="Aptos" w:cs="Aptos"/>
            <w:noProof w:val="0"/>
            <w:sz w:val="24"/>
            <w:szCs w:val="24"/>
            <w:lang w:val="en-GB"/>
          </w:rPr>
          <w:t>https://doi.org/10.1108/10595421311305325</w:t>
        </w:r>
      </w:hyperlink>
    </w:p>
    <w:p w:rsidR="4DF95668" w:rsidP="4DF95668" w:rsidRDefault="4DF95668" w14:paraId="4FFF46E7" w14:textId="14CF44EF">
      <w:pPr>
        <w:pStyle w:val="Normal"/>
        <w:ind w:left="0"/>
        <w:jc w:val="both"/>
        <w:rPr>
          <w:rFonts w:ascii="Aptos" w:hAnsi="Aptos" w:eastAsia="Aptos" w:cs="Aptos"/>
          <w:b w:val="1"/>
          <w:bCs w:val="1"/>
          <w:noProof w:val="0"/>
          <w:sz w:val="24"/>
          <w:szCs w:val="24"/>
          <w:lang w:val="en-GB"/>
        </w:rPr>
      </w:pPr>
    </w:p>
    <w:p w:rsidR="05806B51" w:rsidP="05806B51" w:rsidRDefault="05806B51" w14:paraId="5CB34AA1" w14:textId="16B2CB72">
      <w:pPr>
        <w:pStyle w:val="Normal"/>
        <w:jc w:val="both"/>
        <w:rPr>
          <w:rFonts w:ascii="Aptos" w:hAnsi="Aptos" w:eastAsia="Aptos" w:cs="Aptos"/>
          <w:b w:val="1"/>
          <w:bCs w:val="1"/>
          <w:noProof w:val="0"/>
          <w:sz w:val="36"/>
          <w:szCs w:val="36"/>
          <w:lang w:val="en-GB"/>
        </w:rPr>
      </w:pPr>
    </w:p>
    <w:p w:rsidR="7E1068C3" w:rsidP="3702754F" w:rsidRDefault="7E1068C3" w14:paraId="0FDEAA3B" w14:textId="56A53348">
      <w:pPr>
        <w:pStyle w:val="Normal"/>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r w:rsidRPr="3702754F" w:rsidR="7E1068C3">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w:t>
      </w:r>
    </w:p>
    <w:p w:rsidR="272F73A6" w:rsidP="1EBCF505" w:rsidRDefault="272F73A6" w14:paraId="45F88622" w14:textId="6D2CED4C">
      <w:pPr>
        <w:spacing w:before="240" w:beforeAutospacing="off" w:after="240" w:afterAutospacing="off"/>
        <w:rPr>
          <w:rFonts w:ascii="Aptos" w:hAnsi="Aptos" w:eastAsia="Aptos" w:cs="Aptos"/>
          <w:noProof w:val="0"/>
          <w:sz w:val="24"/>
          <w:szCs w:val="24"/>
          <w:lang w:val="en-GB"/>
        </w:rPr>
      </w:pPr>
      <w:r w:rsidRPr="1EBCF505" w:rsidR="224AD90F">
        <w:rPr>
          <w:rFonts w:ascii="Aptos" w:hAnsi="Aptos" w:eastAsia="Aptos" w:cs="Aptos"/>
          <w:noProof w:val="0"/>
          <w:sz w:val="24"/>
          <w:szCs w:val="24"/>
          <w:lang w:val="en-GB"/>
        </w:rPr>
        <w:t xml:space="preserve"> </w:t>
      </w:r>
    </w:p>
    <w:p w:rsidR="3702754F" w:rsidP="3702754F" w:rsidRDefault="3702754F" w14:paraId="59B4012B" w14:textId="6C0CE904">
      <w:pPr>
        <w:pStyle w:val="Normal"/>
        <w:rPr>
          <w:rFonts w:ascii="Aptos" w:hAnsi="Aptos" w:eastAsia="Aptos" w:cs="Aptos"/>
          <w:noProof w:val="0"/>
          <w:sz w:val="24"/>
          <w:szCs w:val="24"/>
          <w:lang w:val="en-GB"/>
        </w:rPr>
      </w:pPr>
    </w:p>
    <w:p w:rsidR="272F73A6" w:rsidP="272F73A6" w:rsidRDefault="272F73A6" w14:paraId="17D65DC6" w14:textId="1D733280">
      <w:pPr>
        <w:pStyle w:val="Normal"/>
      </w:pPr>
    </w:p>
    <w:p w:rsidR="272F73A6" w:rsidP="272F73A6" w:rsidRDefault="272F73A6" w14:paraId="516FAA1B" w14:textId="70B3365C">
      <w:pPr>
        <w:pStyle w:val="Normal"/>
      </w:pPr>
    </w:p>
    <w:p w:rsidR="272F73A6" w:rsidP="272F73A6" w:rsidRDefault="272F73A6" w14:paraId="634F3E1A" w14:textId="174723C8">
      <w:pPr>
        <w:pStyle w:val="Normal"/>
      </w:pPr>
    </w:p>
    <w:p w:rsidR="272F73A6" w:rsidP="272F73A6" w:rsidRDefault="272F73A6" w14:paraId="278FEB58" w14:textId="45FDBC0C">
      <w:pPr>
        <w:pStyle w:val="Normal"/>
      </w:pPr>
    </w:p>
    <w:p w:rsidR="272F73A6" w:rsidP="272F73A6" w:rsidRDefault="272F73A6" w14:paraId="4DB29785" w14:textId="099CE325">
      <w:pPr>
        <w:pStyle w:val="Normal"/>
      </w:pPr>
    </w:p>
    <w:p w:rsidR="272F73A6" w:rsidP="272F73A6" w:rsidRDefault="272F73A6" w14:paraId="3630FB58" w14:textId="5F3EC88D">
      <w:pPr>
        <w:pStyle w:val="Normal"/>
      </w:pPr>
    </w:p>
    <w:p w:rsidR="272F73A6" w:rsidP="272F73A6" w:rsidRDefault="272F73A6" w14:paraId="4D086ACB" w14:textId="6F719A97">
      <w:pPr>
        <w:pStyle w:val="Normal"/>
      </w:pPr>
    </w:p>
    <w:p w:rsidR="272F73A6" w:rsidP="272F73A6" w:rsidRDefault="272F73A6" w14:paraId="7BCDF610" w14:textId="22D5AE7B">
      <w:pPr>
        <w:pStyle w:val="Normal"/>
      </w:pPr>
    </w:p>
    <w:p w:rsidR="272F73A6" w:rsidP="272F73A6" w:rsidRDefault="272F73A6" w14:paraId="21DB9891" w14:textId="292BA79E">
      <w:pPr>
        <w:pStyle w:val="Normal"/>
      </w:pPr>
    </w:p>
    <w:p w:rsidR="272F73A6" w:rsidP="272F73A6" w:rsidRDefault="272F73A6" w14:paraId="44A4A3EF" w14:textId="4717FB43">
      <w:pPr>
        <w:pStyle w:val="Normal"/>
      </w:pPr>
    </w:p>
    <w:sectPr>
      <w:type w:val="nextPage"/>
      <w:pgSz w:w="11906" w:h="16838" w:orient="portrait"/>
      <w:pgMar w:top="1440" w:right="1440" w:bottom="1440" w:left="1440" w:header="0" w:footer="0" w:gutter="0"/>
      <w:pgNumType w:fmt="decimal"/>
      <w:formProt w:val="false"/>
      <w:textDirection w:val="lrTb"/>
      <w:docGrid w:type="default" w:linePitch="360" w:charSpace="0"/>
      <w:cols w:num="1"/>
      <w:headerReference w:type="default" r:id="R63afd7f1f6e24358"/>
      <w:footerReference w:type="default" r:id="Rc4fe4b5301ca4694"/>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Aptos">
    <w:charset w:val="00"/>
    <w:family w:val="roman"/>
    <w:pitch w:val="variable"/>
  </w:font>
  <w:font w:name="Aptos Display">
    <w:charset w:val="00"/>
    <w:family w:val="roman"/>
    <w:pitch w:val="variable"/>
  </w:font>
  <w:font w:name="Arial">
    <w:charset w:val="00"/>
    <w:family w:val="roman"/>
    <w:pitch w:val="variable"/>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803E2D6" w:rsidTr="2803E2D6" w14:paraId="23786714">
      <w:trPr>
        <w:trHeight w:val="300"/>
      </w:trPr>
      <w:tc>
        <w:tcPr>
          <w:tcW w:w="3005" w:type="dxa"/>
          <w:tcMar/>
        </w:tcPr>
        <w:p w:rsidR="2803E2D6" w:rsidP="2803E2D6" w:rsidRDefault="2803E2D6" w14:paraId="3EC0C2E5" w14:textId="2CA43262">
          <w:pPr>
            <w:pStyle w:val="Header"/>
            <w:bidi w:val="0"/>
            <w:ind w:left="-115"/>
            <w:jc w:val="left"/>
          </w:pPr>
        </w:p>
      </w:tc>
      <w:tc>
        <w:tcPr>
          <w:tcW w:w="3005" w:type="dxa"/>
          <w:tcMar/>
        </w:tcPr>
        <w:p w:rsidR="2803E2D6" w:rsidP="2803E2D6" w:rsidRDefault="2803E2D6" w14:paraId="5DCDB6AD" w14:textId="1B75FBC2">
          <w:pPr>
            <w:pStyle w:val="Header"/>
            <w:bidi w:val="0"/>
            <w:jc w:val="center"/>
          </w:pPr>
        </w:p>
      </w:tc>
      <w:tc>
        <w:tcPr>
          <w:tcW w:w="3005" w:type="dxa"/>
          <w:tcMar/>
        </w:tcPr>
        <w:p w:rsidR="2803E2D6" w:rsidP="2803E2D6" w:rsidRDefault="2803E2D6" w14:paraId="0D6236B5" w14:textId="55B5752A">
          <w:pPr>
            <w:pStyle w:val="Header"/>
            <w:bidi w:val="0"/>
            <w:ind w:right="-115"/>
            <w:jc w:val="right"/>
          </w:pPr>
        </w:p>
      </w:tc>
    </w:tr>
  </w:tbl>
  <w:p w:rsidR="2803E2D6" w:rsidP="2803E2D6" w:rsidRDefault="2803E2D6" w14:paraId="05759671" w14:textId="63FDC31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803E2D6" w:rsidTr="2803E2D6" w14:paraId="050EBE91">
      <w:trPr>
        <w:trHeight w:val="300"/>
      </w:trPr>
      <w:tc>
        <w:tcPr>
          <w:tcW w:w="3005" w:type="dxa"/>
          <w:tcMar/>
        </w:tcPr>
        <w:p w:rsidR="2803E2D6" w:rsidP="2803E2D6" w:rsidRDefault="2803E2D6" w14:paraId="1929BB59" w14:textId="18263D08">
          <w:pPr>
            <w:pStyle w:val="Header"/>
            <w:bidi w:val="0"/>
            <w:ind w:left="-115"/>
            <w:jc w:val="left"/>
          </w:pPr>
        </w:p>
      </w:tc>
      <w:tc>
        <w:tcPr>
          <w:tcW w:w="3005" w:type="dxa"/>
          <w:tcMar/>
        </w:tcPr>
        <w:p w:rsidR="2803E2D6" w:rsidP="2803E2D6" w:rsidRDefault="2803E2D6" w14:paraId="711EEB11" w14:textId="21676763">
          <w:pPr>
            <w:pStyle w:val="Header"/>
            <w:bidi w:val="0"/>
            <w:jc w:val="center"/>
          </w:pPr>
        </w:p>
      </w:tc>
      <w:tc>
        <w:tcPr>
          <w:tcW w:w="3005" w:type="dxa"/>
          <w:tcMar/>
        </w:tcPr>
        <w:p w:rsidR="2803E2D6" w:rsidP="2803E2D6" w:rsidRDefault="2803E2D6" w14:paraId="5CDF7981" w14:textId="7F6F963C">
          <w:pPr>
            <w:pStyle w:val="Header"/>
            <w:bidi w:val="0"/>
            <w:ind w:right="-115"/>
            <w:jc w:val="right"/>
          </w:pPr>
        </w:p>
      </w:tc>
    </w:tr>
  </w:tbl>
  <w:p w:rsidR="2803E2D6" w:rsidP="2803E2D6" w:rsidRDefault="2803E2D6" w14:paraId="67D0D4BC" w14:textId="451B99C8">
    <w:pPr>
      <w:pStyle w:val="Header"/>
      <w:bidi w:val="0"/>
    </w:pPr>
  </w:p>
</w:hdr>
</file>

<file path=word/intelligence2.xml><?xml version="1.0" encoding="utf-8"?>
<int2:intelligence xmlns:int2="http://schemas.microsoft.com/office/intelligence/2020/intelligence">
  <int2:observations>
    <int2:bookmark int2:bookmarkName="_Int_0MFRKdlw" int2:invalidationBookmarkName="" int2:hashCode="H0oVtULUCjST2L" int2:id="4BLUzAQf">
      <int2:state int2:type="gram" int2:value="Rejected"/>
    </int2:bookmark>
    <int2:bookmark int2:bookmarkName="_Int_2jhq04RP" int2:invalidationBookmarkName="" int2:hashCode="GjPwfgEQuPsqUP" int2:id="qCLxMlGI">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1">
    <w:nsid w:val="4bac44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f8976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6ba80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f7a27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b7b78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87263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0b23bae"/>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7fde35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4b20c9f"/>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07899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3df33a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w14="http://schemas.microsoft.com/office/word/2010/wordml" xmlns:wp14="http://schemas.microsoft.com/office/word/2010/wordprocessingDrawing" xmlns:w="http://schemas.openxmlformats.org/wordprocessingml/2006/main" xmlns:mc="http://schemas.openxmlformats.org/markup-compatibility/2006" xmlns:w15="http://schemas.microsoft.com/office/word/2012/wordml" mc:Ignorable="w14 wp14 w15">
  <w:zoom w:percent="100"/>
  <w:trackRevisions w:val="false"/>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22CF64C"/>
    <w:rsid w:val="000B882E"/>
    <w:rsid w:val="000D93C5"/>
    <w:rsid w:val="00314A76"/>
    <w:rsid w:val="00358167"/>
    <w:rsid w:val="0041B4F2"/>
    <w:rsid w:val="00467D7F"/>
    <w:rsid w:val="00606E5A"/>
    <w:rsid w:val="009B8805"/>
    <w:rsid w:val="00A7F698"/>
    <w:rsid w:val="00A7F698"/>
    <w:rsid w:val="00C32BD3"/>
    <w:rsid w:val="00E4883F"/>
    <w:rsid w:val="00E53EEF"/>
    <w:rsid w:val="00EAD9FE"/>
    <w:rsid w:val="00F9BE12"/>
    <w:rsid w:val="011EE8FE"/>
    <w:rsid w:val="01748F18"/>
    <w:rsid w:val="01792C9B"/>
    <w:rsid w:val="01989300"/>
    <w:rsid w:val="01A91DE7"/>
    <w:rsid w:val="01E32B23"/>
    <w:rsid w:val="01E3FDAC"/>
    <w:rsid w:val="01E996E5"/>
    <w:rsid w:val="022CF64C"/>
    <w:rsid w:val="0271F5EF"/>
    <w:rsid w:val="02885A58"/>
    <w:rsid w:val="02A6EF44"/>
    <w:rsid w:val="02A9CD58"/>
    <w:rsid w:val="02AD6ACD"/>
    <w:rsid w:val="02B58261"/>
    <w:rsid w:val="02D4A794"/>
    <w:rsid w:val="02D635F8"/>
    <w:rsid w:val="02E1BB80"/>
    <w:rsid w:val="0321B436"/>
    <w:rsid w:val="032A1738"/>
    <w:rsid w:val="0332DE83"/>
    <w:rsid w:val="033B1B7F"/>
    <w:rsid w:val="03462C8F"/>
    <w:rsid w:val="034C27BB"/>
    <w:rsid w:val="03507E8A"/>
    <w:rsid w:val="035D6F31"/>
    <w:rsid w:val="03BB4FCF"/>
    <w:rsid w:val="03C169B2"/>
    <w:rsid w:val="0419A631"/>
    <w:rsid w:val="04223543"/>
    <w:rsid w:val="044A144B"/>
    <w:rsid w:val="045F0D74"/>
    <w:rsid w:val="049717FB"/>
    <w:rsid w:val="049AFEAE"/>
    <w:rsid w:val="049FD0D5"/>
    <w:rsid w:val="04B2B349"/>
    <w:rsid w:val="04D129E6"/>
    <w:rsid w:val="04F6C5A2"/>
    <w:rsid w:val="04FBE2D3"/>
    <w:rsid w:val="052A91D3"/>
    <w:rsid w:val="052FDDA2"/>
    <w:rsid w:val="05378400"/>
    <w:rsid w:val="05382DB3"/>
    <w:rsid w:val="053EDA6E"/>
    <w:rsid w:val="0546F777"/>
    <w:rsid w:val="05597C5C"/>
    <w:rsid w:val="05741EF7"/>
    <w:rsid w:val="05806B51"/>
    <w:rsid w:val="05946310"/>
    <w:rsid w:val="0597F16F"/>
    <w:rsid w:val="05A9301E"/>
    <w:rsid w:val="05AE5B67"/>
    <w:rsid w:val="05CF6524"/>
    <w:rsid w:val="05DACA96"/>
    <w:rsid w:val="05F59C7D"/>
    <w:rsid w:val="05FDC8E4"/>
    <w:rsid w:val="0602BE4E"/>
    <w:rsid w:val="06309E10"/>
    <w:rsid w:val="0657D7E4"/>
    <w:rsid w:val="06718A7C"/>
    <w:rsid w:val="068E4AA5"/>
    <w:rsid w:val="06E43DBC"/>
    <w:rsid w:val="073B1CDF"/>
    <w:rsid w:val="075A8CC9"/>
    <w:rsid w:val="0765788B"/>
    <w:rsid w:val="0778FEC4"/>
    <w:rsid w:val="0780CDCB"/>
    <w:rsid w:val="0786BAA4"/>
    <w:rsid w:val="07B553D2"/>
    <w:rsid w:val="07C85945"/>
    <w:rsid w:val="07CF5A7E"/>
    <w:rsid w:val="07ED4B40"/>
    <w:rsid w:val="08254468"/>
    <w:rsid w:val="082D0DE8"/>
    <w:rsid w:val="0842AAE9"/>
    <w:rsid w:val="087F25E1"/>
    <w:rsid w:val="089CBC18"/>
    <w:rsid w:val="08A26761"/>
    <w:rsid w:val="08A42890"/>
    <w:rsid w:val="08B05837"/>
    <w:rsid w:val="08B5A41E"/>
    <w:rsid w:val="08BA151A"/>
    <w:rsid w:val="08C98FA1"/>
    <w:rsid w:val="08EA0F6F"/>
    <w:rsid w:val="0908522F"/>
    <w:rsid w:val="090D6B0F"/>
    <w:rsid w:val="09321B27"/>
    <w:rsid w:val="09559529"/>
    <w:rsid w:val="095C2223"/>
    <w:rsid w:val="095CC5F3"/>
    <w:rsid w:val="099B20D8"/>
    <w:rsid w:val="099B20D8"/>
    <w:rsid w:val="09AB4CCF"/>
    <w:rsid w:val="09AB4CCF"/>
    <w:rsid w:val="09CD9776"/>
    <w:rsid w:val="09D78619"/>
    <w:rsid w:val="0A043569"/>
    <w:rsid w:val="0A135F54"/>
    <w:rsid w:val="0A3B31FE"/>
    <w:rsid w:val="0A48C586"/>
    <w:rsid w:val="0A6AB58E"/>
    <w:rsid w:val="0A9D3A06"/>
    <w:rsid w:val="0AAE0D20"/>
    <w:rsid w:val="0AB533B8"/>
    <w:rsid w:val="0AEABE31"/>
    <w:rsid w:val="0B0C2525"/>
    <w:rsid w:val="0B107694"/>
    <w:rsid w:val="0B1B7E63"/>
    <w:rsid w:val="0B44711A"/>
    <w:rsid w:val="0B464C20"/>
    <w:rsid w:val="0B4E58C5"/>
    <w:rsid w:val="0B607D82"/>
    <w:rsid w:val="0B628D35"/>
    <w:rsid w:val="0B80DBAC"/>
    <w:rsid w:val="0B87CD25"/>
    <w:rsid w:val="0BA4AD42"/>
    <w:rsid w:val="0BD4E516"/>
    <w:rsid w:val="0BDB0923"/>
    <w:rsid w:val="0BF0D13E"/>
    <w:rsid w:val="0C16698F"/>
    <w:rsid w:val="0C17E67C"/>
    <w:rsid w:val="0C31AFC0"/>
    <w:rsid w:val="0C3BB153"/>
    <w:rsid w:val="0C3BB153"/>
    <w:rsid w:val="0C843261"/>
    <w:rsid w:val="0CC15038"/>
    <w:rsid w:val="0CCC1648"/>
    <w:rsid w:val="0CDB1CC5"/>
    <w:rsid w:val="0CDF752A"/>
    <w:rsid w:val="0CEEC774"/>
    <w:rsid w:val="0CF99C8A"/>
    <w:rsid w:val="0D1871C5"/>
    <w:rsid w:val="0D263B89"/>
    <w:rsid w:val="0D65D85E"/>
    <w:rsid w:val="0D88EA79"/>
    <w:rsid w:val="0DB195AF"/>
    <w:rsid w:val="0DD986FF"/>
    <w:rsid w:val="0DDBA9C1"/>
    <w:rsid w:val="0DE1AC1C"/>
    <w:rsid w:val="0DE86688"/>
    <w:rsid w:val="0DFA1C81"/>
    <w:rsid w:val="0E070424"/>
    <w:rsid w:val="0E57D4EA"/>
    <w:rsid w:val="0E66F160"/>
    <w:rsid w:val="0E7D8283"/>
    <w:rsid w:val="0E864ECA"/>
    <w:rsid w:val="0E9A4B0E"/>
    <w:rsid w:val="0EC89E78"/>
    <w:rsid w:val="0EF96DB8"/>
    <w:rsid w:val="0EFD4C9F"/>
    <w:rsid w:val="0F1030B8"/>
    <w:rsid w:val="0F167E06"/>
    <w:rsid w:val="0F4B522D"/>
    <w:rsid w:val="0F4C18CC"/>
    <w:rsid w:val="0F4FF802"/>
    <w:rsid w:val="0F58DD57"/>
    <w:rsid w:val="0F76CC0C"/>
    <w:rsid w:val="0F8A3677"/>
    <w:rsid w:val="0F8D3999"/>
    <w:rsid w:val="0F91FD91"/>
    <w:rsid w:val="0F99F57A"/>
    <w:rsid w:val="0FBD1B6E"/>
    <w:rsid w:val="0FCCF554"/>
    <w:rsid w:val="0FF71880"/>
    <w:rsid w:val="10058C90"/>
    <w:rsid w:val="1015537F"/>
    <w:rsid w:val="101FF4C3"/>
    <w:rsid w:val="10299EC1"/>
    <w:rsid w:val="102B41FA"/>
    <w:rsid w:val="102EBC87"/>
    <w:rsid w:val="10377724"/>
    <w:rsid w:val="103B9B4C"/>
    <w:rsid w:val="103CDBC1"/>
    <w:rsid w:val="10469C91"/>
    <w:rsid w:val="104B91CE"/>
    <w:rsid w:val="1087BC7D"/>
    <w:rsid w:val="10880A91"/>
    <w:rsid w:val="10B5FF8A"/>
    <w:rsid w:val="10C35FF1"/>
    <w:rsid w:val="10C615DE"/>
    <w:rsid w:val="10C6E357"/>
    <w:rsid w:val="10C8492B"/>
    <w:rsid w:val="10C8492B"/>
    <w:rsid w:val="10CC1B2E"/>
    <w:rsid w:val="10EC20A6"/>
    <w:rsid w:val="10F57D2E"/>
    <w:rsid w:val="110F829A"/>
    <w:rsid w:val="114200F4"/>
    <w:rsid w:val="114E200D"/>
    <w:rsid w:val="114E5510"/>
    <w:rsid w:val="114F577F"/>
    <w:rsid w:val="1154A62A"/>
    <w:rsid w:val="115EA59A"/>
    <w:rsid w:val="115EA59A"/>
    <w:rsid w:val="116040CB"/>
    <w:rsid w:val="1196077D"/>
    <w:rsid w:val="1196077D"/>
    <w:rsid w:val="119A18CF"/>
    <w:rsid w:val="11A0CACF"/>
    <w:rsid w:val="11AF781C"/>
    <w:rsid w:val="11B0DD0F"/>
    <w:rsid w:val="11B28E3D"/>
    <w:rsid w:val="11BA0A44"/>
    <w:rsid w:val="11E166D3"/>
    <w:rsid w:val="11E1DBD7"/>
    <w:rsid w:val="1218E51F"/>
    <w:rsid w:val="1231A622"/>
    <w:rsid w:val="1237F420"/>
    <w:rsid w:val="123C94DD"/>
    <w:rsid w:val="1262C962"/>
    <w:rsid w:val="127024EE"/>
    <w:rsid w:val="128C7BB6"/>
    <w:rsid w:val="12AF5A71"/>
    <w:rsid w:val="12CFE91B"/>
    <w:rsid w:val="12D1710C"/>
    <w:rsid w:val="12EB5AED"/>
    <w:rsid w:val="12FEE048"/>
    <w:rsid w:val="1312ABC6"/>
    <w:rsid w:val="132FBDE3"/>
    <w:rsid w:val="13485FD5"/>
    <w:rsid w:val="135BCE15"/>
    <w:rsid w:val="138C8586"/>
    <w:rsid w:val="13A0F8D9"/>
    <w:rsid w:val="13CB903A"/>
    <w:rsid w:val="13D98B93"/>
    <w:rsid w:val="13E747F7"/>
    <w:rsid w:val="142B2A80"/>
    <w:rsid w:val="14370DAA"/>
    <w:rsid w:val="143C7FE3"/>
    <w:rsid w:val="14515A22"/>
    <w:rsid w:val="147228C6"/>
    <w:rsid w:val="148DAFF2"/>
    <w:rsid w:val="14BBFB81"/>
    <w:rsid w:val="14BFCCE8"/>
    <w:rsid w:val="14F3452C"/>
    <w:rsid w:val="14F56255"/>
    <w:rsid w:val="14FB918E"/>
    <w:rsid w:val="1541D8F8"/>
    <w:rsid w:val="15AE21EC"/>
    <w:rsid w:val="15B2149D"/>
    <w:rsid w:val="15B8104F"/>
    <w:rsid w:val="15C654F5"/>
    <w:rsid w:val="15D3C72B"/>
    <w:rsid w:val="15D84612"/>
    <w:rsid w:val="1648F4F9"/>
    <w:rsid w:val="1652FB15"/>
    <w:rsid w:val="165BB014"/>
    <w:rsid w:val="16610CE5"/>
    <w:rsid w:val="16761EA1"/>
    <w:rsid w:val="167F3B35"/>
    <w:rsid w:val="16AC3090"/>
    <w:rsid w:val="16B0B339"/>
    <w:rsid w:val="16B3AC8A"/>
    <w:rsid w:val="16CBE24D"/>
    <w:rsid w:val="16D88EAE"/>
    <w:rsid w:val="16F177C5"/>
    <w:rsid w:val="1728449F"/>
    <w:rsid w:val="1750B384"/>
    <w:rsid w:val="177FC93D"/>
    <w:rsid w:val="17DC9775"/>
    <w:rsid w:val="17EB199F"/>
    <w:rsid w:val="18069971"/>
    <w:rsid w:val="1808038F"/>
    <w:rsid w:val="183546DB"/>
    <w:rsid w:val="184ABC2E"/>
    <w:rsid w:val="185C92FE"/>
    <w:rsid w:val="1874E8D9"/>
    <w:rsid w:val="188588A9"/>
    <w:rsid w:val="18A0B176"/>
    <w:rsid w:val="18B178C4"/>
    <w:rsid w:val="18B33000"/>
    <w:rsid w:val="18BAF16B"/>
    <w:rsid w:val="18BD3DB3"/>
    <w:rsid w:val="18C76D3D"/>
    <w:rsid w:val="18C76D3D"/>
    <w:rsid w:val="18CA69F6"/>
    <w:rsid w:val="18D4EFCD"/>
    <w:rsid w:val="18DC0F51"/>
    <w:rsid w:val="18EFC619"/>
    <w:rsid w:val="18FC6F81"/>
    <w:rsid w:val="18FF2842"/>
    <w:rsid w:val="1905C280"/>
    <w:rsid w:val="1947B20A"/>
    <w:rsid w:val="1958371B"/>
    <w:rsid w:val="195CD621"/>
    <w:rsid w:val="197A5B1A"/>
    <w:rsid w:val="198A1206"/>
    <w:rsid w:val="19B644D8"/>
    <w:rsid w:val="19BDC387"/>
    <w:rsid w:val="19CB793B"/>
    <w:rsid w:val="19EFD05E"/>
    <w:rsid w:val="19F85437"/>
    <w:rsid w:val="19FE44EB"/>
    <w:rsid w:val="1A0A3B87"/>
    <w:rsid w:val="1A0C530E"/>
    <w:rsid w:val="1A3BE239"/>
    <w:rsid w:val="1A56CBA0"/>
    <w:rsid w:val="1A5BD62A"/>
    <w:rsid w:val="1A5F3DDE"/>
    <w:rsid w:val="1A76A88C"/>
    <w:rsid w:val="1A9057BB"/>
    <w:rsid w:val="1A9FB149"/>
    <w:rsid w:val="1AA34D35"/>
    <w:rsid w:val="1AB10935"/>
    <w:rsid w:val="1AB6BDFC"/>
    <w:rsid w:val="1AB8DD59"/>
    <w:rsid w:val="1AF238A0"/>
    <w:rsid w:val="1AF4FD6C"/>
    <w:rsid w:val="1B0B79CD"/>
    <w:rsid w:val="1B19DA62"/>
    <w:rsid w:val="1B304849"/>
    <w:rsid w:val="1B505930"/>
    <w:rsid w:val="1B64458E"/>
    <w:rsid w:val="1B71BBC4"/>
    <w:rsid w:val="1BA1EF8A"/>
    <w:rsid w:val="1BA949B7"/>
    <w:rsid w:val="1C1EE891"/>
    <w:rsid w:val="1C8B54AB"/>
    <w:rsid w:val="1C9905F0"/>
    <w:rsid w:val="1CA11FD0"/>
    <w:rsid w:val="1CABE7E1"/>
    <w:rsid w:val="1CC3EF3E"/>
    <w:rsid w:val="1CD3D250"/>
    <w:rsid w:val="1CE5895D"/>
    <w:rsid w:val="1CED3FA3"/>
    <w:rsid w:val="1D0C4440"/>
    <w:rsid w:val="1D167728"/>
    <w:rsid w:val="1D167728"/>
    <w:rsid w:val="1D1F9F58"/>
    <w:rsid w:val="1D1F9F58"/>
    <w:rsid w:val="1D21AB48"/>
    <w:rsid w:val="1D24351F"/>
    <w:rsid w:val="1D4CC707"/>
    <w:rsid w:val="1D6CF04D"/>
    <w:rsid w:val="1D8DE969"/>
    <w:rsid w:val="1DA739E7"/>
    <w:rsid w:val="1DCBB98B"/>
    <w:rsid w:val="1DCD208B"/>
    <w:rsid w:val="1DFC235B"/>
    <w:rsid w:val="1E04759C"/>
    <w:rsid w:val="1E04759C"/>
    <w:rsid w:val="1E1684D4"/>
    <w:rsid w:val="1E17401C"/>
    <w:rsid w:val="1E229561"/>
    <w:rsid w:val="1E4CD98C"/>
    <w:rsid w:val="1E61D254"/>
    <w:rsid w:val="1E6F80F3"/>
    <w:rsid w:val="1E87176C"/>
    <w:rsid w:val="1E87F701"/>
    <w:rsid w:val="1E908D0C"/>
    <w:rsid w:val="1E9A491F"/>
    <w:rsid w:val="1EA232F6"/>
    <w:rsid w:val="1EBCF505"/>
    <w:rsid w:val="1EC5C71F"/>
    <w:rsid w:val="1EDC230D"/>
    <w:rsid w:val="1EDF38B8"/>
    <w:rsid w:val="1F14595E"/>
    <w:rsid w:val="1F16D332"/>
    <w:rsid w:val="1F31F36B"/>
    <w:rsid w:val="1F57F9AD"/>
    <w:rsid w:val="1F59CF2A"/>
    <w:rsid w:val="1F706C30"/>
    <w:rsid w:val="1F8C27AA"/>
    <w:rsid w:val="1F99B522"/>
    <w:rsid w:val="1F9EC8ED"/>
    <w:rsid w:val="1FA0C351"/>
    <w:rsid w:val="1FBA73DE"/>
    <w:rsid w:val="1FC94AA1"/>
    <w:rsid w:val="1FEB1D28"/>
    <w:rsid w:val="1FEB1D28"/>
    <w:rsid w:val="1FF1DD40"/>
    <w:rsid w:val="20052FC6"/>
    <w:rsid w:val="200D5CCE"/>
    <w:rsid w:val="202CBE68"/>
    <w:rsid w:val="20417133"/>
    <w:rsid w:val="20420A4B"/>
    <w:rsid w:val="20559BC8"/>
    <w:rsid w:val="2061DDCD"/>
    <w:rsid w:val="207EC604"/>
    <w:rsid w:val="20DB323F"/>
    <w:rsid w:val="20DB4DB8"/>
    <w:rsid w:val="20FB3B77"/>
    <w:rsid w:val="210DBC1F"/>
    <w:rsid w:val="21323F5B"/>
    <w:rsid w:val="215D8C18"/>
    <w:rsid w:val="2165BF8F"/>
    <w:rsid w:val="217E7990"/>
    <w:rsid w:val="21973BC9"/>
    <w:rsid w:val="21B0BED5"/>
    <w:rsid w:val="21C755BC"/>
    <w:rsid w:val="221BD704"/>
    <w:rsid w:val="22498BC3"/>
    <w:rsid w:val="224AD90F"/>
    <w:rsid w:val="22672954"/>
    <w:rsid w:val="226FABC6"/>
    <w:rsid w:val="2280AFAA"/>
    <w:rsid w:val="2283AA70"/>
    <w:rsid w:val="228711CA"/>
    <w:rsid w:val="22956CB0"/>
    <w:rsid w:val="229B4B67"/>
    <w:rsid w:val="22A6C0F3"/>
    <w:rsid w:val="22A6C0F3"/>
    <w:rsid w:val="22B2D4F7"/>
    <w:rsid w:val="22B7AA41"/>
    <w:rsid w:val="22E549DD"/>
    <w:rsid w:val="22E93796"/>
    <w:rsid w:val="23089DA3"/>
    <w:rsid w:val="231CD982"/>
    <w:rsid w:val="23266003"/>
    <w:rsid w:val="232B10DD"/>
    <w:rsid w:val="236CE911"/>
    <w:rsid w:val="23783335"/>
    <w:rsid w:val="23AD316D"/>
    <w:rsid w:val="23C31B07"/>
    <w:rsid w:val="23C6E5AC"/>
    <w:rsid w:val="23C846BA"/>
    <w:rsid w:val="23DD8F01"/>
    <w:rsid w:val="23E4C0A0"/>
    <w:rsid w:val="23E517E1"/>
    <w:rsid w:val="23E7E4DE"/>
    <w:rsid w:val="23F13CE7"/>
    <w:rsid w:val="2421D780"/>
    <w:rsid w:val="2429E214"/>
    <w:rsid w:val="242EC7A3"/>
    <w:rsid w:val="24374165"/>
    <w:rsid w:val="2446A190"/>
    <w:rsid w:val="245708D1"/>
    <w:rsid w:val="246859EF"/>
    <w:rsid w:val="24879682"/>
    <w:rsid w:val="24A2B3F1"/>
    <w:rsid w:val="24D733EA"/>
    <w:rsid w:val="24DC3114"/>
    <w:rsid w:val="2508FAB3"/>
    <w:rsid w:val="250F1906"/>
    <w:rsid w:val="252F127A"/>
    <w:rsid w:val="25311864"/>
    <w:rsid w:val="2538D669"/>
    <w:rsid w:val="254236CE"/>
    <w:rsid w:val="25C1B39D"/>
    <w:rsid w:val="25CA7CD8"/>
    <w:rsid w:val="25DB7475"/>
    <w:rsid w:val="2617455D"/>
    <w:rsid w:val="2621B6BB"/>
    <w:rsid w:val="2657A43B"/>
    <w:rsid w:val="2662F24F"/>
    <w:rsid w:val="2663D496"/>
    <w:rsid w:val="2671EF07"/>
    <w:rsid w:val="268368D6"/>
    <w:rsid w:val="268EF392"/>
    <w:rsid w:val="269F738B"/>
    <w:rsid w:val="26A004BC"/>
    <w:rsid w:val="26B6651D"/>
    <w:rsid w:val="26BB99BB"/>
    <w:rsid w:val="26C6284C"/>
    <w:rsid w:val="26C90932"/>
    <w:rsid w:val="26CFD925"/>
    <w:rsid w:val="26FF3406"/>
    <w:rsid w:val="270A83D3"/>
    <w:rsid w:val="27101FCF"/>
    <w:rsid w:val="27101FCF"/>
    <w:rsid w:val="272F73A6"/>
    <w:rsid w:val="273BD5FF"/>
    <w:rsid w:val="27624E03"/>
    <w:rsid w:val="2768BC98"/>
    <w:rsid w:val="276E654F"/>
    <w:rsid w:val="27908E75"/>
    <w:rsid w:val="27A5D141"/>
    <w:rsid w:val="27C94D6F"/>
    <w:rsid w:val="27EE2616"/>
    <w:rsid w:val="28031C4C"/>
    <w:rsid w:val="2803E2D6"/>
    <w:rsid w:val="28194C1A"/>
    <w:rsid w:val="28242883"/>
    <w:rsid w:val="282B44EB"/>
    <w:rsid w:val="284D2EAC"/>
    <w:rsid w:val="287A2407"/>
    <w:rsid w:val="288AAACB"/>
    <w:rsid w:val="28967D89"/>
    <w:rsid w:val="2899C990"/>
    <w:rsid w:val="28D0A1C4"/>
    <w:rsid w:val="28D54AEE"/>
    <w:rsid w:val="28EF654D"/>
    <w:rsid w:val="28EF654D"/>
    <w:rsid w:val="2915C956"/>
    <w:rsid w:val="294786C8"/>
    <w:rsid w:val="29679A0B"/>
    <w:rsid w:val="29699D68"/>
    <w:rsid w:val="297948C4"/>
    <w:rsid w:val="298491E7"/>
    <w:rsid w:val="29877DA3"/>
    <w:rsid w:val="299F31D3"/>
    <w:rsid w:val="29CABBDD"/>
    <w:rsid w:val="29E6AF3C"/>
    <w:rsid w:val="2A0B9356"/>
    <w:rsid w:val="2A13F592"/>
    <w:rsid w:val="2A217F31"/>
    <w:rsid w:val="2AB9B454"/>
    <w:rsid w:val="2ACA9694"/>
    <w:rsid w:val="2AD85059"/>
    <w:rsid w:val="2AF73684"/>
    <w:rsid w:val="2B22337F"/>
    <w:rsid w:val="2B252138"/>
    <w:rsid w:val="2B3FE1FE"/>
    <w:rsid w:val="2B4FAAC9"/>
    <w:rsid w:val="2B5A3E11"/>
    <w:rsid w:val="2B642B62"/>
    <w:rsid w:val="2B6E74B1"/>
    <w:rsid w:val="2B7CDA8F"/>
    <w:rsid w:val="2B95620D"/>
    <w:rsid w:val="2BBFFF87"/>
    <w:rsid w:val="2BC34416"/>
    <w:rsid w:val="2BC6903A"/>
    <w:rsid w:val="2BDE3E87"/>
    <w:rsid w:val="2BFBA5EF"/>
    <w:rsid w:val="2C05571E"/>
    <w:rsid w:val="2C11FB0F"/>
    <w:rsid w:val="2C335110"/>
    <w:rsid w:val="2C51250B"/>
    <w:rsid w:val="2C55FBF8"/>
    <w:rsid w:val="2C61BE7D"/>
    <w:rsid w:val="2C7ED639"/>
    <w:rsid w:val="2C8A131D"/>
    <w:rsid w:val="2CA62DAA"/>
    <w:rsid w:val="2CE71E0D"/>
    <w:rsid w:val="2D1CC1B9"/>
    <w:rsid w:val="2D3D26E5"/>
    <w:rsid w:val="2D3D26E5"/>
    <w:rsid w:val="2D5CC787"/>
    <w:rsid w:val="2D70D009"/>
    <w:rsid w:val="2D821F10"/>
    <w:rsid w:val="2DAF7766"/>
    <w:rsid w:val="2DB2331C"/>
    <w:rsid w:val="2DBDCF1A"/>
    <w:rsid w:val="2DD4C059"/>
    <w:rsid w:val="2DD6F960"/>
    <w:rsid w:val="2DE80FD2"/>
    <w:rsid w:val="2DEA6DC6"/>
    <w:rsid w:val="2DEA6DC6"/>
    <w:rsid w:val="2DFFC19A"/>
    <w:rsid w:val="2E0CDB0C"/>
    <w:rsid w:val="2E0CDB0C"/>
    <w:rsid w:val="2E12ACAB"/>
    <w:rsid w:val="2E15B2C8"/>
    <w:rsid w:val="2E34E324"/>
    <w:rsid w:val="2E47C635"/>
    <w:rsid w:val="2E575D0D"/>
    <w:rsid w:val="2E7FDD5D"/>
    <w:rsid w:val="2E9E564F"/>
    <w:rsid w:val="2EB5AD70"/>
    <w:rsid w:val="2F01C14B"/>
    <w:rsid w:val="2F0E9E36"/>
    <w:rsid w:val="2F11887A"/>
    <w:rsid w:val="2F148FEC"/>
    <w:rsid w:val="2F224DE7"/>
    <w:rsid w:val="2F2ECA7C"/>
    <w:rsid w:val="2F32D416"/>
    <w:rsid w:val="2F6D3030"/>
    <w:rsid w:val="2F796590"/>
    <w:rsid w:val="2F9C42BB"/>
    <w:rsid w:val="2F9C42BB"/>
    <w:rsid w:val="2FA001DD"/>
    <w:rsid w:val="2FA45ECC"/>
    <w:rsid w:val="2FEA1A4B"/>
    <w:rsid w:val="2FF4E9D0"/>
    <w:rsid w:val="2FF74345"/>
    <w:rsid w:val="300B78C5"/>
    <w:rsid w:val="301FD9AA"/>
    <w:rsid w:val="30208329"/>
    <w:rsid w:val="30290639"/>
    <w:rsid w:val="3037D574"/>
    <w:rsid w:val="3052E463"/>
    <w:rsid w:val="305AD98C"/>
    <w:rsid w:val="30607D41"/>
    <w:rsid w:val="30624970"/>
    <w:rsid w:val="30639AF6"/>
    <w:rsid w:val="306D51A2"/>
    <w:rsid w:val="307BED19"/>
    <w:rsid w:val="30A98733"/>
    <w:rsid w:val="30C4C2A4"/>
    <w:rsid w:val="30CC5527"/>
    <w:rsid w:val="30D37B9D"/>
    <w:rsid w:val="30EE23A1"/>
    <w:rsid w:val="3108E1BD"/>
    <w:rsid w:val="311A6461"/>
    <w:rsid w:val="31369161"/>
    <w:rsid w:val="31605CE2"/>
    <w:rsid w:val="31A395D3"/>
    <w:rsid w:val="31B995BB"/>
    <w:rsid w:val="31BB468E"/>
    <w:rsid w:val="31BC022F"/>
    <w:rsid w:val="31BC022F"/>
    <w:rsid w:val="31C99DF7"/>
    <w:rsid w:val="31CFCB77"/>
    <w:rsid w:val="323880D6"/>
    <w:rsid w:val="324A9599"/>
    <w:rsid w:val="32938DE2"/>
    <w:rsid w:val="32D55D74"/>
    <w:rsid w:val="32DA6C0C"/>
    <w:rsid w:val="32EC08E5"/>
    <w:rsid w:val="32F345CF"/>
    <w:rsid w:val="32F75DCD"/>
    <w:rsid w:val="32F89AF0"/>
    <w:rsid w:val="330B2789"/>
    <w:rsid w:val="331265E6"/>
    <w:rsid w:val="331CCF29"/>
    <w:rsid w:val="3322781B"/>
    <w:rsid w:val="333F57BD"/>
    <w:rsid w:val="334928A5"/>
    <w:rsid w:val="3376100C"/>
    <w:rsid w:val="337D0BF4"/>
    <w:rsid w:val="33DFE8C8"/>
    <w:rsid w:val="33E889BF"/>
    <w:rsid w:val="33F980E8"/>
    <w:rsid w:val="33FE1C11"/>
    <w:rsid w:val="340388DB"/>
    <w:rsid w:val="34040E3C"/>
    <w:rsid w:val="340D6981"/>
    <w:rsid w:val="34166E3F"/>
    <w:rsid w:val="3450E30D"/>
    <w:rsid w:val="345BC986"/>
    <w:rsid w:val="3462ABF8"/>
    <w:rsid w:val="346397E9"/>
    <w:rsid w:val="3480D4C8"/>
    <w:rsid w:val="34CE02FB"/>
    <w:rsid w:val="34D12745"/>
    <w:rsid w:val="34D530E9"/>
    <w:rsid w:val="34EDAE63"/>
    <w:rsid w:val="350E0403"/>
    <w:rsid w:val="3510B28B"/>
    <w:rsid w:val="351DCE75"/>
    <w:rsid w:val="355045A8"/>
    <w:rsid w:val="3555115E"/>
    <w:rsid w:val="356556BD"/>
    <w:rsid w:val="359E318C"/>
    <w:rsid w:val="35AE01F9"/>
    <w:rsid w:val="35C66C63"/>
    <w:rsid w:val="35F064FD"/>
    <w:rsid w:val="35FB0622"/>
    <w:rsid w:val="360B92C0"/>
    <w:rsid w:val="36173F7E"/>
    <w:rsid w:val="366670BF"/>
    <w:rsid w:val="368427EA"/>
    <w:rsid w:val="3695B408"/>
    <w:rsid w:val="36AFE3F7"/>
    <w:rsid w:val="36B165BF"/>
    <w:rsid w:val="36B1E906"/>
    <w:rsid w:val="36CC761F"/>
    <w:rsid w:val="36CC761F"/>
    <w:rsid w:val="36CF816E"/>
    <w:rsid w:val="36EDDEFC"/>
    <w:rsid w:val="36F4BB70"/>
    <w:rsid w:val="36FB8F9E"/>
    <w:rsid w:val="3702754F"/>
    <w:rsid w:val="370EB30B"/>
    <w:rsid w:val="3751EA13"/>
    <w:rsid w:val="376B55B6"/>
    <w:rsid w:val="37745C8C"/>
    <w:rsid w:val="37803CCB"/>
    <w:rsid w:val="37993B4D"/>
    <w:rsid w:val="37FEAB6C"/>
    <w:rsid w:val="37FEDB9F"/>
    <w:rsid w:val="3807D8EE"/>
    <w:rsid w:val="380E889F"/>
    <w:rsid w:val="3822D8D8"/>
    <w:rsid w:val="386310E4"/>
    <w:rsid w:val="386AE35C"/>
    <w:rsid w:val="389CB2AC"/>
    <w:rsid w:val="389EF81B"/>
    <w:rsid w:val="38AFE4E6"/>
    <w:rsid w:val="3907DBCB"/>
    <w:rsid w:val="395C3210"/>
    <w:rsid w:val="39606A3E"/>
    <w:rsid w:val="3989AA47"/>
    <w:rsid w:val="39A3F179"/>
    <w:rsid w:val="39A3F179"/>
    <w:rsid w:val="39D27374"/>
    <w:rsid w:val="39E09CBC"/>
    <w:rsid w:val="39EDE285"/>
    <w:rsid w:val="39F0B301"/>
    <w:rsid w:val="3A0E9BCA"/>
    <w:rsid w:val="3A3F67BE"/>
    <w:rsid w:val="3A4750E4"/>
    <w:rsid w:val="3A6690C3"/>
    <w:rsid w:val="3A999DE1"/>
    <w:rsid w:val="3A9F9A3A"/>
    <w:rsid w:val="3AA9C85F"/>
    <w:rsid w:val="3AB1F6C9"/>
    <w:rsid w:val="3ADAAC95"/>
    <w:rsid w:val="3AE61E76"/>
    <w:rsid w:val="3B0AE829"/>
    <w:rsid w:val="3B0EF9B0"/>
    <w:rsid w:val="3B255AD3"/>
    <w:rsid w:val="3B25B8D6"/>
    <w:rsid w:val="3B48CA10"/>
    <w:rsid w:val="3B724C2E"/>
    <w:rsid w:val="3B73BBBB"/>
    <w:rsid w:val="3B928BDB"/>
    <w:rsid w:val="3BCDB455"/>
    <w:rsid w:val="3BD7BE06"/>
    <w:rsid w:val="3BE61FBD"/>
    <w:rsid w:val="3BEE6C1C"/>
    <w:rsid w:val="3BF2B684"/>
    <w:rsid w:val="3C15FA7A"/>
    <w:rsid w:val="3C522EF7"/>
    <w:rsid w:val="3C537498"/>
    <w:rsid w:val="3C5CEB5B"/>
    <w:rsid w:val="3C66CC47"/>
    <w:rsid w:val="3C6F01A4"/>
    <w:rsid w:val="3C7D05EA"/>
    <w:rsid w:val="3C88BD26"/>
    <w:rsid w:val="3CB5411D"/>
    <w:rsid w:val="3CE3A242"/>
    <w:rsid w:val="3D006FF7"/>
    <w:rsid w:val="3D030B6E"/>
    <w:rsid w:val="3D059CA1"/>
    <w:rsid w:val="3D19ECE8"/>
    <w:rsid w:val="3D2D92AE"/>
    <w:rsid w:val="3D33DA60"/>
    <w:rsid w:val="3D40DBBD"/>
    <w:rsid w:val="3D416E96"/>
    <w:rsid w:val="3D680859"/>
    <w:rsid w:val="3D81DC69"/>
    <w:rsid w:val="3D8FF4D4"/>
    <w:rsid w:val="3DC48AA5"/>
    <w:rsid w:val="3DDC0237"/>
    <w:rsid w:val="3DED9782"/>
    <w:rsid w:val="3E05C7A1"/>
    <w:rsid w:val="3E2CA72B"/>
    <w:rsid w:val="3E31F5FC"/>
    <w:rsid w:val="3E63163B"/>
    <w:rsid w:val="3E77DEF1"/>
    <w:rsid w:val="3E90C850"/>
    <w:rsid w:val="3E90C850"/>
    <w:rsid w:val="3E97C5F4"/>
    <w:rsid w:val="3E99E934"/>
    <w:rsid w:val="3ECF28C1"/>
    <w:rsid w:val="3ED5EAE5"/>
    <w:rsid w:val="3F01AC75"/>
    <w:rsid w:val="3F06C6D4"/>
    <w:rsid w:val="3F231662"/>
    <w:rsid w:val="3F271910"/>
    <w:rsid w:val="3F2A74A6"/>
    <w:rsid w:val="3F360525"/>
    <w:rsid w:val="3F58DAFA"/>
    <w:rsid w:val="3F62FFC0"/>
    <w:rsid w:val="3F751668"/>
    <w:rsid w:val="3F90F4D3"/>
    <w:rsid w:val="3F919652"/>
    <w:rsid w:val="3F9BDF31"/>
    <w:rsid w:val="3FD3229F"/>
    <w:rsid w:val="4002AC18"/>
    <w:rsid w:val="4004A0FA"/>
    <w:rsid w:val="401D94E0"/>
    <w:rsid w:val="403FC10C"/>
    <w:rsid w:val="4048AE46"/>
    <w:rsid w:val="4071A42F"/>
    <w:rsid w:val="407616D4"/>
    <w:rsid w:val="407D5515"/>
    <w:rsid w:val="4098EA52"/>
    <w:rsid w:val="40A7D625"/>
    <w:rsid w:val="40B15FAB"/>
    <w:rsid w:val="40BC0610"/>
    <w:rsid w:val="40DFBA8D"/>
    <w:rsid w:val="411B9DAA"/>
    <w:rsid w:val="4131B629"/>
    <w:rsid w:val="41394A8A"/>
    <w:rsid w:val="418CF7E9"/>
    <w:rsid w:val="4199A6CF"/>
    <w:rsid w:val="41C514C7"/>
    <w:rsid w:val="41D2C190"/>
    <w:rsid w:val="41F68536"/>
    <w:rsid w:val="4219D867"/>
    <w:rsid w:val="421CCAFC"/>
    <w:rsid w:val="423F07AA"/>
    <w:rsid w:val="42457D4D"/>
    <w:rsid w:val="424C9A73"/>
    <w:rsid w:val="4270E48A"/>
    <w:rsid w:val="428581A0"/>
    <w:rsid w:val="428C8442"/>
    <w:rsid w:val="428FF778"/>
    <w:rsid w:val="429768A4"/>
    <w:rsid w:val="42ABAAC0"/>
    <w:rsid w:val="42C8F13A"/>
    <w:rsid w:val="42C92B9E"/>
    <w:rsid w:val="42CA2C02"/>
    <w:rsid w:val="42D6EA14"/>
    <w:rsid w:val="42DD722F"/>
    <w:rsid w:val="42ECE839"/>
    <w:rsid w:val="42EF54F6"/>
    <w:rsid w:val="42EF6D96"/>
    <w:rsid w:val="42FCFE2E"/>
    <w:rsid w:val="434603F0"/>
    <w:rsid w:val="435D628E"/>
    <w:rsid w:val="436AE352"/>
    <w:rsid w:val="4378865C"/>
    <w:rsid w:val="4399C2A3"/>
    <w:rsid w:val="43ACF64E"/>
    <w:rsid w:val="43B334F3"/>
    <w:rsid w:val="43B41605"/>
    <w:rsid w:val="43C96FC1"/>
    <w:rsid w:val="43FA690A"/>
    <w:rsid w:val="440DA388"/>
    <w:rsid w:val="440DE454"/>
    <w:rsid w:val="4410199C"/>
    <w:rsid w:val="4423BA4D"/>
    <w:rsid w:val="44266CC5"/>
    <w:rsid w:val="4434A02A"/>
    <w:rsid w:val="445905A3"/>
    <w:rsid w:val="446039B9"/>
    <w:rsid w:val="44778F14"/>
    <w:rsid w:val="448DBECA"/>
    <w:rsid w:val="44A3CD9F"/>
    <w:rsid w:val="44B0F9FF"/>
    <w:rsid w:val="44D95BBF"/>
    <w:rsid w:val="44F9C546"/>
    <w:rsid w:val="45109861"/>
    <w:rsid w:val="452B0F60"/>
    <w:rsid w:val="45529AE2"/>
    <w:rsid w:val="456A1E17"/>
    <w:rsid w:val="457FEC67"/>
    <w:rsid w:val="458AEB08"/>
    <w:rsid w:val="45902CED"/>
    <w:rsid w:val="45AAA206"/>
    <w:rsid w:val="45CB24EA"/>
    <w:rsid w:val="45FD9793"/>
    <w:rsid w:val="46059CF6"/>
    <w:rsid w:val="46239A4C"/>
    <w:rsid w:val="4632A3A9"/>
    <w:rsid w:val="4633472E"/>
    <w:rsid w:val="464415CD"/>
    <w:rsid w:val="464415CD"/>
    <w:rsid w:val="464A12B3"/>
    <w:rsid w:val="46520F2A"/>
    <w:rsid w:val="4674C9D3"/>
    <w:rsid w:val="467FF93B"/>
    <w:rsid w:val="468C2AD9"/>
    <w:rsid w:val="46963D42"/>
    <w:rsid w:val="46C25809"/>
    <w:rsid w:val="46E48733"/>
    <w:rsid w:val="4704D7E2"/>
    <w:rsid w:val="471E3EBC"/>
    <w:rsid w:val="47219BDD"/>
    <w:rsid w:val="4737457D"/>
    <w:rsid w:val="4757F2B5"/>
    <w:rsid w:val="47992AE2"/>
    <w:rsid w:val="479D5546"/>
    <w:rsid w:val="479D5546"/>
    <w:rsid w:val="47B402BF"/>
    <w:rsid w:val="47BEA824"/>
    <w:rsid w:val="47CFA0DC"/>
    <w:rsid w:val="47E8E0F0"/>
    <w:rsid w:val="481EC966"/>
    <w:rsid w:val="4862985F"/>
    <w:rsid w:val="4862985F"/>
    <w:rsid w:val="487A8782"/>
    <w:rsid w:val="48A6E187"/>
    <w:rsid w:val="48A70FE5"/>
    <w:rsid w:val="48AB0E8A"/>
    <w:rsid w:val="48B6B3A3"/>
    <w:rsid w:val="48ED2219"/>
    <w:rsid w:val="490F450D"/>
    <w:rsid w:val="49172DE7"/>
    <w:rsid w:val="491E2A44"/>
    <w:rsid w:val="492768AD"/>
    <w:rsid w:val="4928B673"/>
    <w:rsid w:val="49336C31"/>
    <w:rsid w:val="4963929E"/>
    <w:rsid w:val="4979558F"/>
    <w:rsid w:val="498E00CC"/>
    <w:rsid w:val="49A52811"/>
    <w:rsid w:val="49AB7881"/>
    <w:rsid w:val="49C740AE"/>
    <w:rsid w:val="49E66D2A"/>
    <w:rsid w:val="49EB2369"/>
    <w:rsid w:val="4A1F6F7E"/>
    <w:rsid w:val="4A259790"/>
    <w:rsid w:val="4A2EA5B6"/>
    <w:rsid w:val="4A47BA74"/>
    <w:rsid w:val="4A856BF7"/>
    <w:rsid w:val="4A8BFD5E"/>
    <w:rsid w:val="4AB2CCAB"/>
    <w:rsid w:val="4ACFAB66"/>
    <w:rsid w:val="4AD7AB3B"/>
    <w:rsid w:val="4AD9D641"/>
    <w:rsid w:val="4AF040DF"/>
    <w:rsid w:val="4B03FFB4"/>
    <w:rsid w:val="4B09EA20"/>
    <w:rsid w:val="4B191B1C"/>
    <w:rsid w:val="4BC43A71"/>
    <w:rsid w:val="4C1C270C"/>
    <w:rsid w:val="4C57FEC4"/>
    <w:rsid w:val="4C600DEF"/>
    <w:rsid w:val="4C6A65F1"/>
    <w:rsid w:val="4CA3B819"/>
    <w:rsid w:val="4CAF11A2"/>
    <w:rsid w:val="4CD41314"/>
    <w:rsid w:val="4CE56100"/>
    <w:rsid w:val="4CEEC905"/>
    <w:rsid w:val="4CF04335"/>
    <w:rsid w:val="4D0ED4F7"/>
    <w:rsid w:val="4D23D6BB"/>
    <w:rsid w:val="4D76D244"/>
    <w:rsid w:val="4D9F672D"/>
    <w:rsid w:val="4DCC782C"/>
    <w:rsid w:val="4DD898E5"/>
    <w:rsid w:val="4DEBD2FA"/>
    <w:rsid w:val="4DEEAC24"/>
    <w:rsid w:val="4DF4C386"/>
    <w:rsid w:val="4DF95668"/>
    <w:rsid w:val="4E0F4B33"/>
    <w:rsid w:val="4E101B08"/>
    <w:rsid w:val="4E2999F5"/>
    <w:rsid w:val="4E2999F5"/>
    <w:rsid w:val="4E4181BA"/>
    <w:rsid w:val="4E5828E9"/>
    <w:rsid w:val="4E7740EE"/>
    <w:rsid w:val="4E8E3075"/>
    <w:rsid w:val="4E936CAB"/>
    <w:rsid w:val="4EC275C5"/>
    <w:rsid w:val="4F1553A9"/>
    <w:rsid w:val="4F1E64F7"/>
    <w:rsid w:val="4F2BC2EC"/>
    <w:rsid w:val="4F832539"/>
    <w:rsid w:val="4F8E7775"/>
    <w:rsid w:val="4F9C25E3"/>
    <w:rsid w:val="4FB8C1E3"/>
    <w:rsid w:val="4FC80D9F"/>
    <w:rsid w:val="4FDAFD9B"/>
    <w:rsid w:val="4FFCC23E"/>
    <w:rsid w:val="50106411"/>
    <w:rsid w:val="50127D7C"/>
    <w:rsid w:val="504412C7"/>
    <w:rsid w:val="504612FA"/>
    <w:rsid w:val="5046F8DC"/>
    <w:rsid w:val="50472648"/>
    <w:rsid w:val="50472648"/>
    <w:rsid w:val="5062FFCB"/>
    <w:rsid w:val="5075876F"/>
    <w:rsid w:val="507E1D83"/>
    <w:rsid w:val="507FC784"/>
    <w:rsid w:val="509EFC6F"/>
    <w:rsid w:val="50A1DA0D"/>
    <w:rsid w:val="50A2003B"/>
    <w:rsid w:val="50A2DE47"/>
    <w:rsid w:val="50F419B8"/>
    <w:rsid w:val="51008173"/>
    <w:rsid w:val="5147613A"/>
    <w:rsid w:val="5159FBA1"/>
    <w:rsid w:val="516F468A"/>
    <w:rsid w:val="5190ED78"/>
    <w:rsid w:val="5190ED78"/>
    <w:rsid w:val="519F74AB"/>
    <w:rsid w:val="51ABBF82"/>
    <w:rsid w:val="51D29C44"/>
    <w:rsid w:val="51DBD87A"/>
    <w:rsid w:val="51EA8203"/>
    <w:rsid w:val="5232A654"/>
    <w:rsid w:val="5235B99C"/>
    <w:rsid w:val="5245CA2B"/>
    <w:rsid w:val="5276243A"/>
    <w:rsid w:val="52837178"/>
    <w:rsid w:val="52904A8C"/>
    <w:rsid w:val="52969349"/>
    <w:rsid w:val="52A81DC4"/>
    <w:rsid w:val="52A81DC4"/>
    <w:rsid w:val="52AB6B90"/>
    <w:rsid w:val="52AB6B90"/>
    <w:rsid w:val="52BCB07A"/>
    <w:rsid w:val="52C0BCC7"/>
    <w:rsid w:val="52C0BCC7"/>
    <w:rsid w:val="52CDCD54"/>
    <w:rsid w:val="53148BD8"/>
    <w:rsid w:val="53289249"/>
    <w:rsid w:val="5361421F"/>
    <w:rsid w:val="53656EB7"/>
    <w:rsid w:val="5371A3D1"/>
    <w:rsid w:val="5374AE85"/>
    <w:rsid w:val="537D0234"/>
    <w:rsid w:val="539C2D9F"/>
    <w:rsid w:val="53C0A780"/>
    <w:rsid w:val="540534D6"/>
    <w:rsid w:val="5419C26A"/>
    <w:rsid w:val="54311A47"/>
    <w:rsid w:val="543ACDD2"/>
    <w:rsid w:val="5445BCD4"/>
    <w:rsid w:val="545A3C59"/>
    <w:rsid w:val="5491DB38"/>
    <w:rsid w:val="54A50898"/>
    <w:rsid w:val="54A640AD"/>
    <w:rsid w:val="54C63575"/>
    <w:rsid w:val="54DCC29A"/>
    <w:rsid w:val="54DF787A"/>
    <w:rsid w:val="5510F28C"/>
    <w:rsid w:val="554A42C6"/>
    <w:rsid w:val="554CB51B"/>
    <w:rsid w:val="556E3D6D"/>
    <w:rsid w:val="558EF6DC"/>
    <w:rsid w:val="559B6493"/>
    <w:rsid w:val="55DDBAE1"/>
    <w:rsid w:val="55E14483"/>
    <w:rsid w:val="55F9D761"/>
    <w:rsid w:val="55FB4DAB"/>
    <w:rsid w:val="5609EC72"/>
    <w:rsid w:val="56131CFA"/>
    <w:rsid w:val="562C3C85"/>
    <w:rsid w:val="56343766"/>
    <w:rsid w:val="563E5526"/>
    <w:rsid w:val="5643738E"/>
    <w:rsid w:val="564E27D3"/>
    <w:rsid w:val="56532210"/>
    <w:rsid w:val="565E2427"/>
    <w:rsid w:val="56714BB1"/>
    <w:rsid w:val="568BBDBF"/>
    <w:rsid w:val="569C2355"/>
    <w:rsid w:val="56BE9B82"/>
    <w:rsid w:val="56D2446C"/>
    <w:rsid w:val="5702BE54"/>
    <w:rsid w:val="570EB720"/>
    <w:rsid w:val="5738DDD1"/>
    <w:rsid w:val="5740CEFF"/>
    <w:rsid w:val="575912D7"/>
    <w:rsid w:val="576CABED"/>
    <w:rsid w:val="57767214"/>
    <w:rsid w:val="57878BE0"/>
    <w:rsid w:val="5793D439"/>
    <w:rsid w:val="57A08252"/>
    <w:rsid w:val="57AF82FF"/>
    <w:rsid w:val="57CE377E"/>
    <w:rsid w:val="57CEA84B"/>
    <w:rsid w:val="57D4117E"/>
    <w:rsid w:val="5802D728"/>
    <w:rsid w:val="580CCE09"/>
    <w:rsid w:val="58272C68"/>
    <w:rsid w:val="5843DE22"/>
    <w:rsid w:val="58538CF7"/>
    <w:rsid w:val="585D7A79"/>
    <w:rsid w:val="5860706A"/>
    <w:rsid w:val="58809004"/>
    <w:rsid w:val="58917352"/>
    <w:rsid w:val="58A6260F"/>
    <w:rsid w:val="58AE2071"/>
    <w:rsid w:val="58CCEAE1"/>
    <w:rsid w:val="58EB3CA2"/>
    <w:rsid w:val="58FE33F5"/>
    <w:rsid w:val="590622BC"/>
    <w:rsid w:val="59175C93"/>
    <w:rsid w:val="5941ADC3"/>
    <w:rsid w:val="594B1EBF"/>
    <w:rsid w:val="597D5EA8"/>
    <w:rsid w:val="5986F95D"/>
    <w:rsid w:val="598B12ED"/>
    <w:rsid w:val="5990BDE1"/>
    <w:rsid w:val="5996709F"/>
    <w:rsid w:val="59974A6A"/>
    <w:rsid w:val="59A35D98"/>
    <w:rsid w:val="59B697B8"/>
    <w:rsid w:val="59C11927"/>
    <w:rsid w:val="59D290A3"/>
    <w:rsid w:val="59E40EC1"/>
    <w:rsid w:val="59F9DB7A"/>
    <w:rsid w:val="5A2BAAEA"/>
    <w:rsid w:val="5A51C59E"/>
    <w:rsid w:val="5A5A8116"/>
    <w:rsid w:val="5A784373"/>
    <w:rsid w:val="5A8B8848"/>
    <w:rsid w:val="5A92753C"/>
    <w:rsid w:val="5ABAADFD"/>
    <w:rsid w:val="5ABCB028"/>
    <w:rsid w:val="5AD6E0F2"/>
    <w:rsid w:val="5ADEF272"/>
    <w:rsid w:val="5B02D765"/>
    <w:rsid w:val="5B2B647A"/>
    <w:rsid w:val="5B4C4AB3"/>
    <w:rsid w:val="5B4F1B78"/>
    <w:rsid w:val="5B516208"/>
    <w:rsid w:val="5B5A209E"/>
    <w:rsid w:val="5B93C76D"/>
    <w:rsid w:val="5BAE47F8"/>
    <w:rsid w:val="5BDFB9BA"/>
    <w:rsid w:val="5BE16B4F"/>
    <w:rsid w:val="5BE5BF86"/>
    <w:rsid w:val="5BEF1643"/>
    <w:rsid w:val="5BF34707"/>
    <w:rsid w:val="5BF39066"/>
    <w:rsid w:val="5BFD7369"/>
    <w:rsid w:val="5C01D91A"/>
    <w:rsid w:val="5C11528C"/>
    <w:rsid w:val="5C2AFE45"/>
    <w:rsid w:val="5C2C8D49"/>
    <w:rsid w:val="5C2C8D49"/>
    <w:rsid w:val="5C3CBDC1"/>
    <w:rsid w:val="5C4601A4"/>
    <w:rsid w:val="5C5A172B"/>
    <w:rsid w:val="5CAF09A5"/>
    <w:rsid w:val="5CB80885"/>
    <w:rsid w:val="5CCD62AC"/>
    <w:rsid w:val="5CE135E1"/>
    <w:rsid w:val="5CE135E1"/>
    <w:rsid w:val="5CE85855"/>
    <w:rsid w:val="5D19FFC8"/>
    <w:rsid w:val="5D35E77B"/>
    <w:rsid w:val="5D45CFB0"/>
    <w:rsid w:val="5D58E479"/>
    <w:rsid w:val="5D5D8757"/>
    <w:rsid w:val="5D7C9E19"/>
    <w:rsid w:val="5D8DE0A3"/>
    <w:rsid w:val="5DA2E0B4"/>
    <w:rsid w:val="5DB29375"/>
    <w:rsid w:val="5DB29375"/>
    <w:rsid w:val="5DB3D0B1"/>
    <w:rsid w:val="5DC0BAED"/>
    <w:rsid w:val="5DD4C5B5"/>
    <w:rsid w:val="5DED3B75"/>
    <w:rsid w:val="5E011E48"/>
    <w:rsid w:val="5E011E48"/>
    <w:rsid w:val="5E0790EA"/>
    <w:rsid w:val="5E2194C6"/>
    <w:rsid w:val="5E33265B"/>
    <w:rsid w:val="5E5D88C3"/>
    <w:rsid w:val="5E67BA3C"/>
    <w:rsid w:val="5E696028"/>
    <w:rsid w:val="5E7D0512"/>
    <w:rsid w:val="5E83694B"/>
    <w:rsid w:val="5EADE3DD"/>
    <w:rsid w:val="5ED232D9"/>
    <w:rsid w:val="5EDB3B02"/>
    <w:rsid w:val="5EFAF2BB"/>
    <w:rsid w:val="5F12543F"/>
    <w:rsid w:val="5F2309EA"/>
    <w:rsid w:val="5F28B275"/>
    <w:rsid w:val="5F31A850"/>
    <w:rsid w:val="5F41AC3F"/>
    <w:rsid w:val="5F440A09"/>
    <w:rsid w:val="5F48A1DD"/>
    <w:rsid w:val="5F4C76B1"/>
    <w:rsid w:val="5F51927C"/>
    <w:rsid w:val="5F5E367A"/>
    <w:rsid w:val="5F6C344A"/>
    <w:rsid w:val="5F6EF8FE"/>
    <w:rsid w:val="5F996B3E"/>
    <w:rsid w:val="5FAEBFB5"/>
    <w:rsid w:val="5FD01D91"/>
    <w:rsid w:val="5FD01D91"/>
    <w:rsid w:val="5FD0AEB6"/>
    <w:rsid w:val="5FD93865"/>
    <w:rsid w:val="5FDA7AAE"/>
    <w:rsid w:val="5FE3B452"/>
    <w:rsid w:val="5FF7BEA3"/>
    <w:rsid w:val="6013FDA6"/>
    <w:rsid w:val="6032D82F"/>
    <w:rsid w:val="604D3A2C"/>
    <w:rsid w:val="6059DB7D"/>
    <w:rsid w:val="606FA872"/>
    <w:rsid w:val="60A4513F"/>
    <w:rsid w:val="60B61174"/>
    <w:rsid w:val="60EDA86D"/>
    <w:rsid w:val="61113555"/>
    <w:rsid w:val="612C1505"/>
    <w:rsid w:val="613AAAEA"/>
    <w:rsid w:val="613B77BC"/>
    <w:rsid w:val="615125C0"/>
    <w:rsid w:val="6152CC0E"/>
    <w:rsid w:val="61698E32"/>
    <w:rsid w:val="618F25C2"/>
    <w:rsid w:val="6193F749"/>
    <w:rsid w:val="619C0D01"/>
    <w:rsid w:val="61B354C8"/>
    <w:rsid w:val="61B81872"/>
    <w:rsid w:val="61C3AA84"/>
    <w:rsid w:val="61E5D625"/>
    <w:rsid w:val="61EA2395"/>
    <w:rsid w:val="6208D015"/>
    <w:rsid w:val="620A50EE"/>
    <w:rsid w:val="620A6924"/>
    <w:rsid w:val="62543BEA"/>
    <w:rsid w:val="625D373C"/>
    <w:rsid w:val="626386C1"/>
    <w:rsid w:val="6284983E"/>
    <w:rsid w:val="62A6F849"/>
    <w:rsid w:val="62B2EABC"/>
    <w:rsid w:val="62D8933E"/>
    <w:rsid w:val="62E5F7C0"/>
    <w:rsid w:val="62F6404B"/>
    <w:rsid w:val="631531A7"/>
    <w:rsid w:val="6320C826"/>
    <w:rsid w:val="63348DB0"/>
    <w:rsid w:val="6334CCDD"/>
    <w:rsid w:val="63460143"/>
    <w:rsid w:val="634CD9D5"/>
    <w:rsid w:val="63675669"/>
    <w:rsid w:val="6379148D"/>
    <w:rsid w:val="63841138"/>
    <w:rsid w:val="638B83C8"/>
    <w:rsid w:val="6396CA16"/>
    <w:rsid w:val="63B86557"/>
    <w:rsid w:val="63CE287F"/>
    <w:rsid w:val="63FE4E46"/>
    <w:rsid w:val="64085EA6"/>
    <w:rsid w:val="6420329E"/>
    <w:rsid w:val="643860E4"/>
    <w:rsid w:val="643A44EF"/>
    <w:rsid w:val="64778660"/>
    <w:rsid w:val="648176CF"/>
    <w:rsid w:val="648176CF"/>
    <w:rsid w:val="649B206F"/>
    <w:rsid w:val="64B775E7"/>
    <w:rsid w:val="64C6B1B7"/>
    <w:rsid w:val="64D39796"/>
    <w:rsid w:val="64EB3905"/>
    <w:rsid w:val="64F786D2"/>
    <w:rsid w:val="65000E6B"/>
    <w:rsid w:val="653619D7"/>
    <w:rsid w:val="65371577"/>
    <w:rsid w:val="655E0346"/>
    <w:rsid w:val="6577A8F2"/>
    <w:rsid w:val="65810E13"/>
    <w:rsid w:val="6591B8DF"/>
    <w:rsid w:val="65D46B10"/>
    <w:rsid w:val="65D53BF0"/>
    <w:rsid w:val="65D71EFF"/>
    <w:rsid w:val="65DD14C2"/>
    <w:rsid w:val="660D5C3C"/>
    <w:rsid w:val="660E2253"/>
    <w:rsid w:val="6619A1D3"/>
    <w:rsid w:val="6635AC22"/>
    <w:rsid w:val="666721D4"/>
    <w:rsid w:val="666721D4"/>
    <w:rsid w:val="6681407C"/>
    <w:rsid w:val="66A2B1A1"/>
    <w:rsid w:val="66A4EFFC"/>
    <w:rsid w:val="66BA0A17"/>
    <w:rsid w:val="66C520D6"/>
    <w:rsid w:val="66CEF6F6"/>
    <w:rsid w:val="66DA44CB"/>
    <w:rsid w:val="66DE2F67"/>
    <w:rsid w:val="66E3B7F5"/>
    <w:rsid w:val="6705A13B"/>
    <w:rsid w:val="6725C4C5"/>
    <w:rsid w:val="6725C4C5"/>
    <w:rsid w:val="676C9633"/>
    <w:rsid w:val="6770F89C"/>
    <w:rsid w:val="677F7CF6"/>
    <w:rsid w:val="67BD1B39"/>
    <w:rsid w:val="67F812E1"/>
    <w:rsid w:val="6801F363"/>
    <w:rsid w:val="6816130B"/>
    <w:rsid w:val="681BD6A7"/>
    <w:rsid w:val="6848F1ED"/>
    <w:rsid w:val="685210F4"/>
    <w:rsid w:val="68600C55"/>
    <w:rsid w:val="6869B1D4"/>
    <w:rsid w:val="6898B37C"/>
    <w:rsid w:val="68A3B2EB"/>
    <w:rsid w:val="68B3EC6E"/>
    <w:rsid w:val="68B3EC6E"/>
    <w:rsid w:val="68B8B56C"/>
    <w:rsid w:val="68BBF9BC"/>
    <w:rsid w:val="68C6677F"/>
    <w:rsid w:val="68E88ABA"/>
    <w:rsid w:val="68EA9689"/>
    <w:rsid w:val="69265FD5"/>
    <w:rsid w:val="6928551A"/>
    <w:rsid w:val="692D968F"/>
    <w:rsid w:val="695C56A9"/>
    <w:rsid w:val="695E7775"/>
    <w:rsid w:val="6963BD84"/>
    <w:rsid w:val="697A15B5"/>
    <w:rsid w:val="69A9B1B5"/>
    <w:rsid w:val="69BBD969"/>
    <w:rsid w:val="69D9B720"/>
    <w:rsid w:val="69E43340"/>
    <w:rsid w:val="69F4AD02"/>
    <w:rsid w:val="69F667FC"/>
    <w:rsid w:val="6A0FBE60"/>
    <w:rsid w:val="6A1A5801"/>
    <w:rsid w:val="6A2D8F59"/>
    <w:rsid w:val="6A489527"/>
    <w:rsid w:val="6A583AB6"/>
    <w:rsid w:val="6A68748E"/>
    <w:rsid w:val="6A7F2C3E"/>
    <w:rsid w:val="6A7F984F"/>
    <w:rsid w:val="6A90AA23"/>
    <w:rsid w:val="6AB1AE4D"/>
    <w:rsid w:val="6AB2D530"/>
    <w:rsid w:val="6B0A9C54"/>
    <w:rsid w:val="6B0FFE9F"/>
    <w:rsid w:val="6B1ED24F"/>
    <w:rsid w:val="6B2AFE4E"/>
    <w:rsid w:val="6B3E6C2A"/>
    <w:rsid w:val="6B4BB23C"/>
    <w:rsid w:val="6B4FA5C8"/>
    <w:rsid w:val="6B5E4E54"/>
    <w:rsid w:val="6B8F2940"/>
    <w:rsid w:val="6B93917F"/>
    <w:rsid w:val="6B9A1B2C"/>
    <w:rsid w:val="6B9ED061"/>
    <w:rsid w:val="6BA1B2C7"/>
    <w:rsid w:val="6BA1B2C7"/>
    <w:rsid w:val="6BA88E96"/>
    <w:rsid w:val="6BB0FF96"/>
    <w:rsid w:val="6BC08F78"/>
    <w:rsid w:val="6BC4B14C"/>
    <w:rsid w:val="6BD1D16C"/>
    <w:rsid w:val="6BF38E72"/>
    <w:rsid w:val="6C05EAB7"/>
    <w:rsid w:val="6C18E296"/>
    <w:rsid w:val="6C2E5753"/>
    <w:rsid w:val="6C308993"/>
    <w:rsid w:val="6C5C2243"/>
    <w:rsid w:val="6C5CA17C"/>
    <w:rsid w:val="6C6EF251"/>
    <w:rsid w:val="6C778716"/>
    <w:rsid w:val="6C77D454"/>
    <w:rsid w:val="6C7D9380"/>
    <w:rsid w:val="6C9A2BB4"/>
    <w:rsid w:val="6CB1FC5A"/>
    <w:rsid w:val="6CD88B31"/>
    <w:rsid w:val="6CDA3875"/>
    <w:rsid w:val="6CDD3F0C"/>
    <w:rsid w:val="6CEF7312"/>
    <w:rsid w:val="6D062475"/>
    <w:rsid w:val="6D13D0DE"/>
    <w:rsid w:val="6D22232B"/>
    <w:rsid w:val="6D23DF68"/>
    <w:rsid w:val="6D32D608"/>
    <w:rsid w:val="6D4281CC"/>
    <w:rsid w:val="6D7A7775"/>
    <w:rsid w:val="6DC6F8B0"/>
    <w:rsid w:val="6E02A9E5"/>
    <w:rsid w:val="6E2046B2"/>
    <w:rsid w:val="6E28B9B1"/>
    <w:rsid w:val="6E510C35"/>
    <w:rsid w:val="6E55E67E"/>
    <w:rsid w:val="6E57EC94"/>
    <w:rsid w:val="6E641CEA"/>
    <w:rsid w:val="6E8AB3A1"/>
    <w:rsid w:val="6E9EB63F"/>
    <w:rsid w:val="6EAA7803"/>
    <w:rsid w:val="6EB5E078"/>
    <w:rsid w:val="6ED8B0D2"/>
    <w:rsid w:val="6EE808FE"/>
    <w:rsid w:val="6F7C7A3D"/>
    <w:rsid w:val="6F8A495A"/>
    <w:rsid w:val="6F8AC732"/>
    <w:rsid w:val="6F96A555"/>
    <w:rsid w:val="6F9C203A"/>
    <w:rsid w:val="6FAE48FF"/>
    <w:rsid w:val="6FC2D87C"/>
    <w:rsid w:val="6FC9DB50"/>
    <w:rsid w:val="6FCA204A"/>
    <w:rsid w:val="6FD2D38B"/>
    <w:rsid w:val="6FECD2F7"/>
    <w:rsid w:val="6FECD2F7"/>
    <w:rsid w:val="6FF12153"/>
    <w:rsid w:val="6FFD7E8B"/>
    <w:rsid w:val="7011E82A"/>
    <w:rsid w:val="70122E95"/>
    <w:rsid w:val="70389E9D"/>
    <w:rsid w:val="705BEBAD"/>
    <w:rsid w:val="708BF4B9"/>
    <w:rsid w:val="7091A1FC"/>
    <w:rsid w:val="7098D6D1"/>
    <w:rsid w:val="709BD745"/>
    <w:rsid w:val="70A48331"/>
    <w:rsid w:val="70BCF96E"/>
    <w:rsid w:val="70C4EE82"/>
    <w:rsid w:val="70EA5405"/>
    <w:rsid w:val="7107E0B1"/>
    <w:rsid w:val="71221FF3"/>
    <w:rsid w:val="713AB6A3"/>
    <w:rsid w:val="713AB6A3"/>
    <w:rsid w:val="7162D706"/>
    <w:rsid w:val="717AE92C"/>
    <w:rsid w:val="71A8E337"/>
    <w:rsid w:val="71E6E505"/>
    <w:rsid w:val="72097E8B"/>
    <w:rsid w:val="720B8BB1"/>
    <w:rsid w:val="72395282"/>
    <w:rsid w:val="723D7F51"/>
    <w:rsid w:val="72488812"/>
    <w:rsid w:val="724DD82F"/>
    <w:rsid w:val="72957B97"/>
    <w:rsid w:val="72C6FCF6"/>
    <w:rsid w:val="72CA5245"/>
    <w:rsid w:val="72F1DAF1"/>
    <w:rsid w:val="72F3E829"/>
    <w:rsid w:val="72F99DEC"/>
    <w:rsid w:val="72F99DEC"/>
    <w:rsid w:val="72FC4303"/>
    <w:rsid w:val="730FE500"/>
    <w:rsid w:val="7314E938"/>
    <w:rsid w:val="73271486"/>
    <w:rsid w:val="73393BA1"/>
    <w:rsid w:val="73662BD3"/>
    <w:rsid w:val="736A8518"/>
    <w:rsid w:val="736FE4A0"/>
    <w:rsid w:val="736FE4A0"/>
    <w:rsid w:val="737B85DD"/>
    <w:rsid w:val="7393D70A"/>
    <w:rsid w:val="73D2DFD0"/>
    <w:rsid w:val="73D7FC1D"/>
    <w:rsid w:val="73DB9079"/>
    <w:rsid w:val="73ED2203"/>
    <w:rsid w:val="73FB71EA"/>
    <w:rsid w:val="73FC3B26"/>
    <w:rsid w:val="7432D632"/>
    <w:rsid w:val="746E66ED"/>
    <w:rsid w:val="74900A6C"/>
    <w:rsid w:val="74903A09"/>
    <w:rsid w:val="749664CC"/>
    <w:rsid w:val="74A10626"/>
    <w:rsid w:val="74A86A43"/>
    <w:rsid w:val="74B3AD06"/>
    <w:rsid w:val="74B67115"/>
    <w:rsid w:val="74C71CFA"/>
    <w:rsid w:val="74CC9301"/>
    <w:rsid w:val="74DA344C"/>
    <w:rsid w:val="74E0E0DF"/>
    <w:rsid w:val="74EF7CF9"/>
    <w:rsid w:val="74FD21E2"/>
    <w:rsid w:val="7513F2F8"/>
    <w:rsid w:val="7515F49B"/>
    <w:rsid w:val="7521E02A"/>
    <w:rsid w:val="75333664"/>
    <w:rsid w:val="7535F4A1"/>
    <w:rsid w:val="75764C60"/>
    <w:rsid w:val="75784B25"/>
    <w:rsid w:val="75B937CB"/>
    <w:rsid w:val="75F1EA93"/>
    <w:rsid w:val="76190D30"/>
    <w:rsid w:val="7633A8CE"/>
    <w:rsid w:val="7636CFB1"/>
    <w:rsid w:val="764E8A37"/>
    <w:rsid w:val="766C9E53"/>
    <w:rsid w:val="767A2BB4"/>
    <w:rsid w:val="76A36B13"/>
    <w:rsid w:val="76BACAAE"/>
    <w:rsid w:val="76D38001"/>
    <w:rsid w:val="76E4F138"/>
    <w:rsid w:val="76E74E04"/>
    <w:rsid w:val="776B7DB9"/>
    <w:rsid w:val="779BAF7B"/>
    <w:rsid w:val="77A0175E"/>
    <w:rsid w:val="77ACFEF0"/>
    <w:rsid w:val="77C36091"/>
    <w:rsid w:val="77CFBE66"/>
    <w:rsid w:val="77DC07D2"/>
    <w:rsid w:val="77DC07D2"/>
    <w:rsid w:val="77E4A496"/>
    <w:rsid w:val="77E88215"/>
    <w:rsid w:val="77EC524E"/>
    <w:rsid w:val="7836E270"/>
    <w:rsid w:val="7836E270"/>
    <w:rsid w:val="7874FE19"/>
    <w:rsid w:val="78992334"/>
    <w:rsid w:val="78B0D118"/>
    <w:rsid w:val="78C6F410"/>
    <w:rsid w:val="78CAF306"/>
    <w:rsid w:val="78CC7982"/>
    <w:rsid w:val="78EA21A6"/>
    <w:rsid w:val="78F56905"/>
    <w:rsid w:val="7955A5E2"/>
    <w:rsid w:val="7961D428"/>
    <w:rsid w:val="7984951E"/>
    <w:rsid w:val="798A787A"/>
    <w:rsid w:val="79E3B119"/>
    <w:rsid w:val="79EE9B45"/>
    <w:rsid w:val="7A141B8D"/>
    <w:rsid w:val="7A22B5C0"/>
    <w:rsid w:val="7A44B7F3"/>
    <w:rsid w:val="7A4BB668"/>
    <w:rsid w:val="7A5ECB77"/>
    <w:rsid w:val="7AA0EA0A"/>
    <w:rsid w:val="7AA0EA0A"/>
    <w:rsid w:val="7AB1BA25"/>
    <w:rsid w:val="7AB9D163"/>
    <w:rsid w:val="7AC78B6E"/>
    <w:rsid w:val="7AE2AD27"/>
    <w:rsid w:val="7B1A64C2"/>
    <w:rsid w:val="7B1AEF20"/>
    <w:rsid w:val="7B1B7552"/>
    <w:rsid w:val="7B2CACEF"/>
    <w:rsid w:val="7B350678"/>
    <w:rsid w:val="7B350CA2"/>
    <w:rsid w:val="7B37019D"/>
    <w:rsid w:val="7B465B65"/>
    <w:rsid w:val="7B465B65"/>
    <w:rsid w:val="7B4E63AB"/>
    <w:rsid w:val="7B686860"/>
    <w:rsid w:val="7B70A31F"/>
    <w:rsid w:val="7B77852F"/>
    <w:rsid w:val="7B983B79"/>
    <w:rsid w:val="7BC92A8B"/>
    <w:rsid w:val="7BCC2446"/>
    <w:rsid w:val="7BD1E996"/>
    <w:rsid w:val="7C0B86ED"/>
    <w:rsid w:val="7C120280"/>
    <w:rsid w:val="7C1EB20D"/>
    <w:rsid w:val="7C1FAE86"/>
    <w:rsid w:val="7C20E848"/>
    <w:rsid w:val="7C2753B4"/>
    <w:rsid w:val="7C4873CE"/>
    <w:rsid w:val="7C6061D7"/>
    <w:rsid w:val="7CA66828"/>
    <w:rsid w:val="7CA6E783"/>
    <w:rsid w:val="7CA85378"/>
    <w:rsid w:val="7CAC1E30"/>
    <w:rsid w:val="7CCB1B84"/>
    <w:rsid w:val="7CCCF6B6"/>
    <w:rsid w:val="7CCD5059"/>
    <w:rsid w:val="7CE0A2B5"/>
    <w:rsid w:val="7D0D017E"/>
    <w:rsid w:val="7D20DB8E"/>
    <w:rsid w:val="7D36FF3B"/>
    <w:rsid w:val="7D42DA42"/>
    <w:rsid w:val="7D52FE96"/>
    <w:rsid w:val="7D52FE96"/>
    <w:rsid w:val="7D5ECCEB"/>
    <w:rsid w:val="7D72339E"/>
    <w:rsid w:val="7D9A1FBF"/>
    <w:rsid w:val="7DA983EA"/>
    <w:rsid w:val="7DB7CC07"/>
    <w:rsid w:val="7DE8CCA5"/>
    <w:rsid w:val="7E00AF8D"/>
    <w:rsid w:val="7E00AF8D"/>
    <w:rsid w:val="7E1068C3"/>
    <w:rsid w:val="7E164910"/>
    <w:rsid w:val="7E18F48A"/>
    <w:rsid w:val="7E2D84E0"/>
    <w:rsid w:val="7E343693"/>
    <w:rsid w:val="7E49640D"/>
    <w:rsid w:val="7E73D3EC"/>
    <w:rsid w:val="7E83A4A3"/>
    <w:rsid w:val="7E914093"/>
    <w:rsid w:val="7E9B98DD"/>
    <w:rsid w:val="7EBACEDA"/>
    <w:rsid w:val="7EBBDDEF"/>
    <w:rsid w:val="7EC4B96D"/>
    <w:rsid w:val="7EFDA5D6"/>
    <w:rsid w:val="7F28F470"/>
    <w:rsid w:val="7F3758CF"/>
    <w:rsid w:val="7F42FD16"/>
    <w:rsid w:val="7F45F3A1"/>
    <w:rsid w:val="7F55911A"/>
    <w:rsid w:val="7F73DB85"/>
    <w:rsid w:val="7F950098"/>
    <w:rsid w:val="7FAB7730"/>
    <w:rsid w:val="7FAF5A1B"/>
    <w:rsid w:val="7FB18BE5"/>
    <w:rsid w:val="7FB1AD5C"/>
    <w:rsid w:val="7FBE0844"/>
    <w:rsid w:val="7FD8F56F"/>
    <w:rsid w:val="7FF0D046"/>
    <w:rsid w:val="7FF58349"/>
    <w:rsid w:val="7FFE593A"/>
  </w:rsids>
  <w:themeFontLang w:val="en-GB" w:eastAsia="zh-CN" w:bidi="ar-SA"/>
  <w14:docId w14:val="5918A8D7"/>
  <w15:docId w15:val="{8D6D94CD-58AF-41E6-8D70-99ACCB6BE05C}"/>
</w:settings>
</file>

<file path=word/styles.xml><?xml version="1.0" encoding="utf-8"?>
<w:styles xmlns:wp14="http://schemas.microsoft.com/office/word/2010/wordprocessingDrawing" xmlns:w="http://schemas.openxmlformats.org/wordprocessingml/2006/main" xmlns:w14="http://schemas.microsoft.com/office/word/2010/wordml" xmlns:mc="http://schemas.openxmlformats.org/markup-compatibility/2006" mc:Ignorable="w14 wp14">
  <w:docDefaults>
    <w:rPrDefault>
      <w:rPr>
        <w:rFonts w:ascii="Aptos" w:hAnsi="Aptos" w:eastAsia="Aptos" w:cs="Arial" w:asciiTheme="minorHAnsi" w:hAnsiTheme="minorHAnsi" w:eastAsiaTheme="minorHAnsi" w:cstheme="minorBidi"/>
        <w:kern w:val="2"/>
        <w:sz w:val="24"/>
        <w:szCs w:val="24"/>
        <w:lang w:val="en-GB" w:eastAsia="en-US" w:bidi="ar-SA"/>
        <w14:ligatures w14:val="standardContextual"/>
      </w:rPr>
    </w:rPrDefault>
    <w:pPrDefaul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bidi w:val="0"/>
      <w:jc w:val="left"/>
    </w:pPr>
    <w:rPr>
      <w:rFonts w:ascii="Aptos" w:hAnsi="Aptos" w:eastAsia="Aptos" w:cs="Arial" w:asciiTheme="minorHAnsi" w:hAnsiTheme="minorHAnsi" w:eastAsiaTheme="minorHAnsi" w:cstheme="minorBidi"/>
      <w:color w:val="auto"/>
      <w:kern w:val="2"/>
      <w:sz w:val="24"/>
      <w:szCs w:val="24"/>
      <w:lang w:val="en-GB" w:eastAsia="en-US" w:bidi="ar-SA"/>
      <w14:ligatures w14:val="standardContextual"/>
    </w:rPr>
  </w:style>
  <w:style w:type="paragraph" w:styleId="Heading1">
    <w:name w:val="heading 1"/>
    <w:basedOn w:val="Normal"/>
    <w:next w:val="Normal"/>
    <w:link w:val="Heading1Char"/>
    <w:uiPriority w:val="9"/>
    <w:qFormat/>
    <w:rsid w:val="00646406"/>
    <w:pPr>
      <w:keepNext w:val="true"/>
      <w:keepLines/>
      <w:spacing w:before="360" w:after="80"/>
      <w:outlineLvl w:val="0"/>
    </w:pPr>
    <w:rPr>
      <w:rFonts w:ascii="Aptos Display" w:hAnsi="Aptos Display" w:eastAsia="等线 Light" w:cs="Times New Roman"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46406"/>
    <w:pPr>
      <w:keepNext w:val="true"/>
      <w:keepLines/>
      <w:spacing w:before="160" w:after="80"/>
      <w:outlineLvl w:val="1"/>
    </w:pPr>
    <w:rPr>
      <w:rFonts w:ascii="Aptos Display" w:hAnsi="Aptos Display" w:eastAsia="等线 Light" w:cs="Times New Roman"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6406"/>
    <w:pPr>
      <w:keepNext w:val="true"/>
      <w:keepLines/>
      <w:spacing w:before="160" w:after="80"/>
      <w:outlineLvl w:val="2"/>
    </w:pPr>
    <w:rPr>
      <w:rFonts w:eastAsia="等线 Light" w:cs="Times New Roman"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6406"/>
    <w:pPr>
      <w:keepNext w:val="true"/>
      <w:keepLines/>
      <w:spacing w:before="80" w:after="40"/>
      <w:outlineLvl w:val="3"/>
    </w:pPr>
    <w:rPr>
      <w:rFonts w:eastAsia="等线 Light" w:cs="Times New Roman"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406"/>
    <w:pPr>
      <w:keepNext w:val="true"/>
      <w:keepLines/>
      <w:spacing w:before="80" w:after="40"/>
      <w:outlineLvl w:val="4"/>
    </w:pPr>
    <w:rPr>
      <w:rFonts w:eastAsia="等线 Light" w:cs="Times New Roman"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406"/>
    <w:pPr>
      <w:keepNext w:val="true"/>
      <w:keepLines/>
      <w:spacing w:before="40" w:after="0"/>
      <w:outlineLvl w:val="5"/>
    </w:pPr>
    <w:rPr>
      <w:rFonts w:eastAsia="等线 Light" w:cs="Times New Roman"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406"/>
    <w:pPr>
      <w:keepNext w:val="true"/>
      <w:keepLines/>
      <w:spacing w:before="40" w:after="0"/>
      <w:outlineLvl w:val="6"/>
    </w:pPr>
    <w:rPr>
      <w:rFonts w:eastAsia="等线 Light" w:cs="Times New Roman"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406"/>
    <w:pPr>
      <w:keepNext w:val="true"/>
      <w:keepLines/>
      <w:outlineLvl w:val="7"/>
    </w:pPr>
    <w:rPr>
      <w:rFonts w:eastAsia="等线 Light" w:cs="Times New Roman"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406"/>
    <w:pPr>
      <w:keepNext w:val="true"/>
      <w:keepLines/>
      <w:outlineLvl w:val="8"/>
    </w:pPr>
    <w:rPr>
      <w:rFonts w:eastAsia="等线 Light" w:cs="Times New Roman" w:eastAsiaTheme="majorEastAsia" w:cstheme="majorBidi"/>
      <w:color w:val="272727" w:themeColor="text1" w:themeTint="d8"/>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646406"/>
    <w:rPr>
      <w:rFonts w:ascii="Aptos Display" w:hAnsi="Aptos Display" w:eastAsia="等线 Light" w:cs="Times New Roman"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qFormat/>
    <w:rsid w:val="00646406"/>
    <w:rPr>
      <w:rFonts w:ascii="Aptos Display" w:hAnsi="Aptos Display" w:eastAsia="等线 Light" w:cs="Times New Roman"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qFormat/>
    <w:rsid w:val="00646406"/>
    <w:rPr>
      <w:rFonts w:eastAsia="等线 Light" w:cs="Times New Roman"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qFormat/>
    <w:rsid w:val="00646406"/>
    <w:rPr>
      <w:rFonts w:eastAsia="等线 Light" w:cs="Times New Roman"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qFormat/>
    <w:rsid w:val="00646406"/>
    <w:rPr>
      <w:rFonts w:eastAsia="等线 Light" w:cs="Times New Roman" w:eastAsiaTheme="majorEastAsia" w:cstheme="majorBidi"/>
      <w:color w:val="0F4761" w:themeColor="accent1" w:themeShade="bf"/>
    </w:rPr>
  </w:style>
  <w:style w:type="character" w:styleId="Heading6Char" w:customStyle="1">
    <w:name w:val="Heading 6 Char"/>
    <w:basedOn w:val="DefaultParagraphFont"/>
    <w:link w:val="Heading6"/>
    <w:uiPriority w:val="9"/>
    <w:semiHidden/>
    <w:qFormat/>
    <w:rsid w:val="00646406"/>
    <w:rPr>
      <w:rFonts w:eastAsia="等线 Light" w:cs="Times New Roman"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qFormat/>
    <w:rsid w:val="00646406"/>
    <w:rPr>
      <w:rFonts w:eastAsia="等线 Light" w:cs="Times New Roman" w:eastAsiaTheme="majorEastAsia" w:cstheme="majorBidi"/>
      <w:color w:val="595959" w:themeColor="text1" w:themeTint="a6"/>
    </w:rPr>
  </w:style>
  <w:style w:type="character" w:styleId="Heading8Char" w:customStyle="1">
    <w:name w:val="Heading 8 Char"/>
    <w:basedOn w:val="DefaultParagraphFont"/>
    <w:link w:val="Heading8"/>
    <w:uiPriority w:val="9"/>
    <w:semiHidden/>
    <w:qFormat/>
    <w:rsid w:val="00646406"/>
    <w:rPr>
      <w:rFonts w:eastAsia="等线 Light" w:cs="Times New Roman"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qFormat/>
    <w:rsid w:val="00646406"/>
    <w:rPr>
      <w:rFonts w:eastAsia="等线 Light" w:cs="Times New Roman" w:eastAsiaTheme="majorEastAsia" w:cstheme="majorBidi"/>
      <w:color w:val="272727" w:themeColor="text1" w:themeTint="d8"/>
    </w:rPr>
  </w:style>
  <w:style w:type="character" w:styleId="TitleChar" w:customStyle="1">
    <w:name w:val="Title Char"/>
    <w:basedOn w:val="DefaultParagraphFont"/>
    <w:link w:val="Title"/>
    <w:uiPriority w:val="10"/>
    <w:qFormat/>
    <w:rsid w:val="00646406"/>
    <w:rPr>
      <w:rFonts w:ascii="Aptos Display" w:hAnsi="Aptos Display" w:eastAsia="等线 Light" w:cs="Times New Roman" w:asciiTheme="majorHAnsi" w:hAnsiTheme="majorHAnsi" w:eastAsiaTheme="majorEastAsia" w:cstheme="majorBidi"/>
      <w:spacing w:val="-10"/>
      <w:kern w:val="2"/>
      <w:sz w:val="56"/>
      <w:szCs w:val="56"/>
    </w:rPr>
  </w:style>
  <w:style w:type="character" w:styleId="SubtitleChar" w:customStyle="1">
    <w:name w:val="Subtitle Char"/>
    <w:basedOn w:val="DefaultParagraphFont"/>
    <w:link w:val="Subtitle"/>
    <w:uiPriority w:val="11"/>
    <w:qFormat/>
    <w:rsid w:val="00646406"/>
    <w:rPr>
      <w:rFonts w:eastAsia="等线 Light" w:cs="Times New Roman" w:eastAsiaTheme="majorEastAsia" w:cstheme="majorBidi"/>
      <w:color w:val="595959" w:themeColor="text1" w:themeTint="a6"/>
      <w:spacing w:val="15"/>
      <w:sz w:val="28"/>
      <w:szCs w:val="28"/>
    </w:rPr>
  </w:style>
  <w:style w:type="character" w:styleId="QuoteChar" w:customStyle="1">
    <w:name w:val="Quote Char"/>
    <w:basedOn w:val="DefaultParagraphFont"/>
    <w:link w:val="Quote"/>
    <w:uiPriority w:val="29"/>
    <w:qFormat/>
    <w:rsid w:val="00646406"/>
    <w:rPr>
      <w:i/>
      <w:iCs/>
      <w:color w:val="404040" w:themeColor="text1" w:themeTint="bf"/>
    </w:rPr>
  </w:style>
  <w:style w:type="character" w:styleId="IntenseEmphasis">
    <w:name w:val="Intense Emphasis"/>
    <w:basedOn w:val="DefaultParagraphFont"/>
    <w:uiPriority w:val="21"/>
    <w:qFormat/>
    <w:rsid w:val="00646406"/>
    <w:rPr>
      <w:i/>
      <w:iCs/>
      <w:color w:val="0F4761" w:themeColor="accent1" w:themeShade="bf"/>
    </w:rPr>
  </w:style>
  <w:style w:type="character" w:styleId="IntenseQuoteChar" w:customStyle="1">
    <w:name w:val="Intense Quote Char"/>
    <w:basedOn w:val="DefaultParagraphFont"/>
    <w:link w:val="IntenseQuote"/>
    <w:uiPriority w:val="30"/>
    <w:qFormat/>
    <w:rsid w:val="00646406"/>
    <w:rPr>
      <w:i/>
      <w:iCs/>
      <w:color w:val="0F4761" w:themeColor="accent1" w:themeShade="bf"/>
    </w:rPr>
  </w:style>
  <w:style w:type="character" w:styleId="IntenseReference">
    <w:name w:val="Intense Reference"/>
    <w:basedOn w:val="DefaultParagraphFont"/>
    <w:uiPriority w:val="32"/>
    <w:qFormat/>
    <w:rsid w:val="00646406"/>
    <w:rPr>
      <w:b/>
      <w:bCs/>
      <w:smallCaps/>
      <w:color w:val="0F4761" w:themeColor="accent1" w:themeShade="bf"/>
      <w:spacing w:val="5"/>
    </w:rPr>
  </w:style>
  <w:style w:type="character" w:styleId="InternetLink">
    <w:name w:val="Internet Link"/>
    <w:basedOn w:val="DefaultParagraphFont"/>
    <w:uiPriority w:val="99"/>
    <w:unhideWhenUsed/>
    <w:rsid w:val="00cb01f0"/>
    <w:rPr>
      <w:color w:val="467886" w:themeColor="hyperlink"/>
      <w:u w:val="single"/>
    </w:rPr>
  </w:style>
  <w:style w:type="character" w:styleId="ListLabel1">
    <w:name w:val="ListLabel 1"/>
    <w:qFormat/>
    <w:rPr>
      <w:sz w:val="20"/>
    </w:rPr>
  </w:style>
  <w:style w:type="character" w:styleId="ListLabel2">
    <w:name w:val="ListLabel 2"/>
    <w:qFormat/>
    <w:rPr>
      <w:sz w:val="20"/>
    </w:rPr>
  </w:style>
  <w:style w:type="character" w:styleId="ListLabel3">
    <w:name w:val="ListLabel 3"/>
    <w:qFormat/>
    <w:rPr>
      <w:sz w:val="20"/>
    </w:rPr>
  </w:style>
  <w:style w:type="character" w:styleId="ListLabel4">
    <w:name w:val="ListLabel 4"/>
    <w:qFormat/>
    <w:rPr>
      <w:sz w:val="20"/>
    </w:rPr>
  </w:style>
  <w:style w:type="character" w:styleId="ListLabel5">
    <w:name w:val="ListLabel 5"/>
    <w:qFormat/>
    <w:rPr>
      <w:sz w:val="20"/>
    </w:rPr>
  </w:style>
  <w:style w:type="character" w:styleId="ListLabel6">
    <w:name w:val="ListLabel 6"/>
    <w:qFormat/>
    <w:rPr>
      <w:sz w:val="20"/>
    </w:rPr>
  </w:style>
  <w:style w:type="character" w:styleId="ListLabel7">
    <w:name w:val="ListLabel 7"/>
    <w:qFormat/>
    <w:rPr>
      <w:sz w:val="20"/>
    </w:rPr>
  </w:style>
  <w:style w:type="character" w:styleId="ListLabel8">
    <w:name w:val="ListLabel 8"/>
    <w:qFormat/>
    <w:rPr>
      <w:sz w:val="20"/>
    </w:rPr>
  </w:style>
  <w:style w:type="character" w:styleId="ListLabel9">
    <w:name w:val="ListLabel 9"/>
    <w:qFormat/>
    <w:rPr>
      <w:sz w:val="20"/>
    </w:rPr>
  </w:style>
  <w:style w:type="character" w:styleId="ListLabel10">
    <w:name w:val="ListLabel 10"/>
    <w:qFormat/>
    <w:rPr>
      <w:sz w:val="20"/>
    </w:rPr>
  </w:style>
  <w:style w:type="character" w:styleId="ListLabel11">
    <w:name w:val="ListLabel 11"/>
    <w:qFormat/>
    <w:rPr>
      <w:sz w:val="20"/>
    </w:rPr>
  </w:style>
  <w:style w:type="character" w:styleId="ListLabel12">
    <w:name w:val="ListLabel 12"/>
    <w:qFormat/>
    <w:rPr>
      <w:sz w:val="20"/>
    </w:rPr>
  </w:style>
  <w:style w:type="character" w:styleId="ListLabel13">
    <w:name w:val="ListLabel 13"/>
    <w:qFormat/>
    <w:rPr>
      <w:sz w:val="20"/>
    </w:rPr>
  </w:style>
  <w:style w:type="character" w:styleId="ListLabel14">
    <w:name w:val="ListLabel 14"/>
    <w:qFormat/>
    <w:rPr>
      <w:sz w:val="20"/>
    </w:rPr>
  </w:style>
  <w:style w:type="character" w:styleId="ListLabel15">
    <w:name w:val="ListLabel 15"/>
    <w:qFormat/>
    <w:rPr>
      <w:sz w:val="20"/>
    </w:rPr>
  </w:style>
  <w:style w:type="character" w:styleId="ListLabel16">
    <w:name w:val="ListLabel 16"/>
    <w:qFormat/>
    <w:rPr>
      <w:sz w:val="20"/>
    </w:rPr>
  </w:style>
  <w:style w:type="character" w:styleId="ListLabel17">
    <w:name w:val="ListLabel 17"/>
    <w:qFormat/>
    <w:rPr>
      <w:sz w:val="20"/>
    </w:rPr>
  </w:style>
  <w:style w:type="character" w:styleId="ListLabel18">
    <w:name w:val="ListLabel 18"/>
    <w:qFormat/>
    <w:rPr>
      <w:sz w:val="20"/>
    </w:rPr>
  </w:style>
  <w:style w:type="character" w:styleId="ListLabel19">
    <w:name w:val="ListLabel 19"/>
    <w:qFormat/>
    <w:rPr>
      <w:sz w:val="20"/>
    </w:rPr>
  </w:style>
  <w:style w:type="character" w:styleId="ListLabel20">
    <w:name w:val="ListLabel 20"/>
    <w:qFormat/>
    <w:rPr>
      <w:sz w:val="20"/>
    </w:rPr>
  </w:style>
  <w:style w:type="character" w:styleId="ListLabel21">
    <w:name w:val="ListLabel 21"/>
    <w:qFormat/>
    <w:rPr>
      <w:sz w:val="20"/>
    </w:rPr>
  </w:style>
  <w:style w:type="character" w:styleId="ListLabel22">
    <w:name w:val="ListLabel 22"/>
    <w:qFormat/>
    <w:rPr>
      <w:sz w:val="20"/>
    </w:rPr>
  </w:style>
  <w:style w:type="character" w:styleId="ListLabel23">
    <w:name w:val="ListLabel 23"/>
    <w:qFormat/>
    <w:rPr>
      <w:sz w:val="20"/>
    </w:rPr>
  </w:style>
  <w:style w:type="character" w:styleId="ListLabel24">
    <w:name w:val="ListLabel 24"/>
    <w:qFormat/>
    <w:rPr>
      <w:sz w:val="20"/>
    </w:rPr>
  </w:style>
  <w:style w:type="character" w:styleId="ListLabel25">
    <w:name w:val="ListLabel 25"/>
    <w:qFormat/>
    <w:rPr>
      <w:sz w:val="20"/>
    </w:rPr>
  </w:style>
  <w:style w:type="character" w:styleId="ListLabel26">
    <w:name w:val="ListLabel 26"/>
    <w:qFormat/>
    <w:rPr>
      <w:sz w:val="20"/>
    </w:rPr>
  </w:style>
  <w:style w:type="character" w:styleId="ListLabel27">
    <w:name w:val="ListLabel 27"/>
    <w:qFormat/>
    <w:rPr>
      <w:sz w:val="20"/>
    </w:rPr>
  </w:style>
  <w:style w:type="character" w:styleId="ListLabel28">
    <w:name w:val="ListLabel 28"/>
    <w:qFormat/>
    <w:rPr>
      <w:sz w:val="20"/>
    </w:rPr>
  </w:style>
  <w:style w:type="character" w:styleId="ListLabel29">
    <w:name w:val="ListLabel 29"/>
    <w:qFormat/>
    <w:rPr>
      <w:sz w:val="20"/>
    </w:rPr>
  </w:style>
  <w:style w:type="character" w:styleId="ListLabel30">
    <w:name w:val="ListLabel 30"/>
    <w:qFormat/>
    <w:rPr>
      <w:sz w:val="20"/>
    </w:rPr>
  </w:style>
  <w:style w:type="character" w:styleId="ListLabel31">
    <w:name w:val="ListLabel 31"/>
    <w:qFormat/>
    <w:rPr>
      <w:sz w:val="20"/>
    </w:rPr>
  </w:style>
  <w:style w:type="character" w:styleId="ListLabel32">
    <w:name w:val="ListLabel 32"/>
    <w:qFormat/>
    <w:rPr>
      <w:sz w:val="20"/>
    </w:rPr>
  </w:style>
  <w:style w:type="character" w:styleId="ListLabel33">
    <w:name w:val="ListLabel 33"/>
    <w:qFormat/>
    <w:rPr>
      <w:sz w:val="20"/>
    </w:rPr>
  </w:style>
  <w:style w:type="character" w:styleId="ListLabel34">
    <w:name w:val="ListLabel 34"/>
    <w:qFormat/>
    <w:rPr>
      <w:sz w:val="20"/>
    </w:rPr>
  </w:style>
  <w:style w:type="character" w:styleId="ListLabel35">
    <w:name w:val="ListLabel 35"/>
    <w:qFormat/>
    <w:rPr>
      <w:sz w:val="20"/>
    </w:rPr>
  </w:style>
  <w:style w:type="character" w:styleId="ListLabel36">
    <w:name w:val="ListLabel 36"/>
    <w:qFormat/>
    <w:rPr>
      <w:sz w:val="20"/>
    </w:rPr>
  </w:style>
  <w:style w:type="character" w:styleId="ListLabel37">
    <w:name w:val="ListLabel 37"/>
    <w:qFormat/>
    <w:rPr>
      <w:sz w:val="20"/>
    </w:rPr>
  </w:style>
  <w:style w:type="character" w:styleId="ListLabel38">
    <w:name w:val="ListLabel 38"/>
    <w:qFormat/>
    <w:rPr>
      <w:sz w:val="20"/>
    </w:rPr>
  </w:style>
  <w:style w:type="character" w:styleId="ListLabel39">
    <w:name w:val="ListLabel 39"/>
    <w:qFormat/>
    <w:rPr>
      <w:sz w:val="20"/>
    </w:rPr>
  </w:style>
  <w:style w:type="character" w:styleId="ListLabel40">
    <w:name w:val="ListLabel 40"/>
    <w:qFormat/>
    <w:rPr>
      <w:sz w:val="20"/>
    </w:rPr>
  </w:style>
  <w:style w:type="character" w:styleId="ListLabel41">
    <w:name w:val="ListLabel 41"/>
    <w:qFormat/>
    <w:rPr>
      <w:sz w:val="20"/>
    </w:rPr>
  </w:style>
  <w:style w:type="character" w:styleId="ListLabel42">
    <w:name w:val="ListLabel 42"/>
    <w:qFormat/>
    <w:rPr>
      <w:sz w:val="20"/>
    </w:rPr>
  </w:style>
  <w:style w:type="character" w:styleId="ListLabel43">
    <w:name w:val="ListLabel 43"/>
    <w:qFormat/>
    <w:rPr>
      <w:sz w:val="20"/>
    </w:rPr>
  </w:style>
  <w:style w:type="character" w:styleId="ListLabel44">
    <w:name w:val="ListLabel 44"/>
    <w:qFormat/>
    <w:rPr>
      <w:sz w:val="20"/>
    </w:rPr>
  </w:style>
  <w:style w:type="character" w:styleId="ListLabel45">
    <w:name w:val="ListLabel 45"/>
    <w:qFormat/>
    <w:rPr>
      <w:sz w:val="20"/>
    </w:rPr>
  </w:style>
  <w:style w:type="character" w:styleId="ListLabel46">
    <w:name w:val="ListLabel 46"/>
    <w:qFormat/>
    <w:rPr>
      <w:sz w:val="20"/>
    </w:rPr>
  </w:style>
  <w:style w:type="character" w:styleId="ListLabel47">
    <w:name w:val="ListLabel 47"/>
    <w:qFormat/>
    <w:rPr>
      <w:sz w:val="20"/>
    </w:rPr>
  </w:style>
  <w:style w:type="character" w:styleId="ListLabel48">
    <w:name w:val="ListLabel 48"/>
    <w:qFormat/>
    <w:rPr>
      <w:sz w:val="20"/>
    </w:rPr>
  </w:style>
  <w:style w:type="character" w:styleId="ListLabel49">
    <w:name w:val="ListLabel 49"/>
    <w:qFormat/>
    <w:rPr>
      <w:sz w:val="20"/>
    </w:rPr>
  </w:style>
  <w:style w:type="character" w:styleId="ListLabel50">
    <w:name w:val="ListLabel 50"/>
    <w:qFormat/>
    <w:rPr>
      <w:sz w:val="20"/>
    </w:rPr>
  </w:style>
  <w:style w:type="character" w:styleId="ListLabel51">
    <w:name w:val="ListLabel 51"/>
    <w:qFormat/>
    <w:rPr>
      <w:sz w:val="20"/>
    </w:rPr>
  </w:style>
  <w:style w:type="character" w:styleId="ListLabel52">
    <w:name w:val="ListLabel 52"/>
    <w:qFormat/>
    <w:rPr>
      <w:sz w:val="20"/>
    </w:rPr>
  </w:style>
  <w:style w:type="character" w:styleId="ListLabel53">
    <w:name w:val="ListLabel 53"/>
    <w:qFormat/>
    <w:rPr>
      <w:sz w:val="20"/>
    </w:rPr>
  </w:style>
  <w:style w:type="character" w:styleId="ListLabel54">
    <w:name w:val="ListLabel 54"/>
    <w:qFormat/>
    <w:rPr>
      <w:sz w:val="20"/>
    </w:rPr>
  </w:style>
  <w:style w:type="character" w:styleId="ListLabel55">
    <w:name w:val="ListLabel 55"/>
    <w:qFormat/>
    <w:rPr>
      <w:sz w:val="20"/>
    </w:rPr>
  </w:style>
  <w:style w:type="character" w:styleId="ListLabel56">
    <w:name w:val="ListLabel 56"/>
    <w:qFormat/>
    <w:rPr>
      <w:sz w:val="20"/>
    </w:rPr>
  </w:style>
  <w:style w:type="character" w:styleId="ListLabel57">
    <w:name w:val="ListLabel 57"/>
    <w:qFormat/>
    <w:rPr>
      <w:sz w:val="20"/>
    </w:rPr>
  </w:style>
  <w:style w:type="character" w:styleId="ListLabel58">
    <w:name w:val="ListLabel 58"/>
    <w:qFormat/>
    <w:rPr>
      <w:sz w:val="20"/>
    </w:rPr>
  </w:style>
  <w:style w:type="character" w:styleId="ListLabel59">
    <w:name w:val="ListLabel 59"/>
    <w:qFormat/>
    <w:rPr>
      <w:sz w:val="20"/>
    </w:rPr>
  </w:style>
  <w:style w:type="character" w:styleId="ListLabel60">
    <w:name w:val="ListLabel 60"/>
    <w:qFormat/>
    <w:rPr>
      <w:sz w:val="20"/>
    </w:rPr>
  </w:style>
  <w:style w:type="character" w:styleId="ListLabel61">
    <w:name w:val="ListLabel 61"/>
    <w:qFormat/>
    <w:rPr>
      <w:sz w:val="20"/>
    </w:rPr>
  </w:style>
  <w:style w:type="character" w:styleId="ListLabel62">
    <w:name w:val="ListLabel 62"/>
    <w:qFormat/>
    <w:rPr>
      <w:sz w:val="20"/>
    </w:rPr>
  </w:style>
  <w:style w:type="character" w:styleId="ListLabel63">
    <w:name w:val="ListLabel 63"/>
    <w:qFormat/>
    <w:rPr>
      <w:sz w:val="20"/>
    </w:rPr>
  </w:style>
  <w:style w:type="character" w:styleId="ListLabel64">
    <w:name w:val="ListLabel 64"/>
    <w:qFormat/>
    <w:rPr>
      <w:sz w:val="20"/>
    </w:rPr>
  </w:style>
  <w:style w:type="character" w:styleId="ListLabel65">
    <w:name w:val="ListLabel 65"/>
    <w:qFormat/>
    <w:rPr>
      <w:sz w:val="20"/>
    </w:rPr>
  </w:style>
  <w:style w:type="character" w:styleId="ListLabel66">
    <w:name w:val="ListLabel 66"/>
    <w:qFormat/>
    <w:rPr>
      <w:sz w:val="20"/>
    </w:rPr>
  </w:style>
  <w:style w:type="character" w:styleId="ListLabel67">
    <w:name w:val="ListLabel 67"/>
    <w:qFormat/>
    <w:rPr>
      <w:sz w:val="20"/>
    </w:rPr>
  </w:style>
  <w:style w:type="character" w:styleId="ListLabel68">
    <w:name w:val="ListLabel 68"/>
    <w:qFormat/>
    <w:rPr>
      <w:sz w:val="20"/>
    </w:rPr>
  </w:style>
  <w:style w:type="character" w:styleId="ListLabel69">
    <w:name w:val="ListLabel 69"/>
    <w:qFormat/>
    <w:rPr>
      <w:sz w:val="20"/>
    </w:rPr>
  </w:style>
  <w:style w:type="character" w:styleId="ListLabel70">
    <w:name w:val="ListLabel 70"/>
    <w:qFormat/>
    <w:rPr>
      <w:sz w:val="20"/>
    </w:rPr>
  </w:style>
  <w:style w:type="character" w:styleId="ListLabel71">
    <w:name w:val="ListLabel 71"/>
    <w:qFormat/>
    <w:rPr>
      <w:sz w:val="20"/>
    </w:rPr>
  </w:style>
  <w:style w:type="character" w:styleId="ListLabel72">
    <w:name w:val="ListLabel 72"/>
    <w:qFormat/>
    <w:rPr>
      <w:sz w:val="20"/>
    </w:rPr>
  </w:style>
  <w:style w:type="character" w:styleId="ListLabel73">
    <w:name w:val="ListLabel 73"/>
    <w:qFormat/>
    <w:rPr>
      <w:sz w:val="20"/>
    </w:rPr>
  </w:style>
  <w:style w:type="character" w:styleId="ListLabel74">
    <w:name w:val="ListLabel 74"/>
    <w:qFormat/>
    <w:rPr>
      <w:sz w:val="20"/>
    </w:rPr>
  </w:style>
  <w:style w:type="character" w:styleId="ListLabel75">
    <w:name w:val="ListLabel 75"/>
    <w:qFormat/>
    <w:rPr>
      <w:sz w:val="20"/>
    </w:rPr>
  </w:style>
  <w:style w:type="character" w:styleId="ListLabel76">
    <w:name w:val="ListLabel 76"/>
    <w:qFormat/>
    <w:rPr>
      <w:sz w:val="20"/>
    </w:rPr>
  </w:style>
  <w:style w:type="character" w:styleId="ListLabel77">
    <w:name w:val="ListLabel 77"/>
    <w:qFormat/>
    <w:rPr>
      <w:sz w:val="20"/>
    </w:rPr>
  </w:style>
  <w:style w:type="character" w:styleId="ListLabel78">
    <w:name w:val="ListLabel 78"/>
    <w:qFormat/>
    <w:rPr>
      <w:sz w:val="20"/>
    </w:rPr>
  </w:style>
  <w:style w:type="character" w:styleId="ListLabel79">
    <w:name w:val="ListLabel 79"/>
    <w:qFormat/>
    <w:rPr>
      <w:sz w:val="20"/>
    </w:rPr>
  </w:style>
  <w:style w:type="character" w:styleId="ListLabel80">
    <w:name w:val="ListLabel 80"/>
    <w:qFormat/>
    <w:rPr>
      <w:sz w:val="20"/>
    </w:rPr>
  </w:style>
  <w:style w:type="character" w:styleId="ListLabel81">
    <w:name w:val="ListLabel 81"/>
    <w:qFormat/>
    <w:rPr>
      <w:sz w:val="20"/>
    </w:rPr>
  </w:style>
  <w:style w:type="character" w:styleId="ListLabel82">
    <w:name w:val="ListLabel 82"/>
    <w:qFormat/>
    <w:rPr>
      <w:sz w:val="20"/>
    </w:rPr>
  </w:style>
  <w:style w:type="character" w:styleId="ListLabel83">
    <w:name w:val="ListLabel 83"/>
    <w:qFormat/>
    <w:rPr>
      <w:sz w:val="20"/>
    </w:rPr>
  </w:style>
  <w:style w:type="character" w:styleId="ListLabel84">
    <w:name w:val="ListLabel 84"/>
    <w:qFormat/>
    <w:rPr>
      <w:sz w:val="20"/>
    </w:rPr>
  </w:style>
  <w:style w:type="character" w:styleId="ListLabel85">
    <w:name w:val="ListLabel 85"/>
    <w:qFormat/>
    <w:rPr>
      <w:sz w:val="20"/>
    </w:rPr>
  </w:style>
  <w:style w:type="character" w:styleId="ListLabel86">
    <w:name w:val="ListLabel 86"/>
    <w:qFormat/>
    <w:rPr>
      <w:sz w:val="20"/>
    </w:rPr>
  </w:style>
  <w:style w:type="character" w:styleId="ListLabel87">
    <w:name w:val="ListLabel 87"/>
    <w:qFormat/>
    <w:rPr>
      <w:sz w:val="20"/>
    </w:rPr>
  </w:style>
  <w:style w:type="character" w:styleId="ListLabel88">
    <w:name w:val="ListLabel 88"/>
    <w:qFormat/>
    <w:rPr>
      <w:sz w:val="20"/>
    </w:rPr>
  </w:style>
  <w:style w:type="character" w:styleId="ListLabel89">
    <w:name w:val="ListLabel 89"/>
    <w:qFormat/>
    <w:rPr>
      <w:sz w:val="20"/>
    </w:rPr>
  </w:style>
  <w:style w:type="character" w:styleId="ListLabel90">
    <w:name w:val="ListLabel 90"/>
    <w:qFormat/>
    <w:rPr>
      <w:sz w:val="20"/>
    </w:rPr>
  </w:style>
  <w:style w:type="character" w:styleId="ListLabel91">
    <w:name w:val="ListLabel 91"/>
    <w:qFormat/>
    <w:rPr>
      <w:sz w:val="20"/>
    </w:rPr>
  </w:style>
  <w:style w:type="character" w:styleId="ListLabel92">
    <w:name w:val="ListLabel 92"/>
    <w:qFormat/>
    <w:rPr>
      <w:sz w:val="20"/>
    </w:rPr>
  </w:style>
  <w:style w:type="character" w:styleId="ListLabel93">
    <w:name w:val="ListLabel 93"/>
    <w:qFormat/>
    <w:rPr>
      <w:sz w:val="20"/>
    </w:rPr>
  </w:style>
  <w:style w:type="character" w:styleId="ListLabel94">
    <w:name w:val="ListLabel 94"/>
    <w:qFormat/>
    <w:rPr>
      <w:sz w:val="20"/>
    </w:rPr>
  </w:style>
  <w:style w:type="character" w:styleId="ListLabel95">
    <w:name w:val="ListLabel 95"/>
    <w:qFormat/>
    <w:rPr>
      <w:sz w:val="20"/>
    </w:rPr>
  </w:style>
  <w:style w:type="character" w:styleId="ListLabel96">
    <w:name w:val="ListLabel 96"/>
    <w:qFormat/>
    <w:rPr>
      <w:sz w:val="20"/>
    </w:rPr>
  </w:style>
  <w:style w:type="character" w:styleId="ListLabel97">
    <w:name w:val="ListLabel 97"/>
    <w:qFormat/>
    <w:rPr>
      <w:sz w:val="20"/>
    </w:rPr>
  </w:style>
  <w:style w:type="character" w:styleId="ListLabel98">
    <w:name w:val="ListLabel 98"/>
    <w:qFormat/>
    <w:rPr>
      <w:sz w:val="20"/>
    </w:rPr>
  </w:style>
  <w:style w:type="character" w:styleId="ListLabel99">
    <w:name w:val="ListLabel 99"/>
    <w:qFormat/>
    <w:rPr>
      <w:sz w:val="20"/>
    </w:rPr>
  </w:style>
  <w:style w:type="character" w:styleId="ListLabel100">
    <w:name w:val="ListLabel 100"/>
    <w:qFormat/>
    <w:rPr>
      <w:rFonts w:cs="Courier New"/>
    </w:rPr>
  </w:style>
  <w:style w:type="character" w:styleId="ListLabel101">
    <w:name w:val="ListLabel 101"/>
    <w:qFormat/>
    <w:rPr>
      <w:rFonts w:cs="Courier New"/>
    </w:rPr>
  </w:style>
  <w:style w:type="character" w:styleId="ListLabel102">
    <w:name w:val="ListLabel 102"/>
    <w:qFormat/>
    <w:rPr>
      <w:rFonts w:cs="Courier New"/>
    </w:rPr>
  </w:style>
  <w:style w:type="character" w:styleId="ListLabel103">
    <w:name w:val="ListLabel 103"/>
    <w:qFormat/>
    <w:rPr>
      <w:rFonts w:cs="Courier New"/>
    </w:rPr>
  </w:style>
  <w:style w:type="character" w:styleId="ListLabel104">
    <w:name w:val="ListLabel 104"/>
    <w:qFormat/>
    <w:rPr>
      <w:rFonts w:cs="Courier New"/>
    </w:rPr>
  </w:style>
  <w:style w:type="character" w:styleId="ListLabel105">
    <w:name w:val="ListLabel 105"/>
    <w:qFormat/>
    <w:rPr>
      <w:rFonts w:cs="Courier New"/>
    </w:rPr>
  </w:style>
  <w:style w:type="character" w:styleId="ListLabel106">
    <w:name w:val="ListLabel 106"/>
    <w:qFormat/>
    <w:rPr>
      <w:rFonts w:cs="Courier New"/>
    </w:rPr>
  </w:style>
  <w:style w:type="character" w:styleId="ListLabel107">
    <w:name w:val="ListLabel 107"/>
    <w:qFormat/>
    <w:rPr>
      <w:rFonts w:cs="Courier New"/>
    </w:rPr>
  </w:style>
  <w:style w:type="character" w:styleId="ListLabel108">
    <w:name w:val="ListLabel 108"/>
    <w:qFormat/>
    <w:rPr>
      <w:rFonts w:cs="Courier New"/>
    </w:rPr>
  </w:style>
  <w:style w:type="character" w:styleId="ListLabel109">
    <w:name w:val="ListLabel 109"/>
    <w:qFormat/>
    <w:rPr>
      <w:rFonts w:cs="Courier New"/>
    </w:rPr>
  </w:style>
  <w:style w:type="character" w:styleId="ListLabel110">
    <w:name w:val="ListLabel 110"/>
    <w:qFormat/>
    <w:rPr>
      <w:rFonts w:cs="Courier New"/>
    </w:rPr>
  </w:style>
  <w:style w:type="character" w:styleId="ListLabel111">
    <w:name w:val="ListLabel 111"/>
    <w:qFormat/>
    <w:rPr>
      <w:rFonts w:cs="Courier New"/>
    </w:rPr>
  </w:style>
  <w:style w:type="paragraph" w:styleId="Heading">
    <w:name w:val="Heading"/>
    <w:basedOn w:val="Normal"/>
    <w:next w:val="TextBody"/>
    <w:qFormat/>
    <w:pPr>
      <w:keepNext w:val="true"/>
      <w:spacing w:before="240" w:after="120"/>
    </w:pPr>
    <w:rPr>
      <w:rFonts w:ascii="Arial" w:hAnsi="Arial" w:eastAsia="Microsoft YaHei" w:cs="Lucida Sans"/>
      <w:sz w:val="28"/>
      <w:szCs w:val="28"/>
    </w:rPr>
  </w:style>
  <w:style w:type="paragraph" w:styleId="TextBody">
    <w:name w:val="Body Text"/>
    <w:basedOn w:val="Normal"/>
    <w:pPr>
      <w:spacing w:before="0" w:after="140" w:line="276" w:lineRule="auto"/>
    </w:pPr>
    <w:rPr/>
  </w:style>
  <w:style w:type="paragraph" w:styleId="List">
    <w:name w:val="List"/>
    <w:basedOn w:val="TextBody"/>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Title">
    <w:name w:val="Title"/>
    <w:basedOn w:val="Normal"/>
    <w:next w:val="Normal"/>
    <w:link w:val="TitleChar"/>
    <w:uiPriority w:val="10"/>
    <w:qFormat/>
    <w:rsid w:val="00646406"/>
    <w:pPr>
      <w:spacing w:before="0" w:after="80"/>
      <w:contextualSpacing/>
    </w:pPr>
    <w:rPr>
      <w:rFonts w:ascii="Aptos Display" w:hAnsi="Aptos Display" w:eastAsia="等线 Light" w:cs="Times New Roman" w:asciiTheme="majorHAnsi" w:hAnsiTheme="majorHAnsi" w:eastAsiaTheme="majorEastAsia" w:cstheme="majorBidi"/>
      <w:spacing w:val="-10"/>
      <w:kern w:val="2"/>
      <w:sz w:val="56"/>
      <w:szCs w:val="56"/>
    </w:rPr>
  </w:style>
  <w:style w:type="paragraph" w:styleId="Subtitle">
    <w:name w:val="Subtitle"/>
    <w:basedOn w:val="Normal"/>
    <w:next w:val="Normal"/>
    <w:link w:val="SubtitleChar"/>
    <w:uiPriority w:val="11"/>
    <w:qFormat/>
    <w:rsid w:val="00646406"/>
    <w:pPr>
      <w:spacing w:before="0" w:after="160"/>
    </w:pPr>
    <w:rPr>
      <w:rFonts w:eastAsia="等线 Light" w:cs="Times New Roman"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406"/>
    <w:pPr>
      <w:spacing w:before="160" w:after="160"/>
      <w:jc w:val="center"/>
    </w:pPr>
    <w:rPr>
      <w:i/>
      <w:iCs/>
      <w:color w:val="404040" w:themeColor="text1" w:themeTint="bf"/>
    </w:rPr>
  </w:style>
  <w:style w:type="paragraph" w:styleId="ListParagraph">
    <w:name w:val="List Paragraph"/>
    <w:basedOn w:val="Normal"/>
    <w:uiPriority w:val="34"/>
    <w:qFormat/>
    <w:rsid w:val="00646406"/>
    <w:pPr>
      <w:spacing w:before="0" w:after="0"/>
      <w:ind w:left="720" w:hanging="0"/>
      <w:contextualSpacing/>
    </w:pPr>
    <w:rPr/>
  </w:style>
  <w:style w:type="paragraph" w:styleId="IntenseQuote">
    <w:name w:val="Intense Quote"/>
    <w:basedOn w:val="Normal"/>
    <w:next w:val="Normal"/>
    <w:link w:val="IntenseQuoteChar"/>
    <w:uiPriority w:val="30"/>
    <w:qFormat/>
    <w:rsid w:val="00646406"/>
    <w:pPr>
      <w:pBdr>
        <w:top w:val="single" w:color="0F4761" w:sz="4" w:space="10"/>
        <w:bottom w:val="single" w:color="0F4761" w:sz="4" w:space="10"/>
      </w:pBdr>
      <w:spacing w:before="360" w:after="360"/>
      <w:ind w:left="864" w:right="864" w:hanging="0"/>
      <w:jc w:val="center"/>
    </w:pPr>
    <w:rPr>
      <w:i/>
      <w:iCs/>
      <w:color w:val="0F4761" w:themeColor="accent1" w:themeShade="bf"/>
    </w:rPr>
  </w:style>
  <w:style w:type="paragraph" w:styleId="TOCHeading">
    <w:name w:val="TOC Heading"/>
    <w:basedOn w:val="Heading1"/>
    <w:next w:val="Normal"/>
    <w:uiPriority w:val="39"/>
    <w:unhideWhenUsed/>
    <w:qFormat/>
    <w:rsid w:val="00cb01f0"/>
    <w:pPr>
      <w:spacing w:before="480" w:after="0" w:line="276" w:lineRule="auto"/>
    </w:pPr>
    <w:rPr>
      <w:b/>
      <w:bCs/>
      <w:kern w:val="0"/>
      <w:sz w:val="28"/>
      <w:szCs w:val="28"/>
      <w:lang w:val="en-US"/>
      <w14:ligatures w14:val="none"/>
    </w:rPr>
  </w:style>
  <w:style w:type="paragraph" w:styleId="Contents1">
    <w:name w:val="TOC 1"/>
    <w:basedOn w:val="Normal"/>
    <w:next w:val="Normal"/>
    <w:autoRedefine/>
    <w:uiPriority w:val="39"/>
    <w:unhideWhenUsed/>
    <w:rsid w:val="00cb01f0"/>
    <w:pPr>
      <w:spacing w:before="120" w:after="0"/>
    </w:pPr>
    <w:rPr>
      <w:b/>
      <w:bCs/>
      <w:i/>
      <w:iCs/>
    </w:rPr>
  </w:style>
  <w:style w:type="paragraph" w:styleId="Contents2">
    <w:name w:val="TOC 2"/>
    <w:basedOn w:val="Normal"/>
    <w:next w:val="Normal"/>
    <w:autoRedefine/>
    <w:uiPriority w:val="39"/>
    <w:semiHidden/>
    <w:unhideWhenUsed/>
    <w:rsid w:val="00cb01f0"/>
    <w:pPr>
      <w:spacing w:before="120" w:after="0"/>
      <w:ind w:left="240" w:hanging="0"/>
    </w:pPr>
    <w:rPr>
      <w:b/>
      <w:bCs/>
      <w:sz w:val="22"/>
      <w:szCs w:val="22"/>
    </w:rPr>
  </w:style>
  <w:style w:type="paragraph" w:styleId="Contents3">
    <w:name w:val="TOC 3"/>
    <w:basedOn w:val="Normal"/>
    <w:next w:val="Normal"/>
    <w:autoRedefine/>
    <w:uiPriority w:val="39"/>
    <w:semiHidden/>
    <w:unhideWhenUsed/>
    <w:rsid w:val="00cb01f0"/>
    <w:pPr>
      <w:ind w:left="480" w:hanging="0"/>
    </w:pPr>
    <w:rPr>
      <w:sz w:val="20"/>
      <w:szCs w:val="20"/>
    </w:rPr>
  </w:style>
  <w:style w:type="paragraph" w:styleId="Contents4">
    <w:name w:val="TOC 4"/>
    <w:basedOn w:val="Normal"/>
    <w:next w:val="Normal"/>
    <w:autoRedefine/>
    <w:uiPriority w:val="39"/>
    <w:semiHidden/>
    <w:unhideWhenUsed/>
    <w:rsid w:val="00cb01f0"/>
    <w:pPr>
      <w:ind w:left="720" w:hanging="0"/>
    </w:pPr>
    <w:rPr>
      <w:sz w:val="20"/>
      <w:szCs w:val="20"/>
    </w:rPr>
  </w:style>
  <w:style w:type="paragraph" w:styleId="Contents5">
    <w:name w:val="TOC 5"/>
    <w:basedOn w:val="Normal"/>
    <w:next w:val="Normal"/>
    <w:autoRedefine/>
    <w:uiPriority w:val="39"/>
    <w:semiHidden/>
    <w:unhideWhenUsed/>
    <w:rsid w:val="00cb01f0"/>
    <w:pPr>
      <w:ind w:left="960" w:hanging="0"/>
    </w:pPr>
    <w:rPr>
      <w:sz w:val="20"/>
      <w:szCs w:val="20"/>
    </w:rPr>
  </w:style>
  <w:style w:type="paragraph" w:styleId="Contents6">
    <w:name w:val="TOC 6"/>
    <w:basedOn w:val="Normal"/>
    <w:next w:val="Normal"/>
    <w:autoRedefine/>
    <w:uiPriority w:val="39"/>
    <w:semiHidden/>
    <w:unhideWhenUsed/>
    <w:rsid w:val="00cb01f0"/>
    <w:pPr>
      <w:ind w:left="1200" w:hanging="0"/>
    </w:pPr>
    <w:rPr>
      <w:sz w:val="20"/>
      <w:szCs w:val="20"/>
    </w:rPr>
  </w:style>
  <w:style w:type="paragraph" w:styleId="Contents7">
    <w:name w:val="TOC 7"/>
    <w:basedOn w:val="Normal"/>
    <w:next w:val="Normal"/>
    <w:autoRedefine/>
    <w:uiPriority w:val="39"/>
    <w:semiHidden/>
    <w:unhideWhenUsed/>
    <w:rsid w:val="00cb01f0"/>
    <w:pPr>
      <w:ind w:left="1440" w:hanging="0"/>
    </w:pPr>
    <w:rPr>
      <w:sz w:val="20"/>
      <w:szCs w:val="20"/>
    </w:rPr>
  </w:style>
  <w:style w:type="paragraph" w:styleId="Contents8">
    <w:name w:val="TOC 8"/>
    <w:basedOn w:val="Normal"/>
    <w:next w:val="Normal"/>
    <w:autoRedefine/>
    <w:uiPriority w:val="39"/>
    <w:semiHidden/>
    <w:unhideWhenUsed/>
    <w:rsid w:val="00cb01f0"/>
    <w:pPr>
      <w:ind w:left="1680" w:hanging="0"/>
    </w:pPr>
    <w:rPr>
      <w:sz w:val="20"/>
      <w:szCs w:val="20"/>
    </w:rPr>
  </w:style>
  <w:style w:type="paragraph" w:styleId="Contents9">
    <w:name w:val="TOC 9"/>
    <w:basedOn w:val="Normal"/>
    <w:next w:val="Normal"/>
    <w:autoRedefine/>
    <w:uiPriority w:val="39"/>
    <w:semiHidden/>
    <w:unhideWhenUsed/>
    <w:rsid w:val="00cb01f0"/>
    <w:pPr>
      <w:ind w:left="1920" w:hanging="0"/>
    </w:pPr>
    <w:rPr>
      <w:sz w:val="20"/>
      <w:szCs w:val="20"/>
    </w:rPr>
  </w:style>
  <w:style w:type="numbering" w:styleId="NoList" w:default="1">
    <w:name w:val="No List"/>
    <w:uiPriority w:val="99"/>
    <w:semiHidden/>
    <w:unhideWhenUsed/>
    <w:qFormat/>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character" w:styleId="Hyperlink">
    <w:uiPriority w:val="99"/>
    <w:name w:val="Hyperlink"/>
    <w:basedOn w:val="DefaultParagraphFont"/>
    <w:unhideWhenUsed/>
    <w:rsid w:val="6C9A2BB4"/>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2803E2D6"/>
    <w:pPr>
      <w:tabs>
        <w:tab w:val="center" w:leader="none" w:pos="4680"/>
        <w:tab w:val="right" w:leader="none" w:pos="9360"/>
      </w:tabs>
      <w:spacing w:after="0" w:line="240" w:lineRule="auto"/>
    </w:pPr>
  </w:style>
  <w:style w:type="paragraph" w:styleId="Footer">
    <w:uiPriority w:val="99"/>
    <w:name w:val="footer"/>
    <w:basedOn w:val="Normal"/>
    <w:unhideWhenUsed/>
    <w:rsid w:val="2803E2D6"/>
    <w:pPr>
      <w:tabs>
        <w:tab w:val="center" w:leader="none" w:pos="4680"/>
        <w:tab w:val="right" w:leader="none" w:pos="9360"/>
      </w:tabs>
      <w:spacing w:after="0" w:line="240" w:lineRule="auto"/>
    </w:pPr>
  </w:style>
</w:styles>
</file>

<file path=word/_rels/document.xml.rels>&#65279;<?xml version="1.0" encoding="utf-8"?><Relationships xmlns="http://schemas.openxmlformats.org/package/2006/relationships"><Relationship Type="http://schemas.openxmlformats.org/officeDocument/2006/relationships/styles" Target="styles.xml" Id="rId1" /><Relationship Type="http://schemas.openxmlformats.org/officeDocument/2006/relationships/image" Target="media/image1.png" Id="rId2" /><Relationship Type="http://schemas.openxmlformats.org/officeDocument/2006/relationships/fontTable" Target="fontTable.xml" Id="rId4" /><Relationship Type="http://schemas.openxmlformats.org/officeDocument/2006/relationships/settings" Target="settings.xml" Id="rId5" /><Relationship Type="http://schemas.openxmlformats.org/officeDocument/2006/relationships/theme" Target="theme/theme1.xml" Id="rId6" /><Relationship Type="http://schemas.openxmlformats.org/officeDocument/2006/relationships/customXml" Target="../customXml/item1.xml" Id="rId7" /><Relationship Type="http://schemas.microsoft.com/office/2020/10/relationships/intelligence" Target="intelligence2.xml" Id="R80f961d026934d37" /><Relationship Type="http://schemas.openxmlformats.org/officeDocument/2006/relationships/numbering" Target="numbering.xml" Id="R21460f05e90c4199" /><Relationship Type="http://schemas.openxmlformats.org/officeDocument/2006/relationships/header" Target="header.xml" Id="R63afd7f1f6e24358" /><Relationship Type="http://schemas.openxmlformats.org/officeDocument/2006/relationships/footer" Target="footer.xml" Id="Rc4fe4b5301ca4694" /><Relationship Type="http://schemas.openxmlformats.org/officeDocument/2006/relationships/image" Target="/media/image4.png" Id="rId1382298176" /><Relationship Type="http://schemas.openxmlformats.org/officeDocument/2006/relationships/image" Target="/media/image5.png" Id="rId253622136" /><Relationship Type="http://schemas.openxmlformats.org/officeDocument/2006/relationships/image" Target="/media/image6.png" Id="rId1112695652" /><Relationship Type="http://schemas.openxmlformats.org/officeDocument/2006/relationships/image" Target="/media/image7.png" Id="rId365886485" /><Relationship Type="http://schemas.openxmlformats.org/officeDocument/2006/relationships/image" Target="/media/image8.png" Id="rId155533290" /><Relationship Type="http://schemas.openxmlformats.org/officeDocument/2006/relationships/image" Target="/media/image9.png" Id="rId865948599" /><Relationship Type="http://schemas.openxmlformats.org/officeDocument/2006/relationships/image" Target="/media/imagea.png" Id="rId679179855" /><Relationship Type="http://schemas.openxmlformats.org/officeDocument/2006/relationships/image" Target="/media/imageb.png" Id="rId785004936" /><Relationship Type="http://schemas.openxmlformats.org/officeDocument/2006/relationships/image" Target="/media/imagec.png" Id="rId1250059823" /><Relationship Type="http://schemas.openxmlformats.org/officeDocument/2006/relationships/hyperlink" Target="https://doi.org/10.3390/systems14040338" TargetMode="External" Id="Re888391d7d41402c" /><Relationship Type="http://schemas.openxmlformats.org/officeDocument/2006/relationships/hyperlink" Target="https://doi.org/10.1108/CR-12-2017-0088" TargetMode="External" Id="R91503f491c6f43fe" /><Relationship Type="http://schemas.openxmlformats.org/officeDocument/2006/relationships/hyperlink" Target="https://doi.org/10.1504/IJBSR.2020.108269" TargetMode="External" Id="Ra5668845f605401a" /><Relationship Type="http://schemas.openxmlformats.org/officeDocument/2006/relationships/hyperlink" Target="https://www.arultd.com/projects/nolans/?utm_source=chatgpt.com" TargetMode="External" Id="R37a66031479a4721" /><Relationship Type="http://schemas.openxmlformats.org/officeDocument/2006/relationships/hyperlink" Target="https://www.argusmedia.com/en/news-and-insights/latest-market-news/2725675-australia-s-igo-tianqi-in-talks-over-lithium-refinery?utm_source=chatgpt.com" TargetMode="External" Id="R4b1d29b92f76468f" /><Relationship Type="http://schemas.openxmlformats.org/officeDocument/2006/relationships/hyperlink" Target="https://foreigninvestment.gov.au/sites/foreigninvestment.gov.au/files/2026-01/guidance-note-5-mining.pdf?utm_source=chatgpt.com" TargetMode="External" Id="R6727fc81ff614abc" /><Relationship Type="http://schemas.openxmlformats.org/officeDocument/2006/relationships/hyperlink" Target="https://doi.org/10.1016/j.iimb.2015.01.003" TargetMode="External" Id="R68977da6ad784206" /><Relationship Type="http://schemas.openxmlformats.org/officeDocument/2006/relationships/hyperlink" Target="https://www.reuters.com/markets/commodities/chinas-tianqi-open-renegotiating-lithium-refinery-deal-with-australias-igo-2025-08-20/?utm_source=chatgpt.com" TargetMode="External" Id="Re88b5ce8b5b34697" /><Relationship Type="http://schemas.openxmlformats.org/officeDocument/2006/relationships/hyperlink" Target="https://www.cmegroup.com/markets/metals/battery-metals/lithium-hydroxide-cif-cjk-fastmarkets.html?utm_source=chatgpt.com" TargetMode="External" Id="R4a5ec1a32d154128" /><Relationship Type="http://schemas.openxmlformats.org/officeDocument/2006/relationships/hyperlink" Target="https://www.industry.gov.au/publications/critical-minerals-strategy-2023-2030?utm_source=chatgpt.com" TargetMode="External" Id="Ra49b8bc62137425d" /><Relationship Type="http://schemas.openxmlformats.org/officeDocument/2006/relationships/hyperlink" Target="https://www.industry.gov.au/sites/default/files/2024-12/remp_2024.pdf?utm_source=chatgpt.com" TargetMode="External" Id="R3a803071dacc440f" /><Relationship Type="http://schemas.openxmlformats.org/officeDocument/2006/relationships/hyperlink" Target="https://www.wa.gov.au/system/files/2024-05/00361_battery_strategy_a4_5.3_web.pdf?utm_source=chatgpt.com" TargetMode="External" Id="R4be375c0e03743f8" /><Relationship Type="http://schemas.openxmlformats.org/officeDocument/2006/relationships/hyperlink" Target="https://www.pmc.gov.au/domestic-policy/critical-minerals-strategic-reserve?utm_source=chatgpt.com" TargetMode="External" Id="R73c687484e274bdc" /><Relationship Type="http://schemas.openxmlformats.org/officeDocument/2006/relationships/hyperlink" Target="https://doi.org/10.1177/2381468319871018" TargetMode="External" Id="R60bdc07844bd4112" /><Relationship Type="http://schemas.openxmlformats.org/officeDocument/2006/relationships/hyperlink" Target="https://www.covalentlithium.com/news/covalent-lithium-operational-update-23-july-2025?utm_source=chatgpt.com" TargetMode="External" Id="R4e8be355d8b9450c" /><Relationship Type="http://schemas.openxmlformats.org/officeDocument/2006/relationships/hyperlink" Target="https://foreigninvestment.gov.au/guidance/types-investments/national-security?utm_source=chatgpt.com" TargetMode="External" Id="R5995353635d64f19" /><Relationship Type="http://schemas.openxmlformats.org/officeDocument/2006/relationships/hyperlink" Target="https://www.ga.gov.au/aimr2024/introduction" TargetMode="External" Id="Rc330410387df4959" /><Relationship Type="http://schemas.openxmlformats.org/officeDocument/2006/relationships/hyperlink" Target="https://www.ga.gov.au/scientific-topics/minerals/critical-minerals?utm_source=chatgpt.com" TargetMode="External" Id="R7e90599e7b8c4539" /><Relationship Type="http://schemas.openxmlformats.org/officeDocument/2006/relationships/hyperlink" Target="https://www.wa.gov.au/government/media-statements/McGowan%20Labor%20Government/Tianqi-produces-Australia%27s-first-battery-grade-lithium-hydroxide-20220520?utm_source=chatgpt.com" TargetMode="External" Id="R9f4288d665274458" /><Relationship Type="http://schemas.openxmlformats.org/officeDocument/2006/relationships/hyperlink" Target="https://www.iea.org/reports/global-critical-minerals-outlook-2024?utm_source=chatgpt.com" TargetMode="External" Id="R1a21fe10fd454f1f" /><Relationship Type="http://schemas.openxmlformats.org/officeDocument/2006/relationships/hyperlink" Target="https://www.iea.org/reports/global-critical-minerals-outlook-2025?utm_source=chatgpt.com" TargetMode="External" Id="Rcb731e29254741e6" /><Relationship Type="http://schemas.openxmlformats.org/officeDocument/2006/relationships/hyperlink" Target="https://www.igo.com.au/site/operations/lithium-holdco-joint-venture" TargetMode="External" Id="R16b99d3e07ab4932" /><Relationship Type="http://schemas.openxmlformats.org/officeDocument/2006/relationships/hyperlink" Target="https://www.igo.com.au/site/pdf/378b29b1-90bc-4fca-afbe-28f669c92d0d/IGO-Annual-Report-2025.pdf" TargetMode="External" Id="R2ee4fae3a0354694" /><Relationship Type="http://schemas.openxmlformats.org/officeDocument/2006/relationships/hyperlink" Target="https://www.iluka.com/media/jp1mawlt/2025-full-year-results-presentation.pdf?utm_source=chatgpt.com" TargetMode="External" Id="R18c4d92d3d884dd0" /><Relationship Type="http://schemas.openxmlformats.org/officeDocument/2006/relationships/hyperlink" Target="https://doi.org/10.1108/CR-02-2016-0007" TargetMode="External" Id="R9f7ecc707a8f4e69" /><Relationship Type="http://schemas.openxmlformats.org/officeDocument/2006/relationships/hyperlink" Target="https://doi.org/10.1088/1757-899X/688/5/055053" TargetMode="External" Id="R4e461b1fa9164260" /><Relationship Type="http://schemas.openxmlformats.org/officeDocument/2006/relationships/hyperlink" Target="https://www.lme.com/metals/ev/lme-lithium-hydroxide-cif-fastmarkets-mb/contract-specifications?utm_source=chatgpt.com" TargetMode="External" Id="Rb48ecddebb594ece" /><Relationship Type="http://schemas.openxmlformats.org/officeDocument/2006/relationships/hyperlink" Target="https://www.listcorp.com/asx/lyc/lynas-rare-earths-limited/news/appendix-4e-and-2025-annual-report-3234309.html?utm_source=chatgpt.com" TargetMode="External" Id="R4031c52eaaa04b3a" /><Relationship Type="http://schemas.openxmlformats.org/officeDocument/2006/relationships/hyperlink" Target="https://www.reuters.com/markets/commodities/australia-passes-tax-incentives-law-critical-minerals-2025-02-11/?utm_source=chatgpt.com" TargetMode="External" Id="R3df1fa6f91924c96" /><Relationship Type="http://schemas.openxmlformats.org/officeDocument/2006/relationships/hyperlink" Target="https://doi.org/10.31996/mru.2021.2.3-14" TargetMode="External" Id="R162839bb3eb34b0d" /><Relationship Type="http://schemas.openxmlformats.org/officeDocument/2006/relationships/hyperlink" Target="https://www.theculturefactor.com/country-comparison-tool?countries=australia,china&amp;utm_source=chatgpt.com" TargetMode="External" Id="R1111182631964935" /><Relationship Type="http://schemas.openxmlformats.org/officeDocument/2006/relationships/hyperlink" Target="https://doi.org/10.1108/10595421311305325" TargetMode="External" Id="R1229c87567aa49c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1773D-DE65-744A-A759-0F69C215375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2025-07-23T11:58:00.0000000Z</dcterms:created>
  <dc:creator>Laila Maazouz</dc:creator>
  <dc:description/>
  <dc:language>en-GB</dc:language>
  <lastModifiedBy>Luca Gerardi (2219573)</lastModifiedBy>
  <dcterms:modified xsi:type="dcterms:W3CDTF">2026-04-27T04:09:04.6330915Z</dcterms:modified>
  <revision>24</revision>
  <dc:subject/>
  <dc:title/>
</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