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57BB7" w14:textId="434F853F" w:rsidR="00D66C31" w:rsidRPr="00AD2160" w:rsidRDefault="00D66C31" w:rsidP="00D66C31">
      <w:pPr>
        <w:spacing w:line="360" w:lineRule="auto"/>
        <w:rPr>
          <w:rFonts w:ascii="Times New Roman" w:hAnsi="Times New Roman"/>
          <w:b/>
          <w:bCs/>
          <w:color w:val="000000"/>
          <w:sz w:val="48"/>
          <w:szCs w:val="48"/>
        </w:rPr>
      </w:pPr>
      <w:r w:rsidRPr="00AD2160">
        <w:rPr>
          <w:rFonts w:ascii="Times New Roman" w:hAnsi="Times New Roman"/>
          <w:b/>
          <w:bCs/>
          <w:color w:val="000000"/>
          <w:sz w:val="48"/>
          <w:szCs w:val="48"/>
        </w:rPr>
        <w:t xml:space="preserve">                        Gilbert Atalor</w:t>
      </w:r>
    </w:p>
    <w:p w14:paraId="2B07CC43" w14:textId="77777777" w:rsidR="00D66C31" w:rsidRPr="00AD2160" w:rsidRDefault="00D66C31" w:rsidP="00D66C31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48"/>
          <w:szCs w:val="48"/>
        </w:rPr>
      </w:pPr>
      <w:r w:rsidRPr="00AD2160">
        <w:rPr>
          <w:rFonts w:ascii="Times New Roman" w:hAnsi="Times New Roman"/>
          <w:b/>
          <w:bCs/>
          <w:color w:val="000000"/>
          <w:sz w:val="48"/>
          <w:szCs w:val="48"/>
        </w:rPr>
        <w:t>Student No – 2420110</w:t>
      </w:r>
    </w:p>
    <w:p w14:paraId="6533E354" w14:textId="6DF8C5C9" w:rsidR="00D66C31" w:rsidRDefault="00B71F6A" w:rsidP="00D66C31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/>
          <w:b/>
          <w:bCs/>
          <w:color w:val="000000"/>
          <w:sz w:val="48"/>
          <w:szCs w:val="48"/>
        </w:rPr>
        <w:t>BSc Health and Social Care.</w:t>
      </w:r>
    </w:p>
    <w:p w14:paraId="5C17B825" w14:textId="4F9ACD6E" w:rsidR="00B71F6A" w:rsidRPr="00AD2160" w:rsidRDefault="00B71F6A" w:rsidP="00D66C31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/>
          <w:b/>
          <w:bCs/>
          <w:color w:val="000000"/>
          <w:sz w:val="48"/>
          <w:szCs w:val="48"/>
        </w:rPr>
        <w:t>Protecting and Supporting Families in Health and care.</w:t>
      </w:r>
    </w:p>
    <w:p w14:paraId="12A5082D" w14:textId="140CF742" w:rsidR="00D66C31" w:rsidRPr="00AD2160" w:rsidRDefault="00D66C31" w:rsidP="00D66C31">
      <w:pPr>
        <w:spacing w:line="360" w:lineRule="auto"/>
        <w:jc w:val="center"/>
        <w:rPr>
          <w:b/>
          <w:bCs/>
          <w:sz w:val="48"/>
          <w:szCs w:val="48"/>
        </w:rPr>
      </w:pPr>
      <w:r w:rsidRPr="00AD2160">
        <w:rPr>
          <w:rFonts w:ascii="Times New Roman" w:hAnsi="Times New Roman"/>
          <w:b/>
          <w:bCs/>
          <w:color w:val="000000"/>
          <w:sz w:val="48"/>
          <w:szCs w:val="48"/>
        </w:rPr>
        <w:t>Moodle Code – BMHP502</w:t>
      </w:r>
      <w:r w:rsidR="00AD2160" w:rsidRPr="00AD2160">
        <w:rPr>
          <w:rFonts w:ascii="Times New Roman" w:hAnsi="Times New Roman"/>
          <w:b/>
          <w:bCs/>
          <w:color w:val="000000"/>
          <w:sz w:val="48"/>
          <w:szCs w:val="48"/>
        </w:rPr>
        <w:t>1</w:t>
      </w:r>
      <w:r w:rsidRPr="00AD2160">
        <w:rPr>
          <w:rFonts w:ascii="Times New Roman" w:hAnsi="Times New Roman"/>
          <w:b/>
          <w:bCs/>
          <w:color w:val="000000"/>
          <w:sz w:val="48"/>
          <w:szCs w:val="48"/>
        </w:rPr>
        <w:t>_BIRM</w:t>
      </w:r>
    </w:p>
    <w:p w14:paraId="60376716" w14:textId="77777777" w:rsidR="00D66C31" w:rsidRPr="00AD2160" w:rsidRDefault="00D66C31" w:rsidP="00D66C31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48"/>
          <w:szCs w:val="48"/>
        </w:rPr>
      </w:pPr>
      <w:r w:rsidRPr="00AD2160">
        <w:rPr>
          <w:rFonts w:ascii="Times New Roman" w:hAnsi="Times New Roman"/>
          <w:b/>
          <w:bCs/>
          <w:color w:val="000000"/>
          <w:sz w:val="48"/>
          <w:szCs w:val="48"/>
        </w:rPr>
        <w:t>Lecturer’s Name – Gillian Weaver</w:t>
      </w:r>
    </w:p>
    <w:p w14:paraId="487A8E6F" w14:textId="77777777" w:rsidR="00D66C31" w:rsidRPr="00AD2160" w:rsidRDefault="00D66C31" w:rsidP="00D66C31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48"/>
          <w:szCs w:val="48"/>
        </w:rPr>
      </w:pPr>
      <w:r w:rsidRPr="00AD2160">
        <w:rPr>
          <w:rFonts w:ascii="Times New Roman" w:hAnsi="Times New Roman"/>
          <w:b/>
          <w:bCs/>
          <w:color w:val="000000"/>
          <w:sz w:val="48"/>
          <w:szCs w:val="48"/>
        </w:rPr>
        <w:t>Assignment title: component 1.</w:t>
      </w:r>
    </w:p>
    <w:p w14:paraId="07CE7639" w14:textId="77777777" w:rsidR="005B7A9F" w:rsidRDefault="005B7A9F">
      <w:pPr>
        <w:rPr>
          <w:sz w:val="48"/>
          <w:szCs w:val="48"/>
        </w:rPr>
      </w:pPr>
    </w:p>
    <w:p w14:paraId="0A9D93EF" w14:textId="77777777" w:rsidR="00B71F6A" w:rsidRDefault="00B71F6A">
      <w:pPr>
        <w:rPr>
          <w:sz w:val="48"/>
          <w:szCs w:val="48"/>
        </w:rPr>
      </w:pPr>
    </w:p>
    <w:p w14:paraId="09FF8A16" w14:textId="77777777" w:rsidR="00B71F6A" w:rsidRDefault="00B71F6A">
      <w:pPr>
        <w:rPr>
          <w:sz w:val="48"/>
          <w:szCs w:val="48"/>
        </w:rPr>
      </w:pPr>
    </w:p>
    <w:p w14:paraId="48A6E642" w14:textId="77777777" w:rsidR="00B71F6A" w:rsidRDefault="00B71F6A">
      <w:pPr>
        <w:rPr>
          <w:sz w:val="48"/>
          <w:szCs w:val="48"/>
        </w:rPr>
      </w:pPr>
    </w:p>
    <w:p w14:paraId="2D5E593B" w14:textId="77777777" w:rsidR="00B71F6A" w:rsidRDefault="00B71F6A">
      <w:pPr>
        <w:rPr>
          <w:sz w:val="48"/>
          <w:szCs w:val="48"/>
        </w:rPr>
      </w:pPr>
    </w:p>
    <w:p w14:paraId="56CE2B32" w14:textId="77777777" w:rsidR="00B71F6A" w:rsidRDefault="00B71F6A">
      <w:pPr>
        <w:rPr>
          <w:sz w:val="48"/>
          <w:szCs w:val="48"/>
        </w:rPr>
      </w:pPr>
    </w:p>
    <w:p w14:paraId="6D21E4DD" w14:textId="77777777" w:rsidR="00B71F6A" w:rsidRDefault="00B71F6A">
      <w:pPr>
        <w:rPr>
          <w:sz w:val="48"/>
          <w:szCs w:val="48"/>
        </w:rPr>
      </w:pPr>
    </w:p>
    <w:p w14:paraId="51491A96" w14:textId="77777777" w:rsidR="00727E3D" w:rsidRDefault="00727E3D">
      <w:pPr>
        <w:rPr>
          <w:b/>
          <w:bCs/>
        </w:rPr>
      </w:pPr>
    </w:p>
    <w:p w14:paraId="2230AF29" w14:textId="1084CA14" w:rsidR="00B71F6A" w:rsidRDefault="00B71F6A">
      <w:pPr>
        <w:rPr>
          <w:b/>
          <w:bCs/>
        </w:rPr>
      </w:pPr>
      <w:r w:rsidRPr="00727E3D">
        <w:rPr>
          <w:b/>
          <w:bCs/>
        </w:rPr>
        <w:lastRenderedPageBreak/>
        <w:t>References:</w:t>
      </w:r>
    </w:p>
    <w:p w14:paraId="3E8BB3FD" w14:textId="77777777" w:rsidR="00727E3D" w:rsidRPr="00727E3D" w:rsidRDefault="00727E3D">
      <w:pPr>
        <w:rPr>
          <w:b/>
          <w:bCs/>
        </w:rPr>
      </w:pPr>
    </w:p>
    <w:p w14:paraId="10AE848A" w14:textId="7359EB55" w:rsidR="0069127F" w:rsidRDefault="0069127F">
      <w:pPr>
        <w:rPr>
          <w:sz w:val="22"/>
          <w:szCs w:val="22"/>
        </w:rPr>
      </w:pPr>
      <w:r w:rsidRPr="0069127F">
        <w:rPr>
          <w:sz w:val="22"/>
          <w:szCs w:val="22"/>
        </w:rPr>
        <w:t>Care Quality Commission</w:t>
      </w:r>
      <w:r>
        <w:rPr>
          <w:sz w:val="22"/>
          <w:szCs w:val="22"/>
        </w:rPr>
        <w:t>, (2014) Safeguarding people. Care Quality Commission. England. Available at:</w:t>
      </w:r>
      <w:r w:rsidR="004D06A1">
        <w:rPr>
          <w:sz w:val="22"/>
          <w:szCs w:val="22"/>
        </w:rPr>
        <w:t xml:space="preserve"> </w:t>
      </w:r>
      <w:hyperlink r:id="rId4" w:history="1">
        <w:r w:rsidR="004D06A1" w:rsidRPr="007C796B">
          <w:rPr>
            <w:rStyle w:val="Hyperlink"/>
            <w:sz w:val="22"/>
            <w:szCs w:val="22"/>
          </w:rPr>
          <w:t>https://www.cqc.org.uk</w:t>
        </w:r>
      </w:hyperlink>
      <w:r w:rsidR="004D06A1">
        <w:rPr>
          <w:sz w:val="22"/>
          <w:szCs w:val="22"/>
        </w:rPr>
        <w:t xml:space="preserve"> (Assessed 21 June 2026). </w:t>
      </w:r>
    </w:p>
    <w:p w14:paraId="2F65167B" w14:textId="21F79068" w:rsidR="004D06A1" w:rsidRDefault="004D06A1">
      <w:pPr>
        <w:rPr>
          <w:sz w:val="22"/>
          <w:szCs w:val="22"/>
        </w:rPr>
      </w:pPr>
      <w:r>
        <w:rPr>
          <w:sz w:val="22"/>
          <w:szCs w:val="22"/>
        </w:rPr>
        <w:t xml:space="preserve">Equality Act 2010. Guardance-Gov.UK. England. Available at: </w:t>
      </w:r>
      <w:hyperlink r:id="rId5" w:history="1">
        <w:r w:rsidRPr="007C796B">
          <w:rPr>
            <w:rStyle w:val="Hyperlink"/>
            <w:sz w:val="22"/>
            <w:szCs w:val="22"/>
          </w:rPr>
          <w:t>https://www.gov.uk/government/puplicationsqualityact</w:t>
        </w:r>
      </w:hyperlink>
      <w:r>
        <w:rPr>
          <w:sz w:val="22"/>
          <w:szCs w:val="22"/>
        </w:rPr>
        <w:t xml:space="preserve"> (Assessed 21 June 2026).</w:t>
      </w:r>
    </w:p>
    <w:p w14:paraId="4392E4AD" w14:textId="6D5DD5B2" w:rsidR="00F41756" w:rsidRDefault="00F41756">
      <w:pPr>
        <w:rPr>
          <w:sz w:val="22"/>
          <w:szCs w:val="22"/>
        </w:rPr>
      </w:pPr>
      <w:r>
        <w:rPr>
          <w:sz w:val="22"/>
          <w:szCs w:val="22"/>
        </w:rPr>
        <w:t xml:space="preserve">The Children </w:t>
      </w:r>
      <w:r w:rsidR="00340C78">
        <w:rPr>
          <w:sz w:val="22"/>
          <w:szCs w:val="22"/>
        </w:rPr>
        <w:t>and</w:t>
      </w:r>
      <w:r>
        <w:rPr>
          <w:sz w:val="22"/>
          <w:szCs w:val="22"/>
        </w:rPr>
        <w:t xml:space="preserve"> Family Act, 2014</w:t>
      </w:r>
      <w:r w:rsidR="00C36966">
        <w:rPr>
          <w:sz w:val="22"/>
          <w:szCs w:val="22"/>
        </w:rPr>
        <w:t>.</w:t>
      </w:r>
      <w:r w:rsidR="00340C78">
        <w:rPr>
          <w:sz w:val="22"/>
          <w:szCs w:val="22"/>
        </w:rPr>
        <w:t xml:space="preserve"> </w:t>
      </w:r>
      <w:r w:rsidR="00ED2C54">
        <w:rPr>
          <w:sz w:val="22"/>
          <w:szCs w:val="22"/>
        </w:rPr>
        <w:t>Legislation. Gov.UK</w:t>
      </w:r>
      <w:r w:rsidR="00855716">
        <w:rPr>
          <w:sz w:val="22"/>
          <w:szCs w:val="22"/>
        </w:rPr>
        <w:t xml:space="preserve">. </w:t>
      </w:r>
      <w:r w:rsidR="00340C78">
        <w:rPr>
          <w:sz w:val="22"/>
          <w:szCs w:val="22"/>
        </w:rPr>
        <w:t xml:space="preserve">Available </w:t>
      </w:r>
      <w:r w:rsidR="00ED2C54">
        <w:rPr>
          <w:sz w:val="22"/>
          <w:szCs w:val="22"/>
        </w:rPr>
        <w:t xml:space="preserve">                                                                        </w:t>
      </w:r>
      <w:r w:rsidR="00340C78">
        <w:rPr>
          <w:sz w:val="22"/>
          <w:szCs w:val="22"/>
        </w:rPr>
        <w:t xml:space="preserve">at: </w:t>
      </w:r>
      <w:hyperlink r:id="rId6" w:history="1">
        <w:r w:rsidR="00BA1DF2" w:rsidRPr="00A16E0B">
          <w:rPr>
            <w:rStyle w:val="Hyperlink"/>
            <w:sz w:val="22"/>
            <w:szCs w:val="22"/>
          </w:rPr>
          <w:t>https://www.legiislation.gov.uk/government/publications</w:t>
        </w:r>
      </w:hyperlink>
      <w:r w:rsidR="00BA1DF2">
        <w:rPr>
          <w:sz w:val="22"/>
          <w:szCs w:val="22"/>
        </w:rPr>
        <w:t xml:space="preserve"> </w:t>
      </w:r>
      <w:r w:rsidR="008724FA">
        <w:rPr>
          <w:sz w:val="22"/>
          <w:szCs w:val="22"/>
        </w:rPr>
        <w:t>England</w:t>
      </w:r>
      <w:r w:rsidR="00ED2C54">
        <w:rPr>
          <w:sz w:val="22"/>
          <w:szCs w:val="22"/>
        </w:rPr>
        <w:t>.</w:t>
      </w:r>
      <w:r w:rsidR="00340C78">
        <w:rPr>
          <w:sz w:val="22"/>
          <w:szCs w:val="22"/>
        </w:rPr>
        <w:t xml:space="preserve"> (Assesses: 21 June 2026).</w:t>
      </w:r>
    </w:p>
    <w:p w14:paraId="1C69967B" w14:textId="7E5074E3" w:rsidR="00340C78" w:rsidRDefault="004D06A1">
      <w:pPr>
        <w:rPr>
          <w:sz w:val="22"/>
          <w:szCs w:val="22"/>
        </w:rPr>
      </w:pPr>
      <w:r>
        <w:rPr>
          <w:sz w:val="22"/>
          <w:szCs w:val="22"/>
        </w:rPr>
        <w:t>London School of Planning and Management</w:t>
      </w:r>
      <w:r w:rsidR="006B164F">
        <w:rPr>
          <w:sz w:val="22"/>
          <w:szCs w:val="22"/>
        </w:rPr>
        <w:t xml:space="preserve"> (LSPM)</w:t>
      </w:r>
      <w:r w:rsidR="00670207">
        <w:rPr>
          <w:sz w:val="22"/>
          <w:szCs w:val="22"/>
        </w:rPr>
        <w:t xml:space="preserve"> UK,</w:t>
      </w:r>
      <w:r w:rsidR="006B164F">
        <w:rPr>
          <w:sz w:val="22"/>
          <w:szCs w:val="22"/>
        </w:rPr>
        <w:t xml:space="preserve"> (2015) Effective partnership Working in Early Years setting: Top Strategies. United Kingdom. Available at: </w:t>
      </w:r>
      <w:hyperlink r:id="rId7" w:history="1">
        <w:r w:rsidR="006B164F" w:rsidRPr="007C796B">
          <w:rPr>
            <w:rStyle w:val="Hyperlink"/>
            <w:sz w:val="22"/>
            <w:szCs w:val="22"/>
          </w:rPr>
          <w:t>https://www.lspm.org.uk</w:t>
        </w:r>
      </w:hyperlink>
      <w:r w:rsidR="006B164F">
        <w:rPr>
          <w:sz w:val="22"/>
          <w:szCs w:val="22"/>
        </w:rPr>
        <w:t xml:space="preserve"> (Assessed o3 June 2026).</w:t>
      </w:r>
    </w:p>
    <w:p w14:paraId="17EAEE01" w14:textId="7934CBB7" w:rsidR="006B164F" w:rsidRDefault="006B164F">
      <w:pPr>
        <w:rPr>
          <w:sz w:val="22"/>
          <w:szCs w:val="22"/>
        </w:rPr>
      </w:pPr>
      <w:r>
        <w:rPr>
          <w:sz w:val="22"/>
          <w:szCs w:val="22"/>
        </w:rPr>
        <w:t xml:space="preserve">Office of National Statistics, (2020) Children’s views on well-being and what makes a happy life. England. Available at: </w:t>
      </w:r>
      <w:hyperlink r:id="rId8" w:history="1">
        <w:r w:rsidR="00670207" w:rsidRPr="007C796B">
          <w:rPr>
            <w:rStyle w:val="Hyperlink"/>
            <w:sz w:val="22"/>
            <w:szCs w:val="22"/>
          </w:rPr>
          <w:t>https://www.ons.gov.uk/government/publications</w:t>
        </w:r>
      </w:hyperlink>
      <w:r w:rsidR="00670207">
        <w:rPr>
          <w:sz w:val="22"/>
          <w:szCs w:val="22"/>
        </w:rPr>
        <w:t xml:space="preserve"> (Assessed 03 June 2026).</w:t>
      </w:r>
    </w:p>
    <w:p w14:paraId="059BD5E7" w14:textId="2E9A51B9" w:rsidR="00670207" w:rsidRDefault="00670207">
      <w:pPr>
        <w:rPr>
          <w:sz w:val="22"/>
          <w:szCs w:val="22"/>
        </w:rPr>
      </w:pPr>
      <w:r>
        <w:rPr>
          <w:sz w:val="22"/>
          <w:szCs w:val="22"/>
        </w:rPr>
        <w:t xml:space="preserve">National Society for Prevention of Cruelty to Children (NSPCC), (2023) working together to safeguard children: summary of changes. CASPAR Briefing. Available at: </w:t>
      </w:r>
      <w:hyperlink r:id="rId9" w:history="1">
        <w:r w:rsidRPr="007C796B">
          <w:rPr>
            <w:rStyle w:val="Hyperlink"/>
            <w:sz w:val="22"/>
            <w:szCs w:val="22"/>
          </w:rPr>
          <w:t>https://learning.nspcc.org.uk/government/puplications/working-together-tosafeguard-children</w:t>
        </w:r>
      </w:hyperlink>
      <w:r>
        <w:rPr>
          <w:sz w:val="22"/>
          <w:szCs w:val="22"/>
        </w:rPr>
        <w:t xml:space="preserve"> </w:t>
      </w:r>
      <w:r w:rsidR="009A1243">
        <w:rPr>
          <w:sz w:val="22"/>
          <w:szCs w:val="22"/>
        </w:rPr>
        <w:t>(</w:t>
      </w:r>
      <w:r>
        <w:rPr>
          <w:sz w:val="22"/>
          <w:szCs w:val="22"/>
        </w:rPr>
        <w:t>Assessed: 21 June 2026)</w:t>
      </w:r>
      <w:r w:rsidR="009A1243">
        <w:rPr>
          <w:sz w:val="22"/>
          <w:szCs w:val="22"/>
        </w:rPr>
        <w:t>.</w:t>
      </w:r>
    </w:p>
    <w:p w14:paraId="51AF2275" w14:textId="050A0A57" w:rsidR="00DD0121" w:rsidRDefault="00DD0121">
      <w:pPr>
        <w:rPr>
          <w:sz w:val="22"/>
          <w:szCs w:val="22"/>
        </w:rPr>
      </w:pPr>
      <w:r>
        <w:rPr>
          <w:sz w:val="22"/>
          <w:szCs w:val="22"/>
        </w:rPr>
        <w:t>The Education Act, 20</w:t>
      </w:r>
      <w:r w:rsidR="007E095E">
        <w:rPr>
          <w:sz w:val="22"/>
          <w:szCs w:val="22"/>
        </w:rPr>
        <w:t>02.</w:t>
      </w:r>
      <w:r w:rsidR="00ED2C54">
        <w:rPr>
          <w:sz w:val="22"/>
          <w:szCs w:val="22"/>
        </w:rPr>
        <w:t xml:space="preserve"> Department Advice template-Gov.UK.</w:t>
      </w:r>
      <w:r w:rsidR="008724FA">
        <w:rPr>
          <w:sz w:val="22"/>
          <w:szCs w:val="22"/>
        </w:rPr>
        <w:t xml:space="preserve"> England.</w:t>
      </w:r>
      <w:r w:rsidR="00ED2C54">
        <w:rPr>
          <w:sz w:val="22"/>
          <w:szCs w:val="22"/>
        </w:rPr>
        <w:t xml:space="preserve"> Available at: </w:t>
      </w:r>
      <w:hyperlink r:id="rId10" w:history="1">
        <w:r w:rsidR="00BA1DF2" w:rsidRPr="00A16E0B">
          <w:rPr>
            <w:rStyle w:val="Hyperlink"/>
            <w:sz w:val="22"/>
            <w:szCs w:val="22"/>
          </w:rPr>
          <w:t>https://assets.publishing.service.gov.uk/government/puplications</w:t>
        </w:r>
      </w:hyperlink>
      <w:r w:rsidR="00BA1DF2">
        <w:rPr>
          <w:sz w:val="22"/>
          <w:szCs w:val="22"/>
        </w:rPr>
        <w:t xml:space="preserve"> </w:t>
      </w:r>
      <w:r w:rsidR="00ED2C54">
        <w:rPr>
          <w:sz w:val="22"/>
          <w:szCs w:val="22"/>
        </w:rPr>
        <w:t xml:space="preserve"> (Assess: 21 June 2026).</w:t>
      </w:r>
    </w:p>
    <w:p w14:paraId="60EB7E8E" w14:textId="3C4CE04E" w:rsidR="00F75921" w:rsidRDefault="00F75921">
      <w:pPr>
        <w:rPr>
          <w:sz w:val="22"/>
          <w:szCs w:val="22"/>
        </w:rPr>
      </w:pPr>
      <w:r>
        <w:rPr>
          <w:sz w:val="22"/>
          <w:szCs w:val="22"/>
        </w:rPr>
        <w:t>The Children Act 1989</w:t>
      </w:r>
      <w:r w:rsidR="008724FA">
        <w:rPr>
          <w:sz w:val="22"/>
          <w:szCs w:val="22"/>
        </w:rPr>
        <w:t xml:space="preserve">. Legislation.gov.UK. Available at: </w:t>
      </w:r>
      <w:hyperlink r:id="rId11" w:history="1">
        <w:r w:rsidR="008724FA" w:rsidRPr="007C796B">
          <w:rPr>
            <w:rStyle w:val="Hyperlink"/>
            <w:sz w:val="22"/>
            <w:szCs w:val="22"/>
          </w:rPr>
          <w:t>https://https:www.legislation.gov.uk</w:t>
        </w:r>
      </w:hyperlink>
      <w:r w:rsidR="008724FA">
        <w:rPr>
          <w:sz w:val="22"/>
          <w:szCs w:val="22"/>
        </w:rPr>
        <w:t xml:space="preserve"> (Assessed: 21June 2026).</w:t>
      </w:r>
    </w:p>
    <w:p w14:paraId="10D97241" w14:textId="4B3A8EDC" w:rsidR="006F3258" w:rsidRPr="00B71F6A" w:rsidRDefault="006F3258">
      <w:pPr>
        <w:rPr>
          <w:sz w:val="22"/>
          <w:szCs w:val="22"/>
        </w:rPr>
      </w:pPr>
    </w:p>
    <w:p w14:paraId="18BA7E50" w14:textId="77777777" w:rsidR="00B71F6A" w:rsidRDefault="00B71F6A">
      <w:pPr>
        <w:rPr>
          <w:sz w:val="48"/>
          <w:szCs w:val="48"/>
        </w:rPr>
      </w:pPr>
    </w:p>
    <w:p w14:paraId="3C5293C6" w14:textId="77777777" w:rsidR="00B71F6A" w:rsidRDefault="00B71F6A">
      <w:pPr>
        <w:rPr>
          <w:sz w:val="48"/>
          <w:szCs w:val="48"/>
        </w:rPr>
      </w:pPr>
    </w:p>
    <w:p w14:paraId="4A272E32" w14:textId="77777777" w:rsidR="00B71F6A" w:rsidRDefault="00B71F6A">
      <w:pPr>
        <w:rPr>
          <w:sz w:val="48"/>
          <w:szCs w:val="48"/>
        </w:rPr>
      </w:pPr>
    </w:p>
    <w:p w14:paraId="6D11FB5A" w14:textId="77777777" w:rsidR="00B71F6A" w:rsidRDefault="00B71F6A">
      <w:pPr>
        <w:rPr>
          <w:sz w:val="48"/>
          <w:szCs w:val="48"/>
        </w:rPr>
      </w:pPr>
    </w:p>
    <w:p w14:paraId="10F104E3" w14:textId="77777777" w:rsidR="00B71F6A" w:rsidRDefault="00B71F6A">
      <w:pPr>
        <w:rPr>
          <w:sz w:val="48"/>
          <w:szCs w:val="48"/>
        </w:rPr>
      </w:pPr>
    </w:p>
    <w:p w14:paraId="261B905A" w14:textId="77777777" w:rsidR="00B71F6A" w:rsidRDefault="00B71F6A">
      <w:pPr>
        <w:rPr>
          <w:sz w:val="48"/>
          <w:szCs w:val="48"/>
        </w:rPr>
      </w:pPr>
    </w:p>
    <w:p w14:paraId="0CAABE26" w14:textId="77777777" w:rsidR="00B71F6A" w:rsidRPr="00AD2160" w:rsidRDefault="00B71F6A">
      <w:pPr>
        <w:rPr>
          <w:sz w:val="48"/>
          <w:szCs w:val="48"/>
        </w:rPr>
      </w:pPr>
    </w:p>
    <w:sectPr w:rsidR="00B71F6A" w:rsidRPr="00AD2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B75"/>
    <w:rsid w:val="00124525"/>
    <w:rsid w:val="002C5160"/>
    <w:rsid w:val="00340C78"/>
    <w:rsid w:val="004D06A1"/>
    <w:rsid w:val="005A2B3E"/>
    <w:rsid w:val="005B7A9F"/>
    <w:rsid w:val="00660620"/>
    <w:rsid w:val="00670207"/>
    <w:rsid w:val="0069127F"/>
    <w:rsid w:val="006B164F"/>
    <w:rsid w:val="006F3258"/>
    <w:rsid w:val="007211CE"/>
    <w:rsid w:val="00727E3D"/>
    <w:rsid w:val="007E095E"/>
    <w:rsid w:val="00855716"/>
    <w:rsid w:val="008724FA"/>
    <w:rsid w:val="00980F55"/>
    <w:rsid w:val="009A1243"/>
    <w:rsid w:val="00A87FCF"/>
    <w:rsid w:val="00AA7B75"/>
    <w:rsid w:val="00AD2160"/>
    <w:rsid w:val="00B05609"/>
    <w:rsid w:val="00B41963"/>
    <w:rsid w:val="00B71F6A"/>
    <w:rsid w:val="00B83634"/>
    <w:rsid w:val="00BA1DF2"/>
    <w:rsid w:val="00C36966"/>
    <w:rsid w:val="00CB2516"/>
    <w:rsid w:val="00D66C31"/>
    <w:rsid w:val="00DD0121"/>
    <w:rsid w:val="00ED2C54"/>
    <w:rsid w:val="00F41756"/>
    <w:rsid w:val="00F7533E"/>
    <w:rsid w:val="00F7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52C50"/>
  <w15:chartTrackingRefBased/>
  <w15:docId w15:val="{EB44DED0-B914-4F99-9748-61611817F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C31"/>
  </w:style>
  <w:style w:type="paragraph" w:styleId="Heading1">
    <w:name w:val="heading 1"/>
    <w:basedOn w:val="Normal"/>
    <w:next w:val="Normal"/>
    <w:link w:val="Heading1Char"/>
    <w:uiPriority w:val="9"/>
    <w:qFormat/>
    <w:rsid w:val="00AA7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7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7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7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7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7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7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7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7B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7B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B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B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7B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7B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7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7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7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7B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7B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7B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7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7B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7B7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06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0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s.gov.uk/government/publication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spm.org.u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islation.gov.uk/government/publications" TargetMode="External"/><Relationship Id="rId11" Type="http://schemas.openxmlformats.org/officeDocument/2006/relationships/hyperlink" Target="https://https:www.legislation.gov.uk" TargetMode="External"/><Relationship Id="rId5" Type="http://schemas.openxmlformats.org/officeDocument/2006/relationships/hyperlink" Target="https://www.gov.uk/government/puplicationsqualityact" TargetMode="External"/><Relationship Id="rId10" Type="http://schemas.openxmlformats.org/officeDocument/2006/relationships/hyperlink" Target="https://assets.publishing.service.gov.uk/government/puplications" TargetMode="External"/><Relationship Id="rId4" Type="http://schemas.openxmlformats.org/officeDocument/2006/relationships/hyperlink" Target="https://www.cqc.org.uk" TargetMode="External"/><Relationship Id="rId9" Type="http://schemas.openxmlformats.org/officeDocument/2006/relationships/hyperlink" Target="https://learning.nspcc.org.uk/government/puplications/working-together-tosafeguard-child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Gilbert Atalor (2420110)</dc:creator>
  <cp:keywords/>
  <dc:description/>
  <cp:lastModifiedBy>Gilbert Atalor (2420110)</cp:lastModifiedBy>
  <cp:revision>9</cp:revision>
  <dcterms:created xsi:type="dcterms:W3CDTF">2026-05-22T18:15:00Z</dcterms:created>
  <dcterms:modified xsi:type="dcterms:W3CDTF">2026-06-21T19:09:00Z</dcterms:modified>
</cp:coreProperties>
</file>