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90877E">
      <w:pPr>
        <w:pStyle w:val="14"/>
        <w:jc w:val="center"/>
        <w:rPr>
          <w:sz w:val="28"/>
          <w:szCs w:val="28"/>
        </w:rPr>
      </w:pPr>
      <w:r>
        <w:rPr>
          <w:sz w:val="28"/>
          <w:szCs w:val="28"/>
        </w:rPr>
        <w:drawing>
          <wp:inline distT="0" distB="0" distL="0" distR="0">
            <wp:extent cx="1970405" cy="40132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referRelativeResize="0"/>
                  </pic:nvPicPr>
                  <pic:blipFill>
                    <a:blip r:embed="rId7"/>
                    <a:srcRect/>
                    <a:stretch>
                      <a:fillRect/>
                    </a:stretch>
                  </pic:blipFill>
                  <pic:spPr>
                    <a:xfrm>
                      <a:off x="0" y="0"/>
                      <a:ext cx="1970962" cy="401383"/>
                    </a:xfrm>
                    <a:prstGeom prst="rect">
                      <a:avLst/>
                    </a:prstGeom>
                  </pic:spPr>
                </pic:pic>
              </a:graphicData>
            </a:graphic>
          </wp:inline>
        </w:drawing>
      </w:r>
    </w:p>
    <w:p w14:paraId="28AAA2CC"/>
    <w:p w14:paraId="35344487">
      <w:pPr>
        <w:pStyle w:val="14"/>
        <w:jc w:val="center"/>
        <w:rPr>
          <w:sz w:val="28"/>
          <w:szCs w:val="28"/>
        </w:rPr>
      </w:pPr>
      <w:r>
        <w:rPr>
          <w:sz w:val="28"/>
          <w:szCs w:val="28"/>
        </w:rPr>
        <w:t xml:space="preserve">BARRIERS TO EARLY MENTAL HEALTH INTERVENTION FOR CHILDREN AGED 5-11 SHOWING EARLY SIGNS OF MENTAL HEALTH DIFFICULTIES IN THE UK: AN ANALYSIS OF POLICY AND SERVICE DELIVERY CHALLENGES </w:t>
      </w:r>
    </w:p>
    <w:p w14:paraId="3135AF68"/>
    <w:p w14:paraId="739703BE">
      <w:pPr>
        <w:pStyle w:val="14"/>
        <w:jc w:val="center"/>
        <w:rPr>
          <w:sz w:val="28"/>
          <w:szCs w:val="28"/>
        </w:rPr>
      </w:pPr>
      <w:r>
        <w:rPr>
          <w:sz w:val="28"/>
          <w:szCs w:val="28"/>
        </w:rPr>
        <w:t>by</w:t>
      </w:r>
    </w:p>
    <w:p w14:paraId="03777D7F">
      <w:pPr>
        <w:pStyle w:val="14"/>
        <w:jc w:val="center"/>
        <w:rPr>
          <w:sz w:val="28"/>
          <w:szCs w:val="28"/>
        </w:rPr>
      </w:pPr>
      <w:r>
        <w:rPr>
          <w:sz w:val="28"/>
          <w:szCs w:val="28"/>
        </w:rPr>
        <w:t>Monalikumari Ishwarbhai Tandel</w:t>
      </w:r>
    </w:p>
    <w:p w14:paraId="1A163327">
      <w:pPr>
        <w:pStyle w:val="14"/>
        <w:jc w:val="center"/>
        <w:rPr>
          <w:sz w:val="28"/>
          <w:szCs w:val="28"/>
        </w:rPr>
      </w:pPr>
      <w:r>
        <w:rPr>
          <w:rFonts w:hint="default"/>
          <w:sz w:val="28"/>
          <w:szCs w:val="28"/>
          <w:lang w:val="en-US"/>
        </w:rPr>
        <w:t xml:space="preserve">STUDENT ID: </w:t>
      </w:r>
      <w:r>
        <w:rPr>
          <w:sz w:val="28"/>
          <w:szCs w:val="28"/>
        </w:rPr>
        <w:t>2505012</w:t>
      </w:r>
    </w:p>
    <w:p w14:paraId="60B5139E"/>
    <w:p w14:paraId="1DBE73EF">
      <w:pPr>
        <w:pStyle w:val="14"/>
        <w:jc w:val="center"/>
        <w:rPr>
          <w:sz w:val="28"/>
          <w:szCs w:val="28"/>
        </w:rPr>
      </w:pPr>
      <w:r>
        <w:rPr>
          <w:sz w:val="28"/>
          <w:szCs w:val="28"/>
        </w:rPr>
        <w:t>A Dissertation submitted in partial fulfilment of the requirements for the degree of Master of Science in Public Health and Social Care in Practice</w:t>
      </w:r>
      <w:r>
        <w:rPr>
          <w:sz w:val="28"/>
          <w:szCs w:val="28"/>
        </w:rPr>
        <w:br w:type="textWrapping"/>
      </w:r>
    </w:p>
    <w:p w14:paraId="2E726201">
      <w:pPr>
        <w:pStyle w:val="14"/>
        <w:jc w:val="center"/>
        <w:rPr>
          <w:sz w:val="28"/>
          <w:szCs w:val="28"/>
        </w:rPr>
      </w:pPr>
      <w:r>
        <w:rPr>
          <w:sz w:val="28"/>
          <w:szCs w:val="28"/>
        </w:rPr>
        <w:t>The Institute of Inner-City Learning</w:t>
      </w:r>
    </w:p>
    <w:p w14:paraId="75269375">
      <w:pPr>
        <w:pStyle w:val="14"/>
        <w:jc w:val="center"/>
        <w:rPr>
          <w:sz w:val="28"/>
          <w:szCs w:val="28"/>
        </w:rPr>
      </w:pPr>
      <w:r>
        <w:rPr>
          <w:sz w:val="28"/>
          <w:szCs w:val="28"/>
        </w:rPr>
        <w:t>University of Wales Trinity Saint David – London Campus</w:t>
      </w:r>
    </w:p>
    <w:p w14:paraId="63F3DA33"/>
    <w:p w14:paraId="1D06C98B">
      <w:pPr>
        <w:pStyle w:val="14"/>
        <w:jc w:val="center"/>
        <w:rPr>
          <w:sz w:val="28"/>
          <w:szCs w:val="28"/>
        </w:rPr>
      </w:pPr>
      <w:r>
        <w:rPr>
          <w:sz w:val="28"/>
          <w:szCs w:val="28"/>
        </w:rPr>
        <w:t>[September 2026]</w:t>
      </w:r>
    </w:p>
    <w:p w14:paraId="286EAC5E">
      <w:pPr>
        <w:spacing w:before="240" w:after="240"/>
        <w:rPr>
          <w:b/>
          <w:bCs/>
        </w:rPr>
      </w:pPr>
      <w:r>
        <w:br w:type="page"/>
      </w:r>
    </w:p>
    <w:p w14:paraId="38D767F1">
      <w:pPr>
        <w:spacing w:before="240" w:after="240"/>
        <w:rPr>
          <w:b/>
          <w:bCs/>
        </w:rPr>
      </w:pPr>
      <w:bookmarkStart w:id="0" w:name="_woi761ciczsq" w:colFirst="0" w:colLast="0"/>
      <w:bookmarkEnd w:id="0"/>
      <w:r>
        <w:rPr>
          <w:b/>
          <w:bCs/>
        </w:rPr>
        <w:t>Declaration</w:t>
      </w:r>
    </w:p>
    <w:p w14:paraId="3ABB6191">
      <w:pPr>
        <w:spacing w:before="240" w:after="240"/>
      </w:pPr>
      <w:r>
        <w:t>I would like to express my sincere gratitude to everyone who supported me throughout the completion of this dissertation. I am particularly grateful to my supervisor for their guidance, constructive feedback and continuous support throughout the research process. I also acknowledge the support provided by the academic institution and teaching staff, whose expertise contributed to the development of this study. Finally, I would like to thank my family and friends for their patience, understanding and encouragement throughout the completion of this research.</w:t>
      </w:r>
    </w:p>
    <w:p w14:paraId="419AC96C">
      <w:pPr>
        <w:spacing w:before="240" w:after="240"/>
      </w:pPr>
    </w:p>
    <w:p w14:paraId="6A2E1497">
      <w:pPr>
        <w:spacing w:before="240" w:after="240"/>
        <w:rPr>
          <w:b/>
          <w:bCs/>
        </w:rPr>
      </w:pPr>
      <w:bookmarkStart w:id="1" w:name="_qtkee21465c6" w:colFirst="0" w:colLast="0"/>
      <w:bookmarkEnd w:id="1"/>
      <w:r>
        <w:rPr>
          <w:rFonts w:hint="default"/>
          <w:lang w:val="en-US"/>
        </w:rPr>
        <w:t>SIGN: Monalikumari Ishwarbhai Tandel                                      DATE: 25/09/2026</w:t>
      </w:r>
      <w:r>
        <w:br w:type="page"/>
      </w:r>
    </w:p>
    <w:p w14:paraId="04D8D554">
      <w:pPr>
        <w:spacing w:before="240" w:after="240"/>
        <w:rPr>
          <w:b/>
          <w:bCs/>
        </w:rPr>
      </w:pPr>
      <w:r>
        <w:rPr>
          <w:b/>
          <w:bCs/>
        </w:rPr>
        <w:t>Acknowledgement</w:t>
      </w:r>
    </w:p>
    <w:p w14:paraId="0D7C9D48">
      <w:pPr>
        <w:spacing w:before="240" w:after="240"/>
      </w:pPr>
      <w:r>
        <w:t>I would like to express my sincere gratitude to everyone who supported me throughout the completion of this dissertation. I am also thankful to my supervisor, as they gave me good advice, constructive feedback and constant support during the research process. I would also like to note that I enjoyed the assistance of the academic institution and teaching staff whose expertise and help were instrumental in shaping this piece of study. I would also like to appreciate my family and friends who supported me in the process of completing this research by their patience, understanding, and encouragement. Lastly, I would like to thank all of you who helped in the successful completion of this dissertation.</w:t>
      </w:r>
    </w:p>
    <w:p w14:paraId="00AA9B9E">
      <w:pPr>
        <w:spacing w:before="240" w:after="240"/>
      </w:pPr>
    </w:p>
    <w:p w14:paraId="2C20A250">
      <w:pPr>
        <w:spacing w:before="240" w:after="240"/>
      </w:pPr>
    </w:p>
    <w:p w14:paraId="7AFFAD74">
      <w:pPr>
        <w:spacing w:before="240" w:after="240"/>
        <w:rPr>
          <w:b/>
          <w:bCs/>
        </w:rPr>
      </w:pPr>
      <w:bookmarkStart w:id="2" w:name="_n04qstnphanf" w:colFirst="0" w:colLast="0"/>
      <w:bookmarkEnd w:id="2"/>
      <w:r>
        <w:br w:type="page"/>
      </w:r>
    </w:p>
    <w:p w14:paraId="3DAE310A">
      <w:pPr>
        <w:spacing w:before="240" w:after="240"/>
        <w:rPr>
          <w:b/>
          <w:bCs/>
        </w:rPr>
      </w:pPr>
      <w:r>
        <w:rPr>
          <w:b/>
          <w:bCs/>
        </w:rPr>
        <w:t>Abstract</w:t>
      </w:r>
    </w:p>
    <w:p w14:paraId="5E9C3275">
      <w:pPr>
        <w:spacing w:before="240" w:after="240"/>
      </w:pPr>
      <w:r>
        <w:t>Child mental health has become an important public health concern in the United Kingdom, particularly because delayed identification can allow emerging emotional and behavioural difficulties to become more severe. This dissertation critically examines the barriers to early mental health intervention among children aged 5–11 years showing early signs of mental health difficulties in the UK, paying special attention to the existing policy environment and service provision challenges.</w:t>
      </w:r>
    </w:p>
    <w:p w14:paraId="2948ACF0">
      <w:pPr>
        <w:spacing w:before="240" w:after="240"/>
      </w:pPr>
      <w:r>
        <w:t xml:space="preserve">An interpretivist research philosophy and an inductive approach were used in the study. </w:t>
      </w:r>
    </w:p>
    <w:p w14:paraId="641F4562">
      <w:pPr>
        <w:spacing w:before="240" w:after="240"/>
      </w:pPr>
      <w:r>
        <w:t>A systematic literature review (SLR) was conducted using secondary data from peer-reviewed research and UK policy documents. Sources of evidence were drawn from the findings of peer-reviewed academic papers and policy documents, which were taken from PubMed, Google Scholar, NHS England, NICE, GOV.UK and publications from the Department of Health. The study followed PRISMA guidelines to support a transparent and systematic study-selection process resulting in 20 included studies. The critical appraisal of evidence and thematic analysis were performed using CASP, JBI and NMAT criteria and yielded four major themes which are barriers to early identification, barriers to access early intervention, service provision and implementation barriers and facilitators to successful early intervention.</w:t>
      </w:r>
    </w:p>
    <w:p w14:paraId="1EB5A469">
      <w:pPr>
        <w:spacing w:before="240" w:after="240"/>
      </w:pPr>
      <w:r>
        <w:t>The results show that insufficient staff training, lack of consistent identification of early symptoms, stigma, and limitations of screening could lead to late detection. Access would also be limited due to unclear referral routes, lack of available specialized services, lack of trust and inappropriate service irrelevant to the children’s and families’ cultural, linguistic, religious or social backgrounds. Within the service delivery setting, insufficient funding, shortage of workforce, fragmentation of services, poor inter-agency cooperation, and challenges in policy implementation were common barriers. Nevertheless, school-based services, staff training, family-school partnership, integrated services, culturally appropriate services, and accessible digital services or parenting services were highlighted as key facilitators.</w:t>
      </w:r>
    </w:p>
    <w:p w14:paraId="39710186">
      <w:pPr>
        <w:spacing w:before="240" w:after="240"/>
      </w:pPr>
      <w:r>
        <w:t>In summary, the paper suggests that early intervention needs more effective policy implementation, sufficient workforce and services development, clear referral routes, and better collaboration between schools, families, community organizations, and specialized mental health services.</w:t>
      </w:r>
    </w:p>
    <w:p w14:paraId="3F54400E">
      <w:pPr>
        <w:spacing w:before="240" w:after="240"/>
      </w:pPr>
      <w:bookmarkStart w:id="3" w:name="_vxd0kbp5f1sk" w:colFirst="0" w:colLast="0"/>
      <w:bookmarkEnd w:id="3"/>
    </w:p>
    <w:p w14:paraId="1E2A32C7">
      <w:pPr>
        <w:rPr>
          <w:b/>
          <w:bCs/>
        </w:rPr>
      </w:pPr>
      <w:r>
        <w:br w:type="page"/>
      </w:r>
    </w:p>
    <w:p w14:paraId="53EAC007">
      <w:pPr>
        <w:keepNext/>
        <w:keepLines/>
        <w:pBdr>
          <w:top w:val="none" w:color="auto" w:sz="0" w:space="0"/>
          <w:left w:val="none" w:color="auto" w:sz="0" w:space="0"/>
          <w:bottom w:val="none" w:color="auto" w:sz="0" w:space="0"/>
          <w:right w:val="none" w:color="auto" w:sz="0" w:space="0"/>
          <w:between w:val="none" w:color="auto" w:sz="0" w:space="0"/>
        </w:pBdr>
        <w:spacing w:before="240" w:after="240"/>
        <w:jc w:val="center"/>
        <w:rPr>
          <w:b/>
          <w:bCs/>
          <w:sz w:val="28"/>
          <w:szCs w:val="28"/>
        </w:rPr>
      </w:pPr>
      <w:r>
        <w:rPr>
          <w:b/>
          <w:bCs/>
          <w:sz w:val="28"/>
          <w:szCs w:val="28"/>
        </w:rPr>
        <w:t>Table of Contents</w:t>
      </w:r>
    </w:p>
    <w:sdt>
      <w:sdtPr>
        <w:id w:val="1254686275"/>
        <w:docPartObj>
          <w:docPartGallery w:val="Table of Contents"/>
          <w:docPartUnique/>
        </w:docPartObj>
      </w:sdtPr>
      <w:sdtContent>
        <w:p w14:paraId="59288083">
          <w:pPr>
            <w:pStyle w:val="15"/>
            <w:tabs>
              <w:tab w:val="right" w:leader="dot" w:pos="9350"/>
            </w:tabs>
          </w:pPr>
          <w:r>
            <w:fldChar w:fldCharType="begin"/>
          </w:r>
          <w:r>
            <w:instrText xml:space="preserve"> TOC \h \u \z \t "Heading 1,1,Heading 2,2,Heading 3,3,"</w:instrText>
          </w:r>
          <w:r>
            <w:fldChar w:fldCharType="separate"/>
          </w:r>
          <w:r>
            <w:fldChar w:fldCharType="begin"/>
          </w:r>
          <w:r>
            <w:instrText xml:space="preserve"> HYPERLINK \l "_Toc241231889" </w:instrText>
          </w:r>
          <w:r>
            <w:fldChar w:fldCharType="separate"/>
          </w:r>
          <w:r>
            <w:rPr>
              <w:rStyle w:val="12"/>
              <w:color w:val="auto"/>
            </w:rPr>
            <w:t>CHAPTER 1: INTRODUCTION</w:t>
          </w:r>
          <w:r>
            <w:tab/>
          </w:r>
          <w:r>
            <w:fldChar w:fldCharType="begin"/>
          </w:r>
          <w:r>
            <w:instrText xml:space="preserve"> PAGEREF _Toc241231889 \h </w:instrText>
          </w:r>
          <w:r>
            <w:fldChar w:fldCharType="separate"/>
          </w:r>
          <w:r>
            <w:t>9</w:t>
          </w:r>
          <w:r>
            <w:fldChar w:fldCharType="end"/>
          </w:r>
          <w:r>
            <w:fldChar w:fldCharType="end"/>
          </w:r>
        </w:p>
        <w:p w14:paraId="01D708D8">
          <w:pPr>
            <w:pStyle w:val="16"/>
            <w:tabs>
              <w:tab w:val="right" w:leader="dot" w:pos="9350"/>
            </w:tabs>
          </w:pPr>
          <w:r>
            <w:fldChar w:fldCharType="begin"/>
          </w:r>
          <w:r>
            <w:instrText xml:space="preserve"> HYPERLINK \l "_Toc241231890" </w:instrText>
          </w:r>
          <w:r>
            <w:fldChar w:fldCharType="separate"/>
          </w:r>
          <w:r>
            <w:rPr>
              <w:rStyle w:val="12"/>
              <w:color w:val="auto"/>
            </w:rPr>
            <w:t>1.1 Background</w:t>
          </w:r>
          <w:r>
            <w:tab/>
          </w:r>
          <w:r>
            <w:fldChar w:fldCharType="begin"/>
          </w:r>
          <w:r>
            <w:instrText xml:space="preserve"> PAGEREF _Toc241231890 \h </w:instrText>
          </w:r>
          <w:r>
            <w:fldChar w:fldCharType="separate"/>
          </w:r>
          <w:r>
            <w:t>9</w:t>
          </w:r>
          <w:r>
            <w:fldChar w:fldCharType="end"/>
          </w:r>
          <w:r>
            <w:fldChar w:fldCharType="end"/>
          </w:r>
        </w:p>
        <w:p w14:paraId="317B057C">
          <w:pPr>
            <w:pStyle w:val="16"/>
            <w:tabs>
              <w:tab w:val="right" w:leader="dot" w:pos="9350"/>
            </w:tabs>
          </w:pPr>
          <w:r>
            <w:fldChar w:fldCharType="begin"/>
          </w:r>
          <w:r>
            <w:instrText xml:space="preserve"> HYPERLINK \l "_Toc241231891" </w:instrText>
          </w:r>
          <w:r>
            <w:fldChar w:fldCharType="separate"/>
          </w:r>
          <w:r>
            <w:rPr>
              <w:rStyle w:val="12"/>
              <w:color w:val="auto"/>
            </w:rPr>
            <w:t>1.2 Problem statement</w:t>
          </w:r>
          <w:r>
            <w:tab/>
          </w:r>
          <w:r>
            <w:fldChar w:fldCharType="begin"/>
          </w:r>
          <w:r>
            <w:instrText xml:space="preserve"> PAGEREF _Toc241231891 \h </w:instrText>
          </w:r>
          <w:r>
            <w:fldChar w:fldCharType="separate"/>
          </w:r>
          <w:r>
            <w:t>10</w:t>
          </w:r>
          <w:r>
            <w:fldChar w:fldCharType="end"/>
          </w:r>
          <w:r>
            <w:fldChar w:fldCharType="end"/>
          </w:r>
        </w:p>
        <w:p w14:paraId="578E36AC">
          <w:pPr>
            <w:pStyle w:val="16"/>
            <w:tabs>
              <w:tab w:val="right" w:leader="dot" w:pos="9350"/>
            </w:tabs>
          </w:pPr>
          <w:r>
            <w:fldChar w:fldCharType="begin"/>
          </w:r>
          <w:r>
            <w:instrText xml:space="preserve"> HYPERLINK \l "_Toc241231892" </w:instrText>
          </w:r>
          <w:r>
            <w:fldChar w:fldCharType="separate"/>
          </w:r>
          <w:r>
            <w:rPr>
              <w:rStyle w:val="12"/>
              <w:color w:val="auto"/>
            </w:rPr>
            <w:t>1.3 Research question</w:t>
          </w:r>
          <w:r>
            <w:tab/>
          </w:r>
          <w:r>
            <w:fldChar w:fldCharType="begin"/>
          </w:r>
          <w:r>
            <w:instrText xml:space="preserve"> PAGEREF _Toc241231892 \h </w:instrText>
          </w:r>
          <w:r>
            <w:fldChar w:fldCharType="separate"/>
          </w:r>
          <w:r>
            <w:t>13</w:t>
          </w:r>
          <w:r>
            <w:fldChar w:fldCharType="end"/>
          </w:r>
          <w:r>
            <w:fldChar w:fldCharType="end"/>
          </w:r>
        </w:p>
        <w:p w14:paraId="05D4400D">
          <w:pPr>
            <w:pStyle w:val="16"/>
            <w:tabs>
              <w:tab w:val="right" w:leader="dot" w:pos="9350"/>
            </w:tabs>
          </w:pPr>
          <w:r>
            <w:fldChar w:fldCharType="begin"/>
          </w:r>
          <w:r>
            <w:instrText xml:space="preserve"> HYPERLINK \l "_Toc241231893" </w:instrText>
          </w:r>
          <w:r>
            <w:fldChar w:fldCharType="separate"/>
          </w:r>
          <w:r>
            <w:rPr>
              <w:rStyle w:val="12"/>
              <w:color w:val="auto"/>
            </w:rPr>
            <w:t>1.4 Aim &amp; objectives</w:t>
          </w:r>
          <w:r>
            <w:tab/>
          </w:r>
          <w:r>
            <w:fldChar w:fldCharType="begin"/>
          </w:r>
          <w:r>
            <w:instrText xml:space="preserve"> PAGEREF _Toc241231893 \h </w:instrText>
          </w:r>
          <w:r>
            <w:fldChar w:fldCharType="separate"/>
          </w:r>
          <w:r>
            <w:t>13</w:t>
          </w:r>
          <w:r>
            <w:fldChar w:fldCharType="end"/>
          </w:r>
          <w:r>
            <w:fldChar w:fldCharType="end"/>
          </w:r>
        </w:p>
        <w:p w14:paraId="3AA9E4DA">
          <w:pPr>
            <w:pStyle w:val="16"/>
            <w:tabs>
              <w:tab w:val="right" w:leader="dot" w:pos="9350"/>
            </w:tabs>
          </w:pPr>
          <w:r>
            <w:fldChar w:fldCharType="begin"/>
          </w:r>
          <w:r>
            <w:instrText xml:space="preserve"> HYPERLINK \l "_Toc241231894" </w:instrText>
          </w:r>
          <w:r>
            <w:fldChar w:fldCharType="separate"/>
          </w:r>
          <w:r>
            <w:rPr>
              <w:rStyle w:val="12"/>
              <w:color w:val="auto"/>
            </w:rPr>
            <w:t>1.5 Research rationale</w:t>
          </w:r>
          <w:r>
            <w:tab/>
          </w:r>
          <w:r>
            <w:fldChar w:fldCharType="begin"/>
          </w:r>
          <w:r>
            <w:instrText xml:space="preserve"> PAGEREF _Toc241231894 \h </w:instrText>
          </w:r>
          <w:r>
            <w:fldChar w:fldCharType="separate"/>
          </w:r>
          <w:r>
            <w:t>13</w:t>
          </w:r>
          <w:r>
            <w:fldChar w:fldCharType="end"/>
          </w:r>
          <w:r>
            <w:fldChar w:fldCharType="end"/>
          </w:r>
        </w:p>
        <w:p w14:paraId="22BD4687">
          <w:pPr>
            <w:pStyle w:val="16"/>
            <w:tabs>
              <w:tab w:val="right" w:leader="dot" w:pos="9350"/>
            </w:tabs>
          </w:pPr>
          <w:r>
            <w:fldChar w:fldCharType="begin"/>
          </w:r>
          <w:r>
            <w:instrText xml:space="preserve"> HYPERLINK \l "_Toc241231895" </w:instrText>
          </w:r>
          <w:r>
            <w:fldChar w:fldCharType="separate"/>
          </w:r>
          <w:r>
            <w:rPr>
              <w:rStyle w:val="12"/>
              <w:color w:val="auto"/>
            </w:rPr>
            <w:t>1.6 Research significance</w:t>
          </w:r>
          <w:r>
            <w:tab/>
          </w:r>
          <w:r>
            <w:fldChar w:fldCharType="begin"/>
          </w:r>
          <w:r>
            <w:instrText xml:space="preserve"> PAGEREF _Toc241231895 \h </w:instrText>
          </w:r>
          <w:r>
            <w:fldChar w:fldCharType="separate"/>
          </w:r>
          <w:r>
            <w:t>14</w:t>
          </w:r>
          <w:r>
            <w:fldChar w:fldCharType="end"/>
          </w:r>
          <w:r>
            <w:fldChar w:fldCharType="end"/>
          </w:r>
        </w:p>
        <w:p w14:paraId="52477FE2">
          <w:pPr>
            <w:pStyle w:val="16"/>
            <w:tabs>
              <w:tab w:val="right" w:leader="dot" w:pos="9350"/>
            </w:tabs>
          </w:pPr>
          <w:r>
            <w:fldChar w:fldCharType="begin"/>
          </w:r>
          <w:r>
            <w:instrText xml:space="preserve"> HYPERLINK \l "_Toc241231896" </w:instrText>
          </w:r>
          <w:r>
            <w:fldChar w:fldCharType="separate"/>
          </w:r>
          <w:r>
            <w:rPr>
              <w:rStyle w:val="12"/>
              <w:color w:val="auto"/>
            </w:rPr>
            <w:t>1.7 Structure of research</w:t>
          </w:r>
          <w:r>
            <w:tab/>
          </w:r>
          <w:r>
            <w:fldChar w:fldCharType="begin"/>
          </w:r>
          <w:r>
            <w:instrText xml:space="preserve"> PAGEREF _Toc241231896 \h </w:instrText>
          </w:r>
          <w:r>
            <w:fldChar w:fldCharType="separate"/>
          </w:r>
          <w:r>
            <w:t>15</w:t>
          </w:r>
          <w:r>
            <w:fldChar w:fldCharType="end"/>
          </w:r>
          <w:r>
            <w:fldChar w:fldCharType="end"/>
          </w:r>
        </w:p>
        <w:p w14:paraId="1C01EEF3">
          <w:pPr>
            <w:pStyle w:val="15"/>
            <w:tabs>
              <w:tab w:val="right" w:leader="dot" w:pos="9350"/>
            </w:tabs>
          </w:pPr>
          <w:r>
            <w:fldChar w:fldCharType="begin"/>
          </w:r>
          <w:r>
            <w:instrText xml:space="preserve"> HYPERLINK \l "_Toc241231897" </w:instrText>
          </w:r>
          <w:r>
            <w:fldChar w:fldCharType="separate"/>
          </w:r>
          <w:r>
            <w:rPr>
              <w:rStyle w:val="12"/>
              <w:color w:val="auto"/>
            </w:rPr>
            <w:t>CHAPTER 2: LITERATURE REVIEW</w:t>
          </w:r>
          <w:r>
            <w:tab/>
          </w:r>
          <w:r>
            <w:fldChar w:fldCharType="begin"/>
          </w:r>
          <w:r>
            <w:instrText xml:space="preserve"> PAGEREF _Toc241231897 \h </w:instrText>
          </w:r>
          <w:r>
            <w:fldChar w:fldCharType="separate"/>
          </w:r>
          <w:r>
            <w:t>16</w:t>
          </w:r>
          <w:r>
            <w:fldChar w:fldCharType="end"/>
          </w:r>
          <w:r>
            <w:fldChar w:fldCharType="end"/>
          </w:r>
        </w:p>
        <w:p w14:paraId="11389EB2">
          <w:pPr>
            <w:pStyle w:val="16"/>
            <w:tabs>
              <w:tab w:val="right" w:leader="dot" w:pos="9350"/>
            </w:tabs>
          </w:pPr>
          <w:r>
            <w:fldChar w:fldCharType="begin"/>
          </w:r>
          <w:r>
            <w:instrText xml:space="preserve"> HYPERLINK \l "_Toc241231898" </w:instrText>
          </w:r>
          <w:r>
            <w:fldChar w:fldCharType="separate"/>
          </w:r>
          <w:r>
            <w:rPr>
              <w:rStyle w:val="12"/>
              <w:color w:val="auto"/>
            </w:rPr>
            <w:t>2.1 Introduction</w:t>
          </w:r>
          <w:r>
            <w:tab/>
          </w:r>
          <w:r>
            <w:fldChar w:fldCharType="begin"/>
          </w:r>
          <w:r>
            <w:instrText xml:space="preserve"> PAGEREF _Toc241231898 \h </w:instrText>
          </w:r>
          <w:r>
            <w:fldChar w:fldCharType="separate"/>
          </w:r>
          <w:r>
            <w:t>16</w:t>
          </w:r>
          <w:r>
            <w:fldChar w:fldCharType="end"/>
          </w:r>
          <w:r>
            <w:fldChar w:fldCharType="end"/>
          </w:r>
        </w:p>
        <w:p w14:paraId="442CD1E7">
          <w:pPr>
            <w:pStyle w:val="16"/>
            <w:tabs>
              <w:tab w:val="right" w:leader="dot" w:pos="9350"/>
            </w:tabs>
          </w:pPr>
          <w:r>
            <w:fldChar w:fldCharType="begin"/>
          </w:r>
          <w:r>
            <w:instrText xml:space="preserve"> HYPERLINK \l "_Toc241231899" </w:instrText>
          </w:r>
          <w:r>
            <w:fldChar w:fldCharType="separate"/>
          </w:r>
          <w:r>
            <w:rPr>
              <w:rStyle w:val="12"/>
              <w:color w:val="auto"/>
            </w:rPr>
            <w:t>2.2 Understanding Child and Adolescent Mental Health</w:t>
          </w:r>
          <w:r>
            <w:tab/>
          </w:r>
          <w:r>
            <w:fldChar w:fldCharType="begin"/>
          </w:r>
          <w:r>
            <w:instrText xml:space="preserve"> PAGEREF _Toc241231899 \h </w:instrText>
          </w:r>
          <w:r>
            <w:fldChar w:fldCharType="separate"/>
          </w:r>
          <w:r>
            <w:t>16</w:t>
          </w:r>
          <w:r>
            <w:fldChar w:fldCharType="end"/>
          </w:r>
          <w:r>
            <w:fldChar w:fldCharType="end"/>
          </w:r>
        </w:p>
        <w:p w14:paraId="067D7073">
          <w:pPr>
            <w:pStyle w:val="16"/>
            <w:tabs>
              <w:tab w:val="right" w:leader="dot" w:pos="9350"/>
            </w:tabs>
          </w:pPr>
          <w:r>
            <w:fldChar w:fldCharType="begin"/>
          </w:r>
          <w:r>
            <w:instrText xml:space="preserve"> HYPERLINK \l "_Toc241231900" </w:instrText>
          </w:r>
          <w:r>
            <w:fldChar w:fldCharType="separate"/>
          </w:r>
          <w:r>
            <w:rPr>
              <w:rStyle w:val="12"/>
              <w:color w:val="auto"/>
            </w:rPr>
            <w:t>2.3 Concept and Importance of Early Mental Health Intervention</w:t>
          </w:r>
          <w:r>
            <w:tab/>
          </w:r>
          <w:r>
            <w:fldChar w:fldCharType="begin"/>
          </w:r>
          <w:r>
            <w:instrText xml:space="preserve"> PAGEREF _Toc241231900 \h </w:instrText>
          </w:r>
          <w:r>
            <w:fldChar w:fldCharType="separate"/>
          </w:r>
          <w:r>
            <w:t>17</w:t>
          </w:r>
          <w:r>
            <w:fldChar w:fldCharType="end"/>
          </w:r>
          <w:r>
            <w:fldChar w:fldCharType="end"/>
          </w:r>
        </w:p>
        <w:p w14:paraId="154FA3FA">
          <w:pPr>
            <w:pStyle w:val="16"/>
            <w:tabs>
              <w:tab w:val="right" w:leader="dot" w:pos="9350"/>
            </w:tabs>
          </w:pPr>
          <w:r>
            <w:fldChar w:fldCharType="begin"/>
          </w:r>
          <w:r>
            <w:instrText xml:space="preserve"> HYPERLINK \l "_Toc241231901" </w:instrText>
          </w:r>
          <w:r>
            <w:fldChar w:fldCharType="separate"/>
          </w:r>
          <w:r>
            <w:rPr>
              <w:rStyle w:val="12"/>
              <w:color w:val="auto"/>
            </w:rPr>
            <w:t>2.4 UK Policy Framework for Early Mental Health Intervention</w:t>
          </w:r>
          <w:r>
            <w:tab/>
          </w:r>
          <w:r>
            <w:fldChar w:fldCharType="begin"/>
          </w:r>
          <w:r>
            <w:instrText xml:space="preserve"> PAGEREF _Toc241231901 \h </w:instrText>
          </w:r>
          <w:r>
            <w:fldChar w:fldCharType="separate"/>
          </w:r>
          <w:r>
            <w:t>19</w:t>
          </w:r>
          <w:r>
            <w:fldChar w:fldCharType="end"/>
          </w:r>
          <w:r>
            <w:fldChar w:fldCharType="end"/>
          </w:r>
        </w:p>
        <w:p w14:paraId="2B526A24">
          <w:pPr>
            <w:pStyle w:val="16"/>
            <w:tabs>
              <w:tab w:val="right" w:leader="dot" w:pos="9350"/>
            </w:tabs>
          </w:pPr>
          <w:r>
            <w:fldChar w:fldCharType="begin"/>
          </w:r>
          <w:r>
            <w:instrText xml:space="preserve"> HYPERLINK \l "_Toc241231902" </w:instrText>
          </w:r>
          <w:r>
            <w:fldChar w:fldCharType="separate"/>
          </w:r>
          <w:r>
            <w:rPr>
              <w:rStyle w:val="12"/>
              <w:color w:val="auto"/>
            </w:rPr>
            <w:t>2.5 UK Mental Health Service Delivery and Access</w:t>
          </w:r>
          <w:r>
            <w:tab/>
          </w:r>
          <w:r>
            <w:fldChar w:fldCharType="begin"/>
          </w:r>
          <w:r>
            <w:instrText xml:space="preserve"> PAGEREF _Toc241231902 \h </w:instrText>
          </w:r>
          <w:r>
            <w:fldChar w:fldCharType="separate"/>
          </w:r>
          <w:r>
            <w:t>20</w:t>
          </w:r>
          <w:r>
            <w:fldChar w:fldCharType="end"/>
          </w:r>
          <w:r>
            <w:fldChar w:fldCharType="end"/>
          </w:r>
        </w:p>
        <w:p w14:paraId="13BEA306">
          <w:pPr>
            <w:pStyle w:val="16"/>
            <w:tabs>
              <w:tab w:val="right" w:leader="dot" w:pos="9350"/>
            </w:tabs>
          </w:pPr>
          <w:r>
            <w:fldChar w:fldCharType="begin"/>
          </w:r>
          <w:r>
            <w:instrText xml:space="preserve"> HYPERLINK \l "_Toc241231903" </w:instrText>
          </w:r>
          <w:r>
            <w:fldChar w:fldCharType="separate"/>
          </w:r>
          <w:r>
            <w:rPr>
              <w:rStyle w:val="12"/>
              <w:color w:val="auto"/>
            </w:rPr>
            <w:t>2.6 Systemic and Organisational Barriers</w:t>
          </w:r>
          <w:r>
            <w:tab/>
          </w:r>
          <w:r>
            <w:fldChar w:fldCharType="begin"/>
          </w:r>
          <w:r>
            <w:instrText xml:space="preserve"> PAGEREF _Toc241231903 \h </w:instrText>
          </w:r>
          <w:r>
            <w:fldChar w:fldCharType="separate"/>
          </w:r>
          <w:r>
            <w:t>21</w:t>
          </w:r>
          <w:r>
            <w:fldChar w:fldCharType="end"/>
          </w:r>
          <w:r>
            <w:fldChar w:fldCharType="end"/>
          </w:r>
        </w:p>
        <w:p w14:paraId="1380DCA6">
          <w:pPr>
            <w:pStyle w:val="16"/>
            <w:tabs>
              <w:tab w:val="right" w:leader="dot" w:pos="9350"/>
            </w:tabs>
          </w:pPr>
          <w:r>
            <w:fldChar w:fldCharType="begin"/>
          </w:r>
          <w:r>
            <w:instrText xml:space="preserve"> HYPERLINK \l "_Toc241231904" </w:instrText>
          </w:r>
          <w:r>
            <w:fldChar w:fldCharType="separate"/>
          </w:r>
          <w:r>
            <w:rPr>
              <w:rStyle w:val="12"/>
              <w:color w:val="auto"/>
            </w:rPr>
            <w:t>2.7 Policy and Service-Level Barriers: Impact on Access</w:t>
          </w:r>
          <w:r>
            <w:tab/>
          </w:r>
          <w:r>
            <w:fldChar w:fldCharType="begin"/>
          </w:r>
          <w:r>
            <w:instrText xml:space="preserve"> PAGEREF _Toc241231904 \h </w:instrText>
          </w:r>
          <w:r>
            <w:fldChar w:fldCharType="separate"/>
          </w:r>
          <w:r>
            <w:t>23</w:t>
          </w:r>
          <w:r>
            <w:fldChar w:fldCharType="end"/>
          </w:r>
          <w:r>
            <w:fldChar w:fldCharType="end"/>
          </w:r>
        </w:p>
        <w:p w14:paraId="519D7A03">
          <w:pPr>
            <w:pStyle w:val="16"/>
            <w:tabs>
              <w:tab w:val="right" w:leader="dot" w:pos="9350"/>
            </w:tabs>
          </w:pPr>
          <w:r>
            <w:fldChar w:fldCharType="begin"/>
          </w:r>
          <w:r>
            <w:instrText xml:space="preserve"> HYPERLINK \l "_Toc241231905" </w:instrText>
          </w:r>
          <w:r>
            <w:fldChar w:fldCharType="separate"/>
          </w:r>
          <w:r>
            <w:rPr>
              <w:rStyle w:val="12"/>
              <w:color w:val="auto"/>
            </w:rPr>
            <w:t>2.8 Theoretical Framework: Andersen Behavioural Model</w:t>
          </w:r>
          <w:r>
            <w:tab/>
          </w:r>
          <w:r>
            <w:fldChar w:fldCharType="begin"/>
          </w:r>
          <w:r>
            <w:instrText xml:space="preserve"> PAGEREF _Toc241231905 \h </w:instrText>
          </w:r>
          <w:r>
            <w:fldChar w:fldCharType="separate"/>
          </w:r>
          <w:r>
            <w:t>23</w:t>
          </w:r>
          <w:r>
            <w:fldChar w:fldCharType="end"/>
          </w:r>
          <w:r>
            <w:fldChar w:fldCharType="end"/>
          </w:r>
        </w:p>
        <w:p w14:paraId="215E974A">
          <w:pPr>
            <w:pStyle w:val="16"/>
            <w:tabs>
              <w:tab w:val="right" w:leader="dot" w:pos="9350"/>
            </w:tabs>
          </w:pPr>
          <w:r>
            <w:fldChar w:fldCharType="begin"/>
          </w:r>
          <w:r>
            <w:instrText xml:space="preserve"> HYPERLINK \l "_Toc241231906" </w:instrText>
          </w:r>
          <w:r>
            <w:fldChar w:fldCharType="separate"/>
          </w:r>
          <w:r>
            <w:rPr>
              <w:rStyle w:val="12"/>
              <w:color w:val="auto"/>
            </w:rPr>
            <w:t>2.9 Research gap</w:t>
          </w:r>
          <w:r>
            <w:tab/>
          </w:r>
          <w:r>
            <w:fldChar w:fldCharType="begin"/>
          </w:r>
          <w:r>
            <w:instrText xml:space="preserve"> PAGEREF _Toc241231906 \h </w:instrText>
          </w:r>
          <w:r>
            <w:fldChar w:fldCharType="separate"/>
          </w:r>
          <w:r>
            <w:t>24</w:t>
          </w:r>
          <w:r>
            <w:fldChar w:fldCharType="end"/>
          </w:r>
          <w:r>
            <w:fldChar w:fldCharType="end"/>
          </w:r>
        </w:p>
        <w:p w14:paraId="44DEAF53">
          <w:pPr>
            <w:pStyle w:val="16"/>
            <w:tabs>
              <w:tab w:val="right" w:leader="dot" w:pos="9350"/>
            </w:tabs>
          </w:pPr>
          <w:r>
            <w:fldChar w:fldCharType="begin"/>
          </w:r>
          <w:r>
            <w:instrText xml:space="preserve"> HYPERLINK \l "_Toc241231907" </w:instrText>
          </w:r>
          <w:r>
            <w:fldChar w:fldCharType="separate"/>
          </w:r>
          <w:r>
            <w:rPr>
              <w:rStyle w:val="12"/>
              <w:color w:val="auto"/>
            </w:rPr>
            <w:t>2.10 Chapter Summary</w:t>
          </w:r>
          <w:r>
            <w:tab/>
          </w:r>
          <w:r>
            <w:fldChar w:fldCharType="begin"/>
          </w:r>
          <w:r>
            <w:instrText xml:space="preserve"> PAGEREF _Toc241231907 \h </w:instrText>
          </w:r>
          <w:r>
            <w:fldChar w:fldCharType="separate"/>
          </w:r>
          <w:r>
            <w:t>24</w:t>
          </w:r>
          <w:r>
            <w:fldChar w:fldCharType="end"/>
          </w:r>
          <w:r>
            <w:fldChar w:fldCharType="end"/>
          </w:r>
        </w:p>
        <w:p w14:paraId="2DF8DAE5">
          <w:pPr>
            <w:pStyle w:val="15"/>
            <w:tabs>
              <w:tab w:val="right" w:leader="dot" w:pos="9350"/>
            </w:tabs>
          </w:pPr>
          <w:r>
            <w:fldChar w:fldCharType="begin"/>
          </w:r>
          <w:r>
            <w:instrText xml:space="preserve"> HYPERLINK \l "_Toc241231908" </w:instrText>
          </w:r>
          <w:r>
            <w:fldChar w:fldCharType="separate"/>
          </w:r>
          <w:r>
            <w:rPr>
              <w:rStyle w:val="12"/>
              <w:color w:val="auto"/>
            </w:rPr>
            <w:t>CHAPTER 3: RESEARCH METHODOLOGY</w:t>
          </w:r>
          <w:r>
            <w:tab/>
          </w:r>
          <w:r>
            <w:fldChar w:fldCharType="begin"/>
          </w:r>
          <w:r>
            <w:instrText xml:space="preserve"> PAGEREF _Toc241231908 \h </w:instrText>
          </w:r>
          <w:r>
            <w:fldChar w:fldCharType="separate"/>
          </w:r>
          <w:r>
            <w:t>26</w:t>
          </w:r>
          <w:r>
            <w:fldChar w:fldCharType="end"/>
          </w:r>
          <w:r>
            <w:fldChar w:fldCharType="end"/>
          </w:r>
        </w:p>
        <w:p w14:paraId="3EF25191">
          <w:pPr>
            <w:pStyle w:val="16"/>
            <w:tabs>
              <w:tab w:val="right" w:leader="dot" w:pos="9350"/>
            </w:tabs>
          </w:pPr>
          <w:r>
            <w:fldChar w:fldCharType="begin"/>
          </w:r>
          <w:r>
            <w:instrText xml:space="preserve"> HYPERLINK \l "_Toc241231909" </w:instrText>
          </w:r>
          <w:r>
            <w:fldChar w:fldCharType="separate"/>
          </w:r>
          <w:r>
            <w:rPr>
              <w:rStyle w:val="12"/>
              <w:color w:val="auto"/>
            </w:rPr>
            <w:t>3.1 Introduction</w:t>
          </w:r>
          <w:r>
            <w:tab/>
          </w:r>
          <w:r>
            <w:fldChar w:fldCharType="begin"/>
          </w:r>
          <w:r>
            <w:instrText xml:space="preserve"> PAGEREF _Toc241231909 \h </w:instrText>
          </w:r>
          <w:r>
            <w:fldChar w:fldCharType="separate"/>
          </w:r>
          <w:r>
            <w:t>26</w:t>
          </w:r>
          <w:r>
            <w:fldChar w:fldCharType="end"/>
          </w:r>
          <w:r>
            <w:fldChar w:fldCharType="end"/>
          </w:r>
        </w:p>
        <w:p w14:paraId="7130015D">
          <w:pPr>
            <w:pStyle w:val="16"/>
            <w:tabs>
              <w:tab w:val="right" w:leader="dot" w:pos="9350"/>
            </w:tabs>
          </w:pPr>
          <w:r>
            <w:fldChar w:fldCharType="begin"/>
          </w:r>
          <w:r>
            <w:instrText xml:space="preserve"> HYPERLINK \l "_Toc241231910" </w:instrText>
          </w:r>
          <w:r>
            <w:fldChar w:fldCharType="separate"/>
          </w:r>
          <w:r>
            <w:rPr>
              <w:rStyle w:val="12"/>
              <w:color w:val="auto"/>
            </w:rPr>
            <w:t>3.2 Research Philosophy</w:t>
          </w:r>
          <w:r>
            <w:tab/>
          </w:r>
          <w:r>
            <w:fldChar w:fldCharType="begin"/>
          </w:r>
          <w:r>
            <w:instrText xml:space="preserve"> PAGEREF _Toc241231910 \h </w:instrText>
          </w:r>
          <w:r>
            <w:fldChar w:fldCharType="separate"/>
          </w:r>
          <w:r>
            <w:t>26</w:t>
          </w:r>
          <w:r>
            <w:fldChar w:fldCharType="end"/>
          </w:r>
          <w:r>
            <w:fldChar w:fldCharType="end"/>
          </w:r>
        </w:p>
        <w:p w14:paraId="59B136E2">
          <w:pPr>
            <w:pStyle w:val="16"/>
            <w:tabs>
              <w:tab w:val="right" w:leader="dot" w:pos="9350"/>
            </w:tabs>
          </w:pPr>
          <w:r>
            <w:fldChar w:fldCharType="begin"/>
          </w:r>
          <w:r>
            <w:instrText xml:space="preserve"> HYPERLINK \l "_Toc241231911" </w:instrText>
          </w:r>
          <w:r>
            <w:fldChar w:fldCharType="separate"/>
          </w:r>
          <w:r>
            <w:rPr>
              <w:rStyle w:val="12"/>
              <w:color w:val="auto"/>
            </w:rPr>
            <w:t>3.3 Research Approach</w:t>
          </w:r>
          <w:r>
            <w:tab/>
          </w:r>
          <w:r>
            <w:fldChar w:fldCharType="begin"/>
          </w:r>
          <w:r>
            <w:instrText xml:space="preserve"> PAGEREF _Toc241231911 \h </w:instrText>
          </w:r>
          <w:r>
            <w:fldChar w:fldCharType="separate"/>
          </w:r>
          <w:r>
            <w:t>27</w:t>
          </w:r>
          <w:r>
            <w:fldChar w:fldCharType="end"/>
          </w:r>
          <w:r>
            <w:fldChar w:fldCharType="end"/>
          </w:r>
        </w:p>
        <w:p w14:paraId="7E935DBB">
          <w:pPr>
            <w:pStyle w:val="16"/>
            <w:tabs>
              <w:tab w:val="right" w:leader="dot" w:pos="9350"/>
            </w:tabs>
          </w:pPr>
          <w:r>
            <w:fldChar w:fldCharType="begin"/>
          </w:r>
          <w:r>
            <w:instrText xml:space="preserve"> HYPERLINK \l "_Toc241231912" </w:instrText>
          </w:r>
          <w:r>
            <w:fldChar w:fldCharType="separate"/>
          </w:r>
          <w:r>
            <w:rPr>
              <w:rStyle w:val="12"/>
              <w:color w:val="auto"/>
            </w:rPr>
            <w:t>3.4 Research Design</w:t>
          </w:r>
          <w:r>
            <w:tab/>
          </w:r>
          <w:r>
            <w:fldChar w:fldCharType="begin"/>
          </w:r>
          <w:r>
            <w:instrText xml:space="preserve"> PAGEREF _Toc241231912 \h </w:instrText>
          </w:r>
          <w:r>
            <w:fldChar w:fldCharType="separate"/>
          </w:r>
          <w:r>
            <w:t>27</w:t>
          </w:r>
          <w:r>
            <w:fldChar w:fldCharType="end"/>
          </w:r>
          <w:r>
            <w:fldChar w:fldCharType="end"/>
          </w:r>
        </w:p>
        <w:p w14:paraId="767FC2C5">
          <w:pPr>
            <w:pStyle w:val="16"/>
            <w:tabs>
              <w:tab w:val="right" w:leader="dot" w:pos="9350"/>
            </w:tabs>
          </w:pPr>
          <w:r>
            <w:fldChar w:fldCharType="begin"/>
          </w:r>
          <w:r>
            <w:instrText xml:space="preserve"> HYPERLINK \l "_Toc241231913" </w:instrText>
          </w:r>
          <w:r>
            <w:fldChar w:fldCharType="separate"/>
          </w:r>
          <w:r>
            <w:rPr>
              <w:rStyle w:val="12"/>
              <w:color w:val="auto"/>
            </w:rPr>
            <w:t>3.5 Data Collection Method</w:t>
          </w:r>
          <w:r>
            <w:tab/>
          </w:r>
          <w:r>
            <w:fldChar w:fldCharType="begin"/>
          </w:r>
          <w:r>
            <w:instrText xml:space="preserve"> PAGEREF _Toc241231913 \h </w:instrText>
          </w:r>
          <w:r>
            <w:fldChar w:fldCharType="separate"/>
          </w:r>
          <w:r>
            <w:t>28</w:t>
          </w:r>
          <w:r>
            <w:fldChar w:fldCharType="end"/>
          </w:r>
          <w:r>
            <w:fldChar w:fldCharType="end"/>
          </w:r>
        </w:p>
        <w:p w14:paraId="1E5FF8E1">
          <w:pPr>
            <w:pStyle w:val="17"/>
            <w:tabs>
              <w:tab w:val="right" w:leader="dot" w:pos="9350"/>
            </w:tabs>
          </w:pPr>
          <w:r>
            <w:fldChar w:fldCharType="begin"/>
          </w:r>
          <w:r>
            <w:instrText xml:space="preserve"> HYPERLINK \l "_Toc241231914" </w:instrText>
          </w:r>
          <w:r>
            <w:fldChar w:fldCharType="separate"/>
          </w:r>
          <w:r>
            <w:rPr>
              <w:rStyle w:val="12"/>
              <w:color w:val="auto"/>
            </w:rPr>
            <w:t>3.5.1 Sources of Literature</w:t>
          </w:r>
          <w:r>
            <w:tab/>
          </w:r>
          <w:r>
            <w:fldChar w:fldCharType="begin"/>
          </w:r>
          <w:r>
            <w:instrText xml:space="preserve"> PAGEREF _Toc241231914 \h </w:instrText>
          </w:r>
          <w:r>
            <w:fldChar w:fldCharType="separate"/>
          </w:r>
          <w:r>
            <w:t>28</w:t>
          </w:r>
          <w:r>
            <w:fldChar w:fldCharType="end"/>
          </w:r>
          <w:r>
            <w:fldChar w:fldCharType="end"/>
          </w:r>
        </w:p>
        <w:p w14:paraId="62DB8636">
          <w:pPr>
            <w:pStyle w:val="17"/>
            <w:tabs>
              <w:tab w:val="right" w:leader="dot" w:pos="9350"/>
            </w:tabs>
          </w:pPr>
          <w:r>
            <w:fldChar w:fldCharType="begin"/>
          </w:r>
          <w:r>
            <w:instrText xml:space="preserve"> HYPERLINK \l "_Toc241231915" </w:instrText>
          </w:r>
          <w:r>
            <w:fldChar w:fldCharType="separate"/>
          </w:r>
          <w:r>
            <w:rPr>
              <w:rStyle w:val="12"/>
              <w:color w:val="auto"/>
            </w:rPr>
            <w:t>3.5.2 Search Strategy</w:t>
          </w:r>
          <w:r>
            <w:tab/>
          </w:r>
          <w:r>
            <w:fldChar w:fldCharType="begin"/>
          </w:r>
          <w:r>
            <w:instrText xml:space="preserve"> PAGEREF _Toc241231915 \h </w:instrText>
          </w:r>
          <w:r>
            <w:fldChar w:fldCharType="separate"/>
          </w:r>
          <w:r>
            <w:t>29</w:t>
          </w:r>
          <w:r>
            <w:fldChar w:fldCharType="end"/>
          </w:r>
          <w:r>
            <w:fldChar w:fldCharType="end"/>
          </w:r>
        </w:p>
        <w:p w14:paraId="1AB8A17B">
          <w:pPr>
            <w:pStyle w:val="17"/>
            <w:tabs>
              <w:tab w:val="right" w:leader="dot" w:pos="9350"/>
            </w:tabs>
          </w:pPr>
          <w:r>
            <w:fldChar w:fldCharType="begin"/>
          </w:r>
          <w:r>
            <w:instrText xml:space="preserve"> HYPERLINK \l "_Toc241231916" </w:instrText>
          </w:r>
          <w:r>
            <w:fldChar w:fldCharType="separate"/>
          </w:r>
          <w:r>
            <w:rPr>
              <w:rStyle w:val="12"/>
              <w:color w:val="auto"/>
            </w:rPr>
            <w:t>3.5.3 PRISMA-Guided Study Selection</w:t>
          </w:r>
          <w:r>
            <w:tab/>
          </w:r>
          <w:r>
            <w:fldChar w:fldCharType="begin"/>
          </w:r>
          <w:r>
            <w:instrText xml:space="preserve"> PAGEREF _Toc241231916 \h </w:instrText>
          </w:r>
          <w:r>
            <w:fldChar w:fldCharType="separate"/>
          </w:r>
          <w:r>
            <w:t>30</w:t>
          </w:r>
          <w:r>
            <w:fldChar w:fldCharType="end"/>
          </w:r>
          <w:r>
            <w:fldChar w:fldCharType="end"/>
          </w:r>
        </w:p>
        <w:p w14:paraId="3817B9AF">
          <w:pPr>
            <w:pStyle w:val="17"/>
            <w:tabs>
              <w:tab w:val="right" w:leader="dot" w:pos="9350"/>
            </w:tabs>
          </w:pPr>
          <w:r>
            <w:fldChar w:fldCharType="begin"/>
          </w:r>
          <w:r>
            <w:instrText xml:space="preserve"> HYPERLINK \l "_Toc241231917" </w:instrText>
          </w:r>
          <w:r>
            <w:fldChar w:fldCharType="separate"/>
          </w:r>
          <w:r>
            <w:rPr>
              <w:rStyle w:val="12"/>
              <w:color w:val="auto"/>
            </w:rPr>
            <w:t>3.5.4 Inclusion and Exclusion Criteria</w:t>
          </w:r>
          <w:r>
            <w:tab/>
          </w:r>
          <w:r>
            <w:fldChar w:fldCharType="begin"/>
          </w:r>
          <w:r>
            <w:instrText xml:space="preserve"> PAGEREF _Toc241231917 \h </w:instrText>
          </w:r>
          <w:r>
            <w:fldChar w:fldCharType="separate"/>
          </w:r>
          <w:r>
            <w:t>30</w:t>
          </w:r>
          <w:r>
            <w:fldChar w:fldCharType="end"/>
          </w:r>
          <w:r>
            <w:fldChar w:fldCharType="end"/>
          </w:r>
        </w:p>
        <w:p w14:paraId="013B4BCA">
          <w:pPr>
            <w:pStyle w:val="16"/>
            <w:tabs>
              <w:tab w:val="right" w:leader="dot" w:pos="9350"/>
            </w:tabs>
          </w:pPr>
          <w:r>
            <w:fldChar w:fldCharType="begin"/>
          </w:r>
          <w:r>
            <w:instrText xml:space="preserve"> HYPERLINK \l "_Toc241231918" </w:instrText>
          </w:r>
          <w:r>
            <w:fldChar w:fldCharType="separate"/>
          </w:r>
          <w:r>
            <w:rPr>
              <w:rStyle w:val="12"/>
              <w:color w:val="auto"/>
            </w:rPr>
            <w:t>3.6 Study Selection Process</w:t>
          </w:r>
          <w:r>
            <w:tab/>
          </w:r>
          <w:r>
            <w:fldChar w:fldCharType="begin"/>
          </w:r>
          <w:r>
            <w:instrText xml:space="preserve"> PAGEREF _Toc241231918 \h </w:instrText>
          </w:r>
          <w:r>
            <w:fldChar w:fldCharType="separate"/>
          </w:r>
          <w:r>
            <w:t>31</w:t>
          </w:r>
          <w:r>
            <w:fldChar w:fldCharType="end"/>
          </w:r>
          <w:r>
            <w:fldChar w:fldCharType="end"/>
          </w:r>
        </w:p>
        <w:p w14:paraId="5AD7365C">
          <w:pPr>
            <w:pStyle w:val="16"/>
            <w:tabs>
              <w:tab w:val="right" w:leader="dot" w:pos="9350"/>
            </w:tabs>
          </w:pPr>
          <w:r>
            <w:fldChar w:fldCharType="begin"/>
          </w:r>
          <w:r>
            <w:instrText xml:space="preserve"> HYPERLINK \l "_Toc241231919" </w:instrText>
          </w:r>
          <w:r>
            <w:fldChar w:fldCharType="separate"/>
          </w:r>
          <w:r>
            <w:rPr>
              <w:rStyle w:val="12"/>
              <w:color w:val="auto"/>
            </w:rPr>
            <w:t>3.7 Quality check process</w:t>
          </w:r>
          <w:r>
            <w:tab/>
          </w:r>
          <w:r>
            <w:fldChar w:fldCharType="begin"/>
          </w:r>
          <w:r>
            <w:instrText xml:space="preserve"> PAGEREF _Toc241231919 \h </w:instrText>
          </w:r>
          <w:r>
            <w:fldChar w:fldCharType="separate"/>
          </w:r>
          <w:r>
            <w:t>31</w:t>
          </w:r>
          <w:r>
            <w:fldChar w:fldCharType="end"/>
          </w:r>
          <w:r>
            <w:fldChar w:fldCharType="end"/>
          </w:r>
        </w:p>
        <w:p w14:paraId="0D4D472F">
          <w:pPr>
            <w:pStyle w:val="16"/>
            <w:tabs>
              <w:tab w:val="right" w:leader="dot" w:pos="9350"/>
            </w:tabs>
          </w:pPr>
          <w:r>
            <w:fldChar w:fldCharType="begin"/>
          </w:r>
          <w:r>
            <w:instrText xml:space="preserve"> HYPERLINK \l "_Toc241231920" </w:instrText>
          </w:r>
          <w:r>
            <w:fldChar w:fldCharType="separate"/>
          </w:r>
          <w:r>
            <w:rPr>
              <w:rStyle w:val="12"/>
              <w:color w:val="auto"/>
            </w:rPr>
            <w:t>3.7 Data Analysis</w:t>
          </w:r>
          <w:r>
            <w:tab/>
          </w:r>
          <w:r>
            <w:fldChar w:fldCharType="begin"/>
          </w:r>
          <w:r>
            <w:instrText xml:space="preserve"> PAGEREF _Toc241231920 \h </w:instrText>
          </w:r>
          <w:r>
            <w:fldChar w:fldCharType="separate"/>
          </w:r>
          <w:r>
            <w:t>32</w:t>
          </w:r>
          <w:r>
            <w:fldChar w:fldCharType="end"/>
          </w:r>
          <w:r>
            <w:fldChar w:fldCharType="end"/>
          </w:r>
        </w:p>
        <w:p w14:paraId="68B09A42">
          <w:pPr>
            <w:pStyle w:val="16"/>
            <w:tabs>
              <w:tab w:val="right" w:leader="dot" w:pos="9350"/>
            </w:tabs>
          </w:pPr>
          <w:r>
            <w:fldChar w:fldCharType="begin"/>
          </w:r>
          <w:r>
            <w:instrText xml:space="preserve"> HYPERLINK \l "_Toc241231921" </w:instrText>
          </w:r>
          <w:r>
            <w:fldChar w:fldCharType="separate"/>
          </w:r>
          <w:r>
            <w:rPr>
              <w:rStyle w:val="12"/>
              <w:color w:val="auto"/>
            </w:rPr>
            <w:t>3.8 Evaluation of the Research Methodology</w:t>
          </w:r>
          <w:r>
            <w:tab/>
          </w:r>
          <w:r>
            <w:fldChar w:fldCharType="begin"/>
          </w:r>
          <w:r>
            <w:instrText xml:space="preserve"> PAGEREF _Toc241231921 \h </w:instrText>
          </w:r>
          <w:r>
            <w:fldChar w:fldCharType="separate"/>
          </w:r>
          <w:r>
            <w:t>32</w:t>
          </w:r>
          <w:r>
            <w:fldChar w:fldCharType="end"/>
          </w:r>
          <w:r>
            <w:fldChar w:fldCharType="end"/>
          </w:r>
        </w:p>
        <w:p w14:paraId="5A1ABB0E">
          <w:pPr>
            <w:pStyle w:val="16"/>
            <w:tabs>
              <w:tab w:val="right" w:leader="dot" w:pos="9350"/>
            </w:tabs>
          </w:pPr>
          <w:r>
            <w:fldChar w:fldCharType="begin"/>
          </w:r>
          <w:r>
            <w:instrText xml:space="preserve"> HYPERLINK \l "_Toc241231922" </w:instrText>
          </w:r>
          <w:r>
            <w:fldChar w:fldCharType="separate"/>
          </w:r>
          <w:r>
            <w:rPr>
              <w:rStyle w:val="12"/>
              <w:color w:val="auto"/>
            </w:rPr>
            <w:t>3.9 Reliability and Validity</w:t>
          </w:r>
          <w:r>
            <w:tab/>
          </w:r>
          <w:r>
            <w:fldChar w:fldCharType="begin"/>
          </w:r>
          <w:r>
            <w:instrText xml:space="preserve"> PAGEREF _Toc241231922 \h </w:instrText>
          </w:r>
          <w:r>
            <w:fldChar w:fldCharType="separate"/>
          </w:r>
          <w:r>
            <w:t>33</w:t>
          </w:r>
          <w:r>
            <w:fldChar w:fldCharType="end"/>
          </w:r>
          <w:r>
            <w:fldChar w:fldCharType="end"/>
          </w:r>
        </w:p>
        <w:p w14:paraId="4E86E333">
          <w:pPr>
            <w:pStyle w:val="16"/>
            <w:tabs>
              <w:tab w:val="right" w:leader="dot" w:pos="9350"/>
            </w:tabs>
          </w:pPr>
          <w:r>
            <w:fldChar w:fldCharType="begin"/>
          </w:r>
          <w:r>
            <w:instrText xml:space="preserve"> HYPERLINK \l "_Toc241231923" </w:instrText>
          </w:r>
          <w:r>
            <w:fldChar w:fldCharType="separate"/>
          </w:r>
          <w:r>
            <w:rPr>
              <w:rStyle w:val="12"/>
              <w:color w:val="auto"/>
            </w:rPr>
            <w:t>3.10 Ethical Considerations</w:t>
          </w:r>
          <w:r>
            <w:tab/>
          </w:r>
          <w:r>
            <w:fldChar w:fldCharType="begin"/>
          </w:r>
          <w:r>
            <w:instrText xml:space="preserve"> PAGEREF _Toc241231923 \h </w:instrText>
          </w:r>
          <w:r>
            <w:fldChar w:fldCharType="separate"/>
          </w:r>
          <w:r>
            <w:t>33</w:t>
          </w:r>
          <w:r>
            <w:fldChar w:fldCharType="end"/>
          </w:r>
          <w:r>
            <w:fldChar w:fldCharType="end"/>
          </w:r>
        </w:p>
        <w:p w14:paraId="27C6F093">
          <w:pPr>
            <w:pStyle w:val="16"/>
            <w:tabs>
              <w:tab w:val="right" w:leader="dot" w:pos="9350"/>
            </w:tabs>
          </w:pPr>
          <w:r>
            <w:fldChar w:fldCharType="begin"/>
          </w:r>
          <w:r>
            <w:instrText xml:space="preserve"> HYPERLINK \l "_Toc241231924" </w:instrText>
          </w:r>
          <w:r>
            <w:fldChar w:fldCharType="separate"/>
          </w:r>
          <w:r>
            <w:rPr>
              <w:rStyle w:val="12"/>
              <w:color w:val="auto"/>
            </w:rPr>
            <w:t>3.11 Chapter Summary</w:t>
          </w:r>
          <w:r>
            <w:tab/>
          </w:r>
          <w:r>
            <w:fldChar w:fldCharType="begin"/>
          </w:r>
          <w:r>
            <w:instrText xml:space="preserve"> PAGEREF _Toc241231924 \h </w:instrText>
          </w:r>
          <w:r>
            <w:fldChar w:fldCharType="separate"/>
          </w:r>
          <w:r>
            <w:t>34</w:t>
          </w:r>
          <w:r>
            <w:fldChar w:fldCharType="end"/>
          </w:r>
          <w:r>
            <w:fldChar w:fldCharType="end"/>
          </w:r>
        </w:p>
        <w:p w14:paraId="1607F11A">
          <w:pPr>
            <w:pStyle w:val="15"/>
            <w:tabs>
              <w:tab w:val="right" w:leader="dot" w:pos="9350"/>
            </w:tabs>
          </w:pPr>
          <w:r>
            <w:fldChar w:fldCharType="begin"/>
          </w:r>
          <w:r>
            <w:instrText xml:space="preserve"> HYPERLINK \l "_Toc241231925" </w:instrText>
          </w:r>
          <w:r>
            <w:fldChar w:fldCharType="separate"/>
          </w:r>
          <w:r>
            <w:rPr>
              <w:rStyle w:val="12"/>
              <w:color w:val="auto"/>
            </w:rPr>
            <w:t>CHAPTER 4: RESULT</w:t>
          </w:r>
          <w:r>
            <w:tab/>
          </w:r>
          <w:r>
            <w:fldChar w:fldCharType="begin"/>
          </w:r>
          <w:r>
            <w:instrText xml:space="preserve"> PAGEREF _Toc241231925 \h </w:instrText>
          </w:r>
          <w:r>
            <w:fldChar w:fldCharType="separate"/>
          </w:r>
          <w:r>
            <w:t>35</w:t>
          </w:r>
          <w:r>
            <w:fldChar w:fldCharType="end"/>
          </w:r>
          <w:r>
            <w:fldChar w:fldCharType="end"/>
          </w:r>
        </w:p>
        <w:p w14:paraId="49B920AD">
          <w:pPr>
            <w:pStyle w:val="16"/>
            <w:tabs>
              <w:tab w:val="right" w:leader="dot" w:pos="9350"/>
            </w:tabs>
          </w:pPr>
          <w:r>
            <w:fldChar w:fldCharType="begin"/>
          </w:r>
          <w:r>
            <w:instrText xml:space="preserve"> HYPERLINK \l "_Toc241231926" </w:instrText>
          </w:r>
          <w:r>
            <w:fldChar w:fldCharType="separate"/>
          </w:r>
          <w:r>
            <w:rPr>
              <w:rStyle w:val="12"/>
              <w:color w:val="auto"/>
            </w:rPr>
            <w:t>4.1 Introduction</w:t>
          </w:r>
          <w:r>
            <w:tab/>
          </w:r>
          <w:r>
            <w:fldChar w:fldCharType="begin"/>
          </w:r>
          <w:r>
            <w:instrText xml:space="preserve"> PAGEREF _Toc241231926 \h </w:instrText>
          </w:r>
          <w:r>
            <w:fldChar w:fldCharType="separate"/>
          </w:r>
          <w:r>
            <w:t>35</w:t>
          </w:r>
          <w:r>
            <w:fldChar w:fldCharType="end"/>
          </w:r>
          <w:r>
            <w:fldChar w:fldCharType="end"/>
          </w:r>
        </w:p>
        <w:p w14:paraId="5E276975">
          <w:pPr>
            <w:pStyle w:val="16"/>
            <w:tabs>
              <w:tab w:val="right" w:leader="dot" w:pos="9350"/>
            </w:tabs>
          </w:pPr>
          <w:r>
            <w:fldChar w:fldCharType="begin"/>
          </w:r>
          <w:r>
            <w:instrText xml:space="preserve"> HYPERLINK \l "_Toc241231927" </w:instrText>
          </w:r>
          <w:r>
            <w:fldChar w:fldCharType="separate"/>
          </w:r>
          <w:r>
            <w:rPr>
              <w:rStyle w:val="12"/>
              <w:color w:val="auto"/>
            </w:rPr>
            <w:t>4.4 Systematic Literature Review</w:t>
          </w:r>
          <w:r>
            <w:tab/>
          </w:r>
          <w:r>
            <w:fldChar w:fldCharType="begin"/>
          </w:r>
          <w:r>
            <w:instrText xml:space="preserve"> PAGEREF _Toc241231927 \h </w:instrText>
          </w:r>
          <w:r>
            <w:fldChar w:fldCharType="separate"/>
          </w:r>
          <w:r>
            <w:t>36</w:t>
          </w:r>
          <w:r>
            <w:fldChar w:fldCharType="end"/>
          </w:r>
          <w:r>
            <w:fldChar w:fldCharType="end"/>
          </w:r>
        </w:p>
        <w:p w14:paraId="29059AD3">
          <w:pPr>
            <w:pStyle w:val="16"/>
            <w:tabs>
              <w:tab w:val="right" w:leader="dot" w:pos="9350"/>
            </w:tabs>
          </w:pPr>
          <w:r>
            <w:fldChar w:fldCharType="begin"/>
          </w:r>
          <w:r>
            <w:instrText xml:space="preserve"> HYPERLINK \l "_Toc241231928" </w:instrText>
          </w:r>
          <w:r>
            <w:fldChar w:fldCharType="separate"/>
          </w:r>
          <w:r>
            <w:rPr>
              <w:rStyle w:val="12"/>
              <w:color w:val="auto"/>
            </w:rPr>
            <w:t>4.3 Thematic Analysis</w:t>
          </w:r>
          <w:r>
            <w:tab/>
          </w:r>
          <w:r>
            <w:fldChar w:fldCharType="begin"/>
          </w:r>
          <w:r>
            <w:instrText xml:space="preserve"> PAGEREF _Toc241231928 \h </w:instrText>
          </w:r>
          <w:r>
            <w:fldChar w:fldCharType="separate"/>
          </w:r>
          <w:r>
            <w:t>43</w:t>
          </w:r>
          <w:r>
            <w:fldChar w:fldCharType="end"/>
          </w:r>
          <w:r>
            <w:fldChar w:fldCharType="end"/>
          </w:r>
        </w:p>
        <w:p w14:paraId="57116B04">
          <w:pPr>
            <w:pStyle w:val="17"/>
            <w:tabs>
              <w:tab w:val="right" w:leader="dot" w:pos="9350"/>
            </w:tabs>
          </w:pPr>
          <w:r>
            <w:fldChar w:fldCharType="begin"/>
          </w:r>
          <w:r>
            <w:instrText xml:space="preserve"> HYPERLINK \l "_Toc241231929" </w:instrText>
          </w:r>
          <w:r>
            <w:fldChar w:fldCharType="separate"/>
          </w:r>
          <w:r>
            <w:rPr>
              <w:rStyle w:val="12"/>
              <w:color w:val="auto"/>
            </w:rPr>
            <w:t>4.3.1 Theme 1: Barriers to Early Identification</w:t>
          </w:r>
          <w:r>
            <w:tab/>
          </w:r>
          <w:r>
            <w:fldChar w:fldCharType="begin"/>
          </w:r>
          <w:r>
            <w:instrText xml:space="preserve"> PAGEREF _Toc241231929 \h </w:instrText>
          </w:r>
          <w:r>
            <w:fldChar w:fldCharType="separate"/>
          </w:r>
          <w:r>
            <w:t>43</w:t>
          </w:r>
          <w:r>
            <w:fldChar w:fldCharType="end"/>
          </w:r>
          <w:r>
            <w:fldChar w:fldCharType="end"/>
          </w:r>
        </w:p>
        <w:p w14:paraId="5243548A">
          <w:pPr>
            <w:pStyle w:val="17"/>
            <w:tabs>
              <w:tab w:val="right" w:leader="dot" w:pos="9350"/>
            </w:tabs>
          </w:pPr>
          <w:r>
            <w:fldChar w:fldCharType="begin"/>
          </w:r>
          <w:r>
            <w:instrText xml:space="preserve"> HYPERLINK \l "_Toc241231930" </w:instrText>
          </w:r>
          <w:r>
            <w:fldChar w:fldCharType="separate"/>
          </w:r>
          <w:r>
            <w:rPr>
              <w:rStyle w:val="12"/>
              <w:color w:val="auto"/>
            </w:rPr>
            <w:t>4.3.2 Theme 2: Barriers to Accessing Early Intervention</w:t>
          </w:r>
          <w:r>
            <w:tab/>
          </w:r>
          <w:r>
            <w:fldChar w:fldCharType="begin"/>
          </w:r>
          <w:r>
            <w:instrText xml:space="preserve"> PAGEREF _Toc241231930 \h </w:instrText>
          </w:r>
          <w:r>
            <w:fldChar w:fldCharType="separate"/>
          </w:r>
          <w:r>
            <w:t>44</w:t>
          </w:r>
          <w:r>
            <w:fldChar w:fldCharType="end"/>
          </w:r>
          <w:r>
            <w:fldChar w:fldCharType="end"/>
          </w:r>
        </w:p>
        <w:p w14:paraId="7C0F1509">
          <w:pPr>
            <w:pStyle w:val="17"/>
            <w:tabs>
              <w:tab w:val="right" w:leader="dot" w:pos="9350"/>
            </w:tabs>
          </w:pPr>
          <w:r>
            <w:fldChar w:fldCharType="begin"/>
          </w:r>
          <w:r>
            <w:instrText xml:space="preserve"> HYPERLINK \l "_Toc241231931" </w:instrText>
          </w:r>
          <w:r>
            <w:fldChar w:fldCharType="separate"/>
          </w:r>
          <w:r>
            <w:rPr>
              <w:rStyle w:val="12"/>
              <w:color w:val="auto"/>
            </w:rPr>
            <w:t>4.3.3 Theme 3: Service Delivery and Implementation Challenges</w:t>
          </w:r>
          <w:r>
            <w:tab/>
          </w:r>
          <w:r>
            <w:fldChar w:fldCharType="begin"/>
          </w:r>
          <w:r>
            <w:instrText xml:space="preserve"> PAGEREF _Toc241231931 \h </w:instrText>
          </w:r>
          <w:r>
            <w:fldChar w:fldCharType="separate"/>
          </w:r>
          <w:r>
            <w:t>45</w:t>
          </w:r>
          <w:r>
            <w:fldChar w:fldCharType="end"/>
          </w:r>
          <w:r>
            <w:fldChar w:fldCharType="end"/>
          </w:r>
        </w:p>
        <w:p w14:paraId="69A6F17A">
          <w:pPr>
            <w:pStyle w:val="17"/>
            <w:tabs>
              <w:tab w:val="right" w:leader="dot" w:pos="9350"/>
            </w:tabs>
          </w:pPr>
          <w:r>
            <w:fldChar w:fldCharType="begin"/>
          </w:r>
          <w:r>
            <w:instrText xml:space="preserve"> HYPERLINK \l "_Toc241231932" </w:instrText>
          </w:r>
          <w:r>
            <w:fldChar w:fldCharType="separate"/>
          </w:r>
          <w:r>
            <w:rPr>
              <w:rStyle w:val="12"/>
              <w:color w:val="auto"/>
            </w:rPr>
            <w:t>4.3.4 Theme 4: Facilitators of Effective Early Intervention</w:t>
          </w:r>
          <w:r>
            <w:tab/>
          </w:r>
          <w:r>
            <w:fldChar w:fldCharType="begin"/>
          </w:r>
          <w:r>
            <w:instrText xml:space="preserve"> PAGEREF _Toc241231932 \h </w:instrText>
          </w:r>
          <w:r>
            <w:fldChar w:fldCharType="separate"/>
          </w:r>
          <w:r>
            <w:t>46</w:t>
          </w:r>
          <w:r>
            <w:fldChar w:fldCharType="end"/>
          </w:r>
          <w:r>
            <w:fldChar w:fldCharType="end"/>
          </w:r>
        </w:p>
        <w:p w14:paraId="448AD539">
          <w:pPr>
            <w:pStyle w:val="16"/>
            <w:tabs>
              <w:tab w:val="right" w:leader="dot" w:pos="9350"/>
            </w:tabs>
          </w:pPr>
          <w:r>
            <w:fldChar w:fldCharType="begin"/>
          </w:r>
          <w:r>
            <w:instrText xml:space="preserve"> HYPERLINK \l "_Toc241231933" </w:instrText>
          </w:r>
          <w:r>
            <w:fldChar w:fldCharType="separate"/>
          </w:r>
          <w:r>
            <w:rPr>
              <w:rStyle w:val="12"/>
              <w:color w:val="auto"/>
            </w:rPr>
            <w:t>4.4 Chapter Summary</w:t>
          </w:r>
          <w:r>
            <w:tab/>
          </w:r>
          <w:r>
            <w:fldChar w:fldCharType="begin"/>
          </w:r>
          <w:r>
            <w:instrText xml:space="preserve"> PAGEREF _Toc241231933 \h </w:instrText>
          </w:r>
          <w:r>
            <w:fldChar w:fldCharType="separate"/>
          </w:r>
          <w:r>
            <w:t>48</w:t>
          </w:r>
          <w:r>
            <w:fldChar w:fldCharType="end"/>
          </w:r>
          <w:r>
            <w:fldChar w:fldCharType="end"/>
          </w:r>
        </w:p>
        <w:p w14:paraId="1D22C7DF">
          <w:pPr>
            <w:pStyle w:val="15"/>
            <w:tabs>
              <w:tab w:val="right" w:leader="dot" w:pos="9350"/>
            </w:tabs>
          </w:pPr>
          <w:r>
            <w:fldChar w:fldCharType="begin"/>
          </w:r>
          <w:r>
            <w:instrText xml:space="preserve"> HYPERLINK \l "_Toc241231934" </w:instrText>
          </w:r>
          <w:r>
            <w:fldChar w:fldCharType="separate"/>
          </w:r>
          <w:r>
            <w:rPr>
              <w:rStyle w:val="12"/>
              <w:color w:val="auto"/>
            </w:rPr>
            <w:t>CHAPTER 5: DISCUSSION</w:t>
          </w:r>
          <w:r>
            <w:tab/>
          </w:r>
          <w:r>
            <w:fldChar w:fldCharType="begin"/>
          </w:r>
          <w:r>
            <w:instrText xml:space="preserve"> PAGEREF _Toc241231934 \h </w:instrText>
          </w:r>
          <w:r>
            <w:fldChar w:fldCharType="separate"/>
          </w:r>
          <w:r>
            <w:t>49</w:t>
          </w:r>
          <w:r>
            <w:fldChar w:fldCharType="end"/>
          </w:r>
          <w:r>
            <w:fldChar w:fldCharType="end"/>
          </w:r>
        </w:p>
        <w:p w14:paraId="5A5A7985">
          <w:pPr>
            <w:pStyle w:val="16"/>
            <w:tabs>
              <w:tab w:val="right" w:leader="dot" w:pos="9350"/>
            </w:tabs>
          </w:pPr>
          <w:r>
            <w:fldChar w:fldCharType="begin"/>
          </w:r>
          <w:r>
            <w:instrText xml:space="preserve"> HYPERLINK \l "_Toc241231935" </w:instrText>
          </w:r>
          <w:r>
            <w:fldChar w:fldCharType="separate"/>
          </w:r>
          <w:r>
            <w:rPr>
              <w:rStyle w:val="12"/>
              <w:color w:val="auto"/>
            </w:rPr>
            <w:t>5.1 Introduction</w:t>
          </w:r>
          <w:r>
            <w:tab/>
          </w:r>
          <w:r>
            <w:fldChar w:fldCharType="begin"/>
          </w:r>
          <w:r>
            <w:instrText xml:space="preserve"> PAGEREF _Toc241231935 \h </w:instrText>
          </w:r>
          <w:r>
            <w:fldChar w:fldCharType="separate"/>
          </w:r>
          <w:r>
            <w:t>49</w:t>
          </w:r>
          <w:r>
            <w:fldChar w:fldCharType="end"/>
          </w:r>
          <w:r>
            <w:fldChar w:fldCharType="end"/>
          </w:r>
        </w:p>
        <w:p w14:paraId="5BF4D668">
          <w:pPr>
            <w:pStyle w:val="16"/>
            <w:tabs>
              <w:tab w:val="right" w:leader="dot" w:pos="9350"/>
            </w:tabs>
          </w:pPr>
          <w:r>
            <w:fldChar w:fldCharType="begin"/>
          </w:r>
          <w:r>
            <w:instrText xml:space="preserve"> HYPERLINK \l "_Toc241231936" </w:instrText>
          </w:r>
          <w:r>
            <w:fldChar w:fldCharType="separate"/>
          </w:r>
          <w:r>
            <w:rPr>
              <w:rStyle w:val="12"/>
              <w:color w:val="auto"/>
            </w:rPr>
            <w:t>5.2 Overview and Interpretation of Key Findings</w:t>
          </w:r>
          <w:r>
            <w:tab/>
          </w:r>
          <w:r>
            <w:fldChar w:fldCharType="begin"/>
          </w:r>
          <w:r>
            <w:instrText xml:space="preserve"> PAGEREF _Toc241231936 \h </w:instrText>
          </w:r>
          <w:r>
            <w:fldChar w:fldCharType="separate"/>
          </w:r>
          <w:r>
            <w:t>49</w:t>
          </w:r>
          <w:r>
            <w:fldChar w:fldCharType="end"/>
          </w:r>
          <w:r>
            <w:fldChar w:fldCharType="end"/>
          </w:r>
        </w:p>
        <w:p w14:paraId="5AD22D9E">
          <w:pPr>
            <w:pStyle w:val="16"/>
            <w:tabs>
              <w:tab w:val="right" w:leader="dot" w:pos="9350"/>
            </w:tabs>
          </w:pPr>
          <w:r>
            <w:fldChar w:fldCharType="begin"/>
          </w:r>
          <w:r>
            <w:instrText xml:space="preserve"> HYPERLINK \l "_Toc241231937" </w:instrText>
          </w:r>
          <w:r>
            <w:fldChar w:fldCharType="separate"/>
          </w:r>
          <w:r>
            <w:rPr>
              <w:rStyle w:val="12"/>
              <w:color w:val="auto"/>
            </w:rPr>
            <w:t>5.3 Discussion of Theme 1: Barriers to Early Identification</w:t>
          </w:r>
          <w:r>
            <w:tab/>
          </w:r>
          <w:r>
            <w:fldChar w:fldCharType="begin"/>
          </w:r>
          <w:r>
            <w:instrText xml:space="preserve"> PAGEREF _Toc241231937 \h </w:instrText>
          </w:r>
          <w:r>
            <w:fldChar w:fldCharType="separate"/>
          </w:r>
          <w:r>
            <w:t>50</w:t>
          </w:r>
          <w:r>
            <w:fldChar w:fldCharType="end"/>
          </w:r>
          <w:r>
            <w:fldChar w:fldCharType="end"/>
          </w:r>
        </w:p>
        <w:p w14:paraId="4C2CFE6F">
          <w:pPr>
            <w:pStyle w:val="16"/>
            <w:tabs>
              <w:tab w:val="right" w:leader="dot" w:pos="9350"/>
            </w:tabs>
          </w:pPr>
          <w:r>
            <w:fldChar w:fldCharType="begin"/>
          </w:r>
          <w:r>
            <w:instrText xml:space="preserve"> HYPERLINK \l "_Toc241231938" </w:instrText>
          </w:r>
          <w:r>
            <w:fldChar w:fldCharType="separate"/>
          </w:r>
          <w:r>
            <w:rPr>
              <w:rStyle w:val="12"/>
              <w:color w:val="auto"/>
            </w:rPr>
            <w:t>5.4 Discussion of Theme 2: Barriers to Accessing Early Intervention</w:t>
          </w:r>
          <w:r>
            <w:tab/>
          </w:r>
          <w:r>
            <w:fldChar w:fldCharType="begin"/>
          </w:r>
          <w:r>
            <w:instrText xml:space="preserve"> PAGEREF _Toc241231938 \h </w:instrText>
          </w:r>
          <w:r>
            <w:fldChar w:fldCharType="separate"/>
          </w:r>
          <w:r>
            <w:t>50</w:t>
          </w:r>
          <w:r>
            <w:fldChar w:fldCharType="end"/>
          </w:r>
          <w:r>
            <w:fldChar w:fldCharType="end"/>
          </w:r>
        </w:p>
        <w:p w14:paraId="7529C1B6">
          <w:pPr>
            <w:pStyle w:val="16"/>
            <w:tabs>
              <w:tab w:val="right" w:leader="dot" w:pos="9350"/>
            </w:tabs>
          </w:pPr>
          <w:r>
            <w:fldChar w:fldCharType="begin"/>
          </w:r>
          <w:r>
            <w:instrText xml:space="preserve"> HYPERLINK \l "_Toc241231939" </w:instrText>
          </w:r>
          <w:r>
            <w:fldChar w:fldCharType="separate"/>
          </w:r>
          <w:r>
            <w:rPr>
              <w:rStyle w:val="12"/>
              <w:color w:val="auto"/>
            </w:rPr>
            <w:t>5.5 Discussion of Theme 3: Service Delivery and Implementation Challenges</w:t>
          </w:r>
          <w:r>
            <w:tab/>
          </w:r>
          <w:r>
            <w:fldChar w:fldCharType="begin"/>
          </w:r>
          <w:r>
            <w:instrText xml:space="preserve"> PAGEREF _Toc241231939 \h </w:instrText>
          </w:r>
          <w:r>
            <w:fldChar w:fldCharType="separate"/>
          </w:r>
          <w:r>
            <w:t>51</w:t>
          </w:r>
          <w:r>
            <w:fldChar w:fldCharType="end"/>
          </w:r>
          <w:r>
            <w:fldChar w:fldCharType="end"/>
          </w:r>
        </w:p>
        <w:p w14:paraId="5DF957B4">
          <w:pPr>
            <w:pStyle w:val="16"/>
            <w:tabs>
              <w:tab w:val="right" w:leader="dot" w:pos="9350"/>
            </w:tabs>
          </w:pPr>
          <w:r>
            <w:fldChar w:fldCharType="begin"/>
          </w:r>
          <w:r>
            <w:instrText xml:space="preserve"> HYPERLINK \l "_Toc241231940" </w:instrText>
          </w:r>
          <w:r>
            <w:fldChar w:fldCharType="separate"/>
          </w:r>
          <w:r>
            <w:rPr>
              <w:rStyle w:val="12"/>
              <w:color w:val="auto"/>
            </w:rPr>
            <w:t>5.6 Discussion of Theme 4: Facilitators of Effective Early Intervention</w:t>
          </w:r>
          <w:r>
            <w:tab/>
          </w:r>
          <w:r>
            <w:fldChar w:fldCharType="begin"/>
          </w:r>
          <w:r>
            <w:instrText xml:space="preserve"> PAGEREF _Toc241231940 \h </w:instrText>
          </w:r>
          <w:r>
            <w:fldChar w:fldCharType="separate"/>
          </w:r>
          <w:r>
            <w:t>52</w:t>
          </w:r>
          <w:r>
            <w:fldChar w:fldCharType="end"/>
          </w:r>
          <w:r>
            <w:fldChar w:fldCharType="end"/>
          </w:r>
        </w:p>
        <w:p w14:paraId="41A68682">
          <w:pPr>
            <w:pStyle w:val="16"/>
            <w:tabs>
              <w:tab w:val="right" w:leader="dot" w:pos="9350"/>
            </w:tabs>
          </w:pPr>
          <w:r>
            <w:fldChar w:fldCharType="begin"/>
          </w:r>
          <w:r>
            <w:instrText xml:space="preserve"> HYPERLINK \l "_Toc241231941" </w:instrText>
          </w:r>
          <w:r>
            <w:fldChar w:fldCharType="separate"/>
          </w:r>
          <w:r>
            <w:rPr>
              <w:rStyle w:val="12"/>
              <w:color w:val="auto"/>
            </w:rPr>
            <w:t>5.7 Discussion in Relation to UK Policy</w:t>
          </w:r>
          <w:r>
            <w:tab/>
          </w:r>
          <w:r>
            <w:fldChar w:fldCharType="begin"/>
          </w:r>
          <w:r>
            <w:instrText xml:space="preserve"> PAGEREF _Toc241231941 \h </w:instrText>
          </w:r>
          <w:r>
            <w:fldChar w:fldCharType="separate"/>
          </w:r>
          <w:r>
            <w:t>52</w:t>
          </w:r>
          <w:r>
            <w:fldChar w:fldCharType="end"/>
          </w:r>
          <w:r>
            <w:fldChar w:fldCharType="end"/>
          </w:r>
        </w:p>
        <w:p w14:paraId="2C82F535">
          <w:pPr>
            <w:pStyle w:val="16"/>
            <w:tabs>
              <w:tab w:val="right" w:leader="dot" w:pos="9350"/>
            </w:tabs>
          </w:pPr>
          <w:r>
            <w:fldChar w:fldCharType="begin"/>
          </w:r>
          <w:r>
            <w:instrText xml:space="preserve"> HYPERLINK \l "_Toc241231942" </w:instrText>
          </w:r>
          <w:r>
            <w:fldChar w:fldCharType="separate"/>
          </w:r>
          <w:r>
            <w:rPr>
              <w:rStyle w:val="12"/>
              <w:color w:val="auto"/>
            </w:rPr>
            <w:t>5.8 Discussion in Relation to the Research Objectives</w:t>
          </w:r>
          <w:r>
            <w:tab/>
          </w:r>
          <w:r>
            <w:fldChar w:fldCharType="begin"/>
          </w:r>
          <w:r>
            <w:instrText xml:space="preserve"> PAGEREF _Toc241231942 \h </w:instrText>
          </w:r>
          <w:r>
            <w:fldChar w:fldCharType="separate"/>
          </w:r>
          <w:r>
            <w:t>54</w:t>
          </w:r>
          <w:r>
            <w:fldChar w:fldCharType="end"/>
          </w:r>
          <w:r>
            <w:fldChar w:fldCharType="end"/>
          </w:r>
        </w:p>
        <w:p w14:paraId="3705ACC6">
          <w:pPr>
            <w:pStyle w:val="16"/>
            <w:tabs>
              <w:tab w:val="right" w:leader="dot" w:pos="9350"/>
            </w:tabs>
          </w:pPr>
          <w:r>
            <w:fldChar w:fldCharType="begin"/>
          </w:r>
          <w:r>
            <w:instrText xml:space="preserve"> HYPERLINK \l "_Toc241231943" </w:instrText>
          </w:r>
          <w:r>
            <w:fldChar w:fldCharType="separate"/>
          </w:r>
          <w:r>
            <w:rPr>
              <w:rStyle w:val="12"/>
              <w:color w:val="auto"/>
            </w:rPr>
            <w:t>5.9 Strengths and Limitations of the Evidence Base</w:t>
          </w:r>
          <w:r>
            <w:tab/>
          </w:r>
          <w:r>
            <w:fldChar w:fldCharType="begin"/>
          </w:r>
          <w:r>
            <w:instrText xml:space="preserve"> PAGEREF _Toc241231943 \h </w:instrText>
          </w:r>
          <w:r>
            <w:fldChar w:fldCharType="separate"/>
          </w:r>
          <w:r>
            <w:t>54</w:t>
          </w:r>
          <w:r>
            <w:fldChar w:fldCharType="end"/>
          </w:r>
          <w:r>
            <w:fldChar w:fldCharType="end"/>
          </w:r>
        </w:p>
        <w:p w14:paraId="6FC1FC72">
          <w:pPr>
            <w:pStyle w:val="16"/>
            <w:tabs>
              <w:tab w:val="right" w:leader="dot" w:pos="9350"/>
            </w:tabs>
          </w:pPr>
          <w:r>
            <w:fldChar w:fldCharType="begin"/>
          </w:r>
          <w:r>
            <w:instrText xml:space="preserve"> HYPERLINK \l "_Toc241231944" </w:instrText>
          </w:r>
          <w:r>
            <w:fldChar w:fldCharType="separate"/>
          </w:r>
          <w:r>
            <w:rPr>
              <w:rStyle w:val="12"/>
              <w:color w:val="auto"/>
            </w:rPr>
            <w:t>5.10 Implications for Practice and Service Delivery</w:t>
          </w:r>
          <w:r>
            <w:tab/>
          </w:r>
          <w:r>
            <w:fldChar w:fldCharType="begin"/>
          </w:r>
          <w:r>
            <w:instrText xml:space="preserve"> PAGEREF _Toc241231944 \h </w:instrText>
          </w:r>
          <w:r>
            <w:fldChar w:fldCharType="separate"/>
          </w:r>
          <w:r>
            <w:t>55</w:t>
          </w:r>
          <w:r>
            <w:fldChar w:fldCharType="end"/>
          </w:r>
          <w:r>
            <w:fldChar w:fldCharType="end"/>
          </w:r>
        </w:p>
        <w:p w14:paraId="7FFE9D6B">
          <w:pPr>
            <w:pStyle w:val="16"/>
            <w:tabs>
              <w:tab w:val="right" w:leader="dot" w:pos="9350"/>
            </w:tabs>
          </w:pPr>
          <w:r>
            <w:fldChar w:fldCharType="begin"/>
          </w:r>
          <w:r>
            <w:instrText xml:space="preserve"> HYPERLINK \l "_Toc241231945" </w:instrText>
          </w:r>
          <w:r>
            <w:fldChar w:fldCharType="separate"/>
          </w:r>
          <w:r>
            <w:rPr>
              <w:rStyle w:val="12"/>
              <w:color w:val="auto"/>
            </w:rPr>
            <w:t>5.12 Chapter Summary</w:t>
          </w:r>
          <w:r>
            <w:tab/>
          </w:r>
          <w:r>
            <w:fldChar w:fldCharType="begin"/>
          </w:r>
          <w:r>
            <w:instrText xml:space="preserve"> PAGEREF _Toc241231945 \h </w:instrText>
          </w:r>
          <w:r>
            <w:fldChar w:fldCharType="separate"/>
          </w:r>
          <w:r>
            <w:t>55</w:t>
          </w:r>
          <w:r>
            <w:fldChar w:fldCharType="end"/>
          </w:r>
          <w:r>
            <w:fldChar w:fldCharType="end"/>
          </w:r>
        </w:p>
        <w:p w14:paraId="65EA0363">
          <w:pPr>
            <w:pStyle w:val="15"/>
            <w:tabs>
              <w:tab w:val="right" w:leader="dot" w:pos="9350"/>
            </w:tabs>
          </w:pPr>
          <w:r>
            <w:fldChar w:fldCharType="begin"/>
          </w:r>
          <w:r>
            <w:instrText xml:space="preserve"> HYPERLINK \l "_Toc241231946" </w:instrText>
          </w:r>
          <w:r>
            <w:fldChar w:fldCharType="separate"/>
          </w:r>
          <w:r>
            <w:rPr>
              <w:rStyle w:val="12"/>
              <w:color w:val="auto"/>
            </w:rPr>
            <w:t>Chapter 6: Conclusion and Recommendations</w:t>
          </w:r>
          <w:r>
            <w:tab/>
          </w:r>
          <w:r>
            <w:fldChar w:fldCharType="begin"/>
          </w:r>
          <w:r>
            <w:instrText xml:space="preserve"> PAGEREF _Toc241231946 \h </w:instrText>
          </w:r>
          <w:r>
            <w:fldChar w:fldCharType="separate"/>
          </w:r>
          <w:r>
            <w:t>56</w:t>
          </w:r>
          <w:r>
            <w:fldChar w:fldCharType="end"/>
          </w:r>
          <w:r>
            <w:fldChar w:fldCharType="end"/>
          </w:r>
        </w:p>
        <w:p w14:paraId="5D90CDFF">
          <w:pPr>
            <w:pStyle w:val="16"/>
            <w:tabs>
              <w:tab w:val="right" w:leader="dot" w:pos="9350"/>
            </w:tabs>
          </w:pPr>
          <w:r>
            <w:fldChar w:fldCharType="begin"/>
          </w:r>
          <w:r>
            <w:instrText xml:space="preserve"> HYPERLINK \l "_Toc241231947" </w:instrText>
          </w:r>
          <w:r>
            <w:fldChar w:fldCharType="separate"/>
          </w:r>
          <w:r>
            <w:rPr>
              <w:rStyle w:val="12"/>
              <w:color w:val="auto"/>
            </w:rPr>
            <w:t>6.1 Conclusion</w:t>
          </w:r>
          <w:r>
            <w:tab/>
          </w:r>
          <w:r>
            <w:fldChar w:fldCharType="begin"/>
          </w:r>
          <w:r>
            <w:instrText xml:space="preserve"> PAGEREF _Toc241231947 \h </w:instrText>
          </w:r>
          <w:r>
            <w:fldChar w:fldCharType="separate"/>
          </w:r>
          <w:r>
            <w:t>56</w:t>
          </w:r>
          <w:r>
            <w:fldChar w:fldCharType="end"/>
          </w:r>
          <w:r>
            <w:fldChar w:fldCharType="end"/>
          </w:r>
        </w:p>
        <w:p w14:paraId="173B9218">
          <w:pPr>
            <w:pStyle w:val="16"/>
            <w:tabs>
              <w:tab w:val="right" w:leader="dot" w:pos="9350"/>
            </w:tabs>
          </w:pPr>
          <w:r>
            <w:fldChar w:fldCharType="begin"/>
          </w:r>
          <w:r>
            <w:instrText xml:space="preserve"> HYPERLINK \l "_Toc241231948" </w:instrText>
          </w:r>
          <w:r>
            <w:fldChar w:fldCharType="separate"/>
          </w:r>
          <w:r>
            <w:rPr>
              <w:rStyle w:val="12"/>
              <w:color w:val="auto"/>
            </w:rPr>
            <w:t>6.2 Linking with Objectives</w:t>
          </w:r>
          <w:r>
            <w:tab/>
          </w:r>
          <w:r>
            <w:fldChar w:fldCharType="begin"/>
          </w:r>
          <w:r>
            <w:instrText xml:space="preserve"> PAGEREF _Toc241231948 \h </w:instrText>
          </w:r>
          <w:r>
            <w:fldChar w:fldCharType="separate"/>
          </w:r>
          <w:r>
            <w:t>57</w:t>
          </w:r>
          <w:r>
            <w:fldChar w:fldCharType="end"/>
          </w:r>
          <w:r>
            <w:fldChar w:fldCharType="end"/>
          </w:r>
        </w:p>
        <w:p w14:paraId="6360701E">
          <w:pPr>
            <w:pStyle w:val="16"/>
            <w:tabs>
              <w:tab w:val="right" w:leader="dot" w:pos="9350"/>
            </w:tabs>
          </w:pPr>
          <w:r>
            <w:fldChar w:fldCharType="begin"/>
          </w:r>
          <w:r>
            <w:instrText xml:space="preserve"> HYPERLINK \l "_Toc241231949" </w:instrText>
          </w:r>
          <w:r>
            <w:fldChar w:fldCharType="separate"/>
          </w:r>
          <w:r>
            <w:rPr>
              <w:rStyle w:val="12"/>
              <w:color w:val="auto"/>
            </w:rPr>
            <w:t>6.3 Recommendations</w:t>
          </w:r>
          <w:r>
            <w:tab/>
          </w:r>
          <w:r>
            <w:fldChar w:fldCharType="begin"/>
          </w:r>
          <w:r>
            <w:instrText xml:space="preserve"> PAGEREF _Toc241231949 \h </w:instrText>
          </w:r>
          <w:r>
            <w:fldChar w:fldCharType="separate"/>
          </w:r>
          <w:r>
            <w:t>58</w:t>
          </w:r>
          <w:r>
            <w:fldChar w:fldCharType="end"/>
          </w:r>
          <w:r>
            <w:fldChar w:fldCharType="end"/>
          </w:r>
        </w:p>
        <w:p w14:paraId="05BA2118">
          <w:pPr>
            <w:pStyle w:val="16"/>
            <w:tabs>
              <w:tab w:val="right" w:leader="dot" w:pos="9350"/>
            </w:tabs>
          </w:pPr>
          <w:r>
            <w:fldChar w:fldCharType="begin"/>
          </w:r>
          <w:r>
            <w:instrText xml:space="preserve"> HYPERLINK \l "_Toc241231950" </w:instrText>
          </w:r>
          <w:r>
            <w:fldChar w:fldCharType="separate"/>
          </w:r>
          <w:r>
            <w:rPr>
              <w:rStyle w:val="12"/>
              <w:color w:val="auto"/>
            </w:rPr>
            <w:t>6.4 Future Scope</w:t>
          </w:r>
          <w:r>
            <w:tab/>
          </w:r>
          <w:r>
            <w:fldChar w:fldCharType="begin"/>
          </w:r>
          <w:r>
            <w:instrText xml:space="preserve"> PAGEREF _Toc241231950 \h </w:instrText>
          </w:r>
          <w:r>
            <w:fldChar w:fldCharType="separate"/>
          </w:r>
          <w:r>
            <w:t>59</w:t>
          </w:r>
          <w:r>
            <w:fldChar w:fldCharType="end"/>
          </w:r>
          <w:r>
            <w:fldChar w:fldCharType="end"/>
          </w:r>
        </w:p>
        <w:p w14:paraId="5094424D">
          <w:pPr>
            <w:pStyle w:val="15"/>
            <w:tabs>
              <w:tab w:val="right" w:leader="dot" w:pos="9350"/>
            </w:tabs>
          </w:pPr>
          <w:r>
            <w:fldChar w:fldCharType="begin"/>
          </w:r>
          <w:r>
            <w:instrText xml:space="preserve"> HYPERLINK \l "_Toc241231951" </w:instrText>
          </w:r>
          <w:r>
            <w:fldChar w:fldCharType="separate"/>
          </w:r>
          <w:r>
            <w:rPr>
              <w:rStyle w:val="12"/>
              <w:color w:val="auto"/>
            </w:rPr>
            <w:t>References</w:t>
          </w:r>
          <w:r>
            <w:tab/>
          </w:r>
          <w:r>
            <w:fldChar w:fldCharType="begin"/>
          </w:r>
          <w:r>
            <w:instrText xml:space="preserve"> PAGEREF _Toc241231951 \h </w:instrText>
          </w:r>
          <w:r>
            <w:fldChar w:fldCharType="separate"/>
          </w:r>
          <w:r>
            <w:t>61</w:t>
          </w:r>
          <w:r>
            <w:fldChar w:fldCharType="end"/>
          </w:r>
          <w:r>
            <w:fldChar w:fldCharType="end"/>
          </w:r>
        </w:p>
        <w:p w14:paraId="62C060BB">
          <w:pPr>
            <w:pStyle w:val="15"/>
            <w:tabs>
              <w:tab w:val="right" w:leader="dot" w:pos="9350"/>
            </w:tabs>
          </w:pPr>
          <w:r>
            <w:fldChar w:fldCharType="begin"/>
          </w:r>
          <w:r>
            <w:instrText xml:space="preserve"> HYPERLINK \l "_Toc241231952" </w:instrText>
          </w:r>
          <w:r>
            <w:fldChar w:fldCharType="separate"/>
          </w:r>
          <w:r>
            <w:rPr>
              <w:rStyle w:val="12"/>
              <w:color w:val="auto"/>
            </w:rPr>
            <w:t>Appendices</w:t>
          </w:r>
          <w:r>
            <w:tab/>
          </w:r>
          <w:r>
            <w:fldChar w:fldCharType="begin"/>
          </w:r>
          <w:r>
            <w:instrText xml:space="preserve"> PAGEREF _Toc241231952 \h </w:instrText>
          </w:r>
          <w:r>
            <w:fldChar w:fldCharType="separate"/>
          </w:r>
          <w:r>
            <w:t>76</w:t>
          </w:r>
          <w:r>
            <w:fldChar w:fldCharType="end"/>
          </w:r>
          <w:r>
            <w:fldChar w:fldCharType="end"/>
          </w:r>
        </w:p>
        <w:p w14:paraId="094BE132">
          <w:pPr>
            <w:pStyle w:val="16"/>
            <w:tabs>
              <w:tab w:val="right" w:leader="dot" w:pos="9350"/>
            </w:tabs>
          </w:pPr>
          <w:r>
            <w:fldChar w:fldCharType="begin"/>
          </w:r>
          <w:r>
            <w:instrText xml:space="preserve"> HYPERLINK \l "_Toc241231953" </w:instrText>
          </w:r>
          <w:r>
            <w:fldChar w:fldCharType="separate"/>
          </w:r>
          <w:r>
            <w:rPr>
              <w:rStyle w:val="12"/>
              <w:color w:val="auto"/>
            </w:rPr>
            <w:t>Appendix 1: CASP Critical Appraisal Checklist</w:t>
          </w:r>
          <w:r>
            <w:tab/>
          </w:r>
          <w:r>
            <w:fldChar w:fldCharType="begin"/>
          </w:r>
          <w:r>
            <w:instrText xml:space="preserve"> PAGEREF _Toc241231953 \h </w:instrText>
          </w:r>
          <w:r>
            <w:fldChar w:fldCharType="separate"/>
          </w:r>
          <w:r>
            <w:t>76</w:t>
          </w:r>
          <w:r>
            <w:fldChar w:fldCharType="end"/>
          </w:r>
          <w:r>
            <w:fldChar w:fldCharType="end"/>
          </w:r>
        </w:p>
        <w:p w14:paraId="3F0AE6EC">
          <w:pPr>
            <w:pStyle w:val="16"/>
            <w:tabs>
              <w:tab w:val="right" w:leader="dot" w:pos="9350"/>
            </w:tabs>
          </w:pPr>
          <w:r>
            <w:fldChar w:fldCharType="begin"/>
          </w:r>
          <w:r>
            <w:instrText xml:space="preserve"> HYPERLINK \l "_Toc241231954" </w:instrText>
          </w:r>
          <w:r>
            <w:fldChar w:fldCharType="separate"/>
          </w:r>
          <w:r>
            <w:rPr>
              <w:rStyle w:val="12"/>
              <w:color w:val="auto"/>
            </w:rPr>
            <w:t>Appendix 2: JBI checklist for the quantitative studies</w:t>
          </w:r>
          <w:r>
            <w:tab/>
          </w:r>
          <w:r>
            <w:fldChar w:fldCharType="begin"/>
          </w:r>
          <w:r>
            <w:instrText xml:space="preserve"> PAGEREF _Toc241231954 \h </w:instrText>
          </w:r>
          <w:r>
            <w:fldChar w:fldCharType="separate"/>
          </w:r>
          <w:r>
            <w:t>77</w:t>
          </w:r>
          <w:r>
            <w:fldChar w:fldCharType="end"/>
          </w:r>
          <w:r>
            <w:fldChar w:fldCharType="end"/>
          </w:r>
        </w:p>
        <w:p w14:paraId="2049C893">
          <w:pPr>
            <w:pStyle w:val="16"/>
            <w:tabs>
              <w:tab w:val="right" w:leader="dot" w:pos="9350"/>
            </w:tabs>
          </w:pPr>
          <w:r>
            <w:fldChar w:fldCharType="begin"/>
          </w:r>
          <w:r>
            <w:instrText xml:space="preserve"> HYPERLINK \l "_Toc241231955" </w:instrText>
          </w:r>
          <w:r>
            <w:fldChar w:fldCharType="separate"/>
          </w:r>
          <w:r>
            <w:rPr>
              <w:rStyle w:val="12"/>
              <w:color w:val="auto"/>
            </w:rPr>
            <w:t>Appendix 3: MMAT checklist for mixed-method studies</w:t>
          </w:r>
          <w:r>
            <w:tab/>
          </w:r>
          <w:r>
            <w:fldChar w:fldCharType="begin"/>
          </w:r>
          <w:r>
            <w:instrText xml:space="preserve"> PAGEREF _Toc241231955 \h </w:instrText>
          </w:r>
          <w:r>
            <w:fldChar w:fldCharType="separate"/>
          </w:r>
          <w:r>
            <w:t>82</w:t>
          </w:r>
          <w:r>
            <w:fldChar w:fldCharType="end"/>
          </w:r>
          <w:r>
            <w:fldChar w:fldCharType="end"/>
          </w:r>
        </w:p>
        <w:p w14:paraId="37883FD5">
          <w:pPr>
            <w:spacing w:before="240" w:after="240"/>
          </w:pPr>
          <w:r>
            <w:fldChar w:fldCharType="end"/>
          </w:r>
        </w:p>
      </w:sdtContent>
    </w:sdt>
    <w:p w14:paraId="010592B8">
      <w:pPr>
        <w:spacing w:before="240" w:after="240"/>
        <w:rPr>
          <w:b/>
          <w:bCs/>
        </w:rPr>
      </w:pPr>
      <w:r>
        <w:br w:type="page"/>
      </w:r>
    </w:p>
    <w:p w14:paraId="4DDA4322">
      <w:pPr>
        <w:pStyle w:val="2"/>
        <w:spacing w:before="240" w:after="240"/>
        <w:jc w:val="both"/>
        <w:rPr>
          <w:sz w:val="24"/>
          <w:szCs w:val="24"/>
        </w:rPr>
      </w:pPr>
      <w:bookmarkStart w:id="4" w:name="_Toc241231889"/>
      <w:r>
        <w:rPr>
          <w:sz w:val="24"/>
          <w:szCs w:val="24"/>
        </w:rPr>
        <w:t>CHAPTER 1: INTRODUCTION</w:t>
      </w:r>
      <w:bookmarkEnd w:id="4"/>
    </w:p>
    <w:p w14:paraId="494E4239">
      <w:pPr>
        <w:pStyle w:val="3"/>
        <w:spacing w:before="240" w:after="240"/>
      </w:pPr>
      <w:bookmarkStart w:id="5" w:name="_Toc241231890"/>
      <w:r>
        <w:t>1.1 Background</w:t>
      </w:r>
      <w:bookmarkEnd w:id="5"/>
      <w:r>
        <w:t xml:space="preserve"> </w:t>
      </w:r>
    </w:p>
    <w:p w14:paraId="5A4F65F6">
      <w:pPr>
        <w:spacing w:before="240" w:after="240"/>
      </w:pPr>
      <w:r>
        <w:t xml:space="preserve">The mental well-being of children has been recognized as a significant public health issue in the UK. Early detection and intervention have been identified as necessary due to the fact that such issues could lead to the development of further psychological problems in children (Subramanyam </w:t>
      </w:r>
      <w:r>
        <w:rPr>
          <w:i/>
          <w:iCs/>
        </w:rPr>
        <w:t>et al.,</w:t>
      </w:r>
      <w:r>
        <w:t xml:space="preserve"> 2024). Evidence suggests that several mental health conditions mainly originate in childhood and adolescence, highlighting the importance of recognising emerging difficulties at an early stage (Renwick </w:t>
      </w:r>
      <w:r>
        <w:rPr>
          <w:i/>
          <w:iCs/>
        </w:rPr>
        <w:t>et al</w:t>
      </w:r>
      <w:r>
        <w:t xml:space="preserve">., 2024). Early intervention can help avoid the development of further complications. Even though early interventions have received increasing priority in UK mental health policy and strategy, several barriers have remained which prevent children from accessing appropriate services (Thomson </w:t>
      </w:r>
      <w:r>
        <w:rPr>
          <w:i/>
          <w:iCs/>
        </w:rPr>
        <w:t>et al.,</w:t>
      </w:r>
      <w:r>
        <w:t xml:space="preserve"> 2023; Donaldson</w:t>
      </w:r>
      <w:r>
        <w:rPr>
          <w:i/>
          <w:iCs/>
        </w:rPr>
        <w:t xml:space="preserve"> et al., </w:t>
      </w:r>
      <w:r>
        <w:t xml:space="preserve">2023). The following issues become especially significant for those children between 5 and 11 years old who show only slight or initial signs but still do not need the treatment of specialists. These children can become unserved because the system focuses on serving those who have more severe or complicated disorders. The system becomes more focused on children with severe mental disorders. </w:t>
      </w:r>
    </w:p>
    <w:p w14:paraId="330785BB">
      <w:pPr>
        <w:spacing w:before="240" w:after="240"/>
      </w:pPr>
      <w:r>
        <w:t xml:space="preserve">Childhood is a critical stage that entails swift emotional, cognitive, and social growth, whereby mental wellbeing is essential in determining future health and life opportunities (Mastorci et al., 2024; Likhar </w:t>
      </w:r>
      <w:r>
        <w:rPr>
          <w:i/>
          <w:iCs/>
        </w:rPr>
        <w:t>et al.</w:t>
      </w:r>
      <w:r>
        <w:t xml:space="preserve">, 2022). Studies indicate that approximately half of lifetime mental health conditions emerge before the age of 18, highlighting the importance of prevention and early intervention during childhood (World Health Organization, 2022). Children aged five to eleven years may experience mild mental health difficulties, including anxiety, behavioural problems, emotional distress, social withdrawal and concentration difficulties. </w:t>
      </w:r>
    </w:p>
    <w:p w14:paraId="42A217F9">
      <w:pPr>
        <w:spacing w:before="240" w:after="240"/>
      </w:pPr>
      <w:r>
        <w:t xml:space="preserve">Even though these symptoms might not directly meet the diagnostic criteria of a particular disorder, they can adversely affect the academic performance of children, their social interactions, self-esteem, and the quality of life in general, without treatment (Totsika </w:t>
      </w:r>
      <w:r>
        <w:rPr>
          <w:i/>
          <w:iCs/>
        </w:rPr>
        <w:t>et al</w:t>
      </w:r>
      <w:r>
        <w:t xml:space="preserve">., 2022; Christou and Bacopoulou, 2025). The emphasis on prevention has seen policymakers in the UK pay greater attention to enhancing early mental health care by providing school-based programs, community services, and integrated care pathways. </w:t>
      </w:r>
    </w:p>
    <w:p w14:paraId="5F7E7868">
      <w:pPr>
        <w:spacing w:before="240" w:after="240"/>
      </w:pPr>
      <w:r>
        <w:t xml:space="preserve">Activities aimed at promoting emotional wellbeing within an educational environment and the cooperation between health and social care providers have been implemented to enable earlier detection and treatment (Padilla-Petry </w:t>
      </w:r>
      <w:r>
        <w:rPr>
          <w:i/>
          <w:iCs/>
        </w:rPr>
        <w:t>et al.,</w:t>
      </w:r>
      <w:r>
        <w:t xml:space="preserve"> 2026; Hosokawa </w:t>
      </w:r>
      <w:r>
        <w:rPr>
          <w:i/>
          <w:iCs/>
        </w:rPr>
        <w:t>et al.,</w:t>
      </w:r>
      <w:r>
        <w:t xml:space="preserve"> 2024). Nevertheless, with such policy changes, mental health services continue to be unequal in various regions and among the population. Practically, Child and Adolescent Mental Health Services (CAMHS) often focus on children with moderate to severe mental health issues (Edwards </w:t>
      </w:r>
      <w:r>
        <w:rPr>
          <w:i/>
          <w:iCs/>
        </w:rPr>
        <w:t>et al.</w:t>
      </w:r>
      <w:r>
        <w:t xml:space="preserve">, 2024; Turnbull </w:t>
      </w:r>
      <w:r>
        <w:rPr>
          <w:i/>
          <w:iCs/>
        </w:rPr>
        <w:t xml:space="preserve">et al., </w:t>
      </w:r>
      <w:r>
        <w:t>2023). Hence, children with mild symptoms are not allowed to receive specialist care (Edbrooke-Childs and Deighton, 2020). Consequently, children may have a delay in gaining access to assessments and intervention or not receive any support at all until their problems become more severe.</w:t>
      </w:r>
    </w:p>
    <w:p w14:paraId="11DE1C87">
      <w:pPr>
        <w:spacing w:before="240" w:after="240"/>
      </w:pPr>
      <w:r>
        <w:t xml:space="preserve">Social and environmental factors could increase the vulnerability of children to mental health problems (Brandt </w:t>
      </w:r>
      <w:r>
        <w:rPr>
          <w:i/>
          <w:iCs/>
        </w:rPr>
        <w:t xml:space="preserve">et al., </w:t>
      </w:r>
      <w:r>
        <w:t xml:space="preserve">2022; Deguen </w:t>
      </w:r>
      <w:r>
        <w:rPr>
          <w:i/>
          <w:iCs/>
        </w:rPr>
        <w:t>et al.,</w:t>
      </w:r>
      <w:r>
        <w:t xml:space="preserve"> 2022). These issues become particularly acute in large cities such as London, where socioeconomic inequality, population density, and additional strain on services contribute to the already overloaded healthcare system. Though the policies have given an assurance to intervene early in life, this can be impeded by a lack of funding, workforce, split services and coordination of services between educational institutions, health care providers and community organisations (Tasca </w:t>
      </w:r>
      <w:r>
        <w:rPr>
          <w:i/>
          <w:iCs/>
        </w:rPr>
        <w:t>et al.,</w:t>
      </w:r>
      <w:r>
        <w:t xml:space="preserve"> 2024). All these issues come down to long queues and service provision imbalances. In turn, children with the first symptoms of mental health problems will continue to be in danger of missing out on early support, which may result in more severe and long-term mental health issues in adulthood.</w:t>
      </w:r>
    </w:p>
    <w:p w14:paraId="10F92C5B">
      <w:pPr>
        <w:pStyle w:val="3"/>
        <w:spacing w:before="240" w:after="240"/>
      </w:pPr>
      <w:bookmarkStart w:id="6" w:name="_Toc241231891"/>
      <w:r>
        <w:t>1.2 Problem statement</w:t>
      </w:r>
      <w:bookmarkEnd w:id="6"/>
    </w:p>
    <w:p w14:paraId="42275335">
      <w:pPr>
        <w:spacing w:before="240" w:after="240"/>
      </w:pPr>
      <w:r>
        <w:t xml:space="preserve">In recent years, mental health issues among children in the United Kingdom have been continually growing, and the issue of accessibility and effectiveness of early intervention programs is becoming an even more pressing concern. In 2023, NHS England discovered that some 20.3% of children aged between 8 and 16 years were found to have a probable mental disorder (NHS Digital, 2023). This level of need reported creates further pressures on services, highlighting the significance of early intervention and identification. However, does not account for all obstacles to access; service provision and referral criteria are also factors. </w:t>
      </w:r>
    </w:p>
    <w:p w14:paraId="79B00246">
      <w:pPr>
        <w:spacing w:before="240" w:after="240"/>
        <w:jc w:val="center"/>
      </w:pPr>
      <w:r>
        <w:drawing>
          <wp:inline distT="0" distB="0" distL="0" distR="0">
            <wp:extent cx="5943600" cy="329692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referRelativeResize="0"/>
                  </pic:nvPicPr>
                  <pic:blipFill>
                    <a:blip r:embed="rId8"/>
                    <a:srcRect/>
                    <a:stretch>
                      <a:fillRect/>
                    </a:stretch>
                  </pic:blipFill>
                  <pic:spPr>
                    <a:xfrm>
                      <a:off x="0" y="0"/>
                      <a:ext cx="5943600" cy="3296920"/>
                    </a:xfrm>
                    <a:prstGeom prst="rect">
                      <a:avLst/>
                    </a:prstGeom>
                  </pic:spPr>
                </pic:pic>
              </a:graphicData>
            </a:graphic>
          </wp:inline>
        </w:drawing>
      </w:r>
    </w:p>
    <w:p w14:paraId="70543874">
      <w:pPr>
        <w:spacing w:before="240" w:after="240"/>
        <w:jc w:val="center"/>
        <w:rPr>
          <w:b/>
          <w:bCs/>
        </w:rPr>
      </w:pPr>
      <w:r>
        <w:rPr>
          <w:b/>
          <w:bCs/>
        </w:rPr>
        <w:t>Figure 1.2.1: Waiting times for children and young people entering treatment by age group</w:t>
      </w:r>
    </w:p>
    <w:p w14:paraId="6A06B240">
      <w:pPr>
        <w:spacing w:before="240" w:after="240"/>
        <w:jc w:val="center"/>
      </w:pPr>
      <w:r>
        <w:t>(Source: Childrenscommissioner.gov.uk., 2024)</w:t>
      </w:r>
    </w:p>
    <w:p w14:paraId="1DF121AF">
      <w:pPr>
        <w:spacing w:before="240" w:after="240"/>
      </w:pPr>
      <w:r>
        <w:t>Figure 1.2.1 highlights waiting times of children and young adults who go for treatment at mental health facilities, and there is considerable variation in average and median waiting times among the various age categories. During the period 2022-2023, almost 949,200 children and young people were referred to Children and Young People Mental Health Services. Yet 270,300 (28%) were still on waiting lists and 372,800 (39%) had their referrals closed with no treatment or support (Childrenscommissioner.gov.uk., 2024). Also, almost 40,000 children were waiting for over two years to access mental health services. These figures illustrate a substantial gap between policy commitments to early intervention and the capacity of services to provide timely support.</w:t>
      </w:r>
    </w:p>
    <w:p w14:paraId="46A607A6">
      <w:pPr>
        <w:spacing w:before="240" w:after="240"/>
        <w:jc w:val="center"/>
      </w:pPr>
      <w:r>
        <w:drawing>
          <wp:inline distT="0" distB="0" distL="0" distR="0">
            <wp:extent cx="3386455" cy="416814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referRelativeResize="0"/>
                  </pic:nvPicPr>
                  <pic:blipFill>
                    <a:blip r:embed="rId9"/>
                    <a:srcRect/>
                    <a:stretch>
                      <a:fillRect/>
                    </a:stretch>
                  </pic:blipFill>
                  <pic:spPr>
                    <a:xfrm>
                      <a:off x="0" y="0"/>
                      <a:ext cx="3386958" cy="4168563"/>
                    </a:xfrm>
                    <a:prstGeom prst="rect">
                      <a:avLst/>
                    </a:prstGeom>
                  </pic:spPr>
                </pic:pic>
              </a:graphicData>
            </a:graphic>
          </wp:inline>
        </w:drawing>
      </w:r>
    </w:p>
    <w:p w14:paraId="6A80334F">
      <w:pPr>
        <w:spacing w:before="240" w:after="240"/>
        <w:jc w:val="center"/>
        <w:rPr>
          <w:b/>
          <w:bCs/>
        </w:rPr>
      </w:pPr>
      <w:r>
        <w:rPr>
          <w:b/>
          <w:bCs/>
        </w:rPr>
        <w:t>Figure 1.2.2: Increasing mental health issues in children</w:t>
      </w:r>
    </w:p>
    <w:p w14:paraId="533D4CE4">
      <w:pPr>
        <w:spacing w:before="240" w:after="240"/>
        <w:jc w:val="center"/>
      </w:pPr>
      <w:r>
        <w:t>(Source: Self-developed)</w:t>
      </w:r>
    </w:p>
    <w:p w14:paraId="71BBB5F2">
      <w:pPr>
        <w:spacing w:before="240" w:after="240"/>
      </w:pPr>
      <w:r>
        <w:t>However, children aged 5 to 11 years showing early signs of anxiety, behavioural problems or emotional distress are at high risk of delayed access to appropriate mental health support, as the specialist service is generally aimed at moderate to severe cases and children with mild symptoms do not receive immediate help (Edbrooke-Childs and Deighton, 2020). National programmes promote prevention and early intervention, yet lack of funding, staff shortages, fractured referral systems and gaps in service provision continue to hinder access to support [Figure 1.2.2]. The need to do so has led to the need for the identification of barriers to early intervention among children ages 5-11 years in the United Kingdom. Early intervention can help to avoid making the issues even more complicated because they will be addressed at an earlier stage. It can also strengthen coping and resilience, while providing greater support for families and to decrease the likelihood of chronic mental health challenges in the future, thereby improving wellbeing across the lifespan.</w:t>
      </w:r>
    </w:p>
    <w:p w14:paraId="493FED10">
      <w:pPr>
        <w:pStyle w:val="3"/>
        <w:spacing w:before="240" w:after="240"/>
      </w:pPr>
      <w:bookmarkStart w:id="7" w:name="_Toc241231892"/>
      <w:r>
        <w:t>1.3 Research question</w:t>
      </w:r>
      <w:bookmarkEnd w:id="7"/>
      <w:r>
        <w:t xml:space="preserve"> </w:t>
      </w:r>
    </w:p>
    <w:p w14:paraId="34766B3C">
      <w:pPr>
        <w:numPr>
          <w:ilvl w:val="0"/>
          <w:numId w:val="1"/>
        </w:numPr>
        <w:pBdr>
          <w:top w:val="none" w:color="auto" w:sz="0" w:space="0"/>
          <w:left w:val="none" w:color="auto" w:sz="0" w:space="0"/>
          <w:bottom w:val="none" w:color="auto" w:sz="0" w:space="0"/>
          <w:right w:val="none" w:color="auto" w:sz="0" w:space="0"/>
          <w:between w:val="none" w:color="auto" w:sz="0" w:space="0"/>
        </w:pBdr>
        <w:spacing w:before="240"/>
      </w:pPr>
      <w:r>
        <w:t>What are the relevant national policies on early intervention?</w:t>
      </w:r>
    </w:p>
    <w:p w14:paraId="3DFCB044">
      <w:pPr>
        <w:numPr>
          <w:ilvl w:val="0"/>
          <w:numId w:val="1"/>
        </w:numPr>
        <w:pBdr>
          <w:top w:val="none" w:color="auto" w:sz="0" w:space="0"/>
          <w:left w:val="none" w:color="auto" w:sz="0" w:space="0"/>
          <w:bottom w:val="none" w:color="auto" w:sz="0" w:space="0"/>
          <w:right w:val="none" w:color="auto" w:sz="0" w:space="0"/>
          <w:between w:val="none" w:color="auto" w:sz="0" w:space="0"/>
        </w:pBdr>
      </w:pPr>
      <w:r>
        <w:t>What systemic and organisational barriers affect access to early mental health intervention for children aged 5–11 with mild mental health difficulties in the UK?</w:t>
      </w:r>
    </w:p>
    <w:p w14:paraId="220307E2">
      <w:pPr>
        <w:numPr>
          <w:ilvl w:val="0"/>
          <w:numId w:val="1"/>
        </w:numPr>
        <w:pBdr>
          <w:top w:val="none" w:color="auto" w:sz="0" w:space="0"/>
          <w:left w:val="none" w:color="auto" w:sz="0" w:space="0"/>
          <w:bottom w:val="none" w:color="auto" w:sz="0" w:space="0"/>
          <w:right w:val="none" w:color="auto" w:sz="0" w:space="0"/>
          <w:between w:val="none" w:color="auto" w:sz="0" w:space="0"/>
        </w:pBdr>
      </w:pPr>
      <w:r>
        <w:t>How do these policies and service-level barriers influence access to early mental health intervention services in the UK?</w:t>
      </w:r>
    </w:p>
    <w:p w14:paraId="69522125">
      <w:pPr>
        <w:numPr>
          <w:ilvl w:val="0"/>
          <w:numId w:val="1"/>
        </w:numPr>
        <w:pBdr>
          <w:top w:val="none" w:color="auto" w:sz="0" w:space="0"/>
          <w:left w:val="none" w:color="auto" w:sz="0" w:space="0"/>
          <w:bottom w:val="none" w:color="auto" w:sz="0" w:space="0"/>
          <w:right w:val="none" w:color="auto" w:sz="0" w:space="0"/>
          <w:between w:val="none" w:color="auto" w:sz="0" w:space="0"/>
        </w:pBdr>
        <w:spacing w:after="240"/>
      </w:pPr>
      <w:r>
        <w:t>What will be the recommendations to strengthen early mental health intervention services for children aged 5–11 in the UK?</w:t>
      </w:r>
    </w:p>
    <w:p w14:paraId="0ECE838D">
      <w:pPr>
        <w:pStyle w:val="3"/>
        <w:spacing w:before="240" w:after="240"/>
      </w:pPr>
      <w:bookmarkStart w:id="8" w:name="_Toc241231893"/>
      <w:r>
        <w:t>1.4 Aim &amp; objectives</w:t>
      </w:r>
      <w:bookmarkEnd w:id="8"/>
      <w:r>
        <w:t xml:space="preserve"> </w:t>
      </w:r>
    </w:p>
    <w:p w14:paraId="23997C69">
      <w:pPr>
        <w:spacing w:before="240" w:after="240"/>
        <w:rPr>
          <w:b/>
          <w:bCs/>
          <w:i/>
          <w:iCs/>
        </w:rPr>
      </w:pPr>
      <w:r>
        <w:rPr>
          <w:b/>
          <w:bCs/>
          <w:i/>
          <w:iCs/>
        </w:rPr>
        <w:t xml:space="preserve">Research aim </w:t>
      </w:r>
    </w:p>
    <w:p w14:paraId="524686DC">
      <w:pPr>
        <w:spacing w:before="240" w:after="240"/>
      </w:pPr>
      <w:r>
        <w:t>To critically examine the key barriers to early mental health intervention for children aged 5-11 with early signs of mental health difficulties in the UK, focusing on policy frameworks and service delivery challenges.</w:t>
      </w:r>
    </w:p>
    <w:p w14:paraId="76B08108">
      <w:pPr>
        <w:spacing w:before="240" w:after="240"/>
        <w:rPr>
          <w:b/>
          <w:bCs/>
          <w:i/>
          <w:iCs/>
        </w:rPr>
      </w:pPr>
      <w:r>
        <w:rPr>
          <w:b/>
          <w:bCs/>
          <w:i/>
          <w:iCs/>
        </w:rPr>
        <w:t xml:space="preserve">Research objectives </w:t>
      </w:r>
    </w:p>
    <w:p w14:paraId="6C530B50">
      <w:pPr>
        <w:numPr>
          <w:ilvl w:val="0"/>
          <w:numId w:val="2"/>
        </w:numPr>
        <w:pBdr>
          <w:top w:val="none" w:color="auto" w:sz="0" w:space="0"/>
          <w:left w:val="none" w:color="auto" w:sz="0" w:space="0"/>
          <w:bottom w:val="none" w:color="auto" w:sz="0" w:space="0"/>
          <w:right w:val="none" w:color="auto" w:sz="0" w:space="0"/>
          <w:between w:val="none" w:color="auto" w:sz="0" w:space="0"/>
        </w:pBdr>
        <w:spacing w:before="240"/>
      </w:pPr>
      <w:r>
        <w:t>To review relevant UK national policies on early intervention.</w:t>
      </w:r>
    </w:p>
    <w:p w14:paraId="48E5DC32">
      <w:pPr>
        <w:numPr>
          <w:ilvl w:val="0"/>
          <w:numId w:val="2"/>
        </w:numPr>
        <w:pBdr>
          <w:top w:val="none" w:color="auto" w:sz="0" w:space="0"/>
          <w:left w:val="none" w:color="auto" w:sz="0" w:space="0"/>
          <w:bottom w:val="none" w:color="auto" w:sz="0" w:space="0"/>
          <w:right w:val="none" w:color="auto" w:sz="0" w:space="0"/>
          <w:between w:val="none" w:color="auto" w:sz="0" w:space="0"/>
        </w:pBdr>
      </w:pPr>
      <w:r>
        <w:t>To identify systemic and organisational barriers affecting access to services.</w:t>
      </w:r>
    </w:p>
    <w:p w14:paraId="353D45CD">
      <w:pPr>
        <w:numPr>
          <w:ilvl w:val="0"/>
          <w:numId w:val="2"/>
        </w:numPr>
        <w:pBdr>
          <w:top w:val="none" w:color="auto" w:sz="0" w:space="0"/>
          <w:left w:val="none" w:color="auto" w:sz="0" w:space="0"/>
          <w:bottom w:val="none" w:color="auto" w:sz="0" w:space="0"/>
          <w:right w:val="none" w:color="auto" w:sz="0" w:space="0"/>
          <w:between w:val="none" w:color="auto" w:sz="0" w:space="0"/>
        </w:pBdr>
      </w:pPr>
      <w:r>
        <w:t>To understand how these policies and service-level barriers influence access to early mental health intervention services in the UK.</w:t>
      </w:r>
    </w:p>
    <w:p w14:paraId="0AABA8EF">
      <w:pPr>
        <w:numPr>
          <w:ilvl w:val="0"/>
          <w:numId w:val="2"/>
        </w:numPr>
        <w:pBdr>
          <w:top w:val="none" w:color="auto" w:sz="0" w:space="0"/>
          <w:left w:val="none" w:color="auto" w:sz="0" w:space="0"/>
          <w:bottom w:val="none" w:color="auto" w:sz="0" w:space="0"/>
          <w:right w:val="none" w:color="auto" w:sz="0" w:space="0"/>
          <w:between w:val="none" w:color="auto" w:sz="0" w:space="0"/>
        </w:pBdr>
        <w:spacing w:after="240"/>
      </w:pPr>
      <w:r>
        <w:t>To provide recommendations to strengthen early mental health intervention services for children aged 5-11 in the UK.</w:t>
      </w:r>
    </w:p>
    <w:p w14:paraId="767C9C08">
      <w:pPr>
        <w:pStyle w:val="3"/>
        <w:spacing w:before="240" w:after="240"/>
      </w:pPr>
      <w:bookmarkStart w:id="9" w:name="_Toc241231894"/>
      <w:r>
        <w:t>1.5 Research rationale</w:t>
      </w:r>
      <w:bookmarkEnd w:id="9"/>
    </w:p>
    <w:p w14:paraId="257ADC7D">
      <w:pPr>
        <w:spacing w:before="240" w:after="240"/>
      </w:pPr>
      <w:r>
        <w:t xml:space="preserve">As the prevalence of mental health problems in children has risen in the UK, it is more important than ever to have effective early intervention approaches. Studies suggest that half of all mental disorders that occur during a lifetime debut during childhood, which emphasises the need to recognise and treat psychological issues at a young age (Fazel and Soneson, 2023). Children aged 5–11 years represent an important population because this period involves substantial cognitive, emotional and social development that can influence longer-term wellbeing. </w:t>
      </w:r>
    </w:p>
    <w:p w14:paraId="75696B5E">
      <w:pPr>
        <w:spacing w:before="240" w:after="240"/>
      </w:pPr>
      <w:r>
        <w:t xml:space="preserve">Early support may prevent mild symptoms from escalating and may contribute to improved educational, social and health outcomes (Kirkbride </w:t>
      </w:r>
      <w:r>
        <w:rPr>
          <w:i/>
          <w:iCs/>
        </w:rPr>
        <w:t>et al.</w:t>
      </w:r>
      <w:r>
        <w:t xml:space="preserve"> 2024; Nayak </w:t>
      </w:r>
      <w:r>
        <w:rPr>
          <w:i/>
          <w:iCs/>
        </w:rPr>
        <w:t>et al.</w:t>
      </w:r>
      <w:r>
        <w:t xml:space="preserve"> 2022). Although the national strategies have focused on the need for prevention and early intervention, there are still concerns about inequalities in access to services and inconsistencies in implementing early help across the country (NHS, 2026). Current evidence indicates that service fragmentation, workforce capacity and long waiting times and restrictive referral thresholds often hinder children with emerging mental health problems from accessing timely support. In addition, most specialist Child and Adolescent Mental Health Services (CAMHS) focus on young people with the most severe conditions and children with mild or early signs of anxiety, depression or other conditions are underserved (Young Minds, 2026; Lu </w:t>
      </w:r>
      <w:r>
        <w:rPr>
          <w:i/>
          <w:iCs/>
        </w:rPr>
        <w:t xml:space="preserve">et al. </w:t>
      </w:r>
      <w:r>
        <w:t xml:space="preserve">2022). </w:t>
      </w:r>
    </w:p>
    <w:p w14:paraId="6848EBAF">
      <w:pPr>
        <w:spacing w:before="240" w:after="240"/>
      </w:pPr>
      <w:r>
        <w:t>While many studies have focused on child mental health services in general, relatively little research has focused on children with early signs of psychological problems aged 5-11 years. This gap warrants further investigation of how policy frameworks and service-delivery challenges interact to affect early intervention. This research seeks to fill this gap and provide evidence that could help enhance access to timely and effective mental health support for young children in the UK.</w:t>
      </w:r>
    </w:p>
    <w:p w14:paraId="50868033">
      <w:pPr>
        <w:pStyle w:val="3"/>
        <w:spacing w:before="240" w:after="240"/>
      </w:pPr>
      <w:bookmarkStart w:id="10" w:name="_Toc241231895"/>
      <w:r>
        <w:t>1.6 Research significance</w:t>
      </w:r>
      <w:bookmarkEnd w:id="10"/>
    </w:p>
    <w:p w14:paraId="52F10662">
      <w:pPr>
        <w:spacing w:before="240" w:after="240"/>
      </w:pPr>
      <w:r>
        <w:t xml:space="preserve">The study addresses a significant public health issue concerning access to early mental health intervention for children aged 5–11 years in the UK. There is now considerable appreciation that early intervention is cost-effective and can have a positive impact on life course outcomes and on the burden of mental disorders (Shah </w:t>
      </w:r>
      <w:r>
        <w:rPr>
          <w:i/>
          <w:iCs/>
        </w:rPr>
        <w:t>et al</w:t>
      </w:r>
      <w:r>
        <w:t xml:space="preserve">. 2022; Mehta </w:t>
      </w:r>
      <w:r>
        <w:rPr>
          <w:i/>
          <w:iCs/>
        </w:rPr>
        <w:t>et al.</w:t>
      </w:r>
      <w:r>
        <w:t xml:space="preserve"> 2023). Despite this, there are significant challenges to the implementation of policy and provision for children with emerging mental health problems. This study aims to contribute to the existing literature by providing a focused analysis of the policy and organisational challenges affecting this specific age group. </w:t>
      </w:r>
    </w:p>
    <w:p w14:paraId="038EBFFD">
      <w:pPr>
        <w:spacing w:before="240" w:after="240"/>
      </w:pPr>
      <w:r>
        <w:t xml:space="preserve">It provides insights for policymakers, healthcare professionals, educational practitioners and service providers regarding potential areas for improvement. The research also seeks to inform evidence-based recommendations for improving early intervention services and ensuring greater access to mental health services. Finally, improving the ways children and young people access early intervention services can have a positive impact on their emotional wellbeing, educational attainment and future quality of life, as well as reducing social and economic costs as a result of untreated mental health conditions (Appleton </w:t>
      </w:r>
      <w:r>
        <w:rPr>
          <w:i/>
          <w:iCs/>
        </w:rPr>
        <w:t>et al</w:t>
      </w:r>
      <w:r>
        <w:t>. 2025).</w:t>
      </w:r>
    </w:p>
    <w:p w14:paraId="1667ECFB">
      <w:pPr>
        <w:pStyle w:val="3"/>
        <w:spacing w:before="240" w:after="240"/>
      </w:pPr>
      <w:bookmarkStart w:id="11" w:name="_Toc241231896"/>
      <w:r>
        <w:t>1.7 Structure of research</w:t>
      </w:r>
      <w:bookmarkEnd w:id="11"/>
      <w:r>
        <w:t xml:space="preserve"> </w:t>
      </w:r>
    </w:p>
    <w:p w14:paraId="2BFB2922">
      <w:pPr>
        <w:spacing w:before="240" w:after="240"/>
      </w:pPr>
      <w:r>
        <w:t>The current study is arranged in six chapters. Chapter 1 outlines the topic of research, research question, objective, aims, rationale and significance. The second chapter critically analyses the existing literature and theoretical framework. Chapter 3 discusses the methodological approach of systematic literature review, search strategy, study selection and data analysis process. Chapter 4 highlights the findings of the literature review. Chapter 5 analyses the findings in light of the existing literature, whereas Chapter 6 presents the conclusions and recommendations.</w:t>
      </w:r>
      <w:r>
        <w:br w:type="page"/>
      </w:r>
    </w:p>
    <w:p w14:paraId="5D65CFEC">
      <w:pPr>
        <w:pStyle w:val="2"/>
        <w:spacing w:before="240" w:after="240"/>
        <w:jc w:val="both"/>
        <w:rPr>
          <w:sz w:val="24"/>
          <w:szCs w:val="24"/>
        </w:rPr>
      </w:pPr>
      <w:bookmarkStart w:id="12" w:name="_Toc241231897"/>
      <w:r>
        <w:rPr>
          <w:sz w:val="24"/>
          <w:szCs w:val="24"/>
        </w:rPr>
        <w:t>CHAPTER 2: LITERATURE REVIEW</w:t>
      </w:r>
      <w:bookmarkEnd w:id="12"/>
      <w:r>
        <w:rPr>
          <w:sz w:val="24"/>
          <w:szCs w:val="24"/>
        </w:rPr>
        <w:t> </w:t>
      </w:r>
    </w:p>
    <w:p w14:paraId="25E67105">
      <w:pPr>
        <w:pStyle w:val="3"/>
        <w:spacing w:before="240" w:after="240"/>
      </w:pPr>
      <w:bookmarkStart w:id="13" w:name="_Toc241231898"/>
      <w:r>
        <w:t>2.1 Introduction</w:t>
      </w:r>
      <w:bookmarkEnd w:id="13"/>
      <w:r>
        <w:t> </w:t>
      </w:r>
    </w:p>
    <w:p w14:paraId="148A8FF5">
      <w:pPr>
        <w:spacing w:before="240" w:after="240"/>
      </w:pPr>
      <w:r>
        <w:t>This chapter will critically analyse the literature that exists around barriers to early mental health intervention for children aged 5-11 in the UK. It looks at the significance of early identification and intervention, relevant national policy frameworks and organisation and delivery of children's mental health services. Specific focus is on systemic and organisational barriers such as workforce capacity, fragmentation of services, threshold and inequalities in access. The chapter also outlines the theoretical framework that will be used in the course of study, and pinpoints gaps in the previous studies that call for the current study.</w:t>
      </w:r>
    </w:p>
    <w:p w14:paraId="22C153E4">
      <w:pPr>
        <w:pStyle w:val="3"/>
        <w:spacing w:before="240" w:after="240"/>
      </w:pPr>
      <w:bookmarkStart w:id="14" w:name="_Toc241231899"/>
      <w:r>
        <w:t>2.2 Understanding Child and Adolescent Mental Health</w:t>
      </w:r>
      <w:bookmarkEnd w:id="14"/>
      <w:r>
        <w:t> </w:t>
      </w:r>
    </w:p>
    <w:p w14:paraId="6DBC19E8">
      <w:pPr>
        <w:spacing w:before="240" w:after="240"/>
      </w:pPr>
      <w:r>
        <w:t xml:space="preserve">Child and adolescent mental health are emotional, psychological, and social wellbeing during childhood and adolescence that affects the way children think, feel, behave and interact with others. Mental wellbeing is especially crucial in children aged 5-11 as there is significant cognitive, emotional and social development occurring during this age (Suppiej </w:t>
      </w:r>
      <w:r>
        <w:rPr>
          <w:i/>
          <w:iCs/>
        </w:rPr>
        <w:t>et al.</w:t>
      </w:r>
      <w:r>
        <w:t xml:space="preserve">, 2025; Storm </w:t>
      </w:r>
      <w:r>
        <w:rPr>
          <w:i/>
          <w:iCs/>
        </w:rPr>
        <w:t>et al.,</w:t>
      </w:r>
      <w:r>
        <w:t xml:space="preserve"> 2025). Problems that arise during these early years can impact education, relationships, family and self-esteem. Common symptoms include anxiety, sadness, emotional distress, behavioral problems, social withdrawal or problems with concentration (Ahufinger </w:t>
      </w:r>
      <w:r>
        <w:rPr>
          <w:i/>
          <w:iCs/>
        </w:rPr>
        <w:t>et al</w:t>
      </w:r>
      <w:r>
        <w:t xml:space="preserve">., 2025). These early difficulties can therefore provide an important point for identifying children who may benefit from prevention or early support (Palmer </w:t>
      </w:r>
      <w:r>
        <w:rPr>
          <w:i/>
          <w:iCs/>
        </w:rPr>
        <w:t>et al</w:t>
      </w:r>
      <w:r>
        <w:t>., 2025). School-based identification can provide an important route for recognising emerging mental health difficulties at an early stage, although stigma and limited mental health literacy may influence whether children and families engage with support (Songco et al., 2025).</w:t>
      </w:r>
    </w:p>
    <w:p w14:paraId="643ACF71">
      <w:pPr>
        <w:spacing w:before="240" w:after="240"/>
      </w:pPr>
      <w:r>
        <w:t>Although they may not be serious enough to diagnose, they can be symptoms of a mental health condition and not so serious that their day-to-day life is not getting affected at the same time. These symptoms may therefore warrant timely assessment and appropriate support. Significant evidence of the importance of childhood mental health arises from the fact that conditions associated with mental health can be detected in the childhood years and are therefore a crucial period for prevention and early intervention. Family structure and characteristics may also influence which children are identified and referred for psychological support, highlighting the importance of considering family-level factors when understanding early mental health needs (Winship, MacDonald and Wang, 2025).</w:t>
      </w:r>
    </w:p>
    <w:p w14:paraId="3F350D20">
      <w:pPr>
        <w:spacing w:before="240" w:after="240"/>
      </w:pPr>
      <w:r>
        <w:t>In addition, the World Health Organization (2022) emphasizes the importance of protecting the mental and brain health of children, as good outcomes in early life can impact on wellbeing in the long-term. However, the increase in mental health problems is putting a strain on current services. There is UK evidence of significant prevalence of likely mental disorders among children, which further raises concerns about the ability of current systems to offer timely and suitable support. </w:t>
      </w:r>
    </w:p>
    <w:p w14:paraId="71454DC1">
      <w:pPr>
        <w:spacing w:before="240" w:after="240"/>
      </w:pPr>
      <w:r>
        <w:t xml:space="preserve">Untreated mental health problems can have a long-term impact on mental well-being. Children may suffer from lower achievement in school, absence, poor relationship-building skills, poor social development (Ingram, 2025). Larger social factors such as poverty, family background and environmental disadvantage are also likely to impact on mental health outcomes (Kirkbride et al., 2024; Adjei et al., 2025; Yang, Carson and Violato, 2026). </w:t>
      </w:r>
    </w:p>
    <w:p w14:paraId="0AC4C9BF">
      <w:pPr>
        <w:spacing w:before="240" w:after="240"/>
      </w:pPr>
      <w:r>
        <w:t xml:space="preserve">Thus, the evidence therefore indicates that access should be examined at both individual and systemic levels. One important issue is children who are experiencing mild or early signs of difficulties may remain underserved between universal and specialist services. Specialist services may focus on children who have more complex needs, while difficulties with referral processes and eligibility can prevent some children from receiving timely early help (Abel et al., 2025;  Coulter </w:t>
      </w:r>
      <w:r>
        <w:rPr>
          <w:i/>
          <w:iCs/>
        </w:rPr>
        <w:t>et al.</w:t>
      </w:r>
      <w:r>
        <w:t>, 2026). This reflects the need to look at the type of mental health problems and at how accessible and responsive are the systems in place to respond to those problems.</w:t>
      </w:r>
    </w:p>
    <w:p w14:paraId="3A7C55C4">
      <w:pPr>
        <w:pStyle w:val="3"/>
        <w:spacing w:before="240" w:after="240"/>
      </w:pPr>
      <w:bookmarkStart w:id="15" w:name="_Toc241231900"/>
      <w:r>
        <w:t>2.3 Concept and Importance of Early Mental Health Intervention</w:t>
      </w:r>
      <w:bookmarkEnd w:id="15"/>
      <w:r>
        <w:t> </w:t>
      </w:r>
    </w:p>
    <w:p w14:paraId="4EF30E94">
      <w:pPr>
        <w:spacing w:before="240" w:after="240"/>
      </w:pPr>
      <w:r>
        <w:t xml:space="preserve">Early mental health intervention means recognising and responding to early mental health issues when they are likely to become more intense, chronic or complicated (Lee </w:t>
      </w:r>
      <w:r>
        <w:rPr>
          <w:i/>
          <w:iCs/>
        </w:rPr>
        <w:t>et al</w:t>
      </w:r>
      <w:r>
        <w:t xml:space="preserve">., 2026; Wardany, 2024; Morse et al., 2026). It is closely linked to prevention and early identification but concerned with providing timely support when initial difficulties are seen. Intervention for ages 5 to 11 includes school-based mental health programmes, counselling, psychological support, parenting interventions, community services and targeted interventions through primary or early help services (Hudson </w:t>
      </w:r>
      <w:r>
        <w:rPr>
          <w:i/>
          <w:iCs/>
        </w:rPr>
        <w:t xml:space="preserve">et al., </w:t>
      </w:r>
      <w:r>
        <w:t xml:space="preserve">2023). The underlying rationale is to address emerging difficulties before they escalate. Evidence from recent reviews also supports the use of psychosocial and other interventions for children and young people experiencing anxiety and depression (Han et al., 2025). </w:t>
      </w:r>
    </w:p>
    <w:p w14:paraId="5D831D74">
      <w:pPr>
        <w:spacing w:before="240" w:after="240"/>
      </w:pPr>
      <w:r>
        <w:t xml:space="preserve">It is especially important in early intervention as the childhood period is a crucial developmental time. Untreated emotional and behavioral problems may impact academic performance, relationships, social involvement and future mental and emotional health. Therefore, there is a rationale for early intervention strategies that address early mental health challenges before they evolve, may enhance children's wellbeing and could minimise the need for more intensive specialist services as they grow up (Appleton </w:t>
      </w:r>
      <w:r>
        <w:rPr>
          <w:i/>
          <w:iCs/>
        </w:rPr>
        <w:t>et al</w:t>
      </w:r>
      <w:r>
        <w:t>., 2025). Likewise, early intervention strategies could make a contribution in the treatment of the prevalent mental health issues faced by youth. Evidence from UK primary schools also shows that school-based interventions can be used to address children's social and emotional health and provide support within everyday educational settings (Wright et al., 2025).   </w:t>
      </w:r>
    </w:p>
    <w:p w14:paraId="0A0DD53E">
      <w:pPr>
        <w:spacing w:before="240" w:after="240"/>
      </w:pPr>
      <w:r>
        <w:t xml:space="preserve">In the UK, early intervention is a multi-sectoral process involving a range of services such as schools, NHS services, CAMHS, primary care, local authorities and voluntary services (Adindu </w:t>
      </w:r>
      <w:r>
        <w:rPr>
          <w:i/>
          <w:iCs/>
        </w:rPr>
        <w:t>et al.</w:t>
      </w:r>
      <w:r>
        <w:t xml:space="preserve">, 2025; Avery et al., 2026). Teachers are especially relevant in the school where they can notice behavioral and emotional changes in children through frequent interaction. But multi-agency provision can also be problematic if there is poor accountability, poor referrals and poor communication. One of the key challenges is the wide disparity between policy messages on early intervention and service access. </w:t>
      </w:r>
    </w:p>
    <w:p w14:paraId="4FBA66CB">
      <w:pPr>
        <w:spacing w:before="240" w:after="240"/>
      </w:pPr>
      <w:r>
        <w:t>Recent UK evidence also indicates that school-based interventions can provide an important route for selective and indicated support. However, implementation depends on the ability of schools and mental health services to identify appropriate children and deliver interventions within existing structures (Spencer et al., 2025; Hayes et al., 2025).</w:t>
      </w:r>
    </w:p>
    <w:p w14:paraId="3D064739">
      <w:pPr>
        <w:spacing w:before="240" w:after="240"/>
      </w:pPr>
      <w:r>
        <w:t>Children with mild and emerging difficulties might not be eligible for specialist services and universal services might not have the capacity or skills to offer appropriate services. This may lead to a "missing middle" that children are not adequately supported until they fall into a state of crisis. In addition to evidence-based intervention, successful early intervention requires sufficient funding, staff capacity, referral pathways and coordinated delivery of services. </w:t>
      </w:r>
    </w:p>
    <w:p w14:paraId="34E72881">
      <w:pPr>
        <w:pStyle w:val="3"/>
        <w:spacing w:before="240" w:after="240"/>
      </w:pPr>
      <w:bookmarkStart w:id="16" w:name="_Toc241231901"/>
      <w:r>
        <w:t>2.4 UK Policy Framework for Early Mental Health Intervention</w:t>
      </w:r>
      <w:bookmarkEnd w:id="16"/>
      <w:r>
        <w:t> </w:t>
      </w:r>
    </w:p>
    <w:p w14:paraId="2309ABB1">
      <w:pPr>
        <w:spacing w:before="240" w:after="240"/>
      </w:pPr>
      <w:r>
        <w:t xml:space="preserve">UK policy frameworks increasingly emphasise prevention, early identification and early intervention as key parts of mental health services for children. This is aligned with increasing evidence that helping to resolve issues at an early age can prevent escalation and enhance long-term wellbeing. However, the effectiveness of these policy commitments depends on their translation into coordinated and accessible services. So, assessing the UK policy framework needs to take into account strategic priorities as well as implementation issues. An important move was the creation of ‘Future in Mind’, a strategic vision for mental health services for children and young people in England (Griffin </w:t>
      </w:r>
      <w:r>
        <w:rPr>
          <w:i/>
          <w:iCs/>
        </w:rPr>
        <w:t>et al.</w:t>
      </w:r>
      <w:r>
        <w:t xml:space="preserve">, 2022). </w:t>
      </w:r>
    </w:p>
    <w:p w14:paraId="450C5C13">
      <w:pPr>
        <w:spacing w:before="240" w:after="240"/>
      </w:pPr>
      <w:r>
        <w:t xml:space="preserve">The framework highlighted the importance of prevention, early intervention, access and greater working together between health, education and social care. It was a move away from a specialist treatment model and a more proactive approach to address emerging challenges. However, there have been variations in local capacity and ongoing strain on specialist services which has hampered implementation. The ‘NHS Long Term Plan’ also reinforced the need to do more to transform the delivery of mental health services for children and young people, building on the recommendations for more investment, wider access and more integration of community services for mental health (Charles </w:t>
      </w:r>
      <w:r>
        <w:rPr>
          <w:i/>
          <w:iCs/>
        </w:rPr>
        <w:t>et al.</w:t>
      </w:r>
      <w:r>
        <w:t xml:space="preserve">, 2019). NHS' more recent plans have focussed on prevention and early help and there is an emphasis on helping children within schools and communities. This is especially important when considering children aged 5-11 years as it is at school where emotional and behavioural problems are likely to be detected at an early stage. Evidence from English schools indicates that staff time, knowledge, engagement and available space can influence the implementation of mental health interventions (Stapley et al., 2026). </w:t>
      </w:r>
    </w:p>
    <w:p w14:paraId="06351647">
      <w:pPr>
        <w:spacing w:before="240" w:after="240"/>
      </w:pPr>
      <w:r>
        <w:t xml:space="preserve">The role of schools was also enhanced via the ‘Transforming Children and Young People's Mental Health Provision’ programme and the links between education and specialist services. Such efforts can help to enhance early access and coordination (Soneson </w:t>
      </w:r>
      <w:r>
        <w:rPr>
          <w:i/>
          <w:iCs/>
        </w:rPr>
        <w:t>et al</w:t>
      </w:r>
      <w:r>
        <w:t xml:space="preserve">., 2024). However, they will be effective, depending on the availability of the workforce and the infrastructure and cooperation of the organisations. All the above has not been enough to close the policy-service delivery gap. Children with mild and emerging difficulties may not have access to restricted access due to prioritisation of specialist services for those with greater clinical severity. A shortage of staff, delays in services, poor referral systems and regional disparities can further challenge the goals of early intervention (Roach </w:t>
      </w:r>
      <w:r>
        <w:rPr>
          <w:i/>
          <w:iCs/>
        </w:rPr>
        <w:t>et al</w:t>
      </w:r>
      <w:r>
        <w:t xml:space="preserve">., 2025). This implementation gap is also reflected in evidence concerning the practical barriers faced when introducing standardised assessment processes within CAMHS (Thomson et al., 2025). </w:t>
      </w:r>
    </w:p>
    <w:p w14:paraId="3DA45F4F">
      <w:pPr>
        <w:spacing w:before="240" w:after="240"/>
      </w:pPr>
      <w:r>
        <w:t>The barriers to implementation of children's mental health interventions in the community show that policy commitments do not directly translate into delivery. Overall, UK policy frameworks demonstrate a strong emphasis on early intervention and integrated care. But action on these commitments to provide sufficient services to support these commitments that are coordinated, accessible and funded, is a challenge. This policy-practice gap offers a useful starting point for the analysis of the systemic and organisational barriers which impact on early mental health intervention for young children aged 5–11 years.</w:t>
      </w:r>
    </w:p>
    <w:p w14:paraId="65E93868">
      <w:pPr>
        <w:pStyle w:val="3"/>
        <w:spacing w:before="240" w:after="240"/>
      </w:pPr>
      <w:bookmarkStart w:id="17" w:name="_Toc241231902"/>
      <w:r>
        <w:t>2.5 UK Mental Health Service Delivery and Access</w:t>
      </w:r>
      <w:bookmarkEnd w:id="17"/>
      <w:r>
        <w:t> </w:t>
      </w:r>
    </w:p>
    <w:p w14:paraId="3F25DE66">
      <w:pPr>
        <w:spacing w:before="240" w:after="240"/>
      </w:pPr>
      <w:r>
        <w:t xml:space="preserve">Children's mental health provision in the UK is delivered through a multi-agency system involving the NHS, CAMHS, primary care, schools, local authorities and voluntary organisations (Newlove-Delgado </w:t>
      </w:r>
      <w:r>
        <w:rPr>
          <w:i/>
          <w:iCs/>
        </w:rPr>
        <w:t>et al.</w:t>
      </w:r>
      <w:r>
        <w:t xml:space="preserve"> 2022). While this structure creates opportunities for early identification and intervention, its effectiveness depends on the capacity of these organisations to coordinate referrals, share information and provide support at the appropriate level. A multi-agency approach could have a positive impact on early identification as it will be possible for children to receive support in familiar environments, especially schools. </w:t>
      </w:r>
    </w:p>
    <w:p w14:paraId="2AD1C91F">
      <w:pPr>
        <w:spacing w:before="240" w:after="240"/>
      </w:pPr>
      <w:r>
        <w:t>There is a need for schools to be alert to potential emotional and behavioural issues as they are the first to consider negative changes in behaviour, attendance, concentration and social interaction levels. Establishment of Mental Health Support Teams (MHSTs) has reinforced the link between education and mental health provision. The effectiveness of the support in school depends on local resources, staff capacity and the availability of specialist services (Ellins et al., 2023; Robinson et al., 2025).</w:t>
      </w:r>
    </w:p>
    <w:p w14:paraId="4D1D6A7A">
      <w:pPr>
        <w:spacing w:before="240" w:after="240"/>
      </w:pPr>
      <w:r>
        <w:t>Access to CAMHS provision is an important aspect of specialist provision but access is dependent on a child's difficulties and agreed referral thresholds. Children with less severe or developing issues may therefore not be able to access specialist support due to their needs not being met. The link between the severity of the problem and waiting times is emphasized and this could imply that children with less serious problems might have different routes of care. This leaves a gap for a "Missing Middle" between support and specialist services. The inequalities in the region, shortage of workforce, long waiting times and disorganized referral systems also affect access. Co-ordinating various services to children and families can be challenging and delays in intervention can be caused by poor co-ordination between schools, health providers and community organisations. Recent evaluation of a Mental Health Support Team in North East England found that effective school-based provision depended on communication with schools, consistency within the team, a holistic approach and streamlined referral processes (Haste et al., 2025).</w:t>
      </w:r>
    </w:p>
    <w:p w14:paraId="7C8A9758">
      <w:pPr>
        <w:spacing w:before="240" w:after="240"/>
      </w:pPr>
      <w:r>
        <w:t>This means that there is a great deal of variation in access to mental health support in practice, despite a strongly advocated graduated approach to service delivery in the UK. These restrictions could lead to a delay in intervention and worsen the symptoms in children aged 5-11 who have early signs of difficulty. Therefore, besides services that are appropriate for the early years, there must be suitable referral systems, adequate capacity and inter-sectoral coordination in service provision for effective early intervention.   </w:t>
      </w:r>
    </w:p>
    <w:p w14:paraId="6BDD00AE">
      <w:pPr>
        <w:pStyle w:val="3"/>
        <w:spacing w:before="240" w:after="240"/>
      </w:pPr>
      <w:bookmarkStart w:id="18" w:name="_Toc241231903"/>
      <w:r>
        <w:t>2.6 Systemic and Organisational Barriers</w:t>
      </w:r>
      <w:bookmarkEnd w:id="18"/>
      <w:r>
        <w:t> </w:t>
      </w:r>
    </w:p>
    <w:p w14:paraId="186FFAD7">
      <w:pPr>
        <w:spacing w:before="240" w:after="240"/>
      </w:pPr>
      <w:r>
        <w:t xml:space="preserve">While there is now a policy commitment to early intervention, there are some systemic and organisational issues which remain to limit timely access to mental health interventions for children aged 5-11 in the UK. These barriers are not limited to a single sector such as health, education, social care and community services but extend across them and frequently interact to cause delay and inequalities in provision. So, early intervention depends on policy commitment and the capacity and coordination of organisations that provide early intervention. Workforce shortages represent a significant systemic constraint. </w:t>
      </w:r>
    </w:p>
    <w:p w14:paraId="1AF6C5AD">
      <w:pPr>
        <w:spacing w:before="240" w:after="240"/>
      </w:pPr>
      <w:r>
        <w:t xml:space="preserve">Limited staffing capacity can increase practitioner workload, contribute to longer waiting times and restrict service capacity (Peipert </w:t>
      </w:r>
      <w:r>
        <w:rPr>
          <w:i/>
          <w:iCs/>
        </w:rPr>
        <w:t>et al</w:t>
      </w:r>
      <w:r>
        <w:t>., 2022). Recent research with school staff in England identified time, space, knowledge and engagement as important implementation challenges for school-based mental health interventions (Stapley et al., 2026) High demand may also result in services prioritising children with severe or urgent needs, potentially leaving children with emerging difficulties without timely support. This is a paradox of early intervention, and a reactive service system to increasing needs. The lack of funding and resources adds to these challenges. National policies have helped to raise awareness of children' s mental health but there is variation in local funding and capacity for services to children which can lead to geographical inequalities in access to services. Those children residing in areas with fewer services may have to wait a longer time for services or may be offered fewer intervention options. </w:t>
      </w:r>
    </w:p>
    <w:p w14:paraId="080A40D6">
      <w:pPr>
        <w:spacing w:before="240" w:after="240"/>
      </w:pPr>
      <w:r>
        <w:t xml:space="preserve">Service fragmentation is another important organisational barrier. Early intervention often involves working with schools, Primary care, CAMHS and the voluntary sector (Cleaver </w:t>
      </w:r>
      <w:r>
        <w:rPr>
          <w:i/>
          <w:iCs/>
        </w:rPr>
        <w:t>et al</w:t>
      </w:r>
      <w:r>
        <w:t xml:space="preserve">., 2019). However, the way organisations are organised, refer to each other and share information can cause continuity of care to be disrupted. Additionally, the following implementation barriers are identified that highlight how the provision of evidence-based interventions for mental health could be inconsistently provided due to coordination problems. Other access barriers include referral threshold and waiting times. </w:t>
      </w:r>
    </w:p>
    <w:p w14:paraId="0C66140F">
      <w:pPr>
        <w:spacing w:before="240" w:after="240"/>
      </w:pPr>
      <w:r>
        <w:t>Specialist services tend to focus on children with more serious or complex needs and may fail to accept, redirect or offer alternative pathways for children with less complex and mild needs. Severity-based prioritisation is acceptable in conditions where there is limited capacity but can lead to delay in intervention until symptoms are more severe. The link between problem severity and waiting times where inequalities are seen in accessing pathways. Lastly, stigma and low awareness of mental health issues and the inability to recognise early signs can impact on the process of seeking help (Omondi, 2024). Parents of autistic children have also reported difficulties accessing CAMHS, including long waits, limited support and difficulties obtaining appropriate services (Ashworth et al., 2025).</w:t>
      </w:r>
    </w:p>
    <w:p w14:paraId="431C2D69">
      <w:pPr>
        <w:spacing w:before="240" w:after="240"/>
      </w:pPr>
      <w:r>
        <w:t>Emotional and behavioural changes can be perceived as a fleeting stage of development and a delay in referral by parents and professionals. Overall, the above are interrelated barriers that show that there is no single organisational flaw that limits access. Rather, due to the forces of the workforce, funding issues, fragmented services and restrictive thresholds and inequalities, early support may be challenging to find. Resolving all of these barriers will need policy, funding and workforce planning and service integration improvements as well. </w:t>
      </w:r>
    </w:p>
    <w:p w14:paraId="2B06E432">
      <w:pPr>
        <w:pStyle w:val="3"/>
        <w:spacing w:before="240" w:after="240"/>
      </w:pPr>
      <w:bookmarkStart w:id="19" w:name="_Toc241231904"/>
      <w:r>
        <w:t>2.7 Policy and Service-Level Barriers: Impact on Access</w:t>
      </w:r>
      <w:bookmarkEnd w:id="19"/>
      <w:r>
        <w:t> </w:t>
      </w:r>
    </w:p>
    <w:p w14:paraId="426D1DD8">
      <w:pPr>
        <w:spacing w:before="240" w:after="240"/>
      </w:pPr>
      <w:r>
        <w:t xml:space="preserve">Evidence from the existing literature suggests that there is a clear disparity between the policy commitment to early mental health intervention and children's access to timely mental health support in the UK. While national policies encourage prevention and early identification and integrated care, delivery is often limited by workforce shortages, lack of resources, and from place to place, differences in the provision of these services. Further, because of restrictive referral thresholds, children who do not meet the criteria for specialist services may not have access to services even if their difficulties are mild or are developing. </w:t>
      </w:r>
    </w:p>
    <w:p w14:paraId="6F1EAC7A">
      <w:pPr>
        <w:spacing w:before="240" w:after="240"/>
      </w:pPr>
      <w:r>
        <w:t>As a result, children might have delayed assessment and intervention, and early symptoms can worsen and become more complicated (Mayo Clinic Staff, 2024). Policy and service-level barriers can reinforce one another, creating a cycle in which limited resources constrain staffing capacity, increase waiting times and reduce access to early intervention. Lack of resources can lead to staff shortages which can cause a reduction in waiting time and focus on urgent cases.</w:t>
      </w:r>
    </w:p>
    <w:p w14:paraId="06CBA954">
      <w:pPr>
        <w:spacing w:before="240" w:after="240"/>
      </w:pPr>
      <w:r>
        <w:t>Likewise, re-referral pathways can be difficult to follow if organisations are in a fragmented structure. This means that policy implementation and organisational capacity and service accessibility play a joint role in access to early intervention. The results underscore the importance of understanding the extent to which systemic barriers affect the implementation of policy aspirations into child and family lived experiences.</w:t>
      </w:r>
    </w:p>
    <w:p w14:paraId="4E2BA94C">
      <w:pPr>
        <w:pStyle w:val="3"/>
        <w:spacing w:before="240" w:after="240"/>
      </w:pPr>
      <w:bookmarkStart w:id="20" w:name="_Toc241231905"/>
      <w:r>
        <w:t>2.8 Theoretical Framework: Andersen Behavioural Model</w:t>
      </w:r>
      <w:bookmarkEnd w:id="20"/>
      <w:r>
        <w:t> </w:t>
      </w:r>
    </w:p>
    <w:p w14:paraId="7C0AA1C5">
      <w:pPr>
        <w:spacing w:before="240" w:after="240"/>
      </w:pPr>
      <w:r>
        <w:t xml:space="preserve">The Andersen Behavioural Model is appropriate for the study on the factors affecting access to healthcare services. The model was first used to explore how people use the healthcare system and suggests that there are three core dynamics that affect services use (Alkhawaldeh </w:t>
      </w:r>
      <w:r>
        <w:rPr>
          <w:i/>
          <w:iCs/>
        </w:rPr>
        <w:t>et al.,</w:t>
      </w:r>
      <w:r>
        <w:t xml:space="preserve"> 2023). These are predisposing, enabling and need factors. Predisposing factors are the factors that affect a person’s tendency to seek care such as age, family situation, attitudes and mental health awareness (Ma</w:t>
      </w:r>
      <w:r>
        <w:rPr>
          <w:i/>
          <w:iCs/>
        </w:rPr>
        <w:t xml:space="preserve"> et al.</w:t>
      </w:r>
      <w:r>
        <w:t xml:space="preserve">, 2025). Enabling factors are the personal, family, organisational and community environments and resources that enable or hinder access to health care services. </w:t>
      </w:r>
    </w:p>
    <w:p w14:paraId="3EED089D">
      <w:pPr>
        <w:spacing w:before="240" w:after="240"/>
      </w:pPr>
      <w:r>
        <w:t>They consist of availability and accessibility of services, geographical location, waiting times, availability of health care professionals, referral pathways, organisations’ capacity and relevant health policies. Enabling factors are specifically relevant in this study as children aged 5-11 years are to receive timely and effective early mental health intervention, then they may need access to adequate services in the first place, timely referral pathways, an adequate workforce capacity and effective co-ordination between schools, families and healthcare providers.</w:t>
      </w:r>
    </w:p>
    <w:p w14:paraId="2670473A">
      <w:pPr>
        <w:spacing w:before="240" w:after="240"/>
      </w:pPr>
      <w:r>
        <w:t>Need factors is defined as the need perceived by individuals as well as by health professionals. For this study, these can range from parents, teachers and professionals noticing and attributing severity to a child’s mental health problems. This model is important for models of mental health services for children aged 5-11 years as children’s access to mental health services is not solely based on their own choices. Parents, teachers and schools and healthcare professionals can be important in identifying difficulties, making referrals and navigating services. Thus, the framework offers a multi-dimensional perspective for analysing the role of individual and family factors in relation to the availability of services, service organisation, referral systems and policy environment on access to early mental health intervention.  </w:t>
      </w:r>
    </w:p>
    <w:p w14:paraId="3C694DE4">
      <w:pPr>
        <w:pStyle w:val="3"/>
        <w:spacing w:before="240" w:after="240"/>
      </w:pPr>
      <w:bookmarkStart w:id="21" w:name="_Toc241231906"/>
      <w:r>
        <w:t>2.9 Research gap</w:t>
      </w:r>
      <w:bookmarkEnd w:id="21"/>
      <w:r>
        <w:t> </w:t>
      </w:r>
    </w:p>
    <w:p w14:paraId="2EDE0B28">
      <w:pPr>
        <w:spacing w:before="240" w:after="240"/>
      </w:pPr>
      <w:r>
        <w:t>While there are many existing sources of literature that have focused on children's mental health and barriers to access mental health services, there are important gaps. While there has been much research on children and young people's mental health services in general, less research has focused on the needs of children aged 5-11 with mild or emerging mental health issues. Existing research frequently examines individual barriers, such as waiting times or workforce shortages, rather than examining how policy frameworks interact with organisational and service-delivery constraints. A further gap concerns the disconnect between policy intentions regarding early intervention and their implementation at service level.   </w:t>
      </w:r>
    </w:p>
    <w:p w14:paraId="175EC384">
      <w:pPr>
        <w:pStyle w:val="3"/>
        <w:spacing w:before="240" w:after="240"/>
      </w:pPr>
      <w:bookmarkStart w:id="22" w:name="_Toc241231907"/>
      <w:r>
        <w:t>2.10 Chapter Summary</w:t>
      </w:r>
      <w:bookmarkEnd w:id="22"/>
      <w:r>
        <w:t> </w:t>
      </w:r>
    </w:p>
    <w:p w14:paraId="297F6B75">
      <w:pPr>
        <w:spacing w:before="240" w:after="240"/>
      </w:pPr>
      <w:r>
        <w:t>A critical literature review of children's mental health and the need for early intervention for children 5-11 years old in the UK was conducted. It reviewed national policy, mental health service delivery and access to services, noting challenges of systemic and organisational barriers such as workforce capacity and supply, funding, fragmented services, restrictive referral thresholds and inequalities. The chapter found a disconnect between policy goals and the policy action. The Andersen Behavioural Model was introduced as the theoretical underpinning to understand how predisposing, enabling and need factors impact access to early mental health intervention.</w:t>
      </w:r>
    </w:p>
    <w:p w14:paraId="184A2C71">
      <w:pPr>
        <w:spacing w:before="240" w:after="240"/>
      </w:pPr>
      <w:r>
        <w:br w:type="textWrapping"/>
      </w:r>
    </w:p>
    <w:p w14:paraId="7097A2B8">
      <w:pPr>
        <w:spacing w:before="240" w:after="240"/>
      </w:pPr>
    </w:p>
    <w:p w14:paraId="044A6B7A">
      <w:pPr>
        <w:spacing w:before="240" w:after="240"/>
        <w:rPr>
          <w:b/>
          <w:bCs/>
        </w:rPr>
      </w:pPr>
      <w:bookmarkStart w:id="23" w:name="_xkd233bitzpc" w:colFirst="0" w:colLast="0"/>
      <w:bookmarkEnd w:id="23"/>
      <w:r>
        <w:br w:type="page"/>
      </w:r>
    </w:p>
    <w:p w14:paraId="3609D9E6">
      <w:pPr>
        <w:pStyle w:val="2"/>
        <w:spacing w:before="240" w:after="240"/>
        <w:jc w:val="both"/>
        <w:rPr>
          <w:sz w:val="24"/>
          <w:szCs w:val="24"/>
        </w:rPr>
      </w:pPr>
      <w:bookmarkStart w:id="24" w:name="_Toc241231908"/>
      <w:r>
        <w:rPr>
          <w:sz w:val="24"/>
          <w:szCs w:val="24"/>
        </w:rPr>
        <w:t>CHAPTER 3: RESEARCH METHODOLOGY</w:t>
      </w:r>
      <w:bookmarkEnd w:id="24"/>
      <w:r>
        <w:rPr>
          <w:sz w:val="24"/>
          <w:szCs w:val="24"/>
        </w:rPr>
        <w:t xml:space="preserve"> </w:t>
      </w:r>
    </w:p>
    <w:p w14:paraId="32F91756">
      <w:pPr>
        <w:pStyle w:val="3"/>
        <w:spacing w:before="240" w:after="240"/>
      </w:pPr>
      <w:bookmarkStart w:id="25" w:name="_Toc241231909"/>
      <w:r>
        <w:t>3.1 Introduction</w:t>
      </w:r>
      <w:bookmarkEnd w:id="25"/>
      <w:r>
        <w:t xml:space="preserve"> </w:t>
      </w:r>
    </w:p>
    <w:p w14:paraId="1900FC5C">
      <w:pPr>
        <w:spacing w:before="240" w:after="240"/>
      </w:pPr>
      <w:r>
        <w:t xml:space="preserve">This chapter presents the research methodology adopted for exploring barriers to early mental health interventions for 5-11-year-old children who have early signs of mental health issues in the UK, with specific focus on policy and service delivery issues. This study utilised ‘systematic literature review (SLR) methodology’ based solely on secondary data, which is designed to critically synthesise existing academic literature, government papers, policies and reports from reputable sources. An SLR has been chosen due to its structured, transparent and evidence-based methodology that allows identifying, analysing and summarising information from various sources to minimise bias and increase the reliability of the review (Smela </w:t>
      </w:r>
      <w:r>
        <w:rPr>
          <w:i/>
          <w:iCs/>
        </w:rPr>
        <w:t>et al.</w:t>
      </w:r>
      <w:r>
        <w:t xml:space="preserve"> 2023). </w:t>
      </w:r>
    </w:p>
    <w:p w14:paraId="55DE1F26">
      <w:pPr>
        <w:spacing w:before="240" w:after="240"/>
      </w:pPr>
      <w:r>
        <w:t>‘PRISMA (Preferred Reporting Items for Systematic Reviews and Meta-Analyses)’ guidelines were used to enhance transparency and consistency. The use of PRISMA guarantees that the review will utilise a systematic and reproducible methodology of selecting evidence in relation to child mental health policy and services in the UK. This chapter describes research philosophy, research approach, research design, data collection technique, thematic data analysis, ethical issues and chapter summary.</w:t>
      </w:r>
    </w:p>
    <w:p w14:paraId="455DEAD1">
      <w:pPr>
        <w:pStyle w:val="3"/>
        <w:spacing w:before="240" w:after="240"/>
      </w:pPr>
      <w:bookmarkStart w:id="26" w:name="_Toc241231910"/>
      <w:r>
        <w:t>3.2 Research Philosophy</w:t>
      </w:r>
      <w:bookmarkEnd w:id="26"/>
      <w:r>
        <w:t xml:space="preserve"> </w:t>
      </w:r>
    </w:p>
    <w:p w14:paraId="3F0630FD">
      <w:pPr>
        <w:spacing w:before="240" w:after="240"/>
      </w:pPr>
      <w:r>
        <w:t xml:space="preserve">This research is based on an interpretivist research philosophy, as it aims to gain insight into the effects that frameworks for policies and service delivery processes have on access to early mental health intervention among children aged 5-11 in the UK. Interpretivism assumes that social reality is constructed through the experiences, perspectives and interactions of individuals and institutions rather than existing as a single objective reality (Junjie and Yingxin, 2022). </w:t>
      </w:r>
    </w:p>
    <w:p w14:paraId="6B922450">
      <w:pPr>
        <w:spacing w:before="240" w:after="240"/>
      </w:pPr>
      <w:r>
        <w:t xml:space="preserve">This is justified by the fact that barriers to early mental health intervention result from complex social, organisational and policy issues that cannot be interpreted solely based on numerical data. The implementation of policies, the capabilities of staff, inter-agency co-operation, as well as the availability of ‘Child and Adolescent Mental Health Services (CAMHS)’ need interpretation in their respective social and organisational contexts.  </w:t>
      </w:r>
    </w:p>
    <w:p w14:paraId="6087F910">
      <w:pPr>
        <w:spacing w:before="240" w:after="240"/>
      </w:pPr>
      <w:r>
        <w:t xml:space="preserve">The study critically analyses evidence from peer-reviewed literature, government reports and policy documents to understand how different stakeholders have interpreted and experienced these barriers by adopting an interpretivist perspective. Thus, an interpretivist philosophy enables in-depth analysis of evidence and policy effectiveness, as well as service delivery issues and inequalities. Consequently, interpretivism provides a foundation for synthesising diverse evidence and generating a comprehensive understanding of the contextual factors influencing children’s access to timely mental health support. </w:t>
      </w:r>
    </w:p>
    <w:p w14:paraId="5B6AB925">
      <w:pPr>
        <w:pStyle w:val="3"/>
        <w:spacing w:before="240" w:after="240"/>
      </w:pPr>
      <w:bookmarkStart w:id="27" w:name="_Toc241231911"/>
      <w:r>
        <w:t>3.3 Research Approach</w:t>
      </w:r>
      <w:bookmarkEnd w:id="27"/>
    </w:p>
    <w:p w14:paraId="284DB495">
      <w:pPr>
        <w:spacing w:before="240" w:after="240"/>
      </w:pPr>
      <w:r>
        <w:t xml:space="preserve">An inductive approach was adopted to identify patterns and themes emerging from the available evidence on barriers to early mental health intervention. An inductive approach starts by systematically examining the existing evidence and letting patterns, concepts and themes emerge from the collected data rather than testing pre-determined hypotheses (Proudfoot, 2023). This can be particularly appropriate for a systematic literature review where the purpose is to collect and combine the results of several studies, policy documents and government reports to highlight common problems with policy implementation and service delivery. </w:t>
      </w:r>
    </w:p>
    <w:p w14:paraId="4815806F">
      <w:pPr>
        <w:spacing w:before="240" w:after="240"/>
      </w:pPr>
      <w:r>
        <w:t>An inductive approach is used to compare and interpret evidence from a variety of sources to draw general conclusions about the problems facing early intervention services. The inductive approach allows key barriers to emerge naturally from the evidence rather than from predetermined assumptions. Furthermore, inductive reasoning enables the development of evidence-based themes from the literature, ensuring that the findings accurately reflect current child mental health policy and service delivery issues in the UK.</w:t>
      </w:r>
    </w:p>
    <w:p w14:paraId="7BED0706">
      <w:pPr>
        <w:pStyle w:val="3"/>
        <w:spacing w:before="240" w:after="240"/>
      </w:pPr>
      <w:bookmarkStart w:id="28" w:name="_Toc241231912"/>
      <w:r>
        <w:t>3.4 Research Design</w:t>
      </w:r>
      <w:bookmarkEnd w:id="28"/>
      <w:r>
        <w:t xml:space="preserve"> </w:t>
      </w:r>
    </w:p>
    <w:p w14:paraId="4F33762D">
      <w:pPr>
        <w:spacing w:before="240" w:after="240"/>
      </w:pPr>
      <w:r>
        <w:t xml:space="preserve">In this study, a systematic literature review (SLR) was chosen as the research design to explore the barriers to early mental health intervention for children aged 5-11 years in the United Kingdom with early signs of mental health difficulties. The systematic literature review is a scientific approach that entails the identification, selection, synthesis and analysis of evidence to address a pre-formulated research question based on certain methods (Cabrera and Cabrera, 2023). The application of the SLR approach is appropriate for this research since the research is not exploratory in nature but rather it entails synthesising the current evidence related to mental health policies and services for children. </w:t>
      </w:r>
    </w:p>
    <w:p w14:paraId="04498613">
      <w:pPr>
        <w:spacing w:before="240" w:after="240"/>
      </w:pPr>
      <w:r>
        <w:t xml:space="preserve">The SLR incorporates multiple perspectives from scholarly articles, government papers and health policy literature to have an in-depth understanding of the problems surrounding the early intervention services. Additionally, the design increases the transparency, reliability and evidence-based nature of the findings since there are systematic procedures throughout the review process (Marzi </w:t>
      </w:r>
      <w:r>
        <w:rPr>
          <w:i/>
          <w:iCs/>
        </w:rPr>
        <w:t>et al</w:t>
      </w:r>
      <w:r>
        <w:t>. 2025). Although, the design relies on the availability of published evidence and may be influenced by publication bias such as studies with significant results having a higher chance of being published than those with non-significant results.</w:t>
      </w:r>
    </w:p>
    <w:p w14:paraId="13A945B2">
      <w:pPr>
        <w:pStyle w:val="3"/>
        <w:spacing w:before="240" w:after="240"/>
      </w:pPr>
      <w:bookmarkStart w:id="29" w:name="_Toc241231913"/>
      <w:r>
        <w:t>3.5 Data Collection Method</w:t>
      </w:r>
      <w:bookmarkEnd w:id="29"/>
      <w:r>
        <w:t xml:space="preserve"> </w:t>
      </w:r>
    </w:p>
    <w:p w14:paraId="5FE37961">
      <w:pPr>
        <w:spacing w:before="240" w:after="240"/>
      </w:pPr>
      <w:r>
        <w:t>The study uses a secondary data collection method using a systematic literature review to explore policy and service delivery barriers related to early mental health intervention for children aged 5-11 years in the UK. Secondary data collection is appropriate as it allows bringing together diverse information from authoritative sources rather than collecting primary data from the participants (Ganesha and Aithal, 2022). The published literature and official policy documents provide significant evidence to address the objective as the research is based on national policy frameworks, service delivery and institutional practices. Information gathering from a variety of academic and policy sources also helps to produce a more comprehensive picture of structural, organisational and policy factors that impact on children’s access to early mental health supports.</w:t>
      </w:r>
    </w:p>
    <w:p w14:paraId="34B47586">
      <w:pPr>
        <w:pStyle w:val="4"/>
        <w:spacing w:before="240" w:after="240"/>
        <w:rPr>
          <w:color w:val="auto"/>
        </w:rPr>
      </w:pPr>
      <w:bookmarkStart w:id="30" w:name="_Toc241231914"/>
      <w:r>
        <w:rPr>
          <w:color w:val="auto"/>
        </w:rPr>
        <w:t>3.5.1 Sources of Literature</w:t>
      </w:r>
      <w:bookmarkEnd w:id="30"/>
    </w:p>
    <w:p w14:paraId="0A0D761E">
      <w:pPr>
        <w:spacing w:before="240" w:after="240"/>
      </w:pPr>
      <w:r>
        <w:t xml:space="preserve">The literature was obtained from various academic databases and from official organisational websites to provide full, credible and relevant information to the study. PubMed and Google Scholar were searched for peer-reviewed journal articles as these databases provide good coverage of healthcare, psychology, mental health, education and public policy research. PubMed was chosen to emphasise information regarding biomedical and public health research. Google Scholar was used to find other scholarly papers and citations that are not covered by the other databases. Official policy documents were sourced from NHS England, NICE, GOV.UK and the Department of Health and Social Care, in addition to academic literature. </w:t>
      </w:r>
    </w:p>
    <w:p w14:paraId="4179079C">
      <w:pPr>
        <w:spacing w:before="240" w:after="240"/>
      </w:pPr>
      <w:r>
        <w:t>The sources were chosen due to their publishing of early intervention policies, clinical guidance and service frameworks at a national level that influence the development and implementation of early intervention services for children in the United Kingdom. Peer-reviewed evidence and policy documents are included to examine critically how policy intentions relate to service delivery in practice while ensuring a comprehensive evidence base for examining barriers to early mental health services.</w:t>
      </w:r>
    </w:p>
    <w:p w14:paraId="5B25B3AD">
      <w:pPr>
        <w:pStyle w:val="4"/>
        <w:spacing w:before="240" w:after="240"/>
        <w:rPr>
          <w:color w:val="auto"/>
        </w:rPr>
      </w:pPr>
      <w:bookmarkStart w:id="31" w:name="_Toc241231915"/>
      <w:r>
        <w:rPr>
          <w:color w:val="auto"/>
        </w:rPr>
        <w:t>3.5.2 Search Strategy</w:t>
      </w:r>
      <w:bookmarkEnd w:id="31"/>
    </w:p>
    <w:p w14:paraId="506AE30A">
      <w:pPr>
        <w:spacing w:before="240" w:after="240"/>
      </w:pPr>
      <w:r>
        <w:t>A systematic and reproducible search strategy was used to identify relevant literature. The search of electronic databases was carried out to locate studies published between 2020 and 2025 to ensure that the review captured the latest developments in post-pandemic health care provision and service delivery changes in child mental health in the United Kingdom. Limiting the search to recent publications makes the evidence more relevant as there have been major policy developments, such as the NHS Long Term Plan and investment in children’s mental health services in this timeframe. The search strategy combined keywords and Boolean operators to maximise the retrieval of relevant studies while limiting irrelevant results (Munasinghe and Ranasinghe, 2023). The systematic search strategy guaranteed that the evidence collected was directly related to the research objectives.</w:t>
      </w:r>
    </w:p>
    <w:p w14:paraId="2F94E5C1">
      <w:pPr>
        <w:spacing w:before="240" w:after="240"/>
        <w:rPr>
          <w:i/>
          <w:iCs/>
        </w:rPr>
      </w:pPr>
      <w:r>
        <w:rPr>
          <w:i/>
          <w:iCs/>
        </w:rPr>
        <w:t>The keywords are,</w:t>
      </w:r>
    </w:p>
    <w:p w14:paraId="7E3EDEE6">
      <w:pPr>
        <w:spacing w:before="240" w:after="240"/>
      </w:pPr>
      <w:r>
        <w:t xml:space="preserve">‘Child mental health’, ‘Early mental health intervention’, ‘Children aged 5-11’, ‘CAMHS’, ‘Mental health policy’, ‘Service delivery’, ‘United Kingdom’, ‘Access to mental health services’ and ‘Early signs of mental health difficulties’. </w:t>
      </w:r>
    </w:p>
    <w:p w14:paraId="4CFA09D3">
      <w:pPr>
        <w:spacing w:before="240" w:after="240"/>
        <w:rPr>
          <w:i/>
          <w:iCs/>
        </w:rPr>
      </w:pPr>
      <w:r>
        <w:rPr>
          <w:i/>
          <w:iCs/>
        </w:rPr>
        <w:t>Boolean operators were used,</w:t>
      </w:r>
    </w:p>
    <w:p w14:paraId="2F57CFA0">
      <w:pPr>
        <w:spacing w:before="240" w:after="240"/>
      </w:pPr>
      <w:r>
        <w:t>(‘child mental health’ OR ‘mental health difficulties’ OR ‘emotional wellbeing’) AND</w:t>
      </w:r>
    </w:p>
    <w:p w14:paraId="56C4FD26">
      <w:pPr>
        <w:spacing w:before="240" w:after="240"/>
      </w:pPr>
      <w:r>
        <w:t>(‘early intervention’ OR ‘early mental health intervention’ OR ‘CAMHS’) AND (‘policy’ OR ‘mental health policy’ OR ‘service delivery’) AND (‘United Kingdom’ OR ‘UK’ OR ‘England’)</w:t>
      </w:r>
    </w:p>
    <w:p w14:paraId="5E307458">
      <w:pPr>
        <w:pStyle w:val="4"/>
        <w:spacing w:before="240" w:after="240"/>
        <w:rPr>
          <w:color w:val="auto"/>
        </w:rPr>
      </w:pPr>
      <w:bookmarkStart w:id="32" w:name="_Toc241231916"/>
      <w:r>
        <w:rPr>
          <w:color w:val="auto"/>
        </w:rPr>
        <w:t>3.5.3 PRISMA-Guided Study Selection</w:t>
      </w:r>
      <w:bookmarkEnd w:id="32"/>
    </w:p>
    <w:p w14:paraId="03EC3022">
      <w:pPr>
        <w:spacing w:before="240" w:after="240"/>
      </w:pPr>
      <w:r>
        <w:t xml:space="preserve">The PRISMA protocol was used while conducting the literature search and selecting relevant studies to increase transparency and reduce selection bias (Veroniki </w:t>
      </w:r>
      <w:r>
        <w:rPr>
          <w:i/>
          <w:iCs/>
        </w:rPr>
        <w:t xml:space="preserve">et al. </w:t>
      </w:r>
      <w:r>
        <w:t xml:space="preserve">2025). Firstly, relevant studies were identified via database search and websites of organisations. Secondly, duplicate entries found between databases were removed before screening. After this stage, relevant studies were screened by analysing titles and abstracts to assess whether they relate to the research problem. </w:t>
      </w:r>
    </w:p>
    <w:p w14:paraId="16FF4BDD">
      <w:pPr>
        <w:spacing w:before="240" w:after="240"/>
      </w:pPr>
      <w:r>
        <w:t>Then, those articles meeting the preliminary criteria were evaluated based on pre-defined inclusion and exclusion criteria. Studies directly addressing issues related to early mental health interventions, policy implementation or service provision problems among children aged 5-11 years old within the UK context were selected for the analysis. Using PRISMA methodology helped to conduct a systematic, transparent and reproducible literature search and review process [</w:t>
      </w:r>
      <w:r>
        <w:rPr>
          <w:i/>
          <w:iCs/>
        </w:rPr>
        <w:t>Referred to Figure 4.2.1</w:t>
      </w:r>
      <w:r>
        <w:t>].</w:t>
      </w:r>
    </w:p>
    <w:p w14:paraId="5B0E2A03">
      <w:pPr>
        <w:pStyle w:val="4"/>
        <w:spacing w:before="240" w:after="240"/>
        <w:rPr>
          <w:b w:val="0"/>
          <w:bCs w:val="0"/>
          <w:color w:val="auto"/>
        </w:rPr>
      </w:pPr>
      <w:bookmarkStart w:id="33" w:name="_Toc241231917"/>
      <w:r>
        <w:rPr>
          <w:color w:val="auto"/>
        </w:rPr>
        <w:t>3.5.4 Inclusion and Exclusion Criteria</w:t>
      </w:r>
      <w:bookmarkEnd w:id="33"/>
    </w:p>
    <w:p w14:paraId="496E8EEE">
      <w:pPr>
        <w:spacing w:before="240" w:after="240"/>
      </w:pPr>
      <w:r>
        <w:t>Predefined inclusion and exclusion criteria were established before the systematic search commenced to ensure consistency in the literature selection process. The inclusion and exclusion criteria served to ensure that studies related to the research objectives were selected while excluding evidence not pertinent to the research topic (Myung, 2023).</w:t>
      </w:r>
    </w:p>
    <w:tbl>
      <w:tblPr>
        <w:tblStyle w:val="19"/>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15" w:type="dxa"/>
          <w:bottom w:w="0" w:type="dxa"/>
          <w:right w:w="115" w:type="dxa"/>
        </w:tblCellMar>
      </w:tblPr>
      <w:tblGrid>
        <w:gridCol w:w="4680"/>
        <w:gridCol w:w="4680"/>
      </w:tblGrid>
      <w:tr w14:paraId="1B29F6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c>
          <w:tcPr>
            <w:tcW w:w="4680" w:type="dxa"/>
            <w:tcMar>
              <w:top w:w="100" w:type="dxa"/>
              <w:left w:w="100" w:type="dxa"/>
              <w:bottom w:w="100" w:type="dxa"/>
              <w:right w:w="100" w:type="dxa"/>
            </w:tcMar>
          </w:tcPr>
          <w:p w14:paraId="316E1222">
            <w:pPr>
              <w:widowControl w:val="0"/>
              <w:pBdr>
                <w:top w:val="none" w:color="auto" w:sz="0" w:space="0"/>
                <w:left w:val="none" w:color="auto" w:sz="0" w:space="0"/>
                <w:bottom w:val="none" w:color="auto" w:sz="0" w:space="0"/>
                <w:right w:val="none" w:color="auto" w:sz="0" w:space="0"/>
                <w:between w:val="none" w:color="auto" w:sz="0" w:space="0"/>
              </w:pBdr>
              <w:spacing w:before="240" w:after="240"/>
            </w:pPr>
            <w:r>
              <w:t xml:space="preserve">Inclusion Criteria </w:t>
            </w:r>
          </w:p>
        </w:tc>
        <w:tc>
          <w:tcPr>
            <w:tcW w:w="4680" w:type="dxa"/>
            <w:tcMar>
              <w:top w:w="100" w:type="dxa"/>
              <w:left w:w="100" w:type="dxa"/>
              <w:bottom w:w="100" w:type="dxa"/>
              <w:right w:w="100" w:type="dxa"/>
            </w:tcMar>
          </w:tcPr>
          <w:p w14:paraId="66BA7BBD">
            <w:pPr>
              <w:widowControl w:val="0"/>
              <w:pBdr>
                <w:top w:val="none" w:color="auto" w:sz="0" w:space="0"/>
                <w:left w:val="none" w:color="auto" w:sz="0" w:space="0"/>
                <w:bottom w:val="none" w:color="auto" w:sz="0" w:space="0"/>
                <w:right w:val="none" w:color="auto" w:sz="0" w:space="0"/>
                <w:between w:val="none" w:color="auto" w:sz="0" w:space="0"/>
              </w:pBdr>
              <w:spacing w:before="240" w:after="240"/>
            </w:pPr>
            <w:r>
              <w:t xml:space="preserve">Exclusion Criteria </w:t>
            </w:r>
          </w:p>
        </w:tc>
      </w:tr>
      <w:tr w14:paraId="15665D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c>
          <w:tcPr>
            <w:tcW w:w="4680" w:type="dxa"/>
            <w:tcMar>
              <w:top w:w="100" w:type="dxa"/>
              <w:left w:w="100" w:type="dxa"/>
              <w:bottom w:w="100" w:type="dxa"/>
              <w:right w:w="100" w:type="dxa"/>
            </w:tcMar>
          </w:tcPr>
          <w:p w14:paraId="33D8C101">
            <w:pPr>
              <w:widowControl w:val="0"/>
              <w:pBdr>
                <w:top w:val="none" w:color="auto" w:sz="0" w:space="0"/>
                <w:left w:val="none" w:color="auto" w:sz="0" w:space="0"/>
                <w:bottom w:val="none" w:color="auto" w:sz="0" w:space="0"/>
                <w:right w:val="none" w:color="auto" w:sz="0" w:space="0"/>
                <w:between w:val="none" w:color="auto" w:sz="0" w:space="0"/>
              </w:pBdr>
              <w:spacing w:before="240" w:after="240"/>
            </w:pPr>
            <w:r>
              <w:t xml:space="preserve">Published between 2020 and 2025 </w:t>
            </w:r>
          </w:p>
        </w:tc>
        <w:tc>
          <w:tcPr>
            <w:tcW w:w="4680" w:type="dxa"/>
            <w:tcMar>
              <w:top w:w="100" w:type="dxa"/>
              <w:left w:w="100" w:type="dxa"/>
              <w:bottom w:w="100" w:type="dxa"/>
              <w:right w:w="100" w:type="dxa"/>
            </w:tcMar>
          </w:tcPr>
          <w:p w14:paraId="1D710F58">
            <w:pPr>
              <w:widowControl w:val="0"/>
              <w:pBdr>
                <w:top w:val="none" w:color="auto" w:sz="0" w:space="0"/>
                <w:left w:val="none" w:color="auto" w:sz="0" w:space="0"/>
                <w:bottom w:val="none" w:color="auto" w:sz="0" w:space="0"/>
                <w:right w:val="none" w:color="auto" w:sz="0" w:space="0"/>
                <w:between w:val="none" w:color="auto" w:sz="0" w:space="0"/>
              </w:pBdr>
              <w:spacing w:before="240" w:after="240"/>
            </w:pPr>
            <w:r>
              <w:t xml:space="preserve">Published before 2020 </w:t>
            </w:r>
          </w:p>
        </w:tc>
      </w:tr>
      <w:tr w14:paraId="02B16E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c>
          <w:tcPr>
            <w:tcW w:w="4680" w:type="dxa"/>
            <w:tcMar>
              <w:top w:w="100" w:type="dxa"/>
              <w:left w:w="100" w:type="dxa"/>
              <w:bottom w:w="100" w:type="dxa"/>
              <w:right w:w="100" w:type="dxa"/>
            </w:tcMar>
          </w:tcPr>
          <w:p w14:paraId="131D58EF">
            <w:pPr>
              <w:widowControl w:val="0"/>
              <w:pBdr>
                <w:top w:val="none" w:color="auto" w:sz="0" w:space="0"/>
                <w:left w:val="none" w:color="auto" w:sz="0" w:space="0"/>
                <w:bottom w:val="none" w:color="auto" w:sz="0" w:space="0"/>
                <w:right w:val="none" w:color="auto" w:sz="0" w:space="0"/>
                <w:between w:val="none" w:color="auto" w:sz="0" w:space="0"/>
              </w:pBdr>
              <w:spacing w:before="240" w:after="240"/>
            </w:pPr>
            <w:r>
              <w:t xml:space="preserve">Published in English </w:t>
            </w:r>
          </w:p>
        </w:tc>
        <w:tc>
          <w:tcPr>
            <w:tcW w:w="4680" w:type="dxa"/>
            <w:tcMar>
              <w:top w:w="100" w:type="dxa"/>
              <w:left w:w="100" w:type="dxa"/>
              <w:bottom w:w="100" w:type="dxa"/>
              <w:right w:w="100" w:type="dxa"/>
            </w:tcMar>
          </w:tcPr>
          <w:p w14:paraId="67E9781A">
            <w:pPr>
              <w:widowControl w:val="0"/>
              <w:pBdr>
                <w:top w:val="none" w:color="auto" w:sz="0" w:space="0"/>
                <w:left w:val="none" w:color="auto" w:sz="0" w:space="0"/>
                <w:bottom w:val="none" w:color="auto" w:sz="0" w:space="0"/>
                <w:right w:val="none" w:color="auto" w:sz="0" w:space="0"/>
                <w:between w:val="none" w:color="auto" w:sz="0" w:space="0"/>
              </w:pBdr>
              <w:spacing w:before="240" w:after="240"/>
            </w:pPr>
            <w:r>
              <w:t xml:space="preserve">Non-English publications </w:t>
            </w:r>
          </w:p>
        </w:tc>
      </w:tr>
      <w:tr w14:paraId="5BE6BE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c>
          <w:tcPr>
            <w:tcW w:w="4680" w:type="dxa"/>
            <w:tcMar>
              <w:top w:w="100" w:type="dxa"/>
              <w:left w:w="100" w:type="dxa"/>
              <w:bottom w:w="100" w:type="dxa"/>
              <w:right w:w="100" w:type="dxa"/>
            </w:tcMar>
          </w:tcPr>
          <w:p w14:paraId="6BF7D474">
            <w:pPr>
              <w:widowControl w:val="0"/>
              <w:pBdr>
                <w:top w:val="none" w:color="auto" w:sz="0" w:space="0"/>
                <w:left w:val="none" w:color="auto" w:sz="0" w:space="0"/>
                <w:bottom w:val="none" w:color="auto" w:sz="0" w:space="0"/>
                <w:right w:val="none" w:color="auto" w:sz="0" w:space="0"/>
                <w:between w:val="none" w:color="auto" w:sz="0" w:space="0"/>
              </w:pBdr>
              <w:spacing w:before="240" w:after="240"/>
            </w:pPr>
            <w:r>
              <w:t xml:space="preserve">Address early mental health intervention </w:t>
            </w:r>
          </w:p>
        </w:tc>
        <w:tc>
          <w:tcPr>
            <w:tcW w:w="4680" w:type="dxa"/>
            <w:tcMar>
              <w:top w:w="100" w:type="dxa"/>
              <w:left w:w="100" w:type="dxa"/>
              <w:bottom w:w="100" w:type="dxa"/>
              <w:right w:w="100" w:type="dxa"/>
            </w:tcMar>
          </w:tcPr>
          <w:p w14:paraId="1D9E45C1">
            <w:pPr>
              <w:widowControl w:val="0"/>
              <w:pBdr>
                <w:top w:val="none" w:color="auto" w:sz="0" w:space="0"/>
                <w:left w:val="none" w:color="auto" w:sz="0" w:space="0"/>
                <w:bottom w:val="none" w:color="auto" w:sz="0" w:space="0"/>
                <w:right w:val="none" w:color="auto" w:sz="0" w:space="0"/>
                <w:between w:val="none" w:color="auto" w:sz="0" w:space="0"/>
              </w:pBdr>
              <w:spacing w:before="240" w:after="240"/>
            </w:pPr>
            <w:r>
              <w:t xml:space="preserve">Focus exclusively on clinical treatment or pharmacological intervention </w:t>
            </w:r>
          </w:p>
        </w:tc>
      </w:tr>
      <w:tr w14:paraId="7555CD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c>
          <w:tcPr>
            <w:tcW w:w="4680" w:type="dxa"/>
            <w:tcMar>
              <w:top w:w="100" w:type="dxa"/>
              <w:left w:w="100" w:type="dxa"/>
              <w:bottom w:w="100" w:type="dxa"/>
              <w:right w:w="100" w:type="dxa"/>
            </w:tcMar>
          </w:tcPr>
          <w:p w14:paraId="3E3949B2">
            <w:pPr>
              <w:widowControl w:val="0"/>
              <w:pBdr>
                <w:top w:val="none" w:color="auto" w:sz="0" w:space="0"/>
                <w:left w:val="none" w:color="auto" w:sz="0" w:space="0"/>
                <w:bottom w:val="none" w:color="auto" w:sz="0" w:space="0"/>
                <w:right w:val="none" w:color="auto" w:sz="0" w:space="0"/>
                <w:between w:val="none" w:color="auto" w:sz="0" w:space="0"/>
              </w:pBdr>
              <w:spacing w:before="240" w:after="240"/>
            </w:pPr>
            <w:r>
              <w:t xml:space="preserve">Peer-reviewed journal articles, ‘NHS England publications’, ‘NICE guidelines’, ‘GOV.UK policy documents’ and ‘Department of Health reports’ </w:t>
            </w:r>
          </w:p>
        </w:tc>
        <w:tc>
          <w:tcPr>
            <w:tcW w:w="4680" w:type="dxa"/>
            <w:tcMar>
              <w:top w:w="100" w:type="dxa"/>
              <w:left w:w="100" w:type="dxa"/>
              <w:bottom w:w="100" w:type="dxa"/>
              <w:right w:w="100" w:type="dxa"/>
            </w:tcMar>
          </w:tcPr>
          <w:p w14:paraId="36CD1971">
            <w:pPr>
              <w:widowControl w:val="0"/>
              <w:pBdr>
                <w:top w:val="none" w:color="auto" w:sz="0" w:space="0"/>
                <w:left w:val="none" w:color="auto" w:sz="0" w:space="0"/>
                <w:bottom w:val="none" w:color="auto" w:sz="0" w:space="0"/>
                <w:right w:val="none" w:color="auto" w:sz="0" w:space="0"/>
                <w:between w:val="none" w:color="auto" w:sz="0" w:space="0"/>
              </w:pBdr>
              <w:spacing w:before="240" w:after="240"/>
            </w:pPr>
            <w:r>
              <w:t xml:space="preserve">Blogs, editorials, opinion articles, conference abstracts and non-peer-reviewed publications </w:t>
            </w:r>
          </w:p>
        </w:tc>
      </w:tr>
    </w:tbl>
    <w:p w14:paraId="77B8C1D2">
      <w:pPr>
        <w:spacing w:before="240" w:after="240"/>
        <w:jc w:val="center"/>
        <w:rPr>
          <w:b/>
          <w:bCs/>
        </w:rPr>
      </w:pPr>
      <w:r>
        <w:rPr>
          <w:b/>
          <w:bCs/>
        </w:rPr>
        <w:t>Table 3.5.1: Inclusion &amp; Exclusion Criteria</w:t>
      </w:r>
    </w:p>
    <w:p w14:paraId="05F082EA">
      <w:pPr>
        <w:spacing w:before="240" w:after="240"/>
        <w:jc w:val="center"/>
      </w:pPr>
      <w:r>
        <w:t>(Source: Self-developed)</w:t>
      </w:r>
    </w:p>
    <w:p w14:paraId="76DAF497">
      <w:pPr>
        <w:pStyle w:val="3"/>
        <w:spacing w:before="240" w:after="240"/>
      </w:pPr>
      <w:bookmarkStart w:id="34" w:name="_Toc241231918"/>
      <w:r>
        <w:t>3.6 Study Selection Process</w:t>
      </w:r>
      <w:bookmarkEnd w:id="34"/>
      <w:r>
        <w:t xml:space="preserve"> </w:t>
      </w:r>
    </w:p>
    <w:p w14:paraId="48E63DCA">
      <w:pPr>
        <w:spacing w:before="240" w:after="240"/>
      </w:pPr>
      <w:r>
        <w:t xml:space="preserve">The study selection process was conducted systematically to ensure that relevant and high-quality evidence addressing the research objectives was included in the review. Literature was retrieved from the selected academic databases and official organisational websites, while PRISMA guidelines were used to structure the identification and screening process. Remaining studies were screened by title and abstract to assess the relevance to barriers to early mental health intervention for children (5-11 years) in the UK. Full-text articles of potentially eligible studies were then assessed against the pre-defined inclusion &amp; exclusion criteria. </w:t>
      </w:r>
    </w:p>
    <w:p w14:paraId="43DD4ED1">
      <w:pPr>
        <w:spacing w:before="240" w:after="240"/>
      </w:pPr>
      <w:r>
        <w:t>Studies focused on the policy context in the UK, service delivery issues and early intervention with children in the target age range were kept and studies that were not relevant or ineligible were excluded. The structured selection process eliminated selection bias and ensured that the selected body of literature was directly related to the research objectives, which increased transparency, consistency and credibility in conducting a systematic literature review.</w:t>
      </w:r>
    </w:p>
    <w:p w14:paraId="1C257900">
      <w:pPr>
        <w:pStyle w:val="3"/>
        <w:spacing w:before="240" w:after="240"/>
      </w:pPr>
      <w:bookmarkStart w:id="35" w:name="_Toc241231919"/>
      <w:r>
        <w:t>3.7 Quality check process</w:t>
      </w:r>
      <w:bookmarkEnd w:id="35"/>
    </w:p>
    <w:p w14:paraId="649FBD01">
      <w:pPr>
        <w:spacing w:before="240" w:after="240"/>
      </w:pPr>
      <w:r>
        <w:t>This study employed the Critical Appraisal Skills Programme (CASP) checklist to assess the methodological quality and risk of bias of the included studies [Appendix 1]. The methodological quality of selected research articles was evaluated using the appraisal instruments suited for each design of the study. The CASP tool was used in evaluating the qualitative studies while the JBI critical appraisal checklists were used for the quantitative studies. In the case of the mixed methods designs, the MMAT tool was used in evaluation of the quality of the qualitative and quantitative aspects and how the two have been integrated. Thematic analysis was considered appropriate because it enabled evidence from different sources to be synthesised into an integrated account of barriers to early mental health intervention.\</w:t>
      </w:r>
    </w:p>
    <w:p w14:paraId="5F22BE8E">
      <w:pPr>
        <w:pStyle w:val="3"/>
        <w:spacing w:before="240" w:after="240"/>
      </w:pPr>
      <w:bookmarkStart w:id="36" w:name="_Toc241231920"/>
      <w:r>
        <w:t>3.7 Data Analysis</w:t>
      </w:r>
      <w:bookmarkEnd w:id="36"/>
      <w:r>
        <w:t xml:space="preserve"> </w:t>
      </w:r>
    </w:p>
    <w:p w14:paraId="52F53CB4">
      <w:pPr>
        <w:spacing w:before="240" w:after="240"/>
      </w:pPr>
      <w:bookmarkStart w:id="37" w:name="_1f1qbwdfjqs1" w:colFirst="0" w:colLast="0"/>
      <w:bookmarkEnd w:id="37"/>
      <w:r>
        <w:t xml:space="preserve">Thematic analysis was used to analyse the collected evidence as it offers a systematic way for discovering, categorising and evaluating recurring themes within the qualitative data gathered from various secondary sources (Naeem </w:t>
      </w:r>
      <w:r>
        <w:rPr>
          <w:i/>
          <w:iCs/>
        </w:rPr>
        <w:t xml:space="preserve">et al. </w:t>
      </w:r>
      <w:r>
        <w:t xml:space="preserve">2023). This approach was chosen as the study aims to collate and consolidate the results of research articles, policy documents and government publications rather than statistically analysing numerical data. The selected studies were screened to familiarise with the evidence and meaningful codes in relation to policy &amp; service delivery barriers were developed. The similar codes were then aggregated into larger themes such as challenges in policy implementation, staffing issues, access to services, funding constraints and inter-agency coordination issues. These themes have been discussed and checked to make sure that they reflect what has been found and meet the research goals. </w:t>
      </w:r>
    </w:p>
    <w:p w14:paraId="2526AD8B">
      <w:pPr>
        <w:pStyle w:val="3"/>
        <w:spacing w:before="240" w:after="240"/>
      </w:pPr>
      <w:bookmarkStart w:id="38" w:name="_Toc241231921"/>
      <w:r>
        <w:t>3.8 Evaluation of the Research Methodology</w:t>
      </w:r>
      <w:bookmarkEnd w:id="38"/>
      <w:r>
        <w:t xml:space="preserve"> </w:t>
      </w:r>
    </w:p>
    <w:p w14:paraId="57DC7367">
      <w:pPr>
        <w:spacing w:before="240" w:after="240"/>
      </w:pPr>
      <w:r>
        <w:t xml:space="preserve">Systematic literature reviews have many benefits when it comes to identifying the barriers to early intervention in terms of mental health problems among 5-11-year-olds in the UK. The procedures of such a methodology are clear and well defined thus, evidence is gathered from different sources to make the results more valid. The methodology of systematic literature review requires the use of secondary data and it is appropriate for the research since the research question is concerned about policy implementation and not individual experiences. Therefore, there is no need to collect data directly from the participants, which saves time and effort as well as reduces any ethical problems. </w:t>
      </w:r>
    </w:p>
    <w:p w14:paraId="3F442251">
      <w:pPr>
        <w:spacing w:before="240" w:after="240"/>
      </w:pPr>
      <w:r>
        <w:t xml:space="preserve">Moreover, the application of PRISMA helps make the process more transparent and helps avoid selection bias (Mishra and Mishra, 2023). There are some limitations of the methodology as it is dependent on the quality of available literature. Despite these identified limitations, the systematic literature review remains the critical approach for generating an evidence-based understanding of policy and service delivery challenges within the study scope. </w:t>
      </w:r>
    </w:p>
    <w:p w14:paraId="33E5467B">
      <w:pPr>
        <w:pStyle w:val="3"/>
        <w:spacing w:before="240" w:after="240"/>
      </w:pPr>
      <w:bookmarkStart w:id="39" w:name="_Toc241231922"/>
      <w:r>
        <w:t>3.9 Reliability and Validity</w:t>
      </w:r>
      <w:bookmarkEnd w:id="39"/>
      <w:r>
        <w:t> </w:t>
      </w:r>
    </w:p>
    <w:p w14:paraId="7DCDBA57">
      <w:pPr>
        <w:spacing w:before="240" w:after="240"/>
      </w:pPr>
      <w:r>
        <w:t xml:space="preserve">Reliability and validity are important for establishing the credibility of the review findings based on SLR. There are various ways that the reliability of this study is reinforced by the use of a structured and transparent search strategy, defined keywords, boolean operators and clearly established inclusion and exclusion criteria. PubMed and Google Scholar were used to identify relevant academic evidence, while NHS England, NICE and UK government websites provided authoritative policy sources. The PRISMA framework further enhances reliability by providing a systematic process for identification, screening and selection of relevant literature (Yusop </w:t>
      </w:r>
      <w:r>
        <w:rPr>
          <w:i/>
          <w:iCs/>
        </w:rPr>
        <w:t>et al</w:t>
      </w:r>
      <w:r>
        <w:t xml:space="preserve">., 2022). </w:t>
      </w:r>
    </w:p>
    <w:p w14:paraId="58729DC1">
      <w:pPr>
        <w:spacing w:before="240" w:after="240"/>
      </w:pPr>
      <w:r>
        <w:t>Validity is achieved by choosing evidence that clearly relates to the research objectives with a particular focus on UK based studies on early intervention, service delivery and policy implementation relating to children aged 5-11 years. Thematic analysis allows for the systematic comparison of findings from different sources and helps to ensure that the themes identified are supported by the available evidence (Kushnir, 2025). But the trustworthiness and validity of the review is dependent upon the quality, availability and consistency of published evidence.  </w:t>
      </w:r>
    </w:p>
    <w:p w14:paraId="401AE295">
      <w:pPr>
        <w:pStyle w:val="3"/>
        <w:spacing w:before="240" w:after="240"/>
      </w:pPr>
      <w:bookmarkStart w:id="40" w:name="_Toc241231923"/>
      <w:r>
        <w:t>3.10 Ethical Considerations</w:t>
      </w:r>
      <w:bookmarkEnd w:id="40"/>
      <w:r>
        <w:t> </w:t>
      </w:r>
    </w:p>
    <w:p w14:paraId="6273566D">
      <w:pPr>
        <w:spacing w:before="240" w:after="240"/>
      </w:pPr>
      <w:r>
        <w:t xml:space="preserve">While the study does not allow the primary data collection nor it requires primary participation of children, ethical concerns will still be relevant in conducting secondary research. All the published academic literature, government publications, policy documents and official organisational reports have been used as the main sources for the study. Because the study relied exclusively on secondary data, informed consent and participant confidentiality were not directly applicable. Nevertheless, ethical considerations remained relevant to accurate representation, appropriate attribution and responsible interpretation of evidence (Sony </w:t>
      </w:r>
      <w:r>
        <w:rPr>
          <w:i/>
          <w:iCs/>
        </w:rPr>
        <w:t>et al</w:t>
      </w:r>
      <w:r>
        <w:t xml:space="preserve">., 2025). </w:t>
      </w:r>
    </w:p>
    <w:p w14:paraId="7DC78DCD">
      <w:pPr>
        <w:spacing w:before="240" w:after="240"/>
      </w:pPr>
      <w:r>
        <w:t>Appropriate academic referencing to avoid plagiarism and intellectual dishonesty is used with all sources used in the review. The systemised selection process also aims to minimise researcher bias, using fixed inclusion and exclusion criteria for every researcher. In addition, issues related to mental health for the children are addressed sensitively, without the use of stigmatising language or showing respect for vulnerable groups. The research also abides by institutional research requirements as well as ethical principles as the UWTSD ethics approval process that are applicable to secondary research.</w:t>
      </w:r>
    </w:p>
    <w:p w14:paraId="6B97FB7D">
      <w:pPr>
        <w:pStyle w:val="3"/>
        <w:spacing w:before="240" w:after="240"/>
      </w:pPr>
      <w:bookmarkStart w:id="41" w:name="_Toc241231924"/>
      <w:r>
        <w:t>3.11 Chapter Summary</w:t>
      </w:r>
      <w:bookmarkEnd w:id="41"/>
      <w:r>
        <w:t> </w:t>
      </w:r>
    </w:p>
    <w:p w14:paraId="4097DABA">
      <w:pPr>
        <w:spacing w:before="240" w:after="240"/>
      </w:pPr>
      <w:r>
        <w:t>In this chapter, the methodology used to explore the barriers to early mental health intervention for children aged 5-11 in the UK was outlined. The study is based on interpretivist philosophy and inductive approach with a systematic review of literature using secondary data. Relevant evidence was identified through academic databases and authoritative policy sources using a structured search strategy and PRISMA-guided selection process. Relevant literature was selected considering predefined inclusion and exclusion criteria, thus guaranteeing the relevance of the literature selected to the research objectives.</w:t>
      </w:r>
    </w:p>
    <w:p w14:paraId="1CAEF634">
      <w:pPr>
        <w:spacing w:before="240" w:after="240"/>
      </w:pPr>
      <w:r>
        <w:t>Thematic analysis was used to look for patterns in terms of how policies are implemented and in terms of what are some of the barriers for services. The strengths and weaknesses of the systematic literature review approach with the problems of reliability, validity and ethics were discussed in this chapter as well, setting up the basis for the next chapter in which the results will be analysed.</w:t>
      </w:r>
    </w:p>
    <w:p w14:paraId="7F27DA31">
      <w:pPr>
        <w:spacing w:before="240" w:after="240"/>
        <w:rPr>
          <w:b/>
          <w:bCs/>
        </w:rPr>
      </w:pPr>
      <w:r>
        <w:br w:type="page"/>
      </w:r>
    </w:p>
    <w:p w14:paraId="36EA7792">
      <w:pPr>
        <w:pStyle w:val="2"/>
        <w:spacing w:before="240" w:after="240"/>
        <w:jc w:val="both"/>
        <w:rPr>
          <w:sz w:val="24"/>
          <w:szCs w:val="24"/>
        </w:rPr>
      </w:pPr>
      <w:bookmarkStart w:id="42" w:name="_Toc241231925"/>
      <w:r>
        <w:rPr>
          <w:sz w:val="24"/>
          <w:szCs w:val="24"/>
        </w:rPr>
        <w:t>CHAPTER 4: RESULT</w:t>
      </w:r>
      <w:bookmarkEnd w:id="42"/>
    </w:p>
    <w:p w14:paraId="5BF9F9EC">
      <w:pPr>
        <w:pStyle w:val="3"/>
        <w:spacing w:before="240" w:after="240"/>
      </w:pPr>
      <w:bookmarkStart w:id="43" w:name="_Toc241231926"/>
      <w:r>
        <w:t>4.1 Introduction</w:t>
      </w:r>
      <w:bookmarkEnd w:id="43"/>
      <w:r>
        <w:t xml:space="preserve"> </w:t>
      </w:r>
    </w:p>
    <w:p w14:paraId="1FF5C36E">
      <w:pPr>
        <w:spacing w:before="240" w:after="240"/>
      </w:pPr>
      <w:r>
        <w:t xml:space="preserve">The chapter contains the results of the systematic literature review of the barriers to early mental health intervention with children aged 5-11 in the UK. The results of the chosen studies were synthesised with the help of thematic analysis and placed in four overarching themes including barriers to early identification, barriers to accessing early intervention, service delivery and implementation issues, and facilitators of effective early intervention. The analysis takes into account the role that systemic, organisational and service-level factors play in access to timely support and the evidence-based strategies that can be used to enhance early intervention services. </w:t>
      </w:r>
    </w:p>
    <w:p w14:paraId="32570DA2">
      <w:pPr>
        <w:spacing w:before="240" w:after="240"/>
        <w:rPr>
          <w:b/>
          <w:bCs/>
        </w:rPr>
      </w:pPr>
      <w:r>
        <w:rPr>
          <w:b/>
          <w:bCs/>
        </w:rPr>
        <w:t>4.2 PRISMA framework</w:t>
      </w:r>
    </w:p>
    <w:p w14:paraId="50B2BBF2">
      <w:pPr>
        <w:spacing w:before="240" w:after="240"/>
        <w:jc w:val="center"/>
      </w:pPr>
      <w:r>
        <w:drawing>
          <wp:inline distT="0" distB="0" distL="0" distR="0">
            <wp:extent cx="4219575" cy="458152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referRelativeResize="0"/>
                  </pic:nvPicPr>
                  <pic:blipFill>
                    <a:blip r:embed="rId10"/>
                    <a:srcRect/>
                    <a:stretch>
                      <a:fillRect/>
                    </a:stretch>
                  </pic:blipFill>
                  <pic:spPr>
                    <a:xfrm>
                      <a:off x="0" y="0"/>
                      <a:ext cx="4219575" cy="4581525"/>
                    </a:xfrm>
                    <a:prstGeom prst="rect">
                      <a:avLst/>
                    </a:prstGeom>
                  </pic:spPr>
                </pic:pic>
              </a:graphicData>
            </a:graphic>
          </wp:inline>
        </w:drawing>
      </w:r>
    </w:p>
    <w:p w14:paraId="73E10050">
      <w:pPr>
        <w:spacing w:before="240" w:after="240"/>
        <w:jc w:val="center"/>
        <w:rPr>
          <w:b/>
          <w:bCs/>
        </w:rPr>
      </w:pPr>
      <w:r>
        <w:rPr>
          <w:b/>
          <w:bCs/>
        </w:rPr>
        <w:t>Figure 4.1.1: PRISMA framework</w:t>
      </w:r>
    </w:p>
    <w:p w14:paraId="19D5EF42">
      <w:pPr>
        <w:spacing w:before="240" w:after="240"/>
        <w:jc w:val="center"/>
      </w:pPr>
      <w:r>
        <w:t>(Source: Self-developed)</w:t>
      </w:r>
    </w:p>
    <w:p w14:paraId="3F48638F">
      <w:pPr>
        <w:spacing w:before="240" w:after="240"/>
      </w:pPr>
      <w:r>
        <w:t>The PRISMA flow diagram shows that 180 records were initially identified. After removing 70 records before screening, 110 records were screened, with 30 excluded. Of the 80 reports sought for retrieval, 5 could not be retrieved, leaving 75 reports assessed for eligibility. A further 55 reports were excluded because of outdated information, insufficient methodological quality, or failure to address the research objectives. Ultimately, 20 studies were included in the systematic literature review, representing the final evidence base for the study.</w:t>
      </w:r>
    </w:p>
    <w:p w14:paraId="572041B6">
      <w:pPr>
        <w:spacing w:before="240" w:after="240"/>
        <w:rPr>
          <w:b/>
          <w:bCs/>
        </w:rPr>
      </w:pPr>
      <w:r>
        <w:rPr>
          <w:b/>
          <w:bCs/>
        </w:rPr>
        <w:t>4.3 Studies selected using CASP tool</w:t>
      </w:r>
    </w:p>
    <w:p w14:paraId="0B85B804">
      <w:pPr>
        <w:spacing w:before="240" w:after="240"/>
      </w:pPr>
      <w:r>
        <w:t xml:space="preserve">CASP appraisal table (shown in Appendix 1) examined the qualitative studies using some criteria such as clarity of research aims, appropriateness of qualitative methodology, research design, recruitment strategy, data collection, researcher-participant relationship, ethical considerations, rigour of data analysis, clarity of findings, overall research value. Most of the studies reported in the appraisal are qualitative and have good methodological quality with positive ratings across most of the criteria. The studies carried out by Childs-Fegredo </w:t>
      </w:r>
      <w:r>
        <w:rPr>
          <w:i/>
          <w:iCs/>
        </w:rPr>
        <w:t>et al</w:t>
      </w:r>
      <w:r>
        <w:t xml:space="preserve">. (2021), Williamson </w:t>
      </w:r>
      <w:r>
        <w:rPr>
          <w:i/>
          <w:iCs/>
        </w:rPr>
        <w:t xml:space="preserve">et al. </w:t>
      </w:r>
      <w:r>
        <w:t xml:space="preserve">(2022), Rashid </w:t>
      </w:r>
      <w:r>
        <w:rPr>
          <w:i/>
          <w:iCs/>
        </w:rPr>
        <w:t>et al.</w:t>
      </w:r>
      <w:r>
        <w:t xml:space="preserve"> (2026), Ashu </w:t>
      </w:r>
      <w:r>
        <w:rPr>
          <w:i/>
          <w:iCs/>
        </w:rPr>
        <w:t>et al.</w:t>
      </w:r>
      <w:r>
        <w:t xml:space="preserve"> (2025), McDonald</w:t>
      </w:r>
      <w:r>
        <w:rPr>
          <w:i/>
          <w:iCs/>
        </w:rPr>
        <w:t xml:space="preserve"> et al. </w:t>
      </w:r>
      <w:r>
        <w:t xml:space="preserve">(2023) and Dolton </w:t>
      </w:r>
      <w:r>
        <w:rPr>
          <w:i/>
          <w:iCs/>
        </w:rPr>
        <w:t>et al.</w:t>
      </w:r>
      <w:r>
        <w:t xml:space="preserve"> (2020) met almost all the CASP criteria such as clear research aims, appropriate methodology, ethical conduct, well-supported findings. </w:t>
      </w:r>
    </w:p>
    <w:p w14:paraId="23F11D37">
      <w:pPr>
        <w:spacing w:before="240" w:after="240"/>
      </w:pPr>
      <w:r>
        <w:t>Some studies were only given partial marks for the researcher-participant relationship and reflexivity, which constituted minor methodological limitations. Overall, the CASP assessment suggests the qualitative evidence presented in this review is robust and reliable for the thematic analysis.</w:t>
      </w:r>
    </w:p>
    <w:p w14:paraId="73FA7D73">
      <w:pPr>
        <w:pStyle w:val="3"/>
        <w:spacing w:before="240" w:after="240"/>
      </w:pPr>
      <w:bookmarkStart w:id="44" w:name="_Toc241231927"/>
      <w:r>
        <w:t>4.4 Systematic Literature Review</w:t>
      </w:r>
      <w:bookmarkEnd w:id="44"/>
    </w:p>
    <w:tbl>
      <w:tblPr>
        <w:tblStyle w:val="20"/>
        <w:tblW w:w="93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15" w:type="dxa"/>
          <w:bottom w:w="0" w:type="dxa"/>
          <w:right w:w="115" w:type="dxa"/>
        </w:tblCellMar>
      </w:tblPr>
      <w:tblGrid>
        <w:gridCol w:w="1220"/>
        <w:gridCol w:w="2124"/>
        <w:gridCol w:w="1848"/>
        <w:gridCol w:w="2083"/>
        <w:gridCol w:w="2083"/>
      </w:tblGrid>
      <w:tr w14:paraId="295D1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15" w:type="dxa"/>
            <w:bottom w:w="0" w:type="dxa"/>
            <w:right w:w="115" w:type="dxa"/>
          </w:tblCellMar>
        </w:tblPrEx>
        <w:trPr>
          <w:trHeight w:val="800" w:hRule="atLeast"/>
        </w:trPr>
        <w:tc>
          <w:tcPr>
            <w:tcW w:w="12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BABA700">
            <w:pPr>
              <w:spacing w:before="240" w:after="240"/>
            </w:pPr>
            <w:r>
              <w:t>Author</w:t>
            </w:r>
          </w:p>
        </w:tc>
        <w:tc>
          <w:tcPr>
            <w:tcW w:w="212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3329F84">
            <w:pPr>
              <w:spacing w:before="240" w:after="240"/>
            </w:pPr>
            <w:r>
              <w:t>Aim</w:t>
            </w:r>
          </w:p>
        </w:tc>
        <w:tc>
          <w:tcPr>
            <w:tcW w:w="18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81E4FD0">
            <w:pPr>
              <w:spacing w:before="240" w:after="240"/>
            </w:pPr>
            <w:r>
              <w:t>Method and Sample Size</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DE8B5A0">
            <w:pPr>
              <w:spacing w:before="240" w:after="240"/>
            </w:pPr>
            <w:r>
              <w:t>Themes</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38CBDDF">
            <w:pPr>
              <w:spacing w:before="240" w:after="240"/>
            </w:pPr>
            <w:r>
              <w:t>Findings</w:t>
            </w:r>
          </w:p>
        </w:tc>
      </w:tr>
      <w:tr w14:paraId="7506E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15" w:type="dxa"/>
            <w:bottom w:w="0" w:type="dxa"/>
            <w:right w:w="115" w:type="dxa"/>
          </w:tblCellMar>
        </w:tblPrEx>
        <w:trPr>
          <w:trHeight w:val="1640" w:hRule="atLeast"/>
        </w:trPr>
        <w:tc>
          <w:tcPr>
            <w:tcW w:w="12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2A995FA">
            <w:pPr>
              <w:spacing w:before="240" w:after="240"/>
            </w:pPr>
            <w:r>
              <w:t xml:space="preserve">Childs-Fegredo </w:t>
            </w:r>
            <w:r>
              <w:rPr>
                <w:i/>
                <w:iCs/>
              </w:rPr>
              <w:t xml:space="preserve">et al. </w:t>
            </w:r>
            <w:r>
              <w:t>(2021)</w:t>
            </w:r>
          </w:p>
        </w:tc>
        <w:tc>
          <w:tcPr>
            <w:tcW w:w="212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EEB9506">
            <w:pPr>
              <w:spacing w:before="240" w:after="240"/>
            </w:pPr>
            <w:r>
              <w:t>Explore acceptability and feasibility of early mental-health identification in primary schools.</w:t>
            </w:r>
          </w:p>
        </w:tc>
        <w:tc>
          <w:tcPr>
            <w:tcW w:w="18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EC0F519">
            <w:pPr>
              <w:spacing w:before="240" w:after="240"/>
            </w:pPr>
            <w:r>
              <w:t>Qualitative, 27 staff and 20 parents from 4 UK schools.</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B87ABE8">
            <w:pPr>
              <w:spacing w:before="240" w:after="240"/>
            </w:pPr>
            <w:r>
              <w:t>Benefits/facilitators, barriers/harms, tailored implementation.</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EDAA55F">
            <w:pPr>
              <w:spacing w:before="240" w:after="240"/>
            </w:pPr>
            <w:r>
              <w:t>Staff training was most acceptable, universal/selective screening received mixed views.</w:t>
            </w:r>
          </w:p>
        </w:tc>
      </w:tr>
      <w:tr w14:paraId="26552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15" w:type="dxa"/>
            <w:bottom w:w="0" w:type="dxa"/>
            <w:right w:w="115" w:type="dxa"/>
          </w:tblCellMar>
        </w:tblPrEx>
        <w:trPr>
          <w:trHeight w:val="1925" w:hRule="atLeast"/>
        </w:trPr>
        <w:tc>
          <w:tcPr>
            <w:tcW w:w="12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522CDE0">
            <w:pPr>
              <w:spacing w:before="240" w:after="240"/>
            </w:pPr>
            <w:r>
              <w:t xml:space="preserve">Williamson </w:t>
            </w:r>
            <w:r>
              <w:rPr>
                <w:i/>
                <w:iCs/>
              </w:rPr>
              <w:t>et al.</w:t>
            </w:r>
            <w:r>
              <w:t xml:space="preserve"> (2022)</w:t>
            </w:r>
          </w:p>
        </w:tc>
        <w:tc>
          <w:tcPr>
            <w:tcW w:w="212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340D4EE">
            <w:pPr>
              <w:spacing w:before="240" w:after="240"/>
            </w:pPr>
            <w:r>
              <w:t>Explore parental perceptions and barriers to school-based screening/intervention.</w:t>
            </w:r>
          </w:p>
        </w:tc>
        <w:tc>
          <w:tcPr>
            <w:tcW w:w="18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9357E09">
            <w:pPr>
              <w:spacing w:before="240" w:after="240"/>
            </w:pPr>
            <w:r>
              <w:t>Qualitative, parents from foster, military and other challenging circumstances.</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430F55E">
            <w:pPr>
              <w:spacing w:before="240" w:after="240"/>
            </w:pPr>
            <w:r>
              <w:t>Trust, engagement, family circumstances.</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541BF4F">
            <w:pPr>
              <w:spacing w:before="240" w:after="240"/>
            </w:pPr>
            <w:r>
              <w:t>Previous experiences may reduce trust and engagement, sensitive approaches can strengthen school–family relationships.</w:t>
            </w:r>
          </w:p>
        </w:tc>
      </w:tr>
      <w:tr w14:paraId="1FA10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15" w:type="dxa"/>
            <w:bottom w:w="0" w:type="dxa"/>
            <w:right w:w="115" w:type="dxa"/>
          </w:tblCellMar>
        </w:tblPrEx>
        <w:trPr>
          <w:trHeight w:val="2495" w:hRule="atLeast"/>
        </w:trPr>
        <w:tc>
          <w:tcPr>
            <w:tcW w:w="12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AEC4F03">
            <w:pPr>
              <w:spacing w:before="240" w:after="240"/>
            </w:pPr>
            <w:r>
              <w:t xml:space="preserve">Rashid </w:t>
            </w:r>
            <w:r>
              <w:rPr>
                <w:i/>
                <w:iCs/>
              </w:rPr>
              <w:t xml:space="preserve">et al. </w:t>
            </w:r>
            <w:r>
              <w:t>(2026)</w:t>
            </w:r>
          </w:p>
        </w:tc>
        <w:tc>
          <w:tcPr>
            <w:tcW w:w="212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69FE21B">
            <w:pPr>
              <w:spacing w:before="240" w:after="240"/>
            </w:pPr>
            <w:r>
              <w:t>Explore support needs and service-access barriers for refugee families.</w:t>
            </w:r>
          </w:p>
        </w:tc>
        <w:tc>
          <w:tcPr>
            <w:tcW w:w="18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EB2129A">
            <w:pPr>
              <w:spacing w:before="240" w:after="240"/>
            </w:pPr>
            <w:r>
              <w:t>Qualitative, 23 refugee parents and 30 stakeholders in the UK.</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0809443">
            <w:pPr>
              <w:spacing w:before="240" w:after="240"/>
            </w:pPr>
            <w:r>
              <w:t>Stability, belonging, trust, specialist support, system conditions.</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FC47AA0">
            <w:pPr>
              <w:spacing w:before="240" w:after="240"/>
            </w:pPr>
            <w:r>
              <w:t>Fragmented, reactive and culturally mismatched services reduced engagement, coordination and culturally responsive support were facilitators.</w:t>
            </w:r>
          </w:p>
        </w:tc>
      </w:tr>
      <w:tr w14:paraId="0CD5A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15" w:type="dxa"/>
            <w:bottom w:w="0" w:type="dxa"/>
            <w:right w:w="115" w:type="dxa"/>
          </w:tblCellMar>
        </w:tblPrEx>
        <w:trPr>
          <w:trHeight w:val="1640" w:hRule="atLeast"/>
        </w:trPr>
        <w:tc>
          <w:tcPr>
            <w:tcW w:w="12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7D1179">
            <w:pPr>
              <w:spacing w:before="240" w:after="240"/>
            </w:pPr>
            <w:r>
              <w:t xml:space="preserve">Ashu </w:t>
            </w:r>
            <w:r>
              <w:rPr>
                <w:i/>
                <w:iCs/>
              </w:rPr>
              <w:t>et al.</w:t>
            </w:r>
            <w:r>
              <w:t xml:space="preserve"> (2025)</w:t>
            </w:r>
          </w:p>
        </w:tc>
        <w:tc>
          <w:tcPr>
            <w:tcW w:w="212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913F937">
            <w:pPr>
              <w:spacing w:before="240" w:after="240"/>
            </w:pPr>
            <w:r>
              <w:t>Explore teachers’ experiences of promoting mental health in primary schools.</w:t>
            </w:r>
          </w:p>
        </w:tc>
        <w:tc>
          <w:tcPr>
            <w:tcW w:w="18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E4C9DE7">
            <w:pPr>
              <w:spacing w:before="240" w:after="240"/>
            </w:pPr>
            <w:r>
              <w:t>Qualitative, 9 teachers, Northwest London.</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C5293F1">
            <w:pPr>
              <w:spacing w:before="240" w:after="240"/>
            </w:pPr>
            <w:r>
              <w:t>Mental health needs, responsibility, barriers, facilitators, collaboration.</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702431D">
            <w:pPr>
              <w:spacing w:before="240" w:after="240"/>
            </w:pPr>
            <w:r>
              <w:t>Lack of skills, funding, resources and wider support limited timely intervention.</w:t>
            </w:r>
          </w:p>
        </w:tc>
      </w:tr>
      <w:tr w14:paraId="33F8E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15" w:type="dxa"/>
            <w:bottom w:w="0" w:type="dxa"/>
            <w:right w:w="115" w:type="dxa"/>
          </w:tblCellMar>
        </w:tblPrEx>
        <w:trPr>
          <w:trHeight w:val="2210" w:hRule="atLeast"/>
        </w:trPr>
        <w:tc>
          <w:tcPr>
            <w:tcW w:w="12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ADDED2F">
            <w:pPr>
              <w:spacing w:before="240" w:after="240"/>
            </w:pPr>
            <w:r>
              <w:t xml:space="preserve">McDonald </w:t>
            </w:r>
            <w:r>
              <w:rPr>
                <w:i/>
                <w:iCs/>
              </w:rPr>
              <w:t xml:space="preserve">et al. </w:t>
            </w:r>
            <w:r>
              <w:t>(2023)</w:t>
            </w:r>
          </w:p>
        </w:tc>
        <w:tc>
          <w:tcPr>
            <w:tcW w:w="212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EE129BF">
            <w:pPr>
              <w:spacing w:before="240" w:after="240"/>
            </w:pPr>
            <w:r>
              <w:t>Examine attendance problems and community intervention needs.</w:t>
            </w:r>
          </w:p>
        </w:tc>
        <w:tc>
          <w:tcPr>
            <w:tcW w:w="18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F0B6007">
            <w:pPr>
              <w:spacing w:before="240" w:after="240"/>
            </w:pPr>
            <w:r>
              <w:t>Qualitative, 29 parents, 19 professionals, then 10 parents and 12 professionals.</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26FA5A3">
            <w:pPr>
              <w:spacing w:before="240" w:after="240"/>
            </w:pPr>
            <w:r>
              <w:t>Anxiety, SEND, communication, collaboration, intervention.</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03247CA">
            <w:pPr>
              <w:spacing w:before="240" w:after="240"/>
            </w:pPr>
            <w:r>
              <w:t>Anxiety and poor home–school communication created barriers, collaborative support was considered effective.</w:t>
            </w:r>
          </w:p>
        </w:tc>
      </w:tr>
      <w:tr w14:paraId="4BCF9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15" w:type="dxa"/>
            <w:bottom w:w="0" w:type="dxa"/>
            <w:right w:w="115" w:type="dxa"/>
          </w:tblCellMar>
        </w:tblPrEx>
        <w:trPr>
          <w:trHeight w:val="2495" w:hRule="atLeast"/>
        </w:trPr>
        <w:tc>
          <w:tcPr>
            <w:tcW w:w="12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ED9C2E7">
            <w:pPr>
              <w:spacing w:before="240" w:after="240"/>
            </w:pPr>
            <w:r>
              <w:t xml:space="preserve">Davies </w:t>
            </w:r>
            <w:r>
              <w:rPr>
                <w:i/>
                <w:iCs/>
              </w:rPr>
              <w:t xml:space="preserve">et al. </w:t>
            </w:r>
            <w:r>
              <w:t>(2021)</w:t>
            </w:r>
          </w:p>
        </w:tc>
        <w:tc>
          <w:tcPr>
            <w:tcW w:w="212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3170E75">
            <w:pPr>
              <w:spacing w:before="240" w:after="240"/>
            </w:pPr>
            <w:r>
              <w:t>Assess feasibility of preventive digital mental-health support in primary schools.</w:t>
            </w:r>
          </w:p>
        </w:tc>
        <w:tc>
          <w:tcPr>
            <w:tcW w:w="18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6925FC5">
            <w:pPr>
              <w:spacing w:before="240" w:after="240"/>
            </w:pPr>
            <w:r>
              <w:t>Mixed/feasibility, 115 approached, 34 participated, 30 completed follow-ups.</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870C410">
            <w:pPr>
              <w:spacing w:before="240" w:after="240"/>
            </w:pPr>
            <w:r>
              <w:t>Acceptability, feasibility, implementation barriers.</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91E55D4">
            <w:pPr>
              <w:spacing w:before="240" w:after="240"/>
            </w:pPr>
            <w:r>
              <w:t>Digital tools were engaging and acceptable, but significant implementation barriers and low participation occurred.</w:t>
            </w:r>
          </w:p>
        </w:tc>
      </w:tr>
      <w:tr w14:paraId="45D9F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15" w:type="dxa"/>
            <w:bottom w:w="0" w:type="dxa"/>
            <w:right w:w="115" w:type="dxa"/>
          </w:tblCellMar>
        </w:tblPrEx>
        <w:trPr>
          <w:trHeight w:val="1370" w:hRule="atLeast"/>
        </w:trPr>
        <w:tc>
          <w:tcPr>
            <w:tcW w:w="12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5400582">
            <w:pPr>
              <w:spacing w:before="240" w:after="240"/>
            </w:pPr>
            <w:r>
              <w:t xml:space="preserve">Dolton </w:t>
            </w:r>
            <w:r>
              <w:rPr>
                <w:i/>
                <w:iCs/>
              </w:rPr>
              <w:t>et al.</w:t>
            </w:r>
            <w:r>
              <w:t xml:space="preserve"> (2020)</w:t>
            </w:r>
          </w:p>
        </w:tc>
        <w:tc>
          <w:tcPr>
            <w:tcW w:w="212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4204529">
            <w:pPr>
              <w:spacing w:before="240" w:after="240"/>
            </w:pPr>
            <w:r>
              <w:t>Explore children’s experiences of SEMH difficulties in school.</w:t>
            </w:r>
          </w:p>
        </w:tc>
        <w:tc>
          <w:tcPr>
            <w:tcW w:w="18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50A1654">
            <w:pPr>
              <w:spacing w:before="240" w:after="240"/>
            </w:pPr>
            <w:r>
              <w:t>Qualitative, 11 children aged 6-11 in England.</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F076596">
            <w:pPr>
              <w:spacing w:before="240" w:after="240"/>
            </w:pPr>
            <w:r>
              <w:t>Social relationships, emotional/behavioural reactions.</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9D119DC">
            <w:pPr>
              <w:spacing w:before="240" w:after="240"/>
            </w:pPr>
            <w:r>
              <w:t>Children valued safety, supportive adults and being heard and understood.</w:t>
            </w:r>
          </w:p>
        </w:tc>
      </w:tr>
      <w:tr w14:paraId="52198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15" w:type="dxa"/>
            <w:bottom w:w="0" w:type="dxa"/>
            <w:right w:w="115" w:type="dxa"/>
          </w:tblCellMar>
        </w:tblPrEx>
        <w:trPr>
          <w:trHeight w:val="2495" w:hRule="atLeast"/>
        </w:trPr>
        <w:tc>
          <w:tcPr>
            <w:tcW w:w="12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6ACB386">
            <w:pPr>
              <w:spacing w:before="240" w:after="240"/>
            </w:pPr>
            <w:r>
              <w:t xml:space="preserve">Bennett </w:t>
            </w:r>
            <w:r>
              <w:rPr>
                <w:i/>
                <w:iCs/>
              </w:rPr>
              <w:t>et al</w:t>
            </w:r>
            <w:r>
              <w:t>. (2024)</w:t>
            </w:r>
          </w:p>
        </w:tc>
        <w:tc>
          <w:tcPr>
            <w:tcW w:w="212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A6FFFB6">
            <w:pPr>
              <w:spacing w:before="240" w:after="240"/>
            </w:pPr>
            <w:r>
              <w:t>Evaluate integrated psychological treatment for children with epilepsy and mental-health disorders.</w:t>
            </w:r>
          </w:p>
        </w:tc>
        <w:tc>
          <w:tcPr>
            <w:tcW w:w="18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5B1AF66">
            <w:pPr>
              <w:spacing w:before="240" w:after="240"/>
            </w:pPr>
            <w:r>
              <w:t>Quantitative RCT, 334 participants aged 3-18.</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CA2C46E">
            <w:pPr>
              <w:spacing w:before="240" w:after="240"/>
            </w:pPr>
            <w:r>
              <w:t>Integrated care, psychological treatment, service access.</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B568AD9">
            <w:pPr>
              <w:spacing w:before="240" w:after="240"/>
            </w:pPr>
            <w:r>
              <w:t>Integrated treatment significantly improved emotional/behavioural difficulties and supports embedding mental-health care in existing services.</w:t>
            </w:r>
          </w:p>
        </w:tc>
      </w:tr>
      <w:tr w14:paraId="12EB3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15" w:type="dxa"/>
            <w:bottom w:w="0" w:type="dxa"/>
            <w:right w:w="115" w:type="dxa"/>
          </w:tblCellMar>
        </w:tblPrEx>
        <w:trPr>
          <w:trHeight w:val="2210" w:hRule="atLeast"/>
        </w:trPr>
        <w:tc>
          <w:tcPr>
            <w:tcW w:w="12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94FE24D">
            <w:pPr>
              <w:spacing w:before="240" w:after="240"/>
            </w:pPr>
            <w:r>
              <w:t xml:space="preserve">Reardon </w:t>
            </w:r>
            <w:r>
              <w:rPr>
                <w:i/>
                <w:iCs/>
              </w:rPr>
              <w:t>et al.</w:t>
            </w:r>
            <w:r>
              <w:t xml:space="preserve"> (2026)</w:t>
            </w:r>
          </w:p>
        </w:tc>
        <w:tc>
          <w:tcPr>
            <w:tcW w:w="212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8A97771">
            <w:pPr>
              <w:spacing w:before="240" w:after="240"/>
            </w:pPr>
            <w:r>
              <w:t>Evaluate school screening followed by parent-led CBT for childhood anxiety.</w:t>
            </w:r>
          </w:p>
        </w:tc>
        <w:tc>
          <w:tcPr>
            <w:tcW w:w="18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858113B">
            <w:pPr>
              <w:spacing w:before="240" w:after="240"/>
            </w:pPr>
            <w:r>
              <w:t>Cluster RCT, 1,459 screened, 409 positive, 84 English schools, age 8-9.</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599BC7B">
            <w:pPr>
              <w:spacing w:before="240" w:after="240"/>
            </w:pPr>
            <w:r>
              <w:t>Screening, early intervention, treatment access.</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5E08F6E">
            <w:pPr>
              <w:spacing w:before="240" w:after="240"/>
            </w:pPr>
            <w:r>
              <w:t>Screening-to-intervention significantly improved anxiety outcomes and may reduce treatment-access barriers.</w:t>
            </w:r>
          </w:p>
        </w:tc>
      </w:tr>
      <w:tr w14:paraId="6C07C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15" w:type="dxa"/>
            <w:bottom w:w="0" w:type="dxa"/>
            <w:right w:w="115" w:type="dxa"/>
          </w:tblCellMar>
        </w:tblPrEx>
        <w:trPr>
          <w:trHeight w:val="1370" w:hRule="atLeast"/>
        </w:trPr>
        <w:tc>
          <w:tcPr>
            <w:tcW w:w="12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415F785">
            <w:pPr>
              <w:spacing w:before="240" w:after="240"/>
            </w:pPr>
            <w:r>
              <w:t xml:space="preserve">Reardon </w:t>
            </w:r>
            <w:r>
              <w:rPr>
                <w:i/>
                <w:iCs/>
              </w:rPr>
              <w:t>et al</w:t>
            </w:r>
            <w:r>
              <w:t>. (2022)</w:t>
            </w:r>
          </w:p>
        </w:tc>
        <w:tc>
          <w:tcPr>
            <w:tcW w:w="212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9C5846E">
            <w:pPr>
              <w:spacing w:before="240" w:after="240"/>
            </w:pPr>
            <w:r>
              <w:t>Assess feasibility of school anxiety screening and intervention.</w:t>
            </w:r>
          </w:p>
        </w:tc>
        <w:tc>
          <w:tcPr>
            <w:tcW w:w="18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9764501">
            <w:pPr>
              <w:spacing w:before="240" w:after="240"/>
            </w:pPr>
            <w:r>
              <w:t>Protocol, planned 6 schools and approximately 360 children aged 8-9.</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942176B">
            <w:pPr>
              <w:spacing w:before="240" w:after="240"/>
            </w:pPr>
            <w:r>
              <w:t>Acceptability, recruitment, retention, intervention experience.</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7895ED3">
            <w:pPr>
              <w:spacing w:before="240" w:after="240"/>
            </w:pPr>
            <w:r>
              <w:t>Planned to identify barriers and improve procedures and no completed findings.</w:t>
            </w:r>
          </w:p>
        </w:tc>
      </w:tr>
      <w:tr w14:paraId="4E7F1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15" w:type="dxa"/>
            <w:bottom w:w="0" w:type="dxa"/>
            <w:right w:w="115" w:type="dxa"/>
          </w:tblCellMar>
        </w:tblPrEx>
        <w:trPr>
          <w:trHeight w:val="1640" w:hRule="atLeast"/>
        </w:trPr>
        <w:tc>
          <w:tcPr>
            <w:tcW w:w="12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1851265">
            <w:pPr>
              <w:spacing w:before="240" w:after="240"/>
            </w:pPr>
            <w:r>
              <w:t xml:space="preserve">Williamson </w:t>
            </w:r>
            <w:r>
              <w:rPr>
                <w:i/>
                <w:iCs/>
              </w:rPr>
              <w:t>et al.</w:t>
            </w:r>
            <w:r>
              <w:t xml:space="preserve"> (2021)</w:t>
            </w:r>
          </w:p>
        </w:tc>
        <w:tc>
          <w:tcPr>
            <w:tcW w:w="212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91F639D">
            <w:pPr>
              <w:spacing w:before="240" w:after="240"/>
            </w:pPr>
            <w:r>
              <w:t>Develop a school-based anxiety screening/intervention pathway.</w:t>
            </w:r>
          </w:p>
        </w:tc>
        <w:tc>
          <w:tcPr>
            <w:tcW w:w="18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43D5D58">
            <w:pPr>
              <w:spacing w:before="240" w:after="240"/>
            </w:pPr>
            <w:r>
              <w:t>Mixed-methods protocol/feasibility, children, parents, staff and stakeholders.</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132E011">
            <w:pPr>
              <w:spacing w:before="240" w:after="240"/>
            </w:pPr>
            <w:r>
              <w:t>Codesign, acceptability, implementation.</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7CAE9FB">
            <w:pPr>
              <w:spacing w:before="240" w:after="240"/>
            </w:pPr>
            <w:r>
              <w:t>Intended to identify barriers and develop an acceptable pathway and protocol only.</w:t>
            </w:r>
          </w:p>
        </w:tc>
      </w:tr>
      <w:tr w14:paraId="3272F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15" w:type="dxa"/>
            <w:bottom w:w="0" w:type="dxa"/>
            <w:right w:w="115" w:type="dxa"/>
          </w:tblCellMar>
        </w:tblPrEx>
        <w:trPr>
          <w:trHeight w:val="1640" w:hRule="atLeast"/>
        </w:trPr>
        <w:tc>
          <w:tcPr>
            <w:tcW w:w="12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D406566">
            <w:pPr>
              <w:spacing w:before="240" w:after="240"/>
            </w:pPr>
            <w:r>
              <w:t xml:space="preserve">O’Brien </w:t>
            </w:r>
            <w:r>
              <w:rPr>
                <w:i/>
                <w:iCs/>
              </w:rPr>
              <w:t>et al.</w:t>
            </w:r>
            <w:r>
              <w:t xml:space="preserve"> (2023)</w:t>
            </w:r>
          </w:p>
        </w:tc>
        <w:tc>
          <w:tcPr>
            <w:tcW w:w="212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A7F04E6">
            <w:pPr>
              <w:spacing w:before="240" w:after="240"/>
            </w:pPr>
            <w:r>
              <w:t>Evaluate universal SEL intervention for internalising symptoms.</w:t>
            </w:r>
          </w:p>
        </w:tc>
        <w:tc>
          <w:tcPr>
            <w:tcW w:w="18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5EBB55B">
            <w:pPr>
              <w:spacing w:before="240" w:after="240"/>
            </w:pPr>
            <w:r>
              <w:t>Cluster RCT protocol, 60 schools, approximately 2,400 pupils, age 8-9 at baseline.</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E99610B">
            <w:pPr>
              <w:spacing w:before="240" w:after="240"/>
            </w:pPr>
            <w:r>
              <w:t>Prevention, implementation, emotional wellbeing.</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D2C9592">
            <w:pPr>
              <w:spacing w:before="240" w:after="240"/>
            </w:pPr>
            <w:r>
              <w:t>Planned to examine intervention effectiveness and implementation and no completed findings.</w:t>
            </w:r>
          </w:p>
        </w:tc>
      </w:tr>
      <w:tr w14:paraId="1130E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15" w:type="dxa"/>
            <w:bottom w:w="0" w:type="dxa"/>
            <w:right w:w="115" w:type="dxa"/>
          </w:tblCellMar>
        </w:tblPrEx>
        <w:trPr>
          <w:trHeight w:val="1925" w:hRule="atLeast"/>
        </w:trPr>
        <w:tc>
          <w:tcPr>
            <w:tcW w:w="12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EE81056">
            <w:pPr>
              <w:spacing w:before="240" w:after="240"/>
            </w:pPr>
            <w:r>
              <w:t xml:space="preserve">Reardon </w:t>
            </w:r>
            <w:r>
              <w:rPr>
                <w:i/>
                <w:iCs/>
              </w:rPr>
              <w:t>et al.</w:t>
            </w:r>
            <w:r>
              <w:t xml:space="preserve"> (2025)</w:t>
            </w:r>
          </w:p>
        </w:tc>
        <w:tc>
          <w:tcPr>
            <w:tcW w:w="212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7C7B146">
            <w:pPr>
              <w:spacing w:before="240" w:after="240"/>
            </w:pPr>
            <w:r>
              <w:t>Develop a brief tool to identify probable childhood anxiety disorders.</w:t>
            </w:r>
          </w:p>
        </w:tc>
        <w:tc>
          <w:tcPr>
            <w:tcW w:w="18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2E891FD">
            <w:pPr>
              <w:spacing w:before="240" w:after="240"/>
            </w:pPr>
            <w:r>
              <w:t>Quantitative, 646 consented, 463 diagnostic assessments, age 8-11.</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F355C4C">
            <w:pPr>
              <w:spacing w:before="240" w:after="240"/>
            </w:pPr>
            <w:r>
              <w:t>Identification, screening, diagnostic accuracy.</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D228ABA">
            <w:pPr>
              <w:spacing w:before="240" w:after="240"/>
            </w:pPr>
            <w:r>
              <w:t>Identification difficulties can delay support and brief parent measures showed acceptable sensitivity/specificity.</w:t>
            </w:r>
          </w:p>
        </w:tc>
      </w:tr>
      <w:tr w14:paraId="20EA1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15" w:type="dxa"/>
            <w:bottom w:w="0" w:type="dxa"/>
            <w:right w:w="115" w:type="dxa"/>
          </w:tblCellMar>
        </w:tblPrEx>
        <w:trPr>
          <w:trHeight w:val="1925" w:hRule="atLeast"/>
        </w:trPr>
        <w:tc>
          <w:tcPr>
            <w:tcW w:w="12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C2CE7FF">
            <w:pPr>
              <w:spacing w:before="240" w:after="240"/>
            </w:pPr>
            <w:r>
              <w:t xml:space="preserve">Finning </w:t>
            </w:r>
            <w:r>
              <w:rPr>
                <w:i/>
                <w:iCs/>
              </w:rPr>
              <w:t>et al.</w:t>
            </w:r>
            <w:r>
              <w:t xml:space="preserve"> (2022)</w:t>
            </w:r>
          </w:p>
        </w:tc>
        <w:tc>
          <w:tcPr>
            <w:tcW w:w="212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1CCEFB7">
            <w:pPr>
              <w:spacing w:before="240" w:after="240"/>
            </w:pPr>
            <w:r>
              <w:t>Examine longer-term effects of primary-school counselling.</w:t>
            </w:r>
          </w:p>
        </w:tc>
        <w:tc>
          <w:tcPr>
            <w:tcW w:w="18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E14FD4C">
            <w:pPr>
              <w:spacing w:before="240" w:after="240"/>
            </w:pPr>
            <w:r>
              <w:t>Quantitative longitudinal, UK primary-school children.</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64620D4">
            <w:pPr>
              <w:spacing w:before="240" w:after="240"/>
            </w:pPr>
            <w:r>
              <w:t>School counselling, mental-health outcomes, sustained support.</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B665C26">
            <w:pPr>
              <w:spacing w:before="240" w:after="240"/>
            </w:pPr>
            <w:r>
              <w:t>Counselling significantly reduced difficulties and improvements were maintained over follow-up.</w:t>
            </w:r>
          </w:p>
        </w:tc>
      </w:tr>
      <w:tr w14:paraId="6AB9C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15" w:type="dxa"/>
            <w:bottom w:w="0" w:type="dxa"/>
            <w:right w:w="115" w:type="dxa"/>
          </w:tblCellMar>
        </w:tblPrEx>
        <w:trPr>
          <w:trHeight w:val="1370" w:hRule="atLeast"/>
        </w:trPr>
        <w:tc>
          <w:tcPr>
            <w:tcW w:w="12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F7A10E3">
            <w:pPr>
              <w:spacing w:before="240" w:after="240"/>
            </w:pPr>
            <w:r>
              <w:t xml:space="preserve">Williamson </w:t>
            </w:r>
            <w:r>
              <w:rPr>
                <w:i/>
                <w:iCs/>
              </w:rPr>
              <w:t>et al</w:t>
            </w:r>
            <w:r>
              <w:t>. (2025)</w:t>
            </w:r>
          </w:p>
        </w:tc>
        <w:tc>
          <w:tcPr>
            <w:tcW w:w="212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8E6C0D0">
            <w:pPr>
              <w:spacing w:before="240" w:after="240"/>
            </w:pPr>
            <w:r>
              <w:t>Examine implementation and barriers within iCATS i2i.</w:t>
            </w:r>
          </w:p>
        </w:tc>
        <w:tc>
          <w:tcPr>
            <w:tcW w:w="18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77FB810">
            <w:pPr>
              <w:spacing w:before="240" w:after="240"/>
            </w:pPr>
            <w:r>
              <w:t>Mixed-methods protocol, children, parents, staff and clinicians.</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9C5291D">
            <w:pPr>
              <w:spacing w:before="240" w:after="240"/>
            </w:pPr>
            <w:r>
              <w:t>Implementation, acceptability, barriers/facilitators, engagement.</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BC6F536">
            <w:pPr>
              <w:spacing w:before="240" w:after="240"/>
            </w:pPr>
            <w:r>
              <w:t>Designed to identify delivery and engagement barriers, protocol only.</w:t>
            </w:r>
          </w:p>
        </w:tc>
      </w:tr>
      <w:tr w14:paraId="0BD61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15" w:type="dxa"/>
            <w:bottom w:w="0" w:type="dxa"/>
            <w:right w:w="115" w:type="dxa"/>
          </w:tblCellMar>
        </w:tblPrEx>
        <w:trPr>
          <w:trHeight w:val="2210" w:hRule="atLeast"/>
        </w:trPr>
        <w:tc>
          <w:tcPr>
            <w:tcW w:w="12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49B291B">
            <w:pPr>
              <w:spacing w:before="240" w:after="240"/>
            </w:pPr>
            <w:r>
              <w:t xml:space="preserve">Green </w:t>
            </w:r>
            <w:r>
              <w:rPr>
                <w:i/>
                <w:iCs/>
              </w:rPr>
              <w:t>et al.</w:t>
            </w:r>
            <w:r>
              <w:t xml:space="preserve"> (2023)</w:t>
            </w:r>
          </w:p>
        </w:tc>
        <w:tc>
          <w:tcPr>
            <w:tcW w:w="212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F84D403">
            <w:pPr>
              <w:spacing w:before="240" w:after="240"/>
            </w:pPr>
            <w:r>
              <w:t>Examine school identification followed by online parent-led CBT.</w:t>
            </w:r>
          </w:p>
        </w:tc>
        <w:tc>
          <w:tcPr>
            <w:tcW w:w="18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5C663D0">
            <w:pPr>
              <w:spacing w:before="240" w:after="240"/>
            </w:pPr>
            <w:r>
              <w:t>Mixed methods, 131 screened, 50 positive and 49 received/took up OSI.</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6EFEB9E">
            <w:pPr>
              <w:spacing w:before="240" w:after="240"/>
            </w:pPr>
            <w:r>
              <w:t>Screening, parent engagement, accessibility, intervention experience.</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D2EEA0E">
            <w:pPr>
              <w:spacing w:before="240" w:after="240"/>
            </w:pPr>
            <w:r>
              <w:t>High engagement and satisfaction, substantial improvements supported school-based early intervention.</w:t>
            </w:r>
          </w:p>
        </w:tc>
      </w:tr>
      <w:tr w14:paraId="37DB9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15" w:type="dxa"/>
            <w:bottom w:w="0" w:type="dxa"/>
            <w:right w:w="115" w:type="dxa"/>
          </w:tblCellMar>
        </w:tblPrEx>
        <w:trPr>
          <w:trHeight w:val="1640" w:hRule="atLeast"/>
        </w:trPr>
        <w:tc>
          <w:tcPr>
            <w:tcW w:w="12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02C7445">
            <w:pPr>
              <w:spacing w:before="240" w:after="240"/>
            </w:pPr>
            <w:r>
              <w:t xml:space="preserve">Axford </w:t>
            </w:r>
            <w:r>
              <w:rPr>
                <w:i/>
                <w:iCs/>
              </w:rPr>
              <w:t>et al.</w:t>
            </w:r>
            <w:r>
              <w:t xml:space="preserve"> (2021)</w:t>
            </w:r>
          </w:p>
        </w:tc>
        <w:tc>
          <w:tcPr>
            <w:tcW w:w="212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4753D01">
            <w:pPr>
              <w:spacing w:before="240" w:after="240"/>
            </w:pPr>
            <w:r>
              <w:t>Evaluate community mentoring for children with emotional/behavioural difficulties.</w:t>
            </w:r>
          </w:p>
        </w:tc>
        <w:tc>
          <w:tcPr>
            <w:tcW w:w="18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0B22336">
            <w:pPr>
              <w:spacing w:before="240" w:after="240"/>
            </w:pPr>
            <w:r>
              <w:t>RCT, 246 children aged 5-11 across 5 London sites.</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CFD8BE9">
            <w:pPr>
              <w:spacing w:before="240" w:after="240"/>
            </w:pPr>
            <w:r>
              <w:t>Mentoring, implementation, behavioural/emotional outcomes.</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5ED3373">
            <w:pPr>
              <w:spacing w:before="240" w:after="240"/>
            </w:pPr>
            <w:r>
              <w:t>No significant effects. Programme content required revision. Direct barriers were not clearly examined.</w:t>
            </w:r>
          </w:p>
        </w:tc>
      </w:tr>
      <w:tr w14:paraId="2FBDC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15" w:type="dxa"/>
            <w:bottom w:w="0" w:type="dxa"/>
            <w:right w:w="115" w:type="dxa"/>
          </w:tblCellMar>
        </w:tblPrEx>
        <w:trPr>
          <w:trHeight w:val="1370" w:hRule="atLeast"/>
        </w:trPr>
        <w:tc>
          <w:tcPr>
            <w:tcW w:w="12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E9890A1">
            <w:pPr>
              <w:spacing w:before="240" w:after="240"/>
            </w:pPr>
            <w:r>
              <w:t xml:space="preserve">Jolley </w:t>
            </w:r>
            <w:r>
              <w:rPr>
                <w:i/>
                <w:iCs/>
              </w:rPr>
              <w:t>et al.</w:t>
            </w:r>
            <w:r>
              <w:t xml:space="preserve"> (2023)</w:t>
            </w:r>
          </w:p>
        </w:tc>
        <w:tc>
          <w:tcPr>
            <w:tcW w:w="212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DF161A1">
            <w:pPr>
              <w:spacing w:before="240" w:after="240"/>
            </w:pPr>
            <w:r>
              <w:t>Evaluate digital CBT resilience/wellbeing intervention for vulnerable children.</w:t>
            </w:r>
          </w:p>
        </w:tc>
        <w:tc>
          <w:tcPr>
            <w:tcW w:w="18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03B421D">
            <w:pPr>
              <w:spacing w:before="240" w:after="240"/>
            </w:pPr>
            <w:r>
              <w:t>Cluster RCT protocol, 74 schools, approximately 5,550 children, age 8-9.</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C645091">
            <w:pPr>
              <w:spacing w:before="240" w:after="240"/>
            </w:pPr>
            <w:r>
              <w:t>Prevention, emotional regulation, implementation.</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F73923C">
            <w:pPr>
              <w:spacing w:before="240" w:after="240"/>
            </w:pPr>
            <w:r>
              <w:t>Intended to assess effectiveness, implementation and protocol only.</w:t>
            </w:r>
          </w:p>
        </w:tc>
      </w:tr>
      <w:tr w14:paraId="67870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15" w:type="dxa"/>
            <w:bottom w:w="0" w:type="dxa"/>
            <w:right w:w="115" w:type="dxa"/>
          </w:tblCellMar>
        </w:tblPrEx>
        <w:trPr>
          <w:trHeight w:val="2210" w:hRule="atLeast"/>
        </w:trPr>
        <w:tc>
          <w:tcPr>
            <w:tcW w:w="12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F753F32">
            <w:pPr>
              <w:spacing w:before="240" w:after="240"/>
            </w:pPr>
            <w:r>
              <w:t xml:space="preserve">Reardon </w:t>
            </w:r>
            <w:r>
              <w:rPr>
                <w:i/>
                <w:iCs/>
              </w:rPr>
              <w:t>et al.</w:t>
            </w:r>
            <w:r>
              <w:t xml:space="preserve"> (2026)</w:t>
            </w:r>
          </w:p>
        </w:tc>
        <w:tc>
          <w:tcPr>
            <w:tcW w:w="212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00620B3">
            <w:pPr>
              <w:spacing w:before="240" w:after="240"/>
            </w:pPr>
            <w:r>
              <w:t>Evaluate parent-led CBT for young children at risk of anxiety identified through screening.</w:t>
            </w:r>
          </w:p>
        </w:tc>
        <w:tc>
          <w:tcPr>
            <w:tcW w:w="18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621746E">
            <w:pPr>
              <w:spacing w:before="240" w:after="240"/>
            </w:pPr>
            <w:r>
              <w:t>Cluster RCT, 2,328 screened, 865 enrolled, age 4-7, 95 English schools.</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C7C6E1D">
            <w:pPr>
              <w:spacing w:before="240" w:after="240"/>
            </w:pPr>
            <w:r>
              <w:t>Prevention, screening, parent-led intervention, access.</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C991353">
            <w:pPr>
              <w:spacing w:before="240" w:after="240"/>
            </w:pPr>
            <w:r>
              <w:t>Primary outcome was non-significant, but all secondary outcomes improved and accessible parent-led intervention showed preventive potential.</w:t>
            </w:r>
          </w:p>
        </w:tc>
      </w:tr>
      <w:tr w14:paraId="51C42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15" w:type="dxa"/>
            <w:bottom w:w="0" w:type="dxa"/>
            <w:right w:w="115" w:type="dxa"/>
          </w:tblCellMar>
        </w:tblPrEx>
        <w:trPr>
          <w:trHeight w:val="2495" w:hRule="atLeast"/>
        </w:trPr>
        <w:tc>
          <w:tcPr>
            <w:tcW w:w="12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139E4F9">
            <w:pPr>
              <w:spacing w:before="240" w:after="240"/>
            </w:pPr>
            <w:r>
              <w:t xml:space="preserve">Williamson </w:t>
            </w:r>
            <w:r>
              <w:rPr>
                <w:i/>
                <w:iCs/>
              </w:rPr>
              <w:t>et al.</w:t>
            </w:r>
            <w:r>
              <w:t xml:space="preserve"> (2022)</w:t>
            </w:r>
          </w:p>
        </w:tc>
        <w:tc>
          <w:tcPr>
            <w:tcW w:w="212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511FC7F">
            <w:pPr>
              <w:spacing w:before="240" w:after="240"/>
            </w:pPr>
            <w:r>
              <w:t>Codesign a school-based anxiety screening/intervention pathway.</w:t>
            </w:r>
          </w:p>
        </w:tc>
        <w:tc>
          <w:tcPr>
            <w:tcW w:w="18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E107E62">
            <w:pPr>
              <w:spacing w:before="240" w:after="240"/>
            </w:pPr>
            <w:r>
              <w:t>Codesign, children aged 8-9, parents, staff and mental-health practitioners.</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9CD652B">
            <w:pPr>
              <w:spacing w:before="240" w:after="240"/>
            </w:pPr>
            <w:r>
              <w:t>Identification, stigma, service access, codesign.</w:t>
            </w:r>
          </w:p>
        </w:tc>
        <w:tc>
          <w:tcPr>
            <w:tcW w:w="20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7AF0E4B">
            <w:pPr>
              <w:spacing w:before="240" w:after="240"/>
            </w:pPr>
            <w:r>
              <w:t>Barriers included poor problem identification, stigma, unclear specialist access and limited-service availability and codesign helped address these.</w:t>
            </w:r>
          </w:p>
        </w:tc>
      </w:tr>
    </w:tbl>
    <w:p w14:paraId="6E1C557F">
      <w:pPr>
        <w:spacing w:before="240" w:after="240"/>
        <w:rPr>
          <w:b/>
          <w:bCs/>
        </w:rPr>
      </w:pPr>
      <w:r>
        <w:rPr>
          <w:b/>
          <w:bCs/>
        </w:rPr>
        <w:t xml:space="preserve">Table 4.2.1: Data Extraction Table </w:t>
      </w:r>
    </w:p>
    <w:p w14:paraId="5008EA2A">
      <w:pPr>
        <w:spacing w:before="240" w:after="240"/>
      </w:pPr>
      <w:r>
        <w:t>(Source: Self-developed)</w:t>
      </w:r>
    </w:p>
    <w:p w14:paraId="010C1F02">
      <w:pPr>
        <w:pStyle w:val="3"/>
        <w:spacing w:before="240" w:after="240"/>
      </w:pPr>
      <w:bookmarkStart w:id="45" w:name="_Toc241231928"/>
      <w:r>
        <w:t>4.3 Thematic Analysis</w:t>
      </w:r>
      <w:bookmarkEnd w:id="45"/>
    </w:p>
    <w:p w14:paraId="490E49B9">
      <w:pPr>
        <w:pStyle w:val="4"/>
        <w:spacing w:before="240" w:after="240"/>
        <w:rPr>
          <w:color w:val="auto"/>
        </w:rPr>
      </w:pPr>
      <w:bookmarkStart w:id="46" w:name="_Toc241231929"/>
      <w:r>
        <w:rPr>
          <w:color w:val="auto"/>
        </w:rPr>
        <w:t>4.3.1 Theme 1: Barriers to Early Identification</w:t>
      </w:r>
      <w:bookmarkEnd w:id="46"/>
      <w:r>
        <w:rPr>
          <w:color w:val="auto"/>
        </w:rPr>
        <w:t xml:space="preserve"> </w:t>
      </w:r>
    </w:p>
    <w:p w14:paraId="442F0850">
      <w:pPr>
        <w:spacing w:before="240" w:after="240"/>
      </w:pPr>
      <w:r>
        <w:t xml:space="preserve">Barriers to early identification represented an important constraint on timely access to mental health intervention for children aged 5–11 years. The selected articles suggest that despite the high level of awareness among primary schools, which can identify emerging mental health problems, the extent of identification is limited due to insufficient staff awareness, inconsistency in recognition, stigma, and flaws in screening procedures. Childs-Fegredo </w:t>
      </w:r>
      <w:r>
        <w:rPr>
          <w:i/>
          <w:iCs/>
        </w:rPr>
        <w:t>et al.</w:t>
      </w:r>
      <w:r>
        <w:t xml:space="preserve"> (2021) discovered that staff training was the most acceptable method of systematic identification by staff and parents in schools. </w:t>
      </w:r>
    </w:p>
    <w:p w14:paraId="5B5EBCA7">
      <w:pPr>
        <w:spacing w:before="240" w:after="240"/>
      </w:pPr>
      <w:r>
        <w:t xml:space="preserve">The findings indicated that screening alone did not necessarily guarantee effective identification. Thus, the authors highlighted the need to customise approaches of identification to school-specific contexts. The ability of teachers to identify and address mental health needs was also found to be a major organisational obstacle. Ashu </w:t>
      </w:r>
      <w:r>
        <w:rPr>
          <w:i/>
          <w:iCs/>
        </w:rPr>
        <w:t xml:space="preserve">et al. </w:t>
      </w:r>
      <w:r>
        <w:t xml:space="preserve">(2025) discovered that the teachers were not skilled enough to meet the wide array of mental health needs that children in primary school went through. This implies that national objectives of schools to play a role in early intervention might be compromised in cases where front-line staff members are not effectively trained or supported. </w:t>
      </w:r>
    </w:p>
    <w:p w14:paraId="5C783978">
      <w:pPr>
        <w:spacing w:before="240" w:after="240"/>
      </w:pPr>
      <w:r>
        <w:t xml:space="preserve">The difficulties of identification were also apparent, especially when it came to childhood anxiety. Reardon </w:t>
      </w:r>
      <w:r>
        <w:rPr>
          <w:i/>
          <w:iCs/>
        </w:rPr>
        <w:t xml:space="preserve">et al. </w:t>
      </w:r>
      <w:r>
        <w:t xml:space="preserve">(2025) showed that diagnosing anxiety disorders among primary-school children is a difficult task, and both child-and teacher-report short scales did not reach satisfactory sensitivity and specificity. Although, parent-report measures proved to be more promising, indicating that multi-informant and easily available screening methods can enhance detection. The same study by Williamson </w:t>
      </w:r>
      <w:r>
        <w:rPr>
          <w:i/>
          <w:iCs/>
        </w:rPr>
        <w:t>et al.</w:t>
      </w:r>
      <w:r>
        <w:t xml:space="preserve"> (2022) has also found challenges associated with the identification of anxiety issues as a critical obstacle to receiving treatment and stigma and lack of awareness of specialist services. </w:t>
      </w:r>
    </w:p>
    <w:p w14:paraId="0B419287">
      <w:pPr>
        <w:spacing w:before="240" w:after="240"/>
      </w:pPr>
      <w:r>
        <w:t xml:space="preserve">The iCATS-i2i trial further indicated that school-based screening combined with an intervention pathway could improve outcomes for children identified as experiencing anxiety (Reardon </w:t>
      </w:r>
      <w:r>
        <w:rPr>
          <w:i/>
          <w:iCs/>
        </w:rPr>
        <w:t>et al</w:t>
      </w:r>
      <w:r>
        <w:t xml:space="preserve">. 2026). Another study also showed that it is possible to identify children with the help of school screening and then provide them with parent-led CBT (Green </w:t>
      </w:r>
      <w:r>
        <w:rPr>
          <w:i/>
          <w:iCs/>
        </w:rPr>
        <w:t xml:space="preserve">et al. </w:t>
      </w:r>
      <w:r>
        <w:t>2023). In general, the data indicate that policy anticipations about early diagnosis need to be invested in teacher education, the use of the right screening tools, explicit identification protocols and context-specific practice. In the absence of these factors, children with the initial symptoms of mental health challenges might go undetected and, as a result, end up not receiving intervention.</w:t>
      </w:r>
    </w:p>
    <w:p w14:paraId="6D9F0807">
      <w:pPr>
        <w:pStyle w:val="4"/>
        <w:spacing w:before="240" w:after="240"/>
        <w:rPr>
          <w:color w:val="auto"/>
        </w:rPr>
      </w:pPr>
      <w:bookmarkStart w:id="47" w:name="_Toc241231930"/>
      <w:r>
        <w:rPr>
          <w:color w:val="auto"/>
        </w:rPr>
        <w:t>4.3.2 Theme 2: Barriers to Accessing Early Intervention</w:t>
      </w:r>
      <w:bookmarkEnd w:id="47"/>
      <w:r>
        <w:rPr>
          <w:color w:val="auto"/>
        </w:rPr>
        <w:t xml:space="preserve"> </w:t>
      </w:r>
    </w:p>
    <w:p w14:paraId="0903DD39">
      <w:pPr>
        <w:spacing w:before="240" w:after="240"/>
      </w:pPr>
      <w:r>
        <w:t xml:space="preserve">The second theme concerns barriers affecting children’s and families’ access to appropriate early mental health intervention. The barriers that were encountered across the studies were low access to specialist services, lack of clarity in the referral pathways, mistrust, family issues, stigma and challenges in accessing conventional services. Williamson </w:t>
      </w:r>
      <w:r>
        <w:rPr>
          <w:i/>
          <w:iCs/>
        </w:rPr>
        <w:t xml:space="preserve">et al. </w:t>
      </w:r>
      <w:r>
        <w:t xml:space="preserve">(2022) discovered that parents experiencing challenging circumstances may be reluctant to engage with school-based screening and intervention because of previous experiences and limited trust. </w:t>
      </w:r>
    </w:p>
    <w:p w14:paraId="744A7DBD">
      <w:pPr>
        <w:spacing w:before="240" w:after="240"/>
      </w:pPr>
      <w:r>
        <w:t xml:space="preserve">However, the study also showed that sensitive school-based strategies might make schools and families stronger in their relationships. Also, Rashid </w:t>
      </w:r>
      <w:r>
        <w:rPr>
          <w:i/>
          <w:iCs/>
        </w:rPr>
        <w:t xml:space="preserve">et al. </w:t>
      </w:r>
      <w:r>
        <w:t xml:space="preserve">(2026) give additional support to the inequalities in access among refugee families. Stakeholders and parents identified services as disjointed, culturally inappropriate and reactive. Issues with coordination, communication and responsiveness may thus result in families being unable to access support effectively. </w:t>
      </w:r>
    </w:p>
    <w:p w14:paraId="68C6B80A">
      <w:pPr>
        <w:spacing w:before="240" w:after="240"/>
      </w:pPr>
      <w:r>
        <w:t xml:space="preserve">The culturally and linguistically responsive delivery and services provided in trusted settings within the community were noted to be key factors that can enhance engagement. The lack of accessibility and access to specialist services and limited access to the latter itself were also noted as being barriers (Williamson </w:t>
      </w:r>
      <w:r>
        <w:rPr>
          <w:i/>
          <w:iCs/>
        </w:rPr>
        <w:t xml:space="preserve">et al. </w:t>
      </w:r>
      <w:r>
        <w:t xml:space="preserve">2022). It is especially pertinent to the policy goal of offering early intervention since the postponements in receiving specialist support can increase the risk that emerging difficulties will become more severe. </w:t>
      </w:r>
    </w:p>
    <w:p w14:paraId="2A8F458E">
      <w:pPr>
        <w:spacing w:before="240" w:after="240"/>
      </w:pPr>
      <w:r>
        <w:t xml:space="preserve">The iCATSi2i evidence proposes that primary schools with identification and intervention measures can break through some of the traditional barriers of access. Reardon </w:t>
      </w:r>
      <w:r>
        <w:rPr>
          <w:i/>
          <w:iCs/>
        </w:rPr>
        <w:t>et al.</w:t>
      </w:r>
      <w:r>
        <w:t xml:space="preserve"> (2026) showed that parent-led CBT could be offered to screening-positive children by means of online and telephone support, leading to much better anxiety outcomes than the typical practice of schools. Green </w:t>
      </w:r>
      <w:r>
        <w:rPr>
          <w:i/>
          <w:iCs/>
        </w:rPr>
        <w:t>et al.</w:t>
      </w:r>
      <w:r>
        <w:t xml:space="preserve"> (2023) also reported high parental engagement and satisfaction with online parent-led CBT after school-based identification. </w:t>
      </w:r>
    </w:p>
    <w:p w14:paraId="556C1DF8">
      <w:pPr>
        <w:spacing w:before="240" w:after="240"/>
      </w:pPr>
      <w:r>
        <w:t xml:space="preserve">McDonald </w:t>
      </w:r>
      <w:r>
        <w:rPr>
          <w:i/>
          <w:iCs/>
        </w:rPr>
        <w:t>et al.</w:t>
      </w:r>
      <w:r>
        <w:t xml:space="preserve"> (2023) also proved the significance of family-school communication, especially in children who have anxiety and school attendance issues. Unsuccessful support may be caused by poor communication and difficulty learning in school environments. Thus, access barriers are systemic as well as individual. Improving early intervention therefore requires clearer referral pathways, greater service accessibility, culturally responsive care, trusted relationships and flexible modes of delivery.</w:t>
      </w:r>
    </w:p>
    <w:p w14:paraId="2FC69494">
      <w:pPr>
        <w:pStyle w:val="4"/>
        <w:spacing w:before="240" w:after="240"/>
        <w:rPr>
          <w:color w:val="auto"/>
        </w:rPr>
      </w:pPr>
      <w:bookmarkStart w:id="48" w:name="_Toc241231931"/>
      <w:r>
        <w:rPr>
          <w:color w:val="auto"/>
        </w:rPr>
        <w:t>4.3.3 Theme 3: Service Delivery and Implementation Challenges</w:t>
      </w:r>
      <w:bookmarkEnd w:id="48"/>
      <w:r>
        <w:rPr>
          <w:color w:val="auto"/>
        </w:rPr>
        <w:t xml:space="preserve">  </w:t>
      </w:r>
    </w:p>
    <w:p w14:paraId="703EB14D">
      <w:pPr>
        <w:spacing w:before="240" w:after="240"/>
      </w:pPr>
      <w:r>
        <w:t xml:space="preserve">The evidence shows that despite policies and interventions that advocate early mental health, their implementation is limited by inadequate funding, human capacity, lack of resources, poor coordination and challenges in translating policy into practice. Ashu </w:t>
      </w:r>
      <w:r>
        <w:rPr>
          <w:i/>
          <w:iCs/>
        </w:rPr>
        <w:t>et al.</w:t>
      </w:r>
      <w:r>
        <w:t xml:space="preserve"> (2025) provide evidence of the implementation challenges experienced in primary schools. Teachers found a lack of sufficient skills, insufficient funding and limited resources, as well as a lack of broader support systems to make sure that the children were provided with the relevant support at the right time. These results indicate that schools cannot be held accountable to provide early mental health intervention unless there are relevant organisational and system-level resources.</w:t>
      </w:r>
    </w:p>
    <w:p w14:paraId="3024D860">
      <w:pPr>
        <w:spacing w:before="240" w:after="240"/>
      </w:pPr>
      <w:r>
        <w:t xml:space="preserve">A similar study conducted by Childs-Fegredo et al. (2021) similarly demonstrated that the feasibility of identification strategies depended on school-level circumstances and capacity.  Another important challenge is fragmentation among services. In the findings by Rashid </w:t>
      </w:r>
      <w:r>
        <w:rPr>
          <w:i/>
          <w:iCs/>
        </w:rPr>
        <w:t>et al.</w:t>
      </w:r>
      <w:r>
        <w:t xml:space="preserve"> (2026), fragmented and reactive services were prevalent in refugee families, and there was a weakness in coordination and communication. This kind of fragmentation may cause delays and prevent families from comprehending where and how they can receive help. </w:t>
      </w:r>
    </w:p>
    <w:p w14:paraId="108DA907">
      <w:pPr>
        <w:spacing w:before="240" w:after="240"/>
      </w:pPr>
      <w:r>
        <w:t xml:space="preserve">McDonald </w:t>
      </w:r>
      <w:r>
        <w:rPr>
          <w:i/>
          <w:iCs/>
        </w:rPr>
        <w:t>et al.</w:t>
      </w:r>
      <w:r>
        <w:t xml:space="preserve"> (2023) support the fact that schools and families should coordinate. Home-school communication and collaboration were found to create problems among children who had attendance issues, especially when there was anxiety and other weaknesses. On the other hand, closer collaboration between schools and families was related to more successful assistance. The online intervention discussed by Davies </w:t>
      </w:r>
      <w:r>
        <w:rPr>
          <w:i/>
          <w:iCs/>
        </w:rPr>
        <w:t>et al.</w:t>
      </w:r>
      <w:r>
        <w:t xml:space="preserve"> (2021) explains that digital interventions may improve accessibility, their implementation remains dependent on organisational and technical conditions. </w:t>
      </w:r>
    </w:p>
    <w:p w14:paraId="259A3654">
      <w:pPr>
        <w:spacing w:before="240" w:after="240"/>
      </w:pPr>
      <w:r>
        <w:t xml:space="preserve">Despite the children and staff noting the intervention to be engaging, usable, feasible and acceptable, the researchers faced considerable barriers to implementation. Likewise, the iCATSi2i studies prove that the implementation of screening and intervention pathways needs to be coordinated among schools, parents and mental health practitioners (Williamson </w:t>
      </w:r>
      <w:r>
        <w:rPr>
          <w:i/>
          <w:iCs/>
        </w:rPr>
        <w:t>et al.</w:t>
      </w:r>
      <w:r>
        <w:t xml:space="preserve"> 2022; Reardon </w:t>
      </w:r>
      <w:r>
        <w:rPr>
          <w:i/>
          <w:iCs/>
        </w:rPr>
        <w:t xml:space="preserve">et al. </w:t>
      </w:r>
      <w:r>
        <w:t>2026). Thus, the results imply the need of organisational capacity to implement policies. Early intervention policies by the national governments might not be effective when the schools do not have competent personnel, funds, referral systems and access to expert services. Enhancement of implementation as a result necessitates long-term investment, human resource growth, interagency coordination, purposeful roles and locally flexible models.</w:t>
      </w:r>
    </w:p>
    <w:p w14:paraId="2823049E">
      <w:pPr>
        <w:pStyle w:val="4"/>
        <w:spacing w:before="240" w:after="240"/>
        <w:rPr>
          <w:color w:val="auto"/>
        </w:rPr>
      </w:pPr>
      <w:bookmarkStart w:id="49" w:name="_Toc241231932"/>
      <w:r>
        <w:rPr>
          <w:color w:val="auto"/>
        </w:rPr>
        <w:t>4.3.4 Theme 4: Facilitators of Effective Early Intervention</w:t>
      </w:r>
      <w:bookmarkEnd w:id="49"/>
    </w:p>
    <w:p w14:paraId="6274DB8B">
      <w:pPr>
        <w:spacing w:before="240" w:after="240"/>
      </w:pPr>
      <w:r>
        <w:t xml:space="preserve">Despite these barriers, the evidence identified several factors that may facilitate early mental health intervention in children aged 5-11. The most important facilitators were school-based provision, staff training, family-school collaboration, accessible interventions, trusted relationships, culturally responsive services and integrated models of care. Childs-Fegredo </w:t>
      </w:r>
      <w:r>
        <w:rPr>
          <w:i/>
          <w:iCs/>
        </w:rPr>
        <w:t xml:space="preserve">et al. </w:t>
      </w:r>
      <w:r>
        <w:t xml:space="preserve">(2021) found teacher training emerged as an important facilitator of systematic identification, with curriculum-based methods also being well-regarded. </w:t>
      </w:r>
    </w:p>
    <w:p w14:paraId="38173B8A">
      <w:pPr>
        <w:spacing w:before="240" w:after="240"/>
      </w:pPr>
      <w:r>
        <w:t xml:space="preserve">This implies that a sustainable basis for early intervention can be built by equipping the current school personnel with mental health knowledge. Screening in schools with easy access to treatment also gained solid acceptance. The results of Reardon </w:t>
      </w:r>
      <w:r>
        <w:rPr>
          <w:i/>
          <w:iCs/>
        </w:rPr>
        <w:t>et al.</w:t>
      </w:r>
      <w:r>
        <w:t xml:space="preserve"> (2026) showed that an integrated screening-to-intervention pathway was significantly more effective than the provision of anxiety treatment in standard school settings. Green </w:t>
      </w:r>
      <w:r>
        <w:rPr>
          <w:i/>
          <w:iCs/>
        </w:rPr>
        <w:t>et al.</w:t>
      </w:r>
      <w:r>
        <w:t xml:space="preserve"> (2023) also showed that school-screened children could receive parent-led CBT via an online platform, and parents were highly engaged and satisfied. </w:t>
      </w:r>
    </w:p>
    <w:p w14:paraId="6E53E104">
      <w:pPr>
        <w:spacing w:before="240" w:after="240"/>
      </w:pPr>
      <w:r>
        <w:t xml:space="preserve">These findings suggest that interventions that are closer to children and families may decrease traditional access barriers. Another facilitator was family and school collaboration. According to McDonald </w:t>
      </w:r>
      <w:r>
        <w:rPr>
          <w:i/>
          <w:iCs/>
        </w:rPr>
        <w:t>et al</w:t>
      </w:r>
      <w:r>
        <w:t xml:space="preserve">. (2023), close collaboration between families and schools was found to be a key element of effective support to children with attendance issues. Williamson </w:t>
      </w:r>
      <w:r>
        <w:rPr>
          <w:i/>
          <w:iCs/>
        </w:rPr>
        <w:t>et al.</w:t>
      </w:r>
      <w:r>
        <w:t xml:space="preserve"> (2022) also proposed that school-based programmes can enhance the relationship between schools and families with the help of sensitive programmes. </w:t>
      </w:r>
    </w:p>
    <w:p w14:paraId="22EC4606">
      <w:pPr>
        <w:spacing w:before="240" w:after="240"/>
      </w:pPr>
      <w:r>
        <w:t xml:space="preserve">In the case of children with a variety of backgrounds, culturally responsive provision is especially essential. Rashid </w:t>
      </w:r>
      <w:r>
        <w:rPr>
          <w:i/>
          <w:iCs/>
        </w:rPr>
        <w:t>et al.</w:t>
      </w:r>
      <w:r>
        <w:t xml:space="preserve"> (2026) emphasised trusted community environments, culturally and linguistically compatible practice, coordinated services and family-centred practice as key facilitators. Provision can also be improved using integrated service models. The study by Bennett </w:t>
      </w:r>
      <w:r>
        <w:rPr>
          <w:i/>
          <w:iCs/>
        </w:rPr>
        <w:t>et al.</w:t>
      </w:r>
      <w:r>
        <w:t xml:space="preserve"> (2024) showed that mental health support can be integrated into existing service pathways rather than being delivered exclusively through separate specialist routes.</w:t>
      </w:r>
    </w:p>
    <w:p w14:paraId="5D47197D">
      <w:pPr>
        <w:spacing w:before="240" w:after="240"/>
      </w:pPr>
      <w:r>
        <w:t xml:space="preserve"> Davies </w:t>
      </w:r>
      <w:r>
        <w:rPr>
          <w:i/>
          <w:iCs/>
        </w:rPr>
        <w:t>et al.</w:t>
      </w:r>
      <w:r>
        <w:t xml:space="preserve"> (2021) also demonstrated the possibilities of digital methods yet there are barriers that need to be overcome to implement them. In general, an integrated approach that involves schools, families, community organisations and specialist mental health services is needed to effectively provide early intervention. The policy should then facilitate workforce training, screening in schools, parent-led interventions, culturally responsive, digital delivery where suitable, and better coordination of the services of education and health services.</w:t>
      </w:r>
    </w:p>
    <w:p w14:paraId="0BA9AAED">
      <w:pPr>
        <w:pStyle w:val="3"/>
        <w:spacing w:before="240" w:after="240"/>
      </w:pPr>
      <w:bookmarkStart w:id="50" w:name="_Toc241231933"/>
      <w:r>
        <w:t>4.4 Chapter Summary</w:t>
      </w:r>
      <w:bookmarkEnd w:id="50"/>
      <w:r>
        <w:t xml:space="preserve"> </w:t>
      </w:r>
    </w:p>
    <w:p w14:paraId="66F63223">
      <w:pPr>
        <w:spacing w:before="240" w:after="240"/>
      </w:pPr>
      <w:r>
        <w:t>This chapter has reviewed the UK literature on the topic of early mental health intervention for children aged 5-11 and identified four overarching themes relating to barriers and facilitators of early intervention. The results identified challenges in early identification, poor access to services &amp; resources, workforce issues, disjointed provision and implementation issues. School-based screening, staff training, school–family partnerships, culturally responsive services, online interventions and integrated care were identified as important facilitators. Generally, the results reveal that there is a disconnect between the policy ambitions and the implementation at the service level, as early mental health support should be coordinated, accessible and adequately resourced.</w:t>
      </w:r>
    </w:p>
    <w:p w14:paraId="0DEE60AE">
      <w:pPr>
        <w:spacing w:before="240" w:after="240"/>
        <w:rPr>
          <w:b/>
          <w:bCs/>
        </w:rPr>
      </w:pPr>
      <w:r>
        <w:br w:type="page"/>
      </w:r>
    </w:p>
    <w:p w14:paraId="0CFF9F46">
      <w:pPr>
        <w:pStyle w:val="2"/>
        <w:spacing w:before="240" w:after="240"/>
        <w:jc w:val="both"/>
        <w:rPr>
          <w:sz w:val="24"/>
          <w:szCs w:val="24"/>
        </w:rPr>
      </w:pPr>
      <w:bookmarkStart w:id="51" w:name="_Toc241231934"/>
      <w:r>
        <w:rPr>
          <w:sz w:val="24"/>
          <w:szCs w:val="24"/>
        </w:rPr>
        <w:t>CHAPTER 5: DISCUSSION</w:t>
      </w:r>
      <w:bookmarkEnd w:id="51"/>
      <w:r>
        <w:rPr>
          <w:sz w:val="24"/>
          <w:szCs w:val="24"/>
        </w:rPr>
        <w:t xml:space="preserve"> </w:t>
      </w:r>
    </w:p>
    <w:p w14:paraId="458DEC6A">
      <w:pPr>
        <w:pStyle w:val="3"/>
        <w:spacing w:before="240" w:after="240"/>
      </w:pPr>
      <w:bookmarkStart w:id="52" w:name="_Toc241231935"/>
      <w:r>
        <w:t>5.1 Introduction</w:t>
      </w:r>
      <w:bookmarkEnd w:id="52"/>
      <w:r>
        <w:t xml:space="preserve"> </w:t>
      </w:r>
    </w:p>
    <w:p w14:paraId="70B369E2">
      <w:pPr>
        <w:spacing w:before="240" w:after="240"/>
      </w:pPr>
      <w:r>
        <w:t xml:space="preserve">The findings of the systematic literature review on barriers to early mental health intervention for children aged 5-11 in the UK are discussed and interpreted in this chapter. The issues discussed include early identification, availability of interventions, service provision, facilitation and implementation challenges and implications for policy, practice development and service development. </w:t>
      </w:r>
    </w:p>
    <w:p w14:paraId="2DF1F8F7">
      <w:pPr>
        <w:pStyle w:val="3"/>
        <w:spacing w:before="240" w:after="240"/>
      </w:pPr>
      <w:bookmarkStart w:id="53" w:name="_Toc241231936"/>
      <w:r>
        <w:t>5.2 Overview and Interpretation of Key Findings</w:t>
      </w:r>
      <w:bookmarkEnd w:id="53"/>
      <w:r>
        <w:t xml:space="preserve"> </w:t>
      </w:r>
    </w:p>
    <w:p w14:paraId="36E8EAEE">
      <w:pPr>
        <w:spacing w:before="240" w:after="240"/>
      </w:pPr>
      <w:r>
        <w:t xml:space="preserve">The findings indicate that barriers occur across the pathway from identification to service access and intervention. Whereas primary schools are an essential place for identifying an early problem, lack of staff knowledge and confusion around screening and stigmatisation may limit early discovery (Childs-Fegredo </w:t>
      </w:r>
      <w:r>
        <w:rPr>
          <w:i/>
          <w:iCs/>
        </w:rPr>
        <w:t>et al</w:t>
      </w:r>
      <w:r>
        <w:t>. 2021; Reardon</w:t>
      </w:r>
      <w:r>
        <w:rPr>
          <w:i/>
          <w:iCs/>
        </w:rPr>
        <w:t xml:space="preserve"> et al</w:t>
      </w:r>
      <w:r>
        <w:t xml:space="preserve">. 2025). As a result, children might fail to be taken on intervention pathways early enough. Limited specialist service availability, unclear referral procedures, mistrust and difficult family situations are also related to access to suitable intervention. </w:t>
      </w:r>
    </w:p>
    <w:p w14:paraId="20898614">
      <w:pPr>
        <w:spacing w:before="240" w:after="240"/>
      </w:pPr>
      <w:r>
        <w:t xml:space="preserve">Williamson </w:t>
      </w:r>
      <w:r>
        <w:rPr>
          <w:i/>
          <w:iCs/>
        </w:rPr>
        <w:t>et al.</w:t>
      </w:r>
      <w:r>
        <w:t xml:space="preserve"> (2022) discovered that past experiences had the potential to decrease parental engagement and Rashid</w:t>
      </w:r>
      <w:r>
        <w:rPr>
          <w:i/>
          <w:iCs/>
        </w:rPr>
        <w:t xml:space="preserve"> et al.</w:t>
      </w:r>
      <w:r>
        <w:t xml:space="preserve"> (2026) found that fragmentation, cultural mismatch and poor coordination were obstacles for refugee families. These results demonstrate that access therefore depends not only on service availability but also on trust, communication, referral processes and responsiveness. </w:t>
      </w:r>
    </w:p>
    <w:p w14:paraId="56E96A08">
      <w:pPr>
        <w:spacing w:before="240" w:after="240"/>
      </w:pPr>
      <w:r>
        <w:t xml:space="preserve">On the organisational level, a lack of skills, financing, resources and broader support systems limits the timely response of schools (Ashu </w:t>
      </w:r>
      <w:r>
        <w:rPr>
          <w:i/>
          <w:iCs/>
        </w:rPr>
        <w:t>et al.</w:t>
      </w:r>
      <w:r>
        <w:t xml:space="preserve"> 2025). However, screening in schools along with access to parent-initiated interventions showed potential benefits in terms of access and outcomes (Green </w:t>
      </w:r>
      <w:r>
        <w:rPr>
          <w:i/>
          <w:iCs/>
        </w:rPr>
        <w:t xml:space="preserve">et al. </w:t>
      </w:r>
      <w:r>
        <w:t xml:space="preserve">2023; Reardon </w:t>
      </w:r>
      <w:r>
        <w:rPr>
          <w:i/>
          <w:iCs/>
        </w:rPr>
        <w:t>et al.</w:t>
      </w:r>
      <w:r>
        <w:t xml:space="preserve"> 2026). Thus, it can be argued that the key to successful early intervention is the presence of coordinated systems, well-trained staff, availability of services and meaningful family involvement.</w:t>
      </w:r>
    </w:p>
    <w:p w14:paraId="53959AA8">
      <w:pPr>
        <w:pStyle w:val="3"/>
        <w:spacing w:before="240" w:after="240"/>
      </w:pPr>
      <w:bookmarkStart w:id="54" w:name="_Toc241231937"/>
      <w:r>
        <w:t>5.3 Discussion of Theme 1: Barriers to Early Identification</w:t>
      </w:r>
      <w:bookmarkEnd w:id="54"/>
    </w:p>
    <w:p w14:paraId="2D5B127F">
      <w:pPr>
        <w:spacing w:before="240" w:after="240"/>
      </w:pPr>
      <w:r>
        <w:t xml:space="preserve">Early identification represents a critical entry point to timely mental health intervention, yet the results suggest that there are numerous obstacles in primary-school environments. The study by Childs-Fegredo </w:t>
      </w:r>
      <w:r>
        <w:rPr>
          <w:i/>
          <w:iCs/>
        </w:rPr>
        <w:t>et al.</w:t>
      </w:r>
      <w:r>
        <w:t xml:space="preserve"> (2021) demonstrated that school employees and parents embraced teacher training as the most acceptable and feasible approach to systematic identification. This highlights the need to build the confidence and expertise of the teachers who often monitor the behaviour and emotional welfare of children. Ashu </w:t>
      </w:r>
      <w:r>
        <w:rPr>
          <w:i/>
          <w:iCs/>
        </w:rPr>
        <w:t xml:space="preserve">et al. </w:t>
      </w:r>
      <w:r>
        <w:t xml:space="preserve">(2025) found a lack of staff competencies to care for the wide spectrum of mental health needs of children and creates a risk of assigning schools’ responsibility for early intervention without providing adequate organisational capacity. </w:t>
      </w:r>
    </w:p>
    <w:p w14:paraId="19E16875">
      <w:pPr>
        <w:spacing w:before="240" w:after="240"/>
      </w:pPr>
      <w:r>
        <w:t xml:space="preserve">The screening process also poses challenges. According to Childs-Fegredo </w:t>
      </w:r>
      <w:r>
        <w:rPr>
          <w:i/>
          <w:iCs/>
        </w:rPr>
        <w:t>et al.</w:t>
      </w:r>
      <w:r>
        <w:t xml:space="preserve"> (2021), there were mixed opinions about universal and selective screening, in terms of feasibility and possible harms. Likewise, Reardon </w:t>
      </w:r>
      <w:r>
        <w:rPr>
          <w:i/>
          <w:iCs/>
        </w:rPr>
        <w:t>et al.</w:t>
      </w:r>
      <w:r>
        <w:t xml:space="preserve"> (2025) proved that child-and teacher-report scales did not have acceptable sensitivity and specificity, while parent-report scales had higher potential. The presence of stigma and inability to comprehend how to seek specialist assistance can also limit recognition and subsequent intervention (Williamson </w:t>
      </w:r>
      <w:r>
        <w:rPr>
          <w:i/>
          <w:iCs/>
        </w:rPr>
        <w:t xml:space="preserve">et al. </w:t>
      </w:r>
      <w:r>
        <w:t>2022). However, screening in schools in combination with intervention seems to have the potential to conquer certain barriers in identification (Reardon</w:t>
      </w:r>
      <w:r>
        <w:rPr>
          <w:i/>
          <w:iCs/>
        </w:rPr>
        <w:t xml:space="preserve"> et al.</w:t>
      </w:r>
      <w:r>
        <w:t xml:space="preserve"> 2026). Thus, it is essential to have properly trained personnel and effective screening methods, various sources of information and well-defined steps for acting on the identified needs to enhance timely identification.</w:t>
      </w:r>
    </w:p>
    <w:p w14:paraId="77710D91">
      <w:pPr>
        <w:pStyle w:val="3"/>
        <w:spacing w:before="240" w:after="240"/>
      </w:pPr>
      <w:bookmarkStart w:id="55" w:name="_Toc241231938"/>
      <w:r>
        <w:t>5.4 Discussion of Theme 2: Barriers to Accessing Early Intervention</w:t>
      </w:r>
      <w:bookmarkEnd w:id="55"/>
    </w:p>
    <w:p w14:paraId="4722754D">
      <w:pPr>
        <w:spacing w:before="240" w:after="240"/>
      </w:pPr>
      <w:r>
        <w:t>The results point to the fact that both service-level and family-level barriers influence the possibility of receiving early mental health intervention. Williamson</w:t>
      </w:r>
      <w:r>
        <w:rPr>
          <w:i/>
          <w:iCs/>
        </w:rPr>
        <w:t xml:space="preserve"> et al. </w:t>
      </w:r>
      <w:r>
        <w:t xml:space="preserve">(2022) discovered that parents in difficult situations might be unwilling to participate in school-based screening and intervention due to past experiences and a lack of trust. This indicates that the availability of an intervention does not necessarily translate into engagement or uptake. </w:t>
      </w:r>
    </w:p>
    <w:p w14:paraId="0FFAEE1B">
      <w:pPr>
        <w:spacing w:before="240" w:after="240"/>
      </w:pPr>
      <w:r>
        <w:t>Trusting relationships between families and services may therefore influence engagement with intervention pathways. Lack of access and not knowing how to get into specialist services are other hindrances. Uncertainty regarding the possibility of accessing specialist services and the lack of their availability were found by Williamson e</w:t>
      </w:r>
      <w:r>
        <w:rPr>
          <w:i/>
          <w:iCs/>
        </w:rPr>
        <w:t>t al.</w:t>
      </w:r>
      <w:r>
        <w:t xml:space="preserve"> (2022) as the key barriers. Rashid </w:t>
      </w:r>
      <w:r>
        <w:rPr>
          <w:i/>
          <w:iCs/>
        </w:rPr>
        <w:t>et al.</w:t>
      </w:r>
      <w:r>
        <w:t xml:space="preserve"> (2026) also established fragmentation and reactive dispensation of services towards refugee families, with cultural and linguistic mismatches that may reduce effective communication and engagement. </w:t>
      </w:r>
    </w:p>
    <w:p w14:paraId="288D4133">
      <w:pPr>
        <w:spacing w:before="240" w:after="240"/>
      </w:pPr>
      <w:r>
        <w:t xml:space="preserve">Thus, disparities in access can be exacerbated in the case of families in need of culturally responsive and flexible care. In contrast, school-based strategies can also minimise certain classical barriers by bringing diagnosis and treatment to children and families. In a study by Green </w:t>
      </w:r>
      <w:r>
        <w:rPr>
          <w:i/>
          <w:iCs/>
        </w:rPr>
        <w:t>et al.</w:t>
      </w:r>
      <w:r>
        <w:t xml:space="preserve"> (2023), there was high parental engagement and satisfaction with online parent-led CBT after school identification. Reardon</w:t>
      </w:r>
      <w:r>
        <w:rPr>
          <w:i/>
          <w:iCs/>
        </w:rPr>
        <w:t xml:space="preserve"> et al. </w:t>
      </w:r>
      <w:r>
        <w:t>(2026) also provided better results in terms of anxiety with the help of the screening-to-intervention pathway. These results indicate that accessible, flexible and family-centred interventions can enhance engagement, but service capacity and implementation are crucial.</w:t>
      </w:r>
    </w:p>
    <w:p w14:paraId="4E0B0EA1">
      <w:pPr>
        <w:pStyle w:val="3"/>
        <w:spacing w:before="240" w:after="240"/>
      </w:pPr>
      <w:bookmarkStart w:id="56" w:name="_Toc241231939"/>
      <w:r>
        <w:t>5.5 Discussion of Theme 3: Service Delivery and Implementation Challenges</w:t>
      </w:r>
      <w:bookmarkEnd w:id="56"/>
      <w:r>
        <w:t xml:space="preserve"> </w:t>
      </w:r>
    </w:p>
    <w:p w14:paraId="193D0CCF">
      <w:pPr>
        <w:spacing w:before="240" w:after="240"/>
      </w:pPr>
      <w:r>
        <w:t>The evidence indicates that challenges in implementation may undermine the efficacy of the policies and interventions that are aimed at enhancing early mental health support. Ashu et al. (2025) identified limited staff skills, inadequate resources and insufficient organisational support as key barriers. This means that by giving schools more responsibility in early intervention without giving them sufficient organisational capacity, there is a risk that a disconnect can emerge between policy requirements and practice. Service fragmentation is another important challenge. Rashid</w:t>
      </w:r>
      <w:r>
        <w:rPr>
          <w:i/>
          <w:iCs/>
        </w:rPr>
        <w:t xml:space="preserve"> et al. </w:t>
      </w:r>
      <w:r>
        <w:t xml:space="preserve">(2026) explained services as reactive and fragmented as well as weak in the areas of coordination, communication and responsiveness. </w:t>
      </w:r>
    </w:p>
    <w:p w14:paraId="56211E44">
      <w:pPr>
        <w:spacing w:before="240" w:after="240"/>
      </w:pPr>
      <w:r>
        <w:t xml:space="preserve">This kind of fragmentation may create challenges in the process of navigation within the family and delay access to appropriate intervention. Similar conclusions were made by McDonald </w:t>
      </w:r>
      <w:r>
        <w:rPr>
          <w:i/>
          <w:iCs/>
        </w:rPr>
        <w:t xml:space="preserve">et al. </w:t>
      </w:r>
      <w:r>
        <w:t xml:space="preserve">(2023), who emphasised the lack of home-school communication and collaboration as a contributing factor to challenges faced by children with anxiety and attendance problems. Digital interventions can bring more possibilities for service delivery, yet they also need proper conditions for implementation. </w:t>
      </w:r>
    </w:p>
    <w:p w14:paraId="4F92F1F7">
      <w:pPr>
        <w:spacing w:before="240" w:after="240"/>
      </w:pPr>
      <w:r>
        <w:t xml:space="preserve">Davies </w:t>
      </w:r>
      <w:r>
        <w:rPr>
          <w:i/>
          <w:iCs/>
        </w:rPr>
        <w:t>et al</w:t>
      </w:r>
      <w:r>
        <w:t>. (2021) discovered that children and staff positively rated a digital intervention yet still experienced considerable barriers to implementation. Thus, systemic weaknesses cannot be solved only with technological innovation. This type of implementation necessitates trained personnel, resources that are sustainable, clear roles, well-established interagency communication and local context adaptation. These findings suggest that service improvement requires strengthening the wider system in which individual interventions are delivered.</w:t>
      </w:r>
    </w:p>
    <w:p w14:paraId="535973B6">
      <w:pPr>
        <w:pStyle w:val="3"/>
        <w:spacing w:before="240" w:after="240"/>
      </w:pPr>
      <w:bookmarkStart w:id="57" w:name="_Toc241231940"/>
      <w:r>
        <w:t>5.6 Discussion of Theme 4: Facilitators of Effective Early Intervention</w:t>
      </w:r>
      <w:bookmarkEnd w:id="57"/>
      <w:r>
        <w:t xml:space="preserve"> </w:t>
      </w:r>
    </w:p>
    <w:p w14:paraId="29B8E4EF">
      <w:pPr>
        <w:spacing w:before="240" w:after="240"/>
      </w:pPr>
      <w:r>
        <w:t>Despite these barriers, the evidence points out that there are a number of facilitators that may facilitate early mental health intervention. The training of teachers is especially critical since it may lead to an enhancement of schools' ability to identify and address emerging challenges. Childs-Fegredo</w:t>
      </w:r>
      <w:r>
        <w:rPr>
          <w:i/>
          <w:iCs/>
        </w:rPr>
        <w:t xml:space="preserve"> et al.</w:t>
      </w:r>
      <w:r>
        <w:t xml:space="preserve"> (2021) found the most acceptable and feasible approach to identification to be staff training, whereas Ashu </w:t>
      </w:r>
      <w:r>
        <w:rPr>
          <w:i/>
          <w:iCs/>
        </w:rPr>
        <w:t xml:space="preserve">et al. </w:t>
      </w:r>
      <w:r>
        <w:t xml:space="preserve">(2025) have shown the effects of lack of skills and support. School-based identification and availability of intervention also seem promising. Green </w:t>
      </w:r>
      <w:r>
        <w:rPr>
          <w:i/>
          <w:iCs/>
        </w:rPr>
        <w:t>et al</w:t>
      </w:r>
      <w:r>
        <w:t xml:space="preserve">. (2023) have shown that school-screened children were able to receive online parent-guided CBT, which was associated with high levels of parental engagement and satisfaction. </w:t>
      </w:r>
    </w:p>
    <w:p w14:paraId="35337A2B">
      <w:pPr>
        <w:spacing w:before="240" w:after="240"/>
      </w:pPr>
      <w:r>
        <w:t xml:space="preserve">In the same manner, Reardon </w:t>
      </w:r>
      <w:r>
        <w:rPr>
          <w:i/>
          <w:iCs/>
        </w:rPr>
        <w:t>et al.</w:t>
      </w:r>
      <w:r>
        <w:t xml:space="preserve"> (2026) identified an integrated screening-to-intervention pathway that enhanced anxiety outcomes when compared to normal school practice. These results indicate that the conventional access barriers can be addressed with the help of reducing the distance between identification and intervention. Family-school collaboration is another important facilitator. </w:t>
      </w:r>
    </w:p>
    <w:p w14:paraId="12E29931">
      <w:pPr>
        <w:spacing w:before="240" w:after="240"/>
      </w:pPr>
      <w:r>
        <w:t xml:space="preserve">McDonald </w:t>
      </w:r>
      <w:r>
        <w:rPr>
          <w:i/>
          <w:iCs/>
        </w:rPr>
        <w:t>et al.</w:t>
      </w:r>
      <w:r>
        <w:t xml:space="preserve"> (2023) found that effective support was characterised by close cooperation between schools and families, while Williamson </w:t>
      </w:r>
      <w:r>
        <w:rPr>
          <w:i/>
          <w:iCs/>
        </w:rPr>
        <w:t>et al.</w:t>
      </w:r>
      <w:r>
        <w:t xml:space="preserve"> (2022) suggested that sensitive programmes could strengthen school-family relationships. Culturally responsive provision is also necessary for families of different backgrounds. Rashid </w:t>
      </w:r>
      <w:r>
        <w:rPr>
          <w:i/>
          <w:iCs/>
        </w:rPr>
        <w:t xml:space="preserve">et al. </w:t>
      </w:r>
      <w:r>
        <w:t>(2026) highlighted culturally and linguistically responsive practice, trusted community settings and coordinated support. Therefore, early intervention needs to be done by providing accessible, collaborative and context-sensitive services with sufficient workforce capacity.</w:t>
      </w:r>
    </w:p>
    <w:p w14:paraId="1A1BB0EA">
      <w:pPr>
        <w:pStyle w:val="3"/>
        <w:spacing w:before="240" w:after="240"/>
      </w:pPr>
      <w:bookmarkStart w:id="58" w:name="_Toc241231941"/>
      <w:r>
        <w:t>5.7 Discussion in Relation to UK Policy</w:t>
      </w:r>
      <w:bookmarkEnd w:id="58"/>
    </w:p>
    <w:p w14:paraId="335EB8C1">
      <w:pPr>
        <w:spacing w:before="240" w:after="240"/>
      </w:pPr>
      <w:r>
        <w:t xml:space="preserve">The evidence reviewed suggests that there is a significant misalignment between policy ambitions of early mental health support and actual practice in primary-school settings. Schools play a key role in UK government policy in promoting wellbeing and recognizing early signs of mental health problems. It seems that based on research findings, schools do not have the appropriate facilities or training to perform such roles effectively. According to Ashu </w:t>
      </w:r>
      <w:r>
        <w:rPr>
          <w:i/>
          <w:iCs/>
        </w:rPr>
        <w:t>et al.</w:t>
      </w:r>
      <w:r>
        <w:t xml:space="preserve"> (2025), some implementation gaps such as staff skills, funding, resources and broader support systems, were identified, whereas Childs-Fegredo </w:t>
      </w:r>
      <w:r>
        <w:rPr>
          <w:i/>
          <w:iCs/>
        </w:rPr>
        <w:t>et al.</w:t>
      </w:r>
      <w:r>
        <w:t xml:space="preserve"> (2021) revealed that the implementation methods should be adjusted to the school-specific circumstances.</w:t>
      </w:r>
    </w:p>
    <w:p w14:paraId="53E2A359">
      <w:pPr>
        <w:spacing w:before="240" w:after="240"/>
      </w:pPr>
      <w:r>
        <w:t xml:space="preserve">These pieces of evidence also suggest that policy objectives in the areas of equitable access need to be better coordinated between education, health and community services. Access for vulnerable families can be limited by fragmented provision and cultural mismatch (Rashid </w:t>
      </w:r>
      <w:r>
        <w:rPr>
          <w:i/>
          <w:iCs/>
        </w:rPr>
        <w:t xml:space="preserve">et al. </w:t>
      </w:r>
      <w:r>
        <w:t xml:space="preserve">2026). Thus, the development of policies must be supported by sustainable resources, employee training, defined referral routes and combined service frameworks. Family trust, cultural responsiveness and local implementation conditions are also the key elements of effective early intervention that should be recognised by policy. </w:t>
      </w:r>
    </w:p>
    <w:p w14:paraId="38A16200">
      <w:pPr>
        <w:spacing w:before="240" w:after="240"/>
      </w:pPr>
      <w:r>
        <w:t>The findings could be analysed using the Andersen Behavioural Model, especially its predisposing, enabling and need factors. The findings reveal that there is a disconnect between policymakers’ aspirations regarding early interventions in mental health issues in UK primary schools. Predisposing factors are seen in terms of parents’ attitudes, trust, stigma and mental health awareness that would determine their willingness to take advantage of the services provided. Need factors are reflected in the recognition and perceived severity of children’s mental health difficulties by parents, teachers and healthcare professionals.</w:t>
      </w:r>
    </w:p>
    <w:p w14:paraId="22397D95">
      <w:pPr>
        <w:spacing w:before="240" w:after="240"/>
      </w:pPr>
      <w:r>
        <w:t>Nonetheless, the most significant relationship between the theory and the findings is established in enabling factors. The study identifies lack of staffing, funding, training, fragmentation of services, unclear referral routes and poor cooperation among agencies as major challenges to timely interventions. These factors relate directly to the Andersen Model’s focus on the availability, accessibility and organisational capability of healthcare services. Thus, the findings show that children may have needs in terms of mental health but fail to access these services due to the lack of enabling factors. In conclusion, the Andersen Behavioural Model explains the gap between policy making and service delivery in the UK.</w:t>
      </w:r>
    </w:p>
    <w:p w14:paraId="12937FF8">
      <w:pPr>
        <w:pStyle w:val="3"/>
        <w:spacing w:before="240" w:after="240"/>
      </w:pPr>
      <w:bookmarkStart w:id="59" w:name="_Toc241231942"/>
      <w:r>
        <w:t>5.8 Discussion in Relation to the Research Objectives</w:t>
      </w:r>
      <w:bookmarkEnd w:id="59"/>
      <w:r>
        <w:t xml:space="preserve"> </w:t>
      </w:r>
    </w:p>
    <w:p w14:paraId="3FA10178">
      <w:pPr>
        <w:spacing w:before="240" w:after="240"/>
      </w:pPr>
      <w:r>
        <w:t xml:space="preserve">The results refer to all the four research objectives. First, the findings indicate that UK policy places considerable emphasis on early intervention and the role of schools in promoting mental health and identifying emerging difficulties (Childs-Fegredo </w:t>
      </w:r>
      <w:r>
        <w:rPr>
          <w:i/>
          <w:iCs/>
        </w:rPr>
        <w:t>et al.</w:t>
      </w:r>
      <w:r>
        <w:t xml:space="preserve"> 2021; Ashu </w:t>
      </w:r>
      <w:r>
        <w:rPr>
          <w:i/>
          <w:iCs/>
        </w:rPr>
        <w:t>et al.</w:t>
      </w:r>
      <w:r>
        <w:t xml:space="preserve"> 2025). Second, significant systemic and organisational obstacles are poor training, insufficient funding and resources, fragmented services, lack of understanding of referral pathways and limited access to specialists (Williamson </w:t>
      </w:r>
      <w:r>
        <w:rPr>
          <w:i/>
          <w:iCs/>
        </w:rPr>
        <w:t>et al</w:t>
      </w:r>
      <w:r>
        <w:t>. 2022; Rashid</w:t>
      </w:r>
      <w:r>
        <w:rPr>
          <w:i/>
          <w:iCs/>
        </w:rPr>
        <w:t xml:space="preserve"> et al. </w:t>
      </w:r>
      <w:r>
        <w:t xml:space="preserve">2026). </w:t>
      </w:r>
    </w:p>
    <w:p w14:paraId="1EC23129">
      <w:pPr>
        <w:spacing w:before="240" w:after="240"/>
      </w:pPr>
      <w:r>
        <w:t xml:space="preserve">Third, these barriers can delay identification, create uncertainty around referral and reduce family engagement with services. Families can also enjoy the presence of support depending on trust, communication and cultural responsiveness (Williamson </w:t>
      </w:r>
      <w:r>
        <w:rPr>
          <w:i/>
          <w:iCs/>
        </w:rPr>
        <w:t>et al.</w:t>
      </w:r>
      <w:r>
        <w:t xml:space="preserve"> 2022; Rashid </w:t>
      </w:r>
      <w:r>
        <w:rPr>
          <w:i/>
          <w:iCs/>
        </w:rPr>
        <w:t>et al.</w:t>
      </w:r>
      <w:r>
        <w:t xml:space="preserve"> 2026). Lastly, the evidence outlines possible intervention-strengthening interventions, such as teacher training, school-based screening, parent-led CBT and family-school collaboration and culturally responsive provision (Green </w:t>
      </w:r>
      <w:r>
        <w:rPr>
          <w:i/>
          <w:iCs/>
        </w:rPr>
        <w:t>et al.</w:t>
      </w:r>
      <w:r>
        <w:t xml:space="preserve"> 2023; Reardon </w:t>
      </w:r>
      <w:r>
        <w:rPr>
          <w:i/>
          <w:iCs/>
        </w:rPr>
        <w:t>et al.</w:t>
      </w:r>
      <w:r>
        <w:t xml:space="preserve"> 2026). Overall, the findings suggest that improving early intervention requires system-level rather than isolated intervention.</w:t>
      </w:r>
    </w:p>
    <w:p w14:paraId="1AE4C032">
      <w:pPr>
        <w:pStyle w:val="3"/>
        <w:spacing w:before="240" w:after="240"/>
      </w:pPr>
      <w:bookmarkStart w:id="60" w:name="_Toc241231943"/>
      <w:r>
        <w:t>5.9 Strengths and Limitations of the Evidence Base</w:t>
      </w:r>
      <w:bookmarkEnd w:id="60"/>
    </w:p>
    <w:p w14:paraId="54AE10E2">
      <w:pPr>
        <w:spacing w:before="240" w:after="240"/>
      </w:pPr>
      <w:r>
        <w:t xml:space="preserve">A key strength of the evidence base is the inclusion of qualitative and quantitative research, which provides complementary perspectives on barriers, implementation and intervention outcomes. The literature consists of the viewpoints of children, parents, teachers and professionals, which contributes to the multidimensional concept of early mental health intervention. The theme of primary-school children and school-based strategies is also explored in various studies (Childs-Fegredo </w:t>
      </w:r>
      <w:r>
        <w:rPr>
          <w:i/>
          <w:iCs/>
        </w:rPr>
        <w:t>et al.</w:t>
      </w:r>
      <w:r>
        <w:t xml:space="preserve"> 2021; Green </w:t>
      </w:r>
      <w:r>
        <w:rPr>
          <w:i/>
          <w:iCs/>
        </w:rPr>
        <w:t>et al.</w:t>
      </w:r>
      <w:r>
        <w:t xml:space="preserve"> 2023; Reardon </w:t>
      </w:r>
      <w:r>
        <w:rPr>
          <w:i/>
          <w:iCs/>
        </w:rPr>
        <w:t>et al.</w:t>
      </w:r>
      <w:r>
        <w:t xml:space="preserve"> 2026). However, several limitations should be acknowledged. </w:t>
      </w:r>
    </w:p>
    <w:p w14:paraId="34CA9C52">
      <w:pPr>
        <w:spacing w:before="240" w:after="240"/>
      </w:pPr>
      <w:r>
        <w:t xml:space="preserve">Some studies included broader age ranges than 5–11 years, while others focused on specific populations or conditions, which limits the generalisability of their findings to the target population. A number of studies are also associated with the iCATS-i2i programme, which introduces a risk of overlapping samples and as such, restricts the capacity of these publications to be independent evidence sources. Additionally, other studies mainly determine the effectiveness of interventions as opposed to barriers. </w:t>
      </w:r>
    </w:p>
    <w:p w14:paraId="5BDBD70B">
      <w:pPr>
        <w:pStyle w:val="3"/>
        <w:spacing w:before="240" w:after="240"/>
      </w:pPr>
      <w:bookmarkStart w:id="61" w:name="_Toc241231944"/>
      <w:r>
        <w:t>5.10 Implications for Practice and Service Delivery</w:t>
      </w:r>
      <w:bookmarkEnd w:id="61"/>
    </w:p>
    <w:p w14:paraId="1BD5B85C">
      <w:pPr>
        <w:spacing w:before="240" w:after="240"/>
      </w:pPr>
      <w:r>
        <w:t xml:space="preserve">The results have multiple implications on the organisation and provision of early mental health support. Primary schools require appropriate training and resources to support early identification. School-based early identification must then include teacher training, and not community-based approaches that put the burden on teachers who have not been properly trained (Childs-Fegredo </w:t>
      </w:r>
      <w:r>
        <w:rPr>
          <w:i/>
          <w:iCs/>
        </w:rPr>
        <w:t>et al.</w:t>
      </w:r>
      <w:r>
        <w:t xml:space="preserve"> 2021; Ashu </w:t>
      </w:r>
      <w:r>
        <w:rPr>
          <w:i/>
          <w:iCs/>
        </w:rPr>
        <w:t>et al</w:t>
      </w:r>
      <w:r>
        <w:t xml:space="preserve">. 2025). Services should establish clearer referral pathways between schools, families, primary care, specialist mental health services and community organisations. Convenient parent-initiated and online interventions can be useful to minimise the practical barriers to treatment (Green </w:t>
      </w:r>
      <w:r>
        <w:rPr>
          <w:i/>
          <w:iCs/>
        </w:rPr>
        <w:t>et al</w:t>
      </w:r>
      <w:r>
        <w:t>. 2023; Reardon</w:t>
      </w:r>
      <w:r>
        <w:rPr>
          <w:i/>
          <w:iCs/>
        </w:rPr>
        <w:t xml:space="preserve"> et al</w:t>
      </w:r>
      <w:r>
        <w:t>. 2026). Family involvement should also be a priority in service delivery, trust and cultural responsiveness. In general, practice is recommended to shift to integrated, flexible and preventive models to allow children to receive the necessary assistance prior to the escalation of the difficulties.</w:t>
      </w:r>
    </w:p>
    <w:p w14:paraId="710E6275">
      <w:pPr>
        <w:pStyle w:val="3"/>
        <w:spacing w:before="240" w:after="240"/>
      </w:pPr>
      <w:bookmarkStart w:id="62" w:name="_Toc241231945"/>
      <w:r>
        <w:t>5.12 Chapter Summary</w:t>
      </w:r>
      <w:bookmarkEnd w:id="62"/>
    </w:p>
    <w:p w14:paraId="4FE415D1">
      <w:pPr>
        <w:spacing w:before="240" w:after="240"/>
      </w:pPr>
      <w:r>
        <w:t xml:space="preserve">This chapter interpreted the findings of the review, and the review identified barriers across early identification, service access and implementation. Shortage of training, resources, disjointed services and lack of availability were critical issues and school-based strategies, collaboration, cultural responsiveness provision and accessible interventions all played a major role. The findings highlight areas in which UK early mental health services may require greater coordination, accessibility and resourcing. </w:t>
      </w:r>
    </w:p>
    <w:p w14:paraId="7C25E1BE">
      <w:pPr>
        <w:spacing w:before="240" w:after="240"/>
      </w:pPr>
      <w:r>
        <w:br w:type="page"/>
      </w:r>
    </w:p>
    <w:p w14:paraId="545228AA">
      <w:pPr>
        <w:pStyle w:val="2"/>
        <w:spacing w:before="240" w:after="240"/>
        <w:jc w:val="both"/>
        <w:rPr>
          <w:rFonts w:hint="default"/>
          <w:sz w:val="24"/>
          <w:szCs w:val="24"/>
          <w:lang w:val="en-US"/>
        </w:rPr>
      </w:pPr>
      <w:r>
        <w:rPr>
          <w:rFonts w:hint="default"/>
          <w:sz w:val="24"/>
          <w:szCs w:val="24"/>
          <w:lang w:val="en-US"/>
        </w:rPr>
        <w:t>CHAPTER 6: CONCLUSION AND RECOMMENDATIONS</w:t>
      </w:r>
    </w:p>
    <w:p w14:paraId="6EEED84C">
      <w:pPr>
        <w:pStyle w:val="3"/>
        <w:spacing w:before="240" w:after="240"/>
      </w:pPr>
      <w:bookmarkStart w:id="63" w:name="_Toc241231947"/>
      <w:r>
        <w:t>6.1 Conclusion</w:t>
      </w:r>
      <w:bookmarkEnd w:id="63"/>
    </w:p>
    <w:p w14:paraId="5BECD3F1">
      <w:pPr>
        <w:spacing w:before="240" w:after="240"/>
      </w:pPr>
      <w:r>
        <w:t xml:space="preserve">This study analysed the challenges facing the provision of early interventions for mental health issues among children aged 5 to 11 years, exhibiting symptoms of mental health problems in the UK, focusing on the obstacles in policy and service delivery. Four main challenges were identified such as, challenges facing early detection, challenges in accessing early interventions, challenges in service delivery, and facilitators of early interventions. The results indicate that early detection is a significant problem. Primary schools provide an important setting for identifying emerging emotional, behavioural and mental health difficulties because children spend a substantial proportion of their time in school. Although, the knowledge, training, screening resources or proper procedures that are required to recognise the difficulties faced by children at an early age may not always be available in schools. </w:t>
      </w:r>
    </w:p>
    <w:p w14:paraId="278BB9F7">
      <w:pPr>
        <w:spacing w:before="240" w:after="240"/>
      </w:pPr>
      <w:r>
        <w:t>There is also stigma and uncertainty about how to identify mental health issues, which may also contribute to delayed identification. The study also determined that when a child with an emerging difficulty is identified, it does not mean that the child will have access to an intervention on time. Lack of access to specialist services, lack of clarity of referral routes, broken service delivery and family engagement may lead to additional obstacles. Difficulties associated with trust, communication, past experiences and availability of services can also be faced by families. These obstacles indicate that access to early intervention can be affected by the availability of services as well as how the services are structured and provided.</w:t>
      </w:r>
    </w:p>
    <w:p w14:paraId="366A0469">
      <w:pPr>
        <w:spacing w:before="240" w:after="240"/>
      </w:pPr>
      <w:r>
        <w:t xml:space="preserve">An additional significant finding is that there exists a disparity between policy expectations and actual implementation. Despite the importance of early intervention and prevention as part of mental health services provided to children, schools and other front-line services can be limited in terms of workforce capacity, funding, resources and coordination. Therefore, early intervention policies are unable to have their desired effects without adequate service and organisational level support. Despite these challenges, the review identified several approaches that may strengthen early intervention. </w:t>
      </w:r>
    </w:p>
    <w:p w14:paraId="1C37F528">
      <w:pPr>
        <w:spacing w:before="240" w:after="240"/>
      </w:pPr>
      <w:r>
        <w:t xml:space="preserve">More flexible methods of access can include school-based identification, parent engagement, available interventions, family-school partnership, culturally responsive services, digital methods and comprehensive models of care, which offer more flexible paths of support. Bringing identification and intervention closer to children and families may reduce practical barriers associated with traditional specialist pathways. </w:t>
      </w:r>
    </w:p>
    <w:p w14:paraId="29C4BE2C">
      <w:pPr>
        <w:spacing w:before="240" w:after="240"/>
      </w:pPr>
      <w:r>
        <w:t>Thus, the research finds that obstacles to early mental health intervention are interrelated and demand a systemic level response. Strengthening early intervention therefore requires appropriately trained staff, adequate resources, clear referral pathways, coordinated services and meaningful family involvement to enhance early intervention of children aged 5-11 in the UK. Early intervention can thus not be considered the role of one service, as a burden on one service, but rather a collaboration between schools, families, health services, community organisations and policymakers.</w:t>
      </w:r>
    </w:p>
    <w:p w14:paraId="7BC07220">
      <w:pPr>
        <w:pStyle w:val="3"/>
        <w:spacing w:before="240" w:after="240"/>
      </w:pPr>
      <w:bookmarkStart w:id="64" w:name="_Toc241231948"/>
      <w:r>
        <w:t>6.2 Linking with Objectives</w:t>
      </w:r>
      <w:bookmarkEnd w:id="64"/>
    </w:p>
    <w:p w14:paraId="20E73528">
      <w:pPr>
        <w:spacing w:before="240" w:after="240"/>
        <w:rPr>
          <w:i/>
          <w:iCs/>
        </w:rPr>
      </w:pPr>
      <w:r>
        <w:rPr>
          <w:i/>
          <w:iCs/>
        </w:rPr>
        <w:t xml:space="preserve">Linking with first objective </w:t>
      </w:r>
    </w:p>
    <w:p w14:paraId="60EEF900">
      <w:pPr>
        <w:spacing w:before="240" w:after="240"/>
      </w:pPr>
      <w:r>
        <w:t>The objective was to examine the UK policies on early intervention. The findings indicate that early intervention is a significant component of mental health provision in children and that schools are becoming even more significant in promoting wellbeing, identifying emerging challenges and referring children to relevant support. Nevertheless, the results also indicate that the expectations of the policies are sometimes hard to meet when the frontline services lack workforce capacity or adequate resources and organisational support. Thus, the study highlights the need to make sure that the promises made in policy should be complemented by viable arrangements of implementation.</w:t>
      </w:r>
    </w:p>
    <w:p w14:paraId="4AD35B0D">
      <w:pPr>
        <w:spacing w:before="240" w:after="240"/>
      </w:pPr>
      <w:r>
        <w:rPr>
          <w:i/>
          <w:iCs/>
        </w:rPr>
        <w:t>Linking with second objective</w:t>
      </w:r>
      <w:r>
        <w:t xml:space="preserve"> </w:t>
      </w:r>
    </w:p>
    <w:p w14:paraId="2958EAB3">
      <w:pPr>
        <w:spacing w:before="240" w:after="240"/>
      </w:pPr>
      <w:r>
        <w:t>The second objective was to determine systemic and organisational barriers to access to services. This goal was to be met by identifying various interrelated barriers. These were a lack of training of the staff, lack of funding &amp; resources, lack of access to specialist services, lack of clarity in the referral pathways, fragmented provision and lack of communication and inability to reach the families. These obstacles happen on various stages of the service system and may all hinder the provision of children with timely support.</w:t>
      </w:r>
    </w:p>
    <w:p w14:paraId="53309ADC">
      <w:pPr>
        <w:spacing w:before="240" w:after="240"/>
        <w:rPr>
          <w:i/>
          <w:iCs/>
        </w:rPr>
      </w:pPr>
      <w:r>
        <w:rPr>
          <w:i/>
          <w:iCs/>
        </w:rPr>
        <w:t xml:space="preserve">Linking with third objective </w:t>
      </w:r>
    </w:p>
    <w:p w14:paraId="0AB1CEDB">
      <w:pPr>
        <w:spacing w:before="240" w:after="240"/>
      </w:pPr>
      <w:r>
        <w:t>The third objective was to learn the role of policies and barriers at the service level in access to early mental health intervention. The findings suggest that the presence of policies or services in itself is not a certain guarantee of successful access. In cases where there is a lack of identification systems, children cannot be identified at an early age. In situations where it is not clear where the children need referral support or where the specialised services are not available, then the identified children might be left behind in receiving support. Likewise, inadequate communication and lack of proper collaboration between schools, families and services can lessen engagement. It shows that accessibility is based on the whole pathway between identification and intervention and not on separate services.</w:t>
      </w:r>
    </w:p>
    <w:p w14:paraId="62594E5F">
      <w:pPr>
        <w:spacing w:before="240" w:after="240"/>
        <w:rPr>
          <w:i/>
          <w:iCs/>
        </w:rPr>
      </w:pPr>
      <w:r>
        <w:rPr>
          <w:i/>
          <w:iCs/>
        </w:rPr>
        <w:t xml:space="preserve">Linking with fourth objective </w:t>
      </w:r>
    </w:p>
    <w:p w14:paraId="17206FCD">
      <w:pPr>
        <w:spacing w:before="240" w:after="240"/>
      </w:pPr>
      <w:r>
        <w:t>The fourth objective was to offer some recommendations to enhance early mental health intervention services to children aged 5-11 years in UK. The study also found some areas to improve such as enhancing staff training, enhancing early identification methods, creating more articulate referral mechanisms, expanding service capacity, relating better education and health services, engaging families better and providing culturally responsive services. Parent-led and digital interventions that occur in schools could also offer more accessible pathways to early intervention were implemented appropriately.</w:t>
      </w:r>
    </w:p>
    <w:p w14:paraId="526DC46B">
      <w:pPr>
        <w:spacing w:before="240" w:after="240"/>
      </w:pPr>
      <w:r>
        <w:t>All four objectives have been covered together. The study has shown that better integration between the national policy, organisational resources and frontline practice are prerequisites to enhancing early mental health intervention. The results thus confirm the idea of an integrated and preventive process whereby children would be able to get the relevant support whilst the problems that arise would not escalate into more serious and chronic issues.</w:t>
      </w:r>
    </w:p>
    <w:p w14:paraId="58151882">
      <w:pPr>
        <w:pStyle w:val="3"/>
        <w:spacing w:before="240" w:after="240"/>
        <w:rPr>
          <w:b w:val="0"/>
          <w:bCs w:val="0"/>
        </w:rPr>
      </w:pPr>
      <w:bookmarkStart w:id="65" w:name="_Toc241231949"/>
      <w:r>
        <w:t>6.3 Recommendations</w:t>
      </w:r>
      <w:bookmarkEnd w:id="65"/>
    </w:p>
    <w:p w14:paraId="3C5A12B0">
      <w:pPr>
        <w:spacing w:before="240" w:after="240"/>
      </w:pPr>
      <w:r>
        <w:t>Based on the results, the following recommendations are suggested,</w:t>
      </w:r>
    </w:p>
    <w:p w14:paraId="668BAD25">
      <w:pPr>
        <w:numPr>
          <w:ilvl w:val="0"/>
          <w:numId w:val="3"/>
        </w:numPr>
        <w:pBdr>
          <w:top w:val="none" w:color="auto" w:sz="0" w:space="0"/>
          <w:left w:val="none" w:color="auto" w:sz="0" w:space="0"/>
          <w:bottom w:val="none" w:color="auto" w:sz="0" w:space="0"/>
          <w:right w:val="none" w:color="auto" w:sz="0" w:space="0"/>
          <w:between w:val="none" w:color="auto" w:sz="0" w:space="0"/>
        </w:pBdr>
        <w:spacing w:before="240"/>
      </w:pPr>
      <w:r>
        <w:t xml:space="preserve">Enhance teacher training - The staff in primary-school must be trained periodically on the ability to identify the signs of anxiety, emotional distress and behavioural problems at an early stage and how to respond (Ashu </w:t>
      </w:r>
      <w:r>
        <w:rPr>
          <w:i/>
          <w:iCs/>
        </w:rPr>
        <w:t>et al.</w:t>
      </w:r>
      <w:r>
        <w:t xml:space="preserve"> 2025).</w:t>
      </w:r>
    </w:p>
    <w:p w14:paraId="177E6206">
      <w:pPr>
        <w:numPr>
          <w:ilvl w:val="0"/>
          <w:numId w:val="3"/>
        </w:numPr>
        <w:pBdr>
          <w:top w:val="none" w:color="auto" w:sz="0" w:space="0"/>
          <w:left w:val="none" w:color="auto" w:sz="0" w:space="0"/>
          <w:bottom w:val="none" w:color="auto" w:sz="0" w:space="0"/>
          <w:right w:val="none" w:color="auto" w:sz="0" w:space="0"/>
          <w:between w:val="none" w:color="auto" w:sz="0" w:space="0"/>
        </w:pBdr>
      </w:pPr>
      <w:r>
        <w:t xml:space="preserve">Strengthen early identification - Schools are encouraged to employ consistent, age-related and multi-informant methods of screening with teachers, parents and children as appropriate (Reardon </w:t>
      </w:r>
      <w:r>
        <w:rPr>
          <w:i/>
          <w:iCs/>
        </w:rPr>
        <w:t xml:space="preserve">et al. </w:t>
      </w:r>
      <w:r>
        <w:t>2025).</w:t>
      </w:r>
    </w:p>
    <w:p w14:paraId="66834423">
      <w:pPr>
        <w:numPr>
          <w:ilvl w:val="0"/>
          <w:numId w:val="3"/>
        </w:numPr>
        <w:pBdr>
          <w:top w:val="none" w:color="auto" w:sz="0" w:space="0"/>
          <w:left w:val="none" w:color="auto" w:sz="0" w:space="0"/>
          <w:bottom w:val="none" w:color="auto" w:sz="0" w:space="0"/>
          <w:right w:val="none" w:color="auto" w:sz="0" w:space="0"/>
          <w:between w:val="none" w:color="auto" w:sz="0" w:space="0"/>
        </w:pBdr>
      </w:pPr>
      <w:r>
        <w:t>Develop clear referral pathways - Clear processes should be developed between schools and primary care, specialist mental health services and community organisations to minimise delays.</w:t>
      </w:r>
    </w:p>
    <w:p w14:paraId="54D9E940">
      <w:pPr>
        <w:numPr>
          <w:ilvl w:val="0"/>
          <w:numId w:val="3"/>
        </w:numPr>
        <w:pBdr>
          <w:top w:val="none" w:color="auto" w:sz="0" w:space="0"/>
          <w:left w:val="none" w:color="auto" w:sz="0" w:space="0"/>
          <w:bottom w:val="none" w:color="auto" w:sz="0" w:space="0"/>
          <w:right w:val="none" w:color="auto" w:sz="0" w:space="0"/>
          <w:between w:val="none" w:color="auto" w:sz="0" w:space="0"/>
        </w:pBdr>
      </w:pPr>
      <w:r>
        <w:t>Expand service capacity - The capacity of services needs to be increased sustainably by adding funding and workforce to decrease waiting time and enhance access to early support.</w:t>
      </w:r>
    </w:p>
    <w:p w14:paraId="46D623BA">
      <w:pPr>
        <w:numPr>
          <w:ilvl w:val="0"/>
          <w:numId w:val="3"/>
        </w:numPr>
        <w:pBdr>
          <w:top w:val="none" w:color="auto" w:sz="0" w:space="0"/>
          <w:left w:val="none" w:color="auto" w:sz="0" w:space="0"/>
          <w:bottom w:val="none" w:color="auto" w:sz="0" w:space="0"/>
          <w:right w:val="none" w:color="auto" w:sz="0" w:space="0"/>
          <w:between w:val="none" w:color="auto" w:sz="0" w:space="0"/>
        </w:pBdr>
      </w:pPr>
      <w:r>
        <w:t xml:space="preserve">Increase family engagement - Services are supposed to foster a spirit of trust, communication and shared decision-making between families, schools, and professionals (Williamson </w:t>
      </w:r>
      <w:r>
        <w:rPr>
          <w:i/>
          <w:iCs/>
        </w:rPr>
        <w:t>et al</w:t>
      </w:r>
      <w:r>
        <w:t>. 2022).</w:t>
      </w:r>
    </w:p>
    <w:p w14:paraId="20256A7E">
      <w:pPr>
        <w:numPr>
          <w:ilvl w:val="0"/>
          <w:numId w:val="3"/>
        </w:numPr>
        <w:pBdr>
          <w:top w:val="none" w:color="auto" w:sz="0" w:space="0"/>
          <w:left w:val="none" w:color="auto" w:sz="0" w:space="0"/>
          <w:bottom w:val="none" w:color="auto" w:sz="0" w:space="0"/>
          <w:right w:val="none" w:color="auto" w:sz="0" w:space="0"/>
          <w:between w:val="none" w:color="auto" w:sz="0" w:space="0"/>
        </w:pBdr>
      </w:pPr>
      <w:r>
        <w:t xml:space="preserve">Offer culturally responsive services - It means services must be culturally and linguistically responsive and available through trusted community contexts when it is appropriate (Rashid </w:t>
      </w:r>
      <w:r>
        <w:rPr>
          <w:i/>
          <w:iCs/>
        </w:rPr>
        <w:t xml:space="preserve">et al. </w:t>
      </w:r>
      <w:r>
        <w:t>2026).</w:t>
      </w:r>
    </w:p>
    <w:p w14:paraId="56732808">
      <w:pPr>
        <w:numPr>
          <w:ilvl w:val="0"/>
          <w:numId w:val="3"/>
        </w:numPr>
        <w:pBdr>
          <w:top w:val="none" w:color="auto" w:sz="0" w:space="0"/>
          <w:left w:val="none" w:color="auto" w:sz="0" w:space="0"/>
          <w:bottom w:val="none" w:color="auto" w:sz="0" w:space="0"/>
          <w:right w:val="none" w:color="auto" w:sz="0" w:space="0"/>
          <w:between w:val="none" w:color="auto" w:sz="0" w:space="0"/>
        </w:pBdr>
        <w:spacing w:after="240"/>
      </w:pPr>
      <w:r>
        <w:t xml:space="preserve">Expand accessible intervention options - Parent-led, school based and online interventions are to be created with the help of proper face-to-face support to offer elastic pathways to early intervention. </w:t>
      </w:r>
    </w:p>
    <w:p w14:paraId="1AD3A6F5">
      <w:pPr>
        <w:pStyle w:val="3"/>
        <w:spacing w:before="240" w:after="240"/>
        <w:rPr>
          <w:b w:val="0"/>
          <w:bCs w:val="0"/>
        </w:rPr>
      </w:pPr>
      <w:bookmarkStart w:id="66" w:name="_Toc241231950"/>
      <w:r>
        <w:t>6.4 Future Scope</w:t>
      </w:r>
      <w:bookmarkEnd w:id="66"/>
    </w:p>
    <w:p w14:paraId="44B8B5A2">
      <w:pPr>
        <w:spacing w:before="240" w:after="240"/>
      </w:pPr>
      <w:r>
        <w:t xml:space="preserve">Future studies could also look into early mental health intervention in various regions within the UK in order to investigate how barriers differ in accordance to geographical, socio-economic, school-related and service delivery aspects. Future studies should look at the experiences of children and families that have other complications in accessing services, such as disadvantaged families, culturally diverse communities, and families with social or economic problems. Much more should also be done in the way that a child themselves has been identified and intervened. Longitudinal studies might investigate whether there are long-term benefits of early intervention on the mental health, education, relationships and wellbeing of children. </w:t>
      </w:r>
    </w:p>
    <w:p w14:paraId="7D1CDD44">
      <w:pPr>
        <w:spacing w:before="240" w:after="240"/>
      </w:pPr>
      <w:r>
        <w:t>The long-term effectiveness and cost-effectiveness of school-based screening, interventions and digital techniques led by parents could also be evaluated in future studies. It can also be further researched on how national policies and their applications in local levels can be implemented. Such studies may look at the effectiveness of policy commitments in frontline practice and the identification of viable strategies to close the gap between the expectations of national policy and real service delivery. Lastly, future studies ought to look at the ways in which schools, health services, families and community organisations can create more comprehensive integrated models of early mental health support. This may help to achieve a more preventative, accessible and coordinated approach where children are helped accordingly before their problems escalate.</w:t>
      </w:r>
    </w:p>
    <w:p w14:paraId="57617C9A">
      <w:pPr>
        <w:spacing w:before="240" w:after="240"/>
      </w:pPr>
    </w:p>
    <w:p w14:paraId="51F6065F">
      <w:pPr>
        <w:spacing w:before="240" w:after="240"/>
        <w:rPr>
          <w:b/>
          <w:bCs/>
        </w:rPr>
      </w:pPr>
      <w:r>
        <w:br w:type="page"/>
      </w:r>
    </w:p>
    <w:p w14:paraId="665F4FF6">
      <w:pPr>
        <w:pStyle w:val="2"/>
        <w:spacing w:before="240" w:after="240"/>
        <w:jc w:val="both"/>
        <w:rPr>
          <w:sz w:val="24"/>
          <w:szCs w:val="24"/>
        </w:rPr>
      </w:pPr>
      <w:bookmarkStart w:id="67" w:name="_Toc241231951"/>
      <w:r>
        <w:rPr>
          <w:sz w:val="24"/>
          <w:szCs w:val="24"/>
        </w:rPr>
        <w:t>References</w:t>
      </w:r>
      <w:bookmarkEnd w:id="67"/>
      <w:r>
        <w:rPr>
          <w:sz w:val="24"/>
          <w:szCs w:val="24"/>
        </w:rPr>
        <w:t xml:space="preserve"> </w:t>
      </w:r>
    </w:p>
    <w:p w14:paraId="2FE39F59">
      <w:pPr>
        <w:spacing w:after="160"/>
        <w:ind w:left="360"/>
        <w:rPr>
          <w:u w:val="single"/>
        </w:rPr>
      </w:pPr>
      <w:r>
        <w:t>Abel, K.M., Abel, K., Whelan, P., Carter, L.A., Tranter, H., Stockton-Powdrell, C., Gutridge, K., Hassan, L., Elvins, R. and Edbrooke-Childs, J., 2025. Enhancing referrals to Child and Adolescent Mental Health Services: the EN-CAMHS mixed-methods study. Health and Social Care Delivery Research, 13(21), pp.1-59.</w:t>
      </w:r>
      <w:r>
        <w:fldChar w:fldCharType="begin"/>
      </w:r>
      <w:r>
        <w:instrText xml:space="preserve"> HYPERLINK "https://www.journalslibrary.nihr.ac.uk/hsdr/GYDW4507" \h </w:instrText>
      </w:r>
      <w:r>
        <w:fldChar w:fldCharType="separate"/>
      </w:r>
      <w:r>
        <w:t xml:space="preserve"> </w:t>
      </w:r>
      <w:r>
        <w:fldChar w:fldCharType="end"/>
      </w:r>
      <w:r>
        <w:fldChar w:fldCharType="begin"/>
      </w:r>
      <w:r>
        <w:instrText xml:space="preserve"> HYPERLINK "https://www.journalslibrary.nihr.ac.uk/hsdr/GYDW4507" \h </w:instrText>
      </w:r>
      <w:r>
        <w:fldChar w:fldCharType="separate"/>
      </w:r>
      <w:r>
        <w:rPr>
          <w:u w:val="single"/>
        </w:rPr>
        <w:t>https://www.journalslibrary.nihr.ac.uk/hsdr/GYDW4507</w:t>
      </w:r>
      <w:r>
        <w:rPr>
          <w:u w:val="single"/>
        </w:rPr>
        <w:fldChar w:fldCharType="end"/>
      </w:r>
    </w:p>
    <w:p w14:paraId="4A64E5D5">
      <w:pPr>
        <w:spacing w:before="240" w:after="240"/>
        <w:ind w:left="360"/>
      </w:pPr>
      <w:r>
        <w:t xml:space="preserve">Adindu, K.N., Ameh, E.O., Anadu, J.U., Akubue, N., Onakoya, A., Ajah, O.N., Anthony, E.B., Chukwunonye, C., Opawale, O., Ayodele10, I.M. and Okoawoh11, A.I., 2025. Early Detection and Intervention for Adolescent Mental Health Disorders: Evaluating the Effectiveness of School Mental Health Leads vs. Nhs Child and Adolescent Mental Health Services (Camhs). </w:t>
      </w:r>
      <w:r>
        <w:fldChar w:fldCharType="begin"/>
      </w:r>
      <w:r>
        <w:instrText xml:space="preserve"> HYPERLINK "http://doi.org/10.52793/JNSR.2025.5(1)-45" \h </w:instrText>
      </w:r>
      <w:r>
        <w:fldChar w:fldCharType="separate"/>
      </w:r>
      <w:r>
        <w:rPr>
          <w:u w:val="single"/>
        </w:rPr>
        <w:t>http://doi.org/10.52793/JNSR.2025.5(1)-45</w:t>
      </w:r>
      <w:r>
        <w:rPr>
          <w:u w:val="single"/>
        </w:rPr>
        <w:fldChar w:fldCharType="end"/>
      </w:r>
    </w:p>
    <w:p w14:paraId="1BD207AE">
      <w:pPr>
        <w:spacing w:after="160"/>
        <w:ind w:left="360"/>
        <w:rPr>
          <w:u w:val="single"/>
        </w:rPr>
      </w:pPr>
      <w:r>
        <w:t>Adjei, N.K., Jonsson, K.R., Straatmann, V.S., Bellavia, A., Yaya, S., McGovern, R., Kaner, E., Wolfe, I. and Taylor-Robinson, D.C., 2025. Perceived emotional support mediates the association between childhood family adversity and adolescent mental health in the UK millennium cohort. Scientific reports, 15(1), p.42730.</w:t>
      </w:r>
      <w:r>
        <w:fldChar w:fldCharType="begin"/>
      </w:r>
      <w:r>
        <w:instrText xml:space="preserve"> HYPERLINK "https://doi.org/10.1038/s41598-025-26853-w" \h </w:instrText>
      </w:r>
      <w:r>
        <w:fldChar w:fldCharType="separate"/>
      </w:r>
      <w:r>
        <w:t xml:space="preserve"> </w:t>
      </w:r>
      <w:r>
        <w:fldChar w:fldCharType="end"/>
      </w:r>
      <w:r>
        <w:fldChar w:fldCharType="begin"/>
      </w:r>
      <w:r>
        <w:instrText xml:space="preserve"> HYPERLINK "https://doi.org/10.1038/s41598-025-26853-w" \h </w:instrText>
      </w:r>
      <w:r>
        <w:fldChar w:fldCharType="separate"/>
      </w:r>
      <w:r>
        <w:rPr>
          <w:u w:val="single"/>
        </w:rPr>
        <w:t>https://doi.org/10.1038/s41598-025-26853-w</w:t>
      </w:r>
      <w:r>
        <w:rPr>
          <w:u w:val="single"/>
        </w:rPr>
        <w:fldChar w:fldCharType="end"/>
      </w:r>
    </w:p>
    <w:p w14:paraId="637D55E1">
      <w:pPr>
        <w:spacing w:before="240" w:after="240"/>
        <w:ind w:left="360"/>
      </w:pPr>
      <w:r>
        <w:t xml:space="preserve">Ahufinger, N., Aguilera, M., Guerra, E., Giberga, A., Verdaguer-Ribas, O., Balboa-Castells, R., Andreu, L., Esteve-Gibert, N. and Sanz-Torrent, M., 2025. Emotional suffering in school-aged children and adolescents with and without developmental language disorder. </w:t>
      </w:r>
      <w:r>
        <w:rPr>
          <w:i/>
          <w:iCs/>
        </w:rPr>
        <w:t>Acta Psychologica</w:t>
      </w:r>
      <w:r>
        <w:t xml:space="preserve">, </w:t>
      </w:r>
      <w:r>
        <w:rPr>
          <w:i/>
          <w:iCs/>
        </w:rPr>
        <w:t>255</w:t>
      </w:r>
      <w:r>
        <w:t xml:space="preserve">, p.104927. </w:t>
      </w:r>
      <w:r>
        <w:fldChar w:fldCharType="begin"/>
      </w:r>
      <w:r>
        <w:instrText xml:space="preserve"> HYPERLINK "https://doi.org/10.1016/j.actpsy.2025.104927" \h </w:instrText>
      </w:r>
      <w:r>
        <w:fldChar w:fldCharType="separate"/>
      </w:r>
      <w:r>
        <w:rPr>
          <w:u w:val="single"/>
        </w:rPr>
        <w:t>https://doi.org/10.1016/j.actpsy.2025.104927</w:t>
      </w:r>
      <w:r>
        <w:rPr>
          <w:u w:val="single"/>
        </w:rPr>
        <w:fldChar w:fldCharType="end"/>
      </w:r>
    </w:p>
    <w:p w14:paraId="5A54975E">
      <w:pPr>
        <w:spacing w:before="240" w:after="240"/>
        <w:ind w:left="360"/>
      </w:pPr>
      <w:r>
        <w:t xml:space="preserve">Alkhawaldeh, A., ALBashtawy, M., Rayan, A., Abdalrahim, A., Musa, A., Eshah, N., Khait, A.A., Qaddumi, J., Khraisat, O. and ALBashtawy, S.D., 2023. Application and use of Andersen’s behavioral model as theoretical framework: a systematic literature review from 2012–2021. </w:t>
      </w:r>
      <w:r>
        <w:rPr>
          <w:i/>
          <w:iCs/>
        </w:rPr>
        <w:t>Iranian journal of public health</w:t>
      </w:r>
      <w:r>
        <w:t xml:space="preserve">, </w:t>
      </w:r>
      <w:r>
        <w:rPr>
          <w:i/>
          <w:iCs/>
        </w:rPr>
        <w:t>52</w:t>
      </w:r>
      <w:r>
        <w:t xml:space="preserve">(7), p.1346. </w:t>
      </w:r>
      <w:r>
        <w:fldChar w:fldCharType="begin"/>
      </w:r>
      <w:r>
        <w:instrText xml:space="preserve"> HYPERLINK "https://doi.org/10.18502/ijph.v52i7.13236" \h </w:instrText>
      </w:r>
      <w:r>
        <w:fldChar w:fldCharType="separate"/>
      </w:r>
      <w:r>
        <w:rPr>
          <w:u w:val="single"/>
        </w:rPr>
        <w:t>https://doi.org/10.18502/ijph.v52i7.13236</w:t>
      </w:r>
      <w:r>
        <w:rPr>
          <w:u w:val="single"/>
        </w:rPr>
        <w:fldChar w:fldCharType="end"/>
      </w:r>
    </w:p>
    <w:p w14:paraId="7A3FC9EF">
      <w:pPr>
        <w:spacing w:before="240" w:after="240"/>
        <w:ind w:left="360"/>
      </w:pPr>
      <w:r>
        <w:t>Appleton, R., Barnett, P., Clarke, C., Yang, J., Begum, S., Edbrooke-Childs, J., Emptage, I., Foye, U., Griffiths, J.L., Hanson, I. and Hunt, N.C., 2025. Approaches to early intervention for common mental health problems in young people: a systematic review. BMC medicine, 23(1), p.651.</w:t>
      </w:r>
      <w:r>
        <w:fldChar w:fldCharType="begin"/>
      </w:r>
      <w:r>
        <w:instrText xml:space="preserve"> HYPERLINK "https://doi.org/10.1186/s12916-025-04438-8" \h </w:instrText>
      </w:r>
      <w:r>
        <w:fldChar w:fldCharType="separate"/>
      </w:r>
      <w:r>
        <w:rPr>
          <w:u w:val="single"/>
        </w:rPr>
        <w:t>https://doi.org/10.1186/s12916-025-04438-8</w:t>
      </w:r>
      <w:r>
        <w:rPr>
          <w:u w:val="single"/>
        </w:rPr>
        <w:fldChar w:fldCharType="end"/>
      </w:r>
      <w:r>
        <w:t xml:space="preserve"> </w:t>
      </w:r>
    </w:p>
    <w:p w14:paraId="7C32DF64">
      <w:pPr>
        <w:spacing w:before="240" w:after="240"/>
        <w:ind w:left="360"/>
      </w:pPr>
      <w:r>
        <w:t>Ashu, C.N., Hargreaves, D.S., Robinson, T., Nicholls, D. and Ram, B., 2025. “I think it is our responsibility, but not solely our responsibility”: A qualitative study exploring teachers’ perspectives on promoting mental health in Northwest London primary schools. Plos one, 20(12), p.e0336946.</w:t>
      </w:r>
      <w:r>
        <w:fldChar w:fldCharType="begin"/>
      </w:r>
      <w:r>
        <w:instrText xml:space="preserve"> HYPERLINK "https://doi.org/10.1371/journal.pone.0336946" \h </w:instrText>
      </w:r>
      <w:r>
        <w:fldChar w:fldCharType="separate"/>
      </w:r>
      <w:r>
        <w:rPr>
          <w:u w:val="single"/>
        </w:rPr>
        <w:t>https://doi.org/10.1371/journal.pone.0336946</w:t>
      </w:r>
      <w:r>
        <w:rPr>
          <w:u w:val="single"/>
        </w:rPr>
        <w:fldChar w:fldCharType="end"/>
      </w:r>
      <w:r>
        <w:t xml:space="preserve">  </w:t>
      </w:r>
    </w:p>
    <w:p w14:paraId="46B0EC0D">
      <w:pPr>
        <w:spacing w:after="160"/>
        <w:ind w:left="360"/>
        <w:rPr>
          <w:u w:val="single"/>
        </w:rPr>
      </w:pPr>
      <w:r>
        <w:t>Ashworth, E., Bray, L., Hanlon, C., Stanway, H., Pavlopoulou, G., Moore, D., Donaghy, B., Coen, E. and Firth, E., 2025. ‘Accumulating harm and waiting for crisis’: Parents’ perspectives of accessing Child and Adolescent Mental Health Services for their autistic child experiencing mental health difficulties. Autism, 29(8), pp.2111-2122.</w:t>
      </w:r>
      <w:r>
        <w:fldChar w:fldCharType="begin"/>
      </w:r>
      <w:r>
        <w:instrText xml:space="preserve"> HYPERLINK "https://doi.org/10.1177/13623613251335715" \h </w:instrText>
      </w:r>
      <w:r>
        <w:fldChar w:fldCharType="separate"/>
      </w:r>
      <w:r>
        <w:t xml:space="preserve"> </w:t>
      </w:r>
      <w:r>
        <w:fldChar w:fldCharType="end"/>
      </w:r>
      <w:r>
        <w:fldChar w:fldCharType="begin"/>
      </w:r>
      <w:r>
        <w:instrText xml:space="preserve"> HYPERLINK "https://doi.org/10.1177/13623613251335715" \h </w:instrText>
      </w:r>
      <w:r>
        <w:fldChar w:fldCharType="separate"/>
      </w:r>
      <w:r>
        <w:rPr>
          <w:u w:val="single"/>
        </w:rPr>
        <w:t>https://doi.org/10.1177/13623613251335715</w:t>
      </w:r>
      <w:r>
        <w:rPr>
          <w:u w:val="single"/>
        </w:rPr>
        <w:fldChar w:fldCharType="end"/>
      </w:r>
    </w:p>
    <w:p w14:paraId="0C5C77C8">
      <w:pPr>
        <w:spacing w:after="160"/>
        <w:ind w:left="360"/>
        <w:rPr>
          <w:u w:val="single"/>
        </w:rPr>
      </w:pPr>
      <w:r>
        <w:t>Avery, M., Kirk, S., Pryjmachuk, S., Lee, W. and Welsh, K., 2026. Paediatric mental health liaison services in England: findings from a national survey. BMC Health Services Research, 26(1), p.453.</w:t>
      </w:r>
      <w:r>
        <w:fldChar w:fldCharType="begin"/>
      </w:r>
      <w:r>
        <w:instrText xml:space="preserve"> HYPERLINK "https://doi.org/10.1186/s12913-026-14206-w" \h </w:instrText>
      </w:r>
      <w:r>
        <w:fldChar w:fldCharType="separate"/>
      </w:r>
      <w:r>
        <w:t xml:space="preserve"> </w:t>
      </w:r>
      <w:r>
        <w:fldChar w:fldCharType="end"/>
      </w:r>
      <w:r>
        <w:fldChar w:fldCharType="begin"/>
      </w:r>
      <w:r>
        <w:instrText xml:space="preserve"> HYPERLINK "https://doi.org/10.1186/s12913-026-14206-w" \h </w:instrText>
      </w:r>
      <w:r>
        <w:fldChar w:fldCharType="separate"/>
      </w:r>
      <w:r>
        <w:rPr>
          <w:u w:val="single"/>
        </w:rPr>
        <w:t>https://doi.org/10.1186/s12913-026-14206-w</w:t>
      </w:r>
      <w:r>
        <w:rPr>
          <w:u w:val="single"/>
        </w:rPr>
        <w:fldChar w:fldCharType="end"/>
      </w:r>
    </w:p>
    <w:p w14:paraId="526BEAF4">
      <w:pPr>
        <w:spacing w:before="240" w:after="240"/>
        <w:ind w:left="360"/>
      </w:pPr>
      <w:r>
        <w:t>Axford, N., Bjornstad, G., Matthews, J., Whybra, L., Berry, V., Ukoumunne, O.C., Hobbs, T., Wrigley, Z., Brook, L., Taylor, R. and Eames, T., 2021. The effectiveness of a community-based mentoring program for children aged 5–11 years: Results from a randomized controlled trial. Prevention Science, 22(1), pp.100-112.</w:t>
      </w:r>
      <w:r>
        <w:fldChar w:fldCharType="begin"/>
      </w:r>
      <w:r>
        <w:instrText xml:space="preserve"> HYPERLINK "https://doi.org/10.1007/s11121-020-01132-4" \h </w:instrText>
      </w:r>
      <w:r>
        <w:fldChar w:fldCharType="separate"/>
      </w:r>
      <w:r>
        <w:rPr>
          <w:u w:val="single"/>
        </w:rPr>
        <w:t>https://doi.org/10.1007/s11121-020-01132-4</w:t>
      </w:r>
      <w:r>
        <w:rPr>
          <w:u w:val="single"/>
        </w:rPr>
        <w:fldChar w:fldCharType="end"/>
      </w:r>
      <w:r>
        <w:t xml:space="preserve">  </w:t>
      </w:r>
    </w:p>
    <w:p w14:paraId="11216E6E">
      <w:pPr>
        <w:spacing w:before="240" w:after="240"/>
        <w:ind w:left="360"/>
      </w:pPr>
      <w:r>
        <w:t xml:space="preserve">Bennett, S.D., Cross, J.H., Chowdhury, K., Ford, T., Heyman, I., Coughtrey, A.E., Dalrymple, E., Byford, S., Chorpita, B., Fonagy, P. and Moss-Morris, R., 2024. Clinical effectiveness of the psychological therapy Mental Health Intervention for Children with Epilepsy in addition to usual care compared with assessment-enhanced usual care alone: a multicentre, randomised controlled clinical trial in the UK. The Lancet, 403(10433), pp.1254-1266. </w:t>
      </w:r>
      <w:r>
        <w:fldChar w:fldCharType="begin"/>
      </w:r>
      <w:r>
        <w:instrText xml:space="preserve"> HYPERLINK "https://www.thelancet.com/pdfs/journals/lancet/PIIS0140-6736(23)02791-5.pdf" \h </w:instrText>
      </w:r>
      <w:r>
        <w:fldChar w:fldCharType="separate"/>
      </w:r>
      <w:r>
        <w:rPr>
          <w:u w:val="single"/>
        </w:rPr>
        <w:t>https://www.thelancet.com/pdfs/journals/lancet/PIIS0140-6736(23)02791-5.pdf</w:t>
      </w:r>
      <w:r>
        <w:rPr>
          <w:u w:val="single"/>
        </w:rPr>
        <w:fldChar w:fldCharType="end"/>
      </w:r>
      <w:r>
        <w:t xml:space="preserve"> </w:t>
      </w:r>
    </w:p>
    <w:p w14:paraId="4A9638FE">
      <w:pPr>
        <w:ind w:left="360"/>
      </w:pPr>
      <w:r>
        <w:t xml:space="preserve">Brandt, L., Liu, S., Heim, C. and Heinz, A., 2022. The effects of social isolation stress and discrimination on mental health. </w:t>
      </w:r>
      <w:r>
        <w:rPr>
          <w:i/>
          <w:iCs/>
        </w:rPr>
        <w:t>Translational psychiatry</w:t>
      </w:r>
      <w:r>
        <w:t xml:space="preserve">, </w:t>
      </w:r>
      <w:r>
        <w:rPr>
          <w:i/>
          <w:iCs/>
        </w:rPr>
        <w:t>12</w:t>
      </w:r>
      <w:r>
        <w:t xml:space="preserve">(1), p.398.  </w:t>
      </w:r>
      <w:r>
        <w:fldChar w:fldCharType="begin"/>
      </w:r>
      <w:r>
        <w:instrText xml:space="preserve"> HYPERLINK "https://doi.org/10.1038/s41398-022-02178-4" \h </w:instrText>
      </w:r>
      <w:r>
        <w:fldChar w:fldCharType="separate"/>
      </w:r>
      <w:r>
        <w:rPr>
          <w:u w:val="single"/>
        </w:rPr>
        <w:t>https://doi.org/10.1038/s41398-022-02178-4</w:t>
      </w:r>
      <w:r>
        <w:rPr>
          <w:u w:val="single"/>
        </w:rPr>
        <w:fldChar w:fldCharType="end"/>
      </w:r>
      <w:r>
        <w:t xml:space="preserve"> </w:t>
      </w:r>
    </w:p>
    <w:p w14:paraId="0015499C">
      <w:pPr>
        <w:spacing w:before="240" w:after="240"/>
        <w:ind w:left="360"/>
      </w:pPr>
      <w:r>
        <w:t xml:space="preserve">Cabrera, D. and Cabrera, L.L., 2023. The steps to doing a systems literature review (SLR). </w:t>
      </w:r>
      <w:r>
        <w:rPr>
          <w:i/>
          <w:iCs/>
        </w:rPr>
        <w:t>Journal of Systems Thinking Preprints</w:t>
      </w:r>
      <w:r>
        <w:t xml:space="preserve">. DOI: </w:t>
      </w:r>
      <w:r>
        <w:fldChar w:fldCharType="begin"/>
      </w:r>
      <w:r>
        <w:instrText xml:space="preserve"> HYPERLINK "https://www.scienceopen.com/document/read?vid=9df9896c-6ded-4b5a-8933-ff6af748328b" \h </w:instrText>
      </w:r>
      <w:r>
        <w:fldChar w:fldCharType="separate"/>
      </w:r>
      <w:r>
        <w:rPr>
          <w:u w:val="single"/>
        </w:rPr>
        <w:t>10.54120/jost.pr000019.v1</w:t>
      </w:r>
      <w:r>
        <w:rPr>
          <w:u w:val="single"/>
        </w:rPr>
        <w:fldChar w:fldCharType="end"/>
      </w:r>
    </w:p>
    <w:p w14:paraId="4BB59746">
      <w:pPr>
        <w:spacing w:before="240" w:after="240"/>
        <w:ind w:left="360"/>
      </w:pPr>
      <w:r>
        <w:t xml:space="preserve">Charles, A., Ewbank, L., McKenna, H. and Wenzel, L., 2019. </w:t>
      </w:r>
      <w:r>
        <w:rPr>
          <w:i/>
          <w:iCs/>
        </w:rPr>
        <w:t>The NHS long-term plan explained</w:t>
      </w:r>
      <w:r>
        <w:t xml:space="preserve">. [online] </w:t>
      </w:r>
      <w:r>
        <w:rPr>
          <w:i/>
          <w:iCs/>
        </w:rPr>
        <w:t>The King’s Fund</w:t>
      </w:r>
      <w:r>
        <w:t xml:space="preserve">. Available at: </w:t>
      </w:r>
      <w:r>
        <w:fldChar w:fldCharType="begin"/>
      </w:r>
      <w:r>
        <w:instrText xml:space="preserve"> HYPERLINK "https://www.kingsfund.org.uk/insight-and-analysis/long-reads/nhs-long-term-plan-explained" \h </w:instrText>
      </w:r>
      <w:r>
        <w:fldChar w:fldCharType="separate"/>
      </w:r>
      <w:r>
        <w:rPr>
          <w:u w:val="single"/>
        </w:rPr>
        <w:t>https://www.kingsfund.org.uk/insight-and-analysis/long-reads/nhs-long-term-plan-explained</w:t>
      </w:r>
      <w:r>
        <w:rPr>
          <w:u w:val="single"/>
        </w:rPr>
        <w:fldChar w:fldCharType="end"/>
      </w:r>
    </w:p>
    <w:p w14:paraId="10793BB7">
      <w:pPr>
        <w:spacing w:before="240" w:after="240"/>
        <w:ind w:left="360"/>
      </w:pPr>
      <w:r>
        <w:t xml:space="preserve">Childrenscommissioner.gov.uk., 2024. Available at: </w:t>
      </w:r>
      <w:r>
        <w:fldChar w:fldCharType="begin"/>
      </w:r>
      <w:r>
        <w:instrText xml:space="preserve"> HYPERLINK "https://assets.childrenscommissioner.gov.uk/wpuploads/2024/03/Childrens-mental-health-services-22-23_CCo-final-report.pdf" \h </w:instrText>
      </w:r>
      <w:r>
        <w:fldChar w:fldCharType="separate"/>
      </w:r>
      <w:r>
        <w:rPr>
          <w:u w:val="single"/>
        </w:rPr>
        <w:t>https://assets.childrenscommissioner.gov.uk/wpuploads/2024/03/Childrens-mental-health-services-22-23_CCo-final-report.pdf</w:t>
      </w:r>
      <w:r>
        <w:rPr>
          <w:u w:val="single"/>
        </w:rPr>
        <w:fldChar w:fldCharType="end"/>
      </w:r>
    </w:p>
    <w:p w14:paraId="15F49015">
      <w:pPr>
        <w:spacing w:before="240" w:after="240"/>
        <w:ind w:left="360"/>
      </w:pPr>
      <w:r>
        <w:t>Childs-Fegredo, J., Burn, A.M., Duschinsky, R., Humphrey, A., Ford, T., Jones, P.B. and Howarth, E., 2021. Acceptability and feasibility of early identification of mental health difficulties in primary schools: A qualitative exploration of UK school staff and parents’ perceptions. School Mental Health, 13(1), pp.143-159.</w:t>
      </w:r>
      <w:r>
        <w:fldChar w:fldCharType="begin"/>
      </w:r>
      <w:r>
        <w:instrText xml:space="preserve"> HYPERLINK "https://doi.org/10.1007/s12310-020-09398-3" \h </w:instrText>
      </w:r>
      <w:r>
        <w:fldChar w:fldCharType="separate"/>
      </w:r>
      <w:r>
        <w:rPr>
          <w:u w:val="single"/>
        </w:rPr>
        <w:t>https://doi.org/10.1007/s12310-020-09398-3</w:t>
      </w:r>
      <w:r>
        <w:rPr>
          <w:u w:val="single"/>
        </w:rPr>
        <w:fldChar w:fldCharType="end"/>
      </w:r>
      <w:r>
        <w:t xml:space="preserve"> </w:t>
      </w:r>
    </w:p>
    <w:p w14:paraId="62483CBC">
      <w:pPr>
        <w:ind w:left="360"/>
      </w:pPr>
      <w:r>
        <w:t xml:space="preserve">Christou, A.I. and Bacopoulou, F., 2025. Emotion and feeling in parent–child dyads: Neurocognitive and psychophysiological pathways of development. </w:t>
      </w:r>
      <w:r>
        <w:rPr>
          <w:i/>
          <w:iCs/>
        </w:rPr>
        <w:t>Children</w:t>
      </w:r>
      <w:r>
        <w:t xml:space="preserve">, </w:t>
      </w:r>
      <w:r>
        <w:rPr>
          <w:i/>
          <w:iCs/>
        </w:rPr>
        <w:t>12</w:t>
      </w:r>
      <w:r>
        <w:t xml:space="preserve">(11), p.1478. </w:t>
      </w:r>
      <w:r>
        <w:fldChar w:fldCharType="begin"/>
      </w:r>
      <w:r>
        <w:instrText xml:space="preserve"> HYPERLINK "https://doi.org/10.3390/children12111478" \h </w:instrText>
      </w:r>
      <w:r>
        <w:fldChar w:fldCharType="separate"/>
      </w:r>
      <w:r>
        <w:rPr>
          <w:u w:val="single"/>
        </w:rPr>
        <w:t>https://doi.org/10.3390/children12111478</w:t>
      </w:r>
      <w:r>
        <w:rPr>
          <w:u w:val="single"/>
        </w:rPr>
        <w:fldChar w:fldCharType="end"/>
      </w:r>
      <w:r>
        <w:t xml:space="preserve"> </w:t>
      </w:r>
    </w:p>
    <w:p w14:paraId="084EE09A">
      <w:pPr>
        <w:spacing w:before="240" w:after="240"/>
        <w:ind w:left="360"/>
      </w:pPr>
      <w:r>
        <w:t xml:space="preserve">Cleaver, K., Maras, P., Oram, C. and McCallum, K., 2019. A review of UK based multi-agency approaches to early intervention in domestic abuse: Lessons to be learnt from Existing evaluation studies. </w:t>
      </w:r>
      <w:r>
        <w:rPr>
          <w:i/>
          <w:iCs/>
        </w:rPr>
        <w:t>Aggression and violent behavior</w:t>
      </w:r>
      <w:r>
        <w:t xml:space="preserve">, [online] 46(46), pp.140–155.  </w:t>
      </w:r>
      <w:r>
        <w:fldChar w:fldCharType="begin"/>
      </w:r>
      <w:r>
        <w:instrText xml:space="preserve"> HYPERLINK "https://doi.org/10.1016/j.avb.2019.02.005" \h </w:instrText>
      </w:r>
      <w:r>
        <w:fldChar w:fldCharType="separate"/>
      </w:r>
      <w:r>
        <w:rPr>
          <w:u w:val="single"/>
        </w:rPr>
        <w:t>https://doi.org/10.1016/j.avb.2019.02.005</w:t>
      </w:r>
      <w:r>
        <w:rPr>
          <w:u w:val="single"/>
        </w:rPr>
        <w:fldChar w:fldCharType="end"/>
      </w:r>
    </w:p>
    <w:p w14:paraId="550B216D">
      <w:pPr>
        <w:spacing w:before="240" w:after="240"/>
        <w:ind w:left="360"/>
      </w:pPr>
      <w:r>
        <w:t xml:space="preserve">Coulter, S., Mooney, S., MacDonald, M. and Daly, L., 2022. ‘They shouldn’t have to ask’: Exploring the need for specialist mental health services for care-experienced and adopted children and their families. </w:t>
      </w:r>
      <w:r>
        <w:rPr>
          <w:i/>
          <w:iCs/>
        </w:rPr>
        <w:t>Adoption &amp; Fostering</w:t>
      </w:r>
      <w:r>
        <w:t xml:space="preserve">, </w:t>
      </w:r>
      <w:r>
        <w:rPr>
          <w:i/>
          <w:iCs/>
        </w:rPr>
        <w:t>46</w:t>
      </w:r>
      <w:r>
        <w:t xml:space="preserve">(2), pp.166-183. </w:t>
      </w:r>
      <w:r>
        <w:fldChar w:fldCharType="begin"/>
      </w:r>
      <w:r>
        <w:instrText xml:space="preserve"> HYPERLINK "https://doi.org/10.1177/03085759221094357" \h </w:instrText>
      </w:r>
      <w:r>
        <w:fldChar w:fldCharType="separate"/>
      </w:r>
      <w:r>
        <w:rPr>
          <w:u w:val="single"/>
        </w:rPr>
        <w:t>https://doi.org/10.1177/03085759221094357</w:t>
      </w:r>
      <w:r>
        <w:rPr>
          <w:u w:val="single"/>
        </w:rPr>
        <w:fldChar w:fldCharType="end"/>
      </w:r>
    </w:p>
    <w:p w14:paraId="270E3641">
      <w:pPr>
        <w:spacing w:before="240" w:after="240"/>
        <w:ind w:left="360"/>
      </w:pPr>
      <w:r>
        <w:t xml:space="preserve">Davies, S.M., Jardine, J., Gutridge, K., Bernard, Z., Park, S., Dawson, T., Abel, K.M. and Whelan, P., 2021. Preventive digital mental health for children in primary schools: acceptability and feasibility study. JMIR Formative Research, 5(12), p.e30668. </w:t>
      </w:r>
      <w:r>
        <w:fldChar w:fldCharType="begin"/>
      </w:r>
      <w:r>
        <w:instrText xml:space="preserve"> HYPERLINK "https://doi.org/10.2196/30668" \h </w:instrText>
      </w:r>
      <w:r>
        <w:fldChar w:fldCharType="separate"/>
      </w:r>
      <w:r>
        <w:rPr>
          <w:u w:val="single"/>
        </w:rPr>
        <w:t>https://doi.org/10.2196/30668</w:t>
      </w:r>
      <w:r>
        <w:rPr>
          <w:u w:val="single"/>
        </w:rPr>
        <w:fldChar w:fldCharType="end"/>
      </w:r>
      <w:r>
        <w:t xml:space="preserve">  </w:t>
      </w:r>
    </w:p>
    <w:p w14:paraId="6744256A">
      <w:pPr>
        <w:ind w:left="360"/>
      </w:pPr>
      <w:r>
        <w:t xml:space="preserve">Deguen, S., Amuzu, M., Simoncic, V. and Kihal-Talantikite, W., 2022. Exposome and social vulnerability: an overview of the literature review. </w:t>
      </w:r>
      <w:r>
        <w:rPr>
          <w:i/>
          <w:iCs/>
        </w:rPr>
        <w:t>International journal of environmental research and public health</w:t>
      </w:r>
      <w:r>
        <w:t xml:space="preserve">, </w:t>
      </w:r>
      <w:r>
        <w:rPr>
          <w:i/>
          <w:iCs/>
        </w:rPr>
        <w:t>19</w:t>
      </w:r>
      <w:r>
        <w:t xml:space="preserve">(6), p.3534. </w:t>
      </w:r>
      <w:r>
        <w:fldChar w:fldCharType="begin"/>
      </w:r>
      <w:r>
        <w:instrText xml:space="preserve"> HYPERLINK "https://doi.org/10.3390/ijerph19063534" \h </w:instrText>
      </w:r>
      <w:r>
        <w:fldChar w:fldCharType="separate"/>
      </w:r>
      <w:r>
        <w:rPr>
          <w:u w:val="single"/>
        </w:rPr>
        <w:t>https://doi.org/10.3390/ijerph19063534</w:t>
      </w:r>
      <w:r>
        <w:rPr>
          <w:u w:val="single"/>
        </w:rPr>
        <w:fldChar w:fldCharType="end"/>
      </w:r>
      <w:r>
        <w:t xml:space="preserve"> </w:t>
      </w:r>
    </w:p>
    <w:p w14:paraId="3C5C507D">
      <w:pPr>
        <w:spacing w:before="240" w:after="240"/>
        <w:ind w:left="360"/>
      </w:pPr>
      <w:r>
        <w:t>Dolton, A., Adams, S. and O’Reilly, M., 2020. In the child’s voice: The experiences of primary school children with social, emotional and mental health difficulties. Clinical child psychology and psychiatry, 25(2), pp.419-434.</w:t>
      </w:r>
      <w:r>
        <w:fldChar w:fldCharType="begin"/>
      </w:r>
      <w:r>
        <w:instrText xml:space="preserve"> HYPERLINK "https://figshare.le.ac.uk/articles/journal_contribution/In_the_Child_s_Voice_The_Experiences_of_Primary_School_Children_with_Social_Emotional_and_Mental_Health_Difficulties_/10207316/1/files/18401024.pdf" \h </w:instrText>
      </w:r>
      <w:r>
        <w:fldChar w:fldCharType="separate"/>
      </w:r>
      <w:r>
        <w:rPr>
          <w:u w:val="single"/>
        </w:rPr>
        <w:t>https://figshare.le.ac.uk/articles/journal_contribution/In_the_Child_s_Voice_The_Experiences_of_Primary_School_Children_with_Social_Emotional_and_Mental_Health_Difficulties_/10207316/1/files/18401024.pdf</w:t>
      </w:r>
      <w:r>
        <w:rPr>
          <w:u w:val="single"/>
        </w:rPr>
        <w:fldChar w:fldCharType="end"/>
      </w:r>
      <w:r>
        <w:t xml:space="preserve">   </w:t>
      </w:r>
    </w:p>
    <w:p w14:paraId="3C88A45A">
      <w:pPr>
        <w:ind w:left="360"/>
      </w:pPr>
      <w:r>
        <w:t xml:space="preserve">Donaldson, C., Moore, G. and Hawkins, J., 2023. A systematic review of school transition interventions to improve mental health and wellbeing outcomes in children and young people. </w:t>
      </w:r>
      <w:r>
        <w:rPr>
          <w:i/>
          <w:iCs/>
        </w:rPr>
        <w:t>School Mental Health</w:t>
      </w:r>
      <w:r>
        <w:t xml:space="preserve">, </w:t>
      </w:r>
      <w:r>
        <w:rPr>
          <w:i/>
          <w:iCs/>
        </w:rPr>
        <w:t>15</w:t>
      </w:r>
      <w:r>
        <w:t xml:space="preserve">(1), pp.19-35. </w:t>
      </w:r>
      <w:r>
        <w:fldChar w:fldCharType="begin"/>
      </w:r>
      <w:r>
        <w:instrText xml:space="preserve"> HYPERLINK "https://doi.org/10.1007/s12310-022-09539-w" \h </w:instrText>
      </w:r>
      <w:r>
        <w:fldChar w:fldCharType="separate"/>
      </w:r>
      <w:r>
        <w:rPr>
          <w:u w:val="single"/>
        </w:rPr>
        <w:t>https://doi.org/10.1007/s12310-022-09539-w</w:t>
      </w:r>
      <w:r>
        <w:rPr>
          <w:u w:val="single"/>
        </w:rPr>
        <w:fldChar w:fldCharType="end"/>
      </w:r>
      <w:r>
        <w:t xml:space="preserve"> </w:t>
      </w:r>
    </w:p>
    <w:p w14:paraId="6115DB79">
      <w:pPr>
        <w:spacing w:before="240" w:after="240"/>
        <w:ind w:left="360"/>
      </w:pPr>
      <w:r>
        <w:t>Edbrooke-Childs, J. and Deighton, J., 2020. Problem severity and waiting times for young people accessing mental health services. BJPsych open, 6(6), p.e118.</w:t>
      </w:r>
      <w:r>
        <w:fldChar w:fldCharType="begin"/>
      </w:r>
      <w:r>
        <w:instrText xml:space="preserve"> HYPERLINK "https://doi.org/10.1192/bjo.2020.103" \h </w:instrText>
      </w:r>
      <w:r>
        <w:fldChar w:fldCharType="separate"/>
      </w:r>
      <w:r>
        <w:rPr>
          <w:u w:val="single"/>
        </w:rPr>
        <w:t>https://doi.org/10.1192/bjo.2020.103</w:t>
      </w:r>
      <w:r>
        <w:rPr>
          <w:u w:val="single"/>
        </w:rPr>
        <w:fldChar w:fldCharType="end"/>
      </w:r>
    </w:p>
    <w:p w14:paraId="1E919570">
      <w:pPr>
        <w:ind w:left="360"/>
      </w:pPr>
      <w:r>
        <w:t xml:space="preserve">Edwards, D., Carrier, J., Csontos, J., Evans, N., Elliott, M., Gillen, E., Hannigan, B., Lane, R. and Williams, L., 2024. Crisis responses for children and young people–a systematic review of effectiveness, experiences and service organisation (CAMH‐Crisis). </w:t>
      </w:r>
      <w:r>
        <w:rPr>
          <w:i/>
          <w:iCs/>
        </w:rPr>
        <w:t>Child and Adolescent Mental Health</w:t>
      </w:r>
      <w:r>
        <w:t xml:space="preserve">, </w:t>
      </w:r>
      <w:r>
        <w:rPr>
          <w:i/>
          <w:iCs/>
        </w:rPr>
        <w:t>29</w:t>
      </w:r>
      <w:r>
        <w:t>(1), pp.70-83. doi:</w:t>
      </w:r>
      <w:r>
        <w:fldChar w:fldCharType="begin"/>
      </w:r>
      <w:r>
        <w:instrText xml:space="preserve"> HYPERLINK "https://acamh.onlinelibrary.wiley.com/doi/abs/10.1111/camh.12639" \h </w:instrText>
      </w:r>
      <w:r>
        <w:fldChar w:fldCharType="separate"/>
      </w:r>
      <w:r>
        <w:rPr>
          <w:u w:val="single"/>
        </w:rPr>
        <w:t>10.1111/camh.12639</w:t>
      </w:r>
      <w:r>
        <w:rPr>
          <w:u w:val="single"/>
        </w:rPr>
        <w:fldChar w:fldCharType="end"/>
      </w:r>
    </w:p>
    <w:p w14:paraId="521EB36B">
      <w:pPr>
        <w:spacing w:before="240" w:after="240"/>
        <w:ind w:left="360"/>
      </w:pPr>
      <w:r>
        <w:t xml:space="preserve">Ellins, J., Hocking, L., Al-Haboubi, M., Newbould, J., Fenton, S.-J., Daniel, K., Stockwell, S., Leach, B., Sidhu, M., Bousfield, J., McKenna, G., Saunders, K., Stephen O’Neill and Mays, N., 2023. </w:t>
      </w:r>
      <w:r>
        <w:rPr>
          <w:i/>
          <w:iCs/>
        </w:rPr>
        <w:t>Mental health support team operating principles</w:t>
      </w:r>
      <w:r>
        <w:t xml:space="preserve">. [online] Ncbibooks. Available at: </w:t>
      </w:r>
      <w:r>
        <w:fldChar w:fldCharType="begin"/>
      </w:r>
      <w:r>
        <w:instrText xml:space="preserve"> HYPERLINK "https://www.ncbi.nlm.nih.gov/books/nbk593267/" \h </w:instrText>
      </w:r>
      <w:r>
        <w:fldChar w:fldCharType="separate"/>
      </w:r>
      <w:r>
        <w:rPr>
          <w:u w:val="single"/>
        </w:rPr>
        <w:t>https://www.ncbi.nlm.nih.gov/books/nbk593267/</w:t>
      </w:r>
      <w:r>
        <w:rPr>
          <w:u w:val="single"/>
        </w:rPr>
        <w:fldChar w:fldCharType="end"/>
      </w:r>
    </w:p>
    <w:p w14:paraId="7ED5DF84">
      <w:pPr>
        <w:spacing w:before="240" w:after="240"/>
        <w:ind w:left="360"/>
      </w:pPr>
      <w:r>
        <w:t xml:space="preserve">Fazel, M. and Soneson, E., 2023. Current evidence and opportunities in child and adolescent public mental health: a research review. </w:t>
      </w:r>
      <w:r>
        <w:rPr>
          <w:i/>
          <w:iCs/>
        </w:rPr>
        <w:t>Journal of Child Psychology and Psychiatry</w:t>
      </w:r>
      <w:r>
        <w:t xml:space="preserve">, </w:t>
      </w:r>
      <w:r>
        <w:rPr>
          <w:i/>
          <w:iCs/>
        </w:rPr>
        <w:t>64</w:t>
      </w:r>
      <w:r>
        <w:t>(12), pp.1699-1719. doi:</w:t>
      </w:r>
      <w:r>
        <w:fldChar w:fldCharType="begin"/>
      </w:r>
      <w:r>
        <w:instrText xml:space="preserve"> HYPERLINK "https://acamh.onlinelibrary.wiley.com/doi/abs/10.1111/jcpp.13889" \h </w:instrText>
      </w:r>
      <w:r>
        <w:fldChar w:fldCharType="separate"/>
      </w:r>
      <w:r>
        <w:rPr>
          <w:u w:val="single"/>
        </w:rPr>
        <w:t>10.1111/jcpp.13889</w:t>
      </w:r>
      <w:r>
        <w:rPr>
          <w:u w:val="single"/>
        </w:rPr>
        <w:fldChar w:fldCharType="end"/>
      </w:r>
    </w:p>
    <w:p w14:paraId="6DECCE60">
      <w:pPr>
        <w:spacing w:before="240" w:after="240"/>
        <w:ind w:left="360"/>
      </w:pPr>
      <w:r>
        <w:t>Finning, K., White, J., Toth, K., Golden, S., Melendez-Torres, G.J. and Ford, T., 2022. Longer-term effects of school-based counselling in UK primary schools. European Child &amp; Adolescent Psychiatry, 31(10), pp.1591-1599.</w:t>
      </w:r>
      <w:r>
        <w:fldChar w:fldCharType="begin"/>
      </w:r>
      <w:r>
        <w:instrText xml:space="preserve"> HYPERLINK "https://doi.org/10.1007/s00787-021-01802-w" \h </w:instrText>
      </w:r>
      <w:r>
        <w:fldChar w:fldCharType="separate"/>
      </w:r>
      <w:r>
        <w:rPr>
          <w:u w:val="single"/>
        </w:rPr>
        <w:t>https://doi.org/10.1007/s00787-021-01802-w</w:t>
      </w:r>
      <w:r>
        <w:rPr>
          <w:u w:val="single"/>
        </w:rPr>
        <w:fldChar w:fldCharType="end"/>
      </w:r>
      <w:r>
        <w:t xml:space="preserve"> </w:t>
      </w:r>
    </w:p>
    <w:p w14:paraId="30B629CB">
      <w:pPr>
        <w:spacing w:before="240" w:after="240"/>
        <w:ind w:left="360"/>
      </w:pPr>
      <w:r>
        <w:t xml:space="preserve">Ganesha, H.R. and Aithal, P.S., 2022. How to choose an appropriate research data collection method and method choice among various research data collection methods and method choices during Ph. D. program in India. </w:t>
      </w:r>
      <w:r>
        <w:rPr>
          <w:i/>
          <w:iCs/>
        </w:rPr>
        <w:t>International Journal of Management, Technology, and Social Sciences</w:t>
      </w:r>
      <w:r>
        <w:t xml:space="preserve">, </w:t>
      </w:r>
      <w:r>
        <w:rPr>
          <w:i/>
          <w:iCs/>
        </w:rPr>
        <w:t>7</w:t>
      </w:r>
      <w:r>
        <w:t xml:space="preserve">(2), pp.455-489. </w:t>
      </w:r>
      <w:r>
        <w:fldChar w:fldCharType="begin"/>
      </w:r>
      <w:r>
        <w:instrText xml:space="preserve"> HYPERLINK "https://doi.org/10.5281/zenodo.7277944" \h </w:instrText>
      </w:r>
      <w:r>
        <w:fldChar w:fldCharType="separate"/>
      </w:r>
      <w:r>
        <w:rPr>
          <w:u w:val="single"/>
        </w:rPr>
        <w:t>https://doi.org/10.5281/zenodo.7277944</w:t>
      </w:r>
      <w:r>
        <w:rPr>
          <w:u w:val="single"/>
        </w:rPr>
        <w:fldChar w:fldCharType="end"/>
      </w:r>
      <w:r>
        <w:t xml:space="preserve"> </w:t>
      </w:r>
    </w:p>
    <w:p w14:paraId="576E2065">
      <w:pPr>
        <w:spacing w:before="240" w:after="240"/>
        <w:ind w:left="360"/>
      </w:pPr>
      <w:r>
        <w:t>Green, I., Reardon, T., Button, R., Williamson, V., Halliday, G., Hill, C., Larkin, M., Sniehotta, F.F., Ukoumunne, O.C., Ford, T. and Spence, S.H., 2023. Increasing access to evidence‐based treatment for child anxiety problems: online parent‐led CBT for children identified via schools. Child and Adolescent Mental Health, 28(1), pp.42-51.doi:</w:t>
      </w:r>
      <w:r>
        <w:fldChar w:fldCharType="begin"/>
      </w:r>
      <w:r>
        <w:instrText xml:space="preserve"> HYPERLINK "https://acamh.onlinelibrary.wiley.com/doi/10.1111/camh.12612" \h </w:instrText>
      </w:r>
      <w:r>
        <w:fldChar w:fldCharType="separate"/>
      </w:r>
      <w:r>
        <w:rPr>
          <w:u w:val="single"/>
        </w:rPr>
        <w:t>10.1111/camh.12612</w:t>
      </w:r>
      <w:r>
        <w:rPr>
          <w:u w:val="single"/>
        </w:rPr>
        <w:fldChar w:fldCharType="end"/>
      </w:r>
      <w:r>
        <w:t xml:space="preserve">   </w:t>
      </w:r>
    </w:p>
    <w:p w14:paraId="36DD9FC1">
      <w:pPr>
        <w:spacing w:before="240" w:after="240"/>
        <w:ind w:left="360"/>
      </w:pPr>
      <w:r>
        <w:t xml:space="preserve">Griffin, N., Wistow, J., Fairbrother, H., Holding, E., Sirisena, M., Powell, K. and Summerbell, C., 2022. An analysis of English national policy approaches to health inequalities:‘transforming children and young people’s mental health provision’and its consultation process. </w:t>
      </w:r>
      <w:r>
        <w:rPr>
          <w:i/>
          <w:iCs/>
        </w:rPr>
        <w:t>BMC Public Health</w:t>
      </w:r>
      <w:r>
        <w:t xml:space="preserve">, </w:t>
      </w:r>
      <w:r>
        <w:rPr>
          <w:i/>
          <w:iCs/>
        </w:rPr>
        <w:t>22</w:t>
      </w:r>
      <w:r>
        <w:t xml:space="preserve">(1), p.1084. </w:t>
      </w:r>
      <w:r>
        <w:fldChar w:fldCharType="begin"/>
      </w:r>
      <w:r>
        <w:instrText xml:space="preserve"> HYPERLINK "https://doi.org/10.1186/s12889-022-13473-6" \h </w:instrText>
      </w:r>
      <w:r>
        <w:fldChar w:fldCharType="separate"/>
      </w:r>
      <w:r>
        <w:rPr>
          <w:u w:val="single"/>
        </w:rPr>
        <w:t>https://doi.org/10.1186/s12889-022-13473-6</w:t>
      </w:r>
      <w:r>
        <w:rPr>
          <w:u w:val="single"/>
        </w:rPr>
        <w:fldChar w:fldCharType="end"/>
      </w:r>
    </w:p>
    <w:p w14:paraId="6F467984">
      <w:pPr>
        <w:spacing w:after="160"/>
        <w:ind w:left="360"/>
        <w:rPr>
          <w:u w:val="single"/>
        </w:rPr>
      </w:pPr>
      <w:r>
        <w:t>Han, M.X., Chesney, E., Ng, V., Bright, J., Sagar, Y.K., Baker, E., Meaney, M.J. and Law, E.C., 2025. Universal, selective and indicated parenting interventions to prevent the development of adverse mental health outcomes in youth: a meta-review of systematic reviews. BMJ mental health, 28(1), p.e301613. doi:10.1136/bmjment-2025-301613</w:t>
      </w:r>
      <w:r>
        <w:fldChar w:fldCharType="begin"/>
      </w:r>
      <w:r>
        <w:instrText xml:space="preserve"> HYPERLINK "https://mentalhealth.bmj.com/content/ebmental/28/1/e301613.full.pdf" \h </w:instrText>
      </w:r>
      <w:r>
        <w:fldChar w:fldCharType="separate"/>
      </w:r>
      <w:r>
        <w:t xml:space="preserve"> </w:t>
      </w:r>
      <w:r>
        <w:fldChar w:fldCharType="end"/>
      </w:r>
      <w:r>
        <w:fldChar w:fldCharType="begin"/>
      </w:r>
      <w:r>
        <w:instrText xml:space="preserve"> HYPERLINK "https://mentalhealth.bmj.com/content/ebmental/28/1/e301613.full.pdf" \h </w:instrText>
      </w:r>
      <w:r>
        <w:fldChar w:fldCharType="separate"/>
      </w:r>
      <w:r>
        <w:rPr>
          <w:u w:val="single"/>
        </w:rPr>
        <w:t>https://mentalhealth.bmj.com/content/ebmental/28/1/e301613.full.pdf</w:t>
      </w:r>
      <w:r>
        <w:rPr>
          <w:u w:val="single"/>
        </w:rPr>
        <w:fldChar w:fldCharType="end"/>
      </w:r>
    </w:p>
    <w:p w14:paraId="7DB0A4F3">
      <w:pPr>
        <w:spacing w:before="240" w:after="240"/>
        <w:ind w:left="360"/>
      </w:pPr>
      <w:r>
        <w:t xml:space="preserve">Haste, A., Gray, N., Poulter, H., Crow, R., Copping, L., Ingwersen, J., Limbrick, H., Tindall, H. and Moore, H.J., 2025. Embedding mental health provision within schools–Evaluation of a North East England mental health support team. </w:t>
      </w:r>
      <w:r>
        <w:rPr>
          <w:i/>
          <w:iCs/>
        </w:rPr>
        <w:t>Mental Health &amp; Prevention</w:t>
      </w:r>
      <w:r>
        <w:t xml:space="preserve">, </w:t>
      </w:r>
      <w:r>
        <w:rPr>
          <w:i/>
          <w:iCs/>
        </w:rPr>
        <w:t>39</w:t>
      </w:r>
      <w:r>
        <w:t xml:space="preserve">, p.200435. </w:t>
      </w:r>
      <w:r>
        <w:fldChar w:fldCharType="begin"/>
      </w:r>
      <w:r>
        <w:instrText xml:space="preserve"> HYPERLINK "https://doi.org/10.1016/j.mhp.2025.200435" </w:instrText>
      </w:r>
      <w:r>
        <w:fldChar w:fldCharType="separate"/>
      </w:r>
      <w:r>
        <w:rPr>
          <w:rStyle w:val="12"/>
          <w:color w:val="auto"/>
        </w:rPr>
        <w:t>https://doi.org/10.1016/j.mhp.2025.200435</w:t>
      </w:r>
      <w:r>
        <w:rPr>
          <w:rStyle w:val="12"/>
          <w:color w:val="auto"/>
        </w:rPr>
        <w:fldChar w:fldCharType="end"/>
      </w:r>
      <w:r>
        <w:t xml:space="preserve"> </w:t>
      </w:r>
    </w:p>
    <w:p w14:paraId="7CB502F9">
      <w:pPr>
        <w:spacing w:after="160"/>
        <w:ind w:left="360"/>
        <w:rPr>
          <w:u w:val="single"/>
        </w:rPr>
      </w:pPr>
      <w:r>
        <w:t>Hayes, D., Deniz, E., Nisbet, K., Thompson, A., March, A., Mason, C., Santos, J., Mansfield, R., Ashworth, E., Moltrect, B. and Liverpool, S., 2025. Universal, school-based, interventions to improve emotional outcomes in children and young people: a systematic review and meta-analysis. Frontiers in Child and Adolescent Psychiatry, 4, p.1526840.</w:t>
      </w:r>
      <w:r>
        <w:fldChar w:fldCharType="begin"/>
      </w:r>
      <w:r>
        <w:instrText xml:space="preserve"> HYPERLINK "https://doi.org/10.3389/frcha.2025.1526840" \h </w:instrText>
      </w:r>
      <w:r>
        <w:fldChar w:fldCharType="separate"/>
      </w:r>
      <w:r>
        <w:t xml:space="preserve"> </w:t>
      </w:r>
      <w:r>
        <w:fldChar w:fldCharType="end"/>
      </w:r>
      <w:r>
        <w:fldChar w:fldCharType="begin"/>
      </w:r>
      <w:r>
        <w:instrText xml:space="preserve"> HYPERLINK "https://doi.org/10.3389/frcha.2025.1526840" \h </w:instrText>
      </w:r>
      <w:r>
        <w:fldChar w:fldCharType="separate"/>
      </w:r>
      <w:r>
        <w:rPr>
          <w:u w:val="single"/>
        </w:rPr>
        <w:t>https://doi.org/10.3389/frcha.2025.1526840</w:t>
      </w:r>
      <w:r>
        <w:rPr>
          <w:u w:val="single"/>
        </w:rPr>
        <w:fldChar w:fldCharType="end"/>
      </w:r>
    </w:p>
    <w:p w14:paraId="473FFEAC">
      <w:pPr>
        <w:ind w:left="360"/>
      </w:pPr>
      <w:r>
        <w:t xml:space="preserve">Hosokawa, R., Matsumoto, Y., Nishida, C., Funato, K. and Mitani, A., 2024. Enhancing social-emotional skills in early childhood: Intervention study on the effectiveness of social and emotional learning. </w:t>
      </w:r>
      <w:r>
        <w:rPr>
          <w:i/>
          <w:iCs/>
        </w:rPr>
        <w:t>BMC psychology</w:t>
      </w:r>
      <w:r>
        <w:t xml:space="preserve">, </w:t>
      </w:r>
      <w:r>
        <w:rPr>
          <w:i/>
          <w:iCs/>
        </w:rPr>
        <w:t>12</w:t>
      </w:r>
      <w:r>
        <w:t xml:space="preserve">(1), p.761. </w:t>
      </w:r>
      <w:r>
        <w:fldChar w:fldCharType="begin"/>
      </w:r>
      <w:r>
        <w:instrText xml:space="preserve"> HYPERLINK "https://doi.org/10.1186/s40359-024-02280-w" \h </w:instrText>
      </w:r>
      <w:r>
        <w:fldChar w:fldCharType="separate"/>
      </w:r>
      <w:r>
        <w:rPr>
          <w:u w:val="single"/>
        </w:rPr>
        <w:t>https://doi.org/10.1186/s40359-024-02280-w</w:t>
      </w:r>
      <w:r>
        <w:rPr>
          <w:u w:val="single"/>
        </w:rPr>
        <w:fldChar w:fldCharType="end"/>
      </w:r>
      <w:r>
        <w:t xml:space="preserve"> </w:t>
      </w:r>
    </w:p>
    <w:p w14:paraId="7D19DBD4">
      <w:pPr>
        <w:spacing w:before="240" w:after="240"/>
        <w:ind w:left="360"/>
      </w:pPr>
      <w:r>
        <w:t xml:space="preserve">Hudson, J.L., Minihan, S., Chen, W., Carl, T., Fu, M., Tully, L., Kangas, M., Rosewell, L., McDermott, E.A., Wang, Y. and Stubbs, T., 2023. Interventions for young children’s mental health: A review of reviews. </w:t>
      </w:r>
      <w:r>
        <w:rPr>
          <w:i/>
          <w:iCs/>
        </w:rPr>
        <w:t>Clinical Child and Family Psychology Review</w:t>
      </w:r>
      <w:r>
        <w:t xml:space="preserve">, </w:t>
      </w:r>
      <w:r>
        <w:rPr>
          <w:i/>
          <w:iCs/>
        </w:rPr>
        <w:t>26</w:t>
      </w:r>
      <w:r>
        <w:t xml:space="preserve">(3), pp.593-641. </w:t>
      </w:r>
      <w:r>
        <w:fldChar w:fldCharType="begin"/>
      </w:r>
      <w:r>
        <w:instrText xml:space="preserve"> HYPERLINK "https://doi.org/10.1007/s10567-023-00443-6" \h </w:instrText>
      </w:r>
      <w:r>
        <w:fldChar w:fldCharType="separate"/>
      </w:r>
      <w:r>
        <w:rPr>
          <w:u w:val="single"/>
        </w:rPr>
        <w:t>https://doi.org/10.1007/s10567-023-00443-6</w:t>
      </w:r>
      <w:r>
        <w:rPr>
          <w:u w:val="single"/>
        </w:rPr>
        <w:fldChar w:fldCharType="end"/>
      </w:r>
    </w:p>
    <w:p w14:paraId="641361EE">
      <w:pPr>
        <w:spacing w:before="240" w:after="240"/>
        <w:ind w:left="360"/>
      </w:pPr>
      <w:r>
        <w:t xml:space="preserve">Ingram, C., 2025. </w:t>
      </w:r>
      <w:r>
        <w:rPr>
          <w:i/>
          <w:iCs/>
        </w:rPr>
        <w:t>Teacher Perspectives on the Impact of School-Based Mental Health Services on Academic Performance, Attendance, and Behavior</w:t>
      </w:r>
      <w:r>
        <w:t xml:space="preserve">. Arkansas State University. </w:t>
      </w:r>
      <w:r>
        <w:fldChar w:fldCharType="begin"/>
      </w:r>
      <w:r>
        <w:instrText xml:space="preserve"> HYPERLINK "https://arch.astate.edu/cgi/viewcontent.cgi?article=2047&amp;context=all-etd" \h </w:instrText>
      </w:r>
      <w:r>
        <w:fldChar w:fldCharType="separate"/>
      </w:r>
      <w:r>
        <w:rPr>
          <w:u w:val="single"/>
        </w:rPr>
        <w:t>https://arch.astate.edu/cgi/viewcontent.cgi?article=2047&amp;context=all-etd</w:t>
      </w:r>
      <w:r>
        <w:rPr>
          <w:u w:val="single"/>
        </w:rPr>
        <w:fldChar w:fldCharType="end"/>
      </w:r>
    </w:p>
    <w:p w14:paraId="56A0C27F">
      <w:pPr>
        <w:spacing w:before="240" w:after="240"/>
        <w:ind w:left="360"/>
      </w:pPr>
      <w:r>
        <w:t>Jolley, S., Lord, J., Plant, D., Wood, E., Bracegirdle, K., Browning, S., Carter, B. and James, K., 2023. A cluster randomised, 16-week, parallel-group multicentre trial to compare the effectiveness of a digital school-based cognitive behavioural resilience/wellbeing-building intervention targeting emotional and behavioural problems in vulnerable Year 4 primary school children in whole classes, to the usual school curriculum: a study protocol to the “CUES for Schools” trial. Trials, 24(1), p.253.</w:t>
      </w:r>
      <w:r>
        <w:fldChar w:fldCharType="begin"/>
      </w:r>
      <w:r>
        <w:instrText xml:space="preserve"> HYPERLINK "https://doi.org/10.1186/s13063-023-07267-3" \h </w:instrText>
      </w:r>
      <w:r>
        <w:fldChar w:fldCharType="separate"/>
      </w:r>
      <w:r>
        <w:rPr>
          <w:u w:val="single"/>
        </w:rPr>
        <w:t>https://doi.org/10.1186/s13063-023-07267-3</w:t>
      </w:r>
      <w:r>
        <w:rPr>
          <w:u w:val="single"/>
        </w:rPr>
        <w:fldChar w:fldCharType="end"/>
      </w:r>
      <w:r>
        <w:t xml:space="preserve"> </w:t>
      </w:r>
    </w:p>
    <w:p w14:paraId="70527693">
      <w:pPr>
        <w:spacing w:before="240" w:after="240"/>
        <w:ind w:left="360"/>
      </w:pPr>
      <w:r>
        <w:t xml:space="preserve">Junjie, M. and Yingxin, M., 2022. The Discussions of Positivism and Interpretivism. </w:t>
      </w:r>
      <w:r>
        <w:rPr>
          <w:i/>
          <w:iCs/>
        </w:rPr>
        <w:t>Online Submission</w:t>
      </w:r>
      <w:r>
        <w:t xml:space="preserve">, </w:t>
      </w:r>
      <w:r>
        <w:rPr>
          <w:i/>
          <w:iCs/>
        </w:rPr>
        <w:t>4</w:t>
      </w:r>
      <w:r>
        <w:t xml:space="preserve">(1), pp.10-14. DOI: </w:t>
      </w:r>
      <w:r>
        <w:fldChar w:fldCharType="begin"/>
      </w:r>
      <w:r>
        <w:instrText xml:space="preserve"> HYPERLINK "https://eric.ed.gov/?id=ED619359" \h </w:instrText>
      </w:r>
      <w:r>
        <w:fldChar w:fldCharType="separate"/>
      </w:r>
      <w:r>
        <w:rPr>
          <w:u w:val="single"/>
        </w:rPr>
        <w:t>10.36348/gajhss.2022.v04i01.002</w:t>
      </w:r>
      <w:r>
        <w:rPr>
          <w:u w:val="single"/>
        </w:rPr>
        <w:fldChar w:fldCharType="end"/>
      </w:r>
    </w:p>
    <w:p w14:paraId="269BC995">
      <w:pPr>
        <w:spacing w:before="240" w:after="240"/>
        <w:ind w:left="360"/>
      </w:pPr>
      <w:r>
        <w:t xml:space="preserve">Kirkbride, J.B., Anglin, D.M., Colman, I., Dykxhoorn, J., Jones, P.B., Patalay, P., Pitman, A., Soneson, E., Steare, T., Wright, T. and Griffiths, S.L., 2024. The social determinants of mental health and disorder: evidence, prevention and recommendations. </w:t>
      </w:r>
      <w:r>
        <w:rPr>
          <w:i/>
          <w:iCs/>
        </w:rPr>
        <w:t>World psychiatry</w:t>
      </w:r>
      <w:r>
        <w:t xml:space="preserve">, </w:t>
      </w:r>
      <w:r>
        <w:rPr>
          <w:i/>
          <w:iCs/>
        </w:rPr>
        <w:t>23</w:t>
      </w:r>
      <w:r>
        <w:t xml:space="preserve">(1), pp.58-90. </w:t>
      </w:r>
      <w:r>
        <w:fldChar w:fldCharType="begin"/>
      </w:r>
      <w:r>
        <w:instrText xml:space="preserve"> HYPERLINK "https://onlinelibrary.wiley.com/doi/abs/10.1002/wps.21160" \h </w:instrText>
      </w:r>
      <w:r>
        <w:fldChar w:fldCharType="separate"/>
      </w:r>
      <w:r>
        <w:rPr>
          <w:u w:val="single"/>
        </w:rPr>
        <w:t>https://onlinelibrary.wiley.com/doi/abs/10.1002/wps.21160</w:t>
      </w:r>
      <w:r>
        <w:rPr>
          <w:u w:val="single"/>
        </w:rPr>
        <w:fldChar w:fldCharType="end"/>
      </w:r>
      <w:r>
        <w:t xml:space="preserve"> </w:t>
      </w:r>
    </w:p>
    <w:p w14:paraId="41912D6C">
      <w:pPr>
        <w:spacing w:before="240" w:after="240"/>
        <w:ind w:left="360"/>
      </w:pPr>
      <w:r>
        <w:t xml:space="preserve">Kushnir, I., 2025. Thematic analysis in the area of education: a practical guide. </w:t>
      </w:r>
      <w:r>
        <w:rPr>
          <w:i/>
          <w:iCs/>
        </w:rPr>
        <w:t>Cogent education</w:t>
      </w:r>
      <w:r>
        <w:t xml:space="preserve">, </w:t>
      </w:r>
      <w:r>
        <w:rPr>
          <w:i/>
          <w:iCs/>
        </w:rPr>
        <w:t>12</w:t>
      </w:r>
      <w:r>
        <w:t xml:space="preserve">(1), p.2471645. </w:t>
      </w:r>
      <w:r>
        <w:fldChar w:fldCharType="begin"/>
      </w:r>
      <w:r>
        <w:instrText xml:space="preserve"> HYPERLINK "https://doi.org/10.1080/2331186X.2025.2471645" \h </w:instrText>
      </w:r>
      <w:r>
        <w:fldChar w:fldCharType="separate"/>
      </w:r>
      <w:r>
        <w:rPr>
          <w:u w:val="single"/>
        </w:rPr>
        <w:t>https://doi.org/10.1080/2331186X.2025.2471645</w:t>
      </w:r>
      <w:r>
        <w:rPr>
          <w:u w:val="single"/>
        </w:rPr>
        <w:fldChar w:fldCharType="end"/>
      </w:r>
    </w:p>
    <w:p w14:paraId="79886F55">
      <w:pPr>
        <w:spacing w:before="240" w:after="240"/>
        <w:ind w:left="360"/>
      </w:pPr>
      <w:r>
        <w:t xml:space="preserve">Lee, J., Barnett, P., Goldsmith, L.P., Yang, J., Appleton, R., Lloyd-Evans, B., Hahn, J.S., Rich, N., Francis, E., Mitchell, L., Driskell, E., Unkelbach, A. and Johnson, S., 2026. Early interventions for first onset of symptoms of mental health conditions: An umbrella review of systematic reviews. </w:t>
      </w:r>
      <w:r>
        <w:rPr>
          <w:i/>
          <w:iCs/>
        </w:rPr>
        <w:t>BMC medicine</w:t>
      </w:r>
      <w:r>
        <w:t xml:space="preserve">, [online] 24(1). </w:t>
      </w:r>
      <w:r>
        <w:fldChar w:fldCharType="begin"/>
      </w:r>
      <w:r>
        <w:instrText xml:space="preserve"> HYPERLINK "https://doi.org/10.1186/s12916-026-04617-1" \h </w:instrText>
      </w:r>
      <w:r>
        <w:fldChar w:fldCharType="separate"/>
      </w:r>
      <w:r>
        <w:rPr>
          <w:u w:val="single"/>
        </w:rPr>
        <w:t>https://doi.org/10.1186/s12916-026-04617-1</w:t>
      </w:r>
      <w:r>
        <w:rPr>
          <w:u w:val="single"/>
        </w:rPr>
        <w:fldChar w:fldCharType="end"/>
      </w:r>
    </w:p>
    <w:p w14:paraId="02240DB0">
      <w:pPr>
        <w:ind w:left="360"/>
      </w:pPr>
      <w:r>
        <w:t xml:space="preserve">Likhar, A., Baghel, P., Patil, M. and Patil, M.S., 2022. Early childhood development and social determinants. </w:t>
      </w:r>
      <w:r>
        <w:rPr>
          <w:i/>
          <w:iCs/>
        </w:rPr>
        <w:t>Cureus</w:t>
      </w:r>
      <w:r>
        <w:t xml:space="preserve">, </w:t>
      </w:r>
      <w:r>
        <w:rPr>
          <w:i/>
          <w:iCs/>
        </w:rPr>
        <w:t>14</w:t>
      </w:r>
      <w:r>
        <w:t xml:space="preserve">(9). DOI: </w:t>
      </w:r>
      <w:r>
        <w:fldChar w:fldCharType="begin"/>
      </w:r>
      <w:r>
        <w:instrText xml:space="preserve"> HYPERLINK "https://www.cureus.com/articles/112074-early-childhood-development-and-social-determinants.pdf" \h </w:instrText>
      </w:r>
      <w:r>
        <w:fldChar w:fldCharType="separate"/>
      </w:r>
      <w:r>
        <w:rPr>
          <w:u w:val="single"/>
        </w:rPr>
        <w:t>10.7759/cureus.29500</w:t>
      </w:r>
      <w:r>
        <w:rPr>
          <w:u w:val="single"/>
        </w:rPr>
        <w:fldChar w:fldCharType="end"/>
      </w:r>
    </w:p>
    <w:p w14:paraId="3C2DCB84">
      <w:pPr>
        <w:ind w:left="360"/>
      </w:pPr>
      <w:r>
        <w:t xml:space="preserve">Lu, Z.Q., de Geus, H., Roest, S., Payne, L., Krishnamoorthy, G., Littlewood, R., Hoyland, M., Stathis, S., Bor, W. and Middeldorp, C.M., 2022. Characteristics and treatment outcomes of children and adolescents accessing treatment in Child and Youth Mental Health Services. </w:t>
      </w:r>
      <w:r>
        <w:rPr>
          <w:i/>
          <w:iCs/>
        </w:rPr>
        <w:t>Early intervention in psychiatry</w:t>
      </w:r>
      <w:r>
        <w:t xml:space="preserve">, </w:t>
      </w:r>
      <w:r>
        <w:rPr>
          <w:i/>
          <w:iCs/>
        </w:rPr>
        <w:t>16</w:t>
      </w:r>
      <w:r>
        <w:t xml:space="preserve">(12), pp.1297-1308. </w:t>
      </w:r>
      <w:r>
        <w:fldChar w:fldCharType="begin"/>
      </w:r>
      <w:r>
        <w:instrText xml:space="preserve"> HYPERLINK "https://doi.org/10.1007/s10597-021-00796-8" \h </w:instrText>
      </w:r>
      <w:r>
        <w:fldChar w:fldCharType="separate"/>
      </w:r>
      <w:r>
        <w:rPr>
          <w:u w:val="single"/>
        </w:rPr>
        <w:t>https://doi.org/10.1007/s10597-021-00796-8</w:t>
      </w:r>
      <w:r>
        <w:rPr>
          <w:u w:val="single"/>
        </w:rPr>
        <w:fldChar w:fldCharType="end"/>
      </w:r>
      <w:r>
        <w:t xml:space="preserve"> </w:t>
      </w:r>
    </w:p>
    <w:p w14:paraId="43E551BC">
      <w:pPr>
        <w:spacing w:before="240" w:after="240"/>
        <w:ind w:left="360"/>
      </w:pPr>
      <w:r>
        <w:t xml:space="preserve">Ma, Y.-Y., Wu, T.-T., Wang, L., Qian, Y.-F., Wu, J. and Geng, G.-L., 2025. Determinants of transitional care utilization among older adults with chronic diseases: An analysis based on Andersen’s behavioral model. </w:t>
      </w:r>
      <w:r>
        <w:rPr>
          <w:i/>
          <w:iCs/>
        </w:rPr>
        <w:t>Clinical interventions in Aging</w:t>
      </w:r>
      <w:r>
        <w:t xml:space="preserve">, [online] Volume 20, pp.349–367.  </w:t>
      </w:r>
      <w:r>
        <w:fldChar w:fldCharType="begin"/>
      </w:r>
      <w:r>
        <w:instrText xml:space="preserve"> HYPERLINK "https://doi.org/10.2147/CIA.S490166" \h </w:instrText>
      </w:r>
      <w:r>
        <w:fldChar w:fldCharType="separate"/>
      </w:r>
      <w:r>
        <w:rPr>
          <w:u w:val="single"/>
        </w:rPr>
        <w:t>https://doi.org/10.2147/CIA.S490166</w:t>
      </w:r>
      <w:r>
        <w:rPr>
          <w:u w:val="single"/>
        </w:rPr>
        <w:fldChar w:fldCharType="end"/>
      </w:r>
    </w:p>
    <w:p w14:paraId="4F7D6E6A">
      <w:pPr>
        <w:spacing w:before="240" w:after="240"/>
        <w:ind w:left="360"/>
      </w:pPr>
      <w:r>
        <w:t xml:space="preserve">Marzi, G., Balzano, M., Caputo, A. and Pellegrini, M.M., 2025. Guidelines for bibliometric‐systematic literature reviews: 10 steps to combine analysis, synthesis and theory development. </w:t>
      </w:r>
      <w:r>
        <w:rPr>
          <w:i/>
          <w:iCs/>
        </w:rPr>
        <w:t>International Journal of Management Reviews</w:t>
      </w:r>
      <w:r>
        <w:t xml:space="preserve">, </w:t>
      </w:r>
      <w:r>
        <w:rPr>
          <w:i/>
          <w:iCs/>
        </w:rPr>
        <w:t>27</w:t>
      </w:r>
      <w:r>
        <w:t xml:space="preserve">(1), pp.81-103. DOI: </w:t>
      </w:r>
      <w:r>
        <w:fldChar w:fldCharType="begin"/>
      </w:r>
      <w:r>
        <w:instrText xml:space="preserve"> HYPERLINK "https://onlinelibrary.wiley.com/doi/abs/10.1111/ijmr.12381" \h </w:instrText>
      </w:r>
      <w:r>
        <w:fldChar w:fldCharType="separate"/>
      </w:r>
      <w:r>
        <w:rPr>
          <w:u w:val="single"/>
        </w:rPr>
        <w:t>10.1111/ijmr.12381</w:t>
      </w:r>
      <w:r>
        <w:rPr>
          <w:u w:val="single"/>
        </w:rPr>
        <w:fldChar w:fldCharType="end"/>
      </w:r>
    </w:p>
    <w:p w14:paraId="1A01BF89">
      <w:pPr>
        <w:spacing w:before="240" w:after="240"/>
        <w:ind w:left="360"/>
      </w:pPr>
      <w:r>
        <w:t>Mastorci, F., Lazzeri, M.F.L., Vassalle, C. and Pingitore, A., 2024. The transition from childhood to adolescence: Between health and vulnerability. Children, 11(8), p.989.</w:t>
      </w:r>
      <w:r>
        <w:fldChar w:fldCharType="begin"/>
      </w:r>
      <w:r>
        <w:instrText xml:space="preserve"> HYPERLINK "https://doi.org/10.3390/children11080989" \h </w:instrText>
      </w:r>
      <w:r>
        <w:fldChar w:fldCharType="separate"/>
      </w:r>
      <w:r>
        <w:rPr>
          <w:u w:val="single"/>
        </w:rPr>
        <w:t>https://doi.org/10.3390/children11080989</w:t>
      </w:r>
      <w:r>
        <w:rPr>
          <w:u w:val="single"/>
        </w:rPr>
        <w:fldChar w:fldCharType="end"/>
      </w:r>
    </w:p>
    <w:p w14:paraId="501DBB3E">
      <w:pPr>
        <w:spacing w:before="240" w:after="240"/>
        <w:ind w:left="360"/>
      </w:pPr>
      <w:r>
        <w:t xml:space="preserve">Mayo Clinic Staff (2024). </w:t>
      </w:r>
      <w:r>
        <w:rPr>
          <w:i/>
          <w:iCs/>
        </w:rPr>
        <w:t>Mental illness in children: Know the signs</w:t>
      </w:r>
      <w:r>
        <w:t xml:space="preserve">. [online] </w:t>
      </w:r>
      <w:r>
        <w:rPr>
          <w:i/>
          <w:iCs/>
        </w:rPr>
        <w:t>Mayo Clinic</w:t>
      </w:r>
      <w:r>
        <w:t xml:space="preserve">. Available at: </w:t>
      </w:r>
      <w:r>
        <w:fldChar w:fldCharType="begin"/>
      </w:r>
      <w:r>
        <w:instrText xml:space="preserve"> HYPERLINK "https://www.mayoclinic.org/healthy-lifestyle/childrens-health/in-depth/mental-illness-in-children/art-20046577" \h </w:instrText>
      </w:r>
      <w:r>
        <w:fldChar w:fldCharType="separate"/>
      </w:r>
      <w:r>
        <w:rPr>
          <w:u w:val="single"/>
        </w:rPr>
        <w:t>https://www.mayoclinic.org/healthy-lifestyle/childrens-health/in-depth/mental-illness-in-children/art-20046577</w:t>
      </w:r>
      <w:r>
        <w:rPr>
          <w:u w:val="single"/>
        </w:rPr>
        <w:fldChar w:fldCharType="end"/>
      </w:r>
    </w:p>
    <w:p w14:paraId="1FA51683">
      <w:pPr>
        <w:spacing w:before="240" w:after="240"/>
        <w:ind w:left="360"/>
      </w:pPr>
      <w:r>
        <w:t xml:space="preserve">McDonald, B., Lester, K.J. and Michelson, D., 2023. ‘She didn't know how to go back’: School attendance problems in the context of the COVID‐19 pandemic—A multiple stakeholder qualitative study with parents and professionals. British Journal of Educational Psychology, 93(1), pp.386-401.DOI: </w:t>
      </w:r>
      <w:r>
        <w:fldChar w:fldCharType="begin"/>
      </w:r>
      <w:r>
        <w:instrText xml:space="preserve"> HYPERLINK "https://bpspsychub.onlinelibrary.wiley.com/doi/abs/10.1111/bjep.12562" \h </w:instrText>
      </w:r>
      <w:r>
        <w:fldChar w:fldCharType="separate"/>
      </w:r>
      <w:r>
        <w:rPr>
          <w:u w:val="single"/>
        </w:rPr>
        <w:t xml:space="preserve">10.1111/bjep.12562 </w:t>
      </w:r>
      <w:r>
        <w:rPr>
          <w:u w:val="single"/>
        </w:rPr>
        <w:fldChar w:fldCharType="end"/>
      </w:r>
    </w:p>
    <w:p w14:paraId="1B5D6307">
      <w:pPr>
        <w:ind w:left="360"/>
      </w:pPr>
      <w:r>
        <w:t xml:space="preserve">Mehta, D., Kelly, A.B., Laurens, K.R., Haslam, D., Williams, K.E., Walsh, K., Baker, P.R., Carter, H.E., Khawaja, N.G., Zelenko, O. and Mathews, B., 2023. Child maltreatment and long-term physical and mental health outcomes: An exploration of biopsychosocial determinants and implications for prevention. </w:t>
      </w:r>
      <w:r>
        <w:rPr>
          <w:i/>
          <w:iCs/>
        </w:rPr>
        <w:t>Child Psychiatry &amp; Human Development</w:t>
      </w:r>
      <w:r>
        <w:t xml:space="preserve">, </w:t>
      </w:r>
      <w:r>
        <w:rPr>
          <w:i/>
          <w:iCs/>
        </w:rPr>
        <w:t>54</w:t>
      </w:r>
      <w:r>
        <w:t xml:space="preserve">(2), pp.421-435. </w:t>
      </w:r>
      <w:r>
        <w:fldChar w:fldCharType="begin"/>
      </w:r>
      <w:r>
        <w:instrText xml:space="preserve"> HYPERLINK "https://doi.org/10.1007/s10578-021-01258-8" \h </w:instrText>
      </w:r>
      <w:r>
        <w:fldChar w:fldCharType="separate"/>
      </w:r>
      <w:r>
        <w:rPr>
          <w:u w:val="single"/>
        </w:rPr>
        <w:t>https://doi.org/10.1007/s10578-021-01258-8</w:t>
      </w:r>
      <w:r>
        <w:rPr>
          <w:u w:val="single"/>
        </w:rPr>
        <w:fldChar w:fldCharType="end"/>
      </w:r>
      <w:r>
        <w:t xml:space="preserve"> </w:t>
      </w:r>
    </w:p>
    <w:p w14:paraId="68ACC94D">
      <w:pPr>
        <w:spacing w:before="240" w:after="240"/>
        <w:ind w:left="360"/>
      </w:pPr>
      <w:r>
        <w:t xml:space="preserve">Mishra, V. and Mishra, M.P., 2023. PRISMA for review of management literature–method, merits, and limitations–an academic review. </w:t>
      </w:r>
      <w:r>
        <w:fldChar w:fldCharType="begin"/>
      </w:r>
      <w:r>
        <w:instrText xml:space="preserve"> HYPERLINK "https://doi.org/10.1108/S2754-586520230000002007" \h </w:instrText>
      </w:r>
      <w:r>
        <w:fldChar w:fldCharType="separate"/>
      </w:r>
      <w:r>
        <w:rPr>
          <w:u w:val="single"/>
        </w:rPr>
        <w:t>https://doi.org/10.1108/S2754-586520230000002007</w:t>
      </w:r>
      <w:r>
        <w:rPr>
          <w:u w:val="single"/>
        </w:rPr>
        <w:fldChar w:fldCharType="end"/>
      </w:r>
      <w:r>
        <w:t xml:space="preserve"> </w:t>
      </w:r>
    </w:p>
    <w:p w14:paraId="47B36CEF">
      <w:pPr>
        <w:spacing w:after="160"/>
        <w:ind w:left="360"/>
        <w:rPr>
          <w:u w:val="single"/>
        </w:rPr>
      </w:pPr>
      <w:r>
        <w:t>Morse, I., Mannes, J., Pilimatalawwe, D., Phippard, S., dos Santos Sousa, F., Samuel, R., Ganesalingam, M., Rengasamy, E.R., Pinto, C., Woolgar, M. and Duschinsky, R., 2026. Effectiveness of interventions for anxiety and depression in children and young people: an umbrella review of meta-analyses. European Child &amp; Adolescent Psychiatry, pp.1-32.</w:t>
      </w:r>
      <w:r>
        <w:fldChar w:fldCharType="begin"/>
      </w:r>
      <w:r>
        <w:instrText xml:space="preserve"> HYPERLINK "https://doi.org/10.1007/s00787-026-03064-w" \h </w:instrText>
      </w:r>
      <w:r>
        <w:fldChar w:fldCharType="separate"/>
      </w:r>
      <w:r>
        <w:t xml:space="preserve"> </w:t>
      </w:r>
      <w:r>
        <w:fldChar w:fldCharType="end"/>
      </w:r>
      <w:r>
        <w:fldChar w:fldCharType="begin"/>
      </w:r>
      <w:r>
        <w:instrText xml:space="preserve"> HYPERLINK "https://doi.org/10.1007/s00787-026-03064-w" \h </w:instrText>
      </w:r>
      <w:r>
        <w:fldChar w:fldCharType="separate"/>
      </w:r>
      <w:r>
        <w:rPr>
          <w:u w:val="single"/>
        </w:rPr>
        <w:t>https://doi.org/10.1007/s00787-026-03064-w</w:t>
      </w:r>
      <w:r>
        <w:rPr>
          <w:u w:val="single"/>
        </w:rPr>
        <w:fldChar w:fldCharType="end"/>
      </w:r>
    </w:p>
    <w:p w14:paraId="4966DE1F">
      <w:pPr>
        <w:spacing w:before="240" w:after="240"/>
        <w:ind w:left="360"/>
      </w:pPr>
      <w:r>
        <w:t xml:space="preserve">Munasinghe, D. and Ranasinghe, S., 2023. How to conduct a literature review effectively using effective searching techniques. </w:t>
      </w:r>
      <w:r>
        <w:rPr>
          <w:i/>
          <w:iCs/>
        </w:rPr>
        <w:t>The Sri Lankan Journal of Orthopaedic Surgery</w:t>
      </w:r>
      <w:r>
        <w:t xml:space="preserve">, </w:t>
      </w:r>
      <w:r>
        <w:rPr>
          <w:i/>
          <w:iCs/>
        </w:rPr>
        <w:t>9</w:t>
      </w:r>
      <w:r>
        <w:t xml:space="preserve">(1). </w:t>
      </w:r>
      <w:r>
        <w:fldChar w:fldCharType="begin"/>
      </w:r>
      <w:r>
        <w:instrText xml:space="preserve"> HYPERLINK "https://doi.org/10.4038/tsljos.v9i1.23" \h </w:instrText>
      </w:r>
      <w:r>
        <w:fldChar w:fldCharType="separate"/>
      </w:r>
      <w:r>
        <w:rPr>
          <w:u w:val="single"/>
        </w:rPr>
        <w:t>https://doi.org/10.4038/tsljos.v9i1.23</w:t>
      </w:r>
      <w:r>
        <w:rPr>
          <w:u w:val="single"/>
        </w:rPr>
        <w:fldChar w:fldCharType="end"/>
      </w:r>
      <w:r>
        <w:t xml:space="preserve"> </w:t>
      </w:r>
    </w:p>
    <w:p w14:paraId="0A64282D">
      <w:pPr>
        <w:spacing w:before="240" w:after="240"/>
        <w:ind w:left="360"/>
      </w:pPr>
      <w:r>
        <w:t xml:space="preserve">Myung, S.K., 2023. How to review and assess a systematic review and meta-analysis article: a methodological study (secondary publication). </w:t>
      </w:r>
      <w:r>
        <w:rPr>
          <w:i/>
          <w:iCs/>
        </w:rPr>
        <w:t>Journal of educational evaluation for health professions</w:t>
      </w:r>
      <w:r>
        <w:t xml:space="preserve">, </w:t>
      </w:r>
      <w:r>
        <w:rPr>
          <w:i/>
          <w:iCs/>
        </w:rPr>
        <w:t>20</w:t>
      </w:r>
      <w:r>
        <w:t xml:space="preserve">, p.24. </w:t>
      </w:r>
      <w:r>
        <w:fldChar w:fldCharType="begin"/>
      </w:r>
      <w:r>
        <w:instrText xml:space="preserve"> HYPERLINK "https://doi.org/10.3352/jeehp.2023.20.24" \h </w:instrText>
      </w:r>
      <w:r>
        <w:fldChar w:fldCharType="separate"/>
      </w:r>
      <w:r>
        <w:rPr>
          <w:u w:val="single"/>
        </w:rPr>
        <w:t>https://doi.org/10.3352/jeehp.2023.20.24</w:t>
      </w:r>
      <w:r>
        <w:rPr>
          <w:u w:val="single"/>
        </w:rPr>
        <w:fldChar w:fldCharType="end"/>
      </w:r>
      <w:r>
        <w:t xml:space="preserve"> </w:t>
      </w:r>
    </w:p>
    <w:p w14:paraId="3F6602D1">
      <w:pPr>
        <w:spacing w:before="240" w:after="240"/>
        <w:ind w:left="360"/>
      </w:pPr>
      <w:r>
        <w:t xml:space="preserve">Naeem, M., Ozuem, W., Howell, K. and Ranfagni, S., 2023. A step-by-step process of thematic analysis to develop a conceptual model in qualitative research. </w:t>
      </w:r>
      <w:r>
        <w:rPr>
          <w:i/>
          <w:iCs/>
        </w:rPr>
        <w:t>International journal of qualitative methods</w:t>
      </w:r>
      <w:r>
        <w:t xml:space="preserve">, </w:t>
      </w:r>
      <w:r>
        <w:rPr>
          <w:i/>
          <w:iCs/>
        </w:rPr>
        <w:t>22</w:t>
      </w:r>
      <w:r>
        <w:t xml:space="preserve">, p.16094069231205789. </w:t>
      </w:r>
      <w:r>
        <w:fldChar w:fldCharType="begin"/>
      </w:r>
      <w:r>
        <w:instrText xml:space="preserve"> HYPERLINK "https://doi.org/10.1177/16094069231205789" \h </w:instrText>
      </w:r>
      <w:r>
        <w:fldChar w:fldCharType="separate"/>
      </w:r>
      <w:r>
        <w:rPr>
          <w:u w:val="single"/>
        </w:rPr>
        <w:t>https://doi.org/10.1177/16094069231205789</w:t>
      </w:r>
      <w:r>
        <w:rPr>
          <w:u w:val="single"/>
        </w:rPr>
        <w:fldChar w:fldCharType="end"/>
      </w:r>
      <w:r>
        <w:t xml:space="preserve"> </w:t>
      </w:r>
    </w:p>
    <w:p w14:paraId="4786D5CE">
      <w:pPr>
        <w:ind w:left="360"/>
      </w:pPr>
      <w:r>
        <w:t xml:space="preserve">Nayak, S.S., Tobias, C., Wolfe, J., Roper, K., Méndez-Peñate, L., Moulin, C., Arty, M., Scoglio, A.A., Kelleher, A., Rue, J. and Brigham, M., 2022. Engaging and supporting young children and their families in early childhood mental health services: The role of the family partner. </w:t>
      </w:r>
      <w:r>
        <w:rPr>
          <w:i/>
          <w:iCs/>
        </w:rPr>
        <w:t>Community Mental Health Journal</w:t>
      </w:r>
      <w:r>
        <w:t xml:space="preserve">, </w:t>
      </w:r>
      <w:r>
        <w:rPr>
          <w:i/>
          <w:iCs/>
        </w:rPr>
        <w:t>58</w:t>
      </w:r>
      <w:r>
        <w:t xml:space="preserve">(1), pp.87-98. </w:t>
      </w:r>
      <w:r>
        <w:fldChar w:fldCharType="begin"/>
      </w:r>
      <w:r>
        <w:instrText xml:space="preserve"> HYPERLINK "https://doi.org/10.1007/s10597-021-00796-8" \h </w:instrText>
      </w:r>
      <w:r>
        <w:fldChar w:fldCharType="separate"/>
      </w:r>
      <w:r>
        <w:rPr>
          <w:u w:val="single"/>
        </w:rPr>
        <w:t>https://doi.org/10.1007/s10597-021-00796-8</w:t>
      </w:r>
      <w:r>
        <w:rPr>
          <w:u w:val="single"/>
        </w:rPr>
        <w:fldChar w:fldCharType="end"/>
      </w:r>
      <w:r>
        <w:t xml:space="preserve"> </w:t>
      </w:r>
    </w:p>
    <w:p w14:paraId="1AC51D6D">
      <w:pPr>
        <w:ind w:left="360"/>
      </w:pPr>
      <w:r>
        <w:t xml:space="preserve">Newlove-Delgado, T., Marcheselli, F., Williams, T., Mandalia, D., Davis, J., McManus, S., Savic, M., Treloar, W. and Ford, T., 2022. Mental Health of Children and Young People in England, 2022-wave 3 follow up to the 2017 survey. </w:t>
      </w:r>
      <w:r>
        <w:fldChar w:fldCharType="begin"/>
      </w:r>
      <w:r>
        <w:instrText xml:space="preserve"> HYPERLINK "https://openaccess.city.ac.uk/id/eprint/30558/" \h </w:instrText>
      </w:r>
      <w:r>
        <w:fldChar w:fldCharType="separate"/>
      </w:r>
      <w:r>
        <w:rPr>
          <w:u w:val="single"/>
        </w:rPr>
        <w:t>https://openaccess.city.ac.uk/id/eprint/30558/</w:t>
      </w:r>
      <w:r>
        <w:rPr>
          <w:u w:val="single"/>
        </w:rPr>
        <w:fldChar w:fldCharType="end"/>
      </w:r>
      <w:r>
        <w:t xml:space="preserve"> </w:t>
      </w:r>
    </w:p>
    <w:p w14:paraId="17068D0E">
      <w:pPr>
        <w:spacing w:before="240" w:after="240"/>
        <w:ind w:left="360"/>
      </w:pPr>
      <w:r>
        <w:t xml:space="preserve">NHS Digital., 2023. Mental health of children and young people in england, 2023 - wave 4 follow up to the 2017 survey. [online] NHS Digital. Available at: </w:t>
      </w:r>
      <w:r>
        <w:fldChar w:fldCharType="begin"/>
      </w:r>
      <w:r>
        <w:instrText xml:space="preserve"> HYPERLINK "https://digital.nhs.uk/data-and-information/publications/statistical/mental-health-of-children-and-young-people-in-england/2023-wave-4-follow-up" \h </w:instrText>
      </w:r>
      <w:r>
        <w:fldChar w:fldCharType="separate"/>
      </w:r>
      <w:r>
        <w:rPr>
          <w:u w:val="single"/>
        </w:rPr>
        <w:t>https://digital.nhs.uk/data-and-information/publications/statistical/mental-health-of-children-and-young-people-in-england/2023-wave-4-follow-up</w:t>
      </w:r>
      <w:r>
        <w:rPr>
          <w:u w:val="single"/>
        </w:rPr>
        <w:fldChar w:fldCharType="end"/>
      </w:r>
    </w:p>
    <w:p w14:paraId="715E1D3D">
      <w:pPr>
        <w:spacing w:before="240" w:after="240"/>
        <w:ind w:left="360"/>
      </w:pPr>
      <w:r>
        <w:t xml:space="preserve">NHS., 2026. Children and young people. [Online]. Available at </w:t>
      </w:r>
      <w:r>
        <w:fldChar w:fldCharType="begin"/>
      </w:r>
      <w:r>
        <w:instrText xml:space="preserve"> HYPERLINK "https://www.england.nhs.uk/mental-health/cyp/" \h </w:instrText>
      </w:r>
      <w:r>
        <w:fldChar w:fldCharType="separate"/>
      </w:r>
      <w:r>
        <w:rPr>
          <w:u w:val="single"/>
        </w:rPr>
        <w:t>https://www.england.nhs.uk/mental-health/cyp/</w:t>
      </w:r>
      <w:r>
        <w:rPr>
          <w:u w:val="single"/>
        </w:rPr>
        <w:fldChar w:fldCharType="end"/>
      </w:r>
      <w:r>
        <w:t xml:space="preserve"> [Accessed on 24.06.2026]</w:t>
      </w:r>
    </w:p>
    <w:p w14:paraId="42948E1E">
      <w:pPr>
        <w:spacing w:before="240" w:after="240"/>
        <w:ind w:left="360"/>
      </w:pPr>
      <w:r>
        <w:t>O’Brien, A., Hamilton, S., Humphrey, N., Qualter, P., Boehnke, J.R., Santos, J., Demkowicz, O., Panayiotou, M., Thompson, A., Lau, J. and Burke, L., 2023. Examining the impact of a universal social and emotional learning intervention (Passport) on internalising symptoms and other outcomes among children, compared to the usual school curriculum: study protocol for a school-based cluster randomised trial. Trials, 24(1), p.703.</w:t>
      </w:r>
      <w:r>
        <w:fldChar w:fldCharType="begin"/>
      </w:r>
      <w:r>
        <w:instrText xml:space="preserve"> HYPERLINK "https://doi.org/10.1186/s13063-023-07688-0" \h </w:instrText>
      </w:r>
      <w:r>
        <w:fldChar w:fldCharType="separate"/>
      </w:r>
      <w:r>
        <w:rPr>
          <w:u w:val="single"/>
        </w:rPr>
        <w:t>https://doi.org/10.1186/s13063-023-07688-0</w:t>
      </w:r>
      <w:r>
        <w:rPr>
          <w:u w:val="single"/>
        </w:rPr>
        <w:fldChar w:fldCharType="end"/>
      </w:r>
      <w:r>
        <w:t xml:space="preserve"> </w:t>
      </w:r>
    </w:p>
    <w:p w14:paraId="581CF089">
      <w:pPr>
        <w:spacing w:before="240" w:after="240"/>
        <w:ind w:left="360"/>
      </w:pPr>
      <w:r>
        <w:t xml:space="preserve">Omondi, K., 2024. Mental health stigma and its impact on Help-Seeking behavior. </w:t>
      </w:r>
      <w:r>
        <w:rPr>
          <w:i/>
          <w:iCs/>
        </w:rPr>
        <w:t>International journal of humanity and social sciences</w:t>
      </w:r>
      <w:r>
        <w:t xml:space="preserve">, 3(3), pp.15–29. </w:t>
      </w:r>
      <w:r>
        <w:fldChar w:fldCharType="begin"/>
      </w:r>
      <w:r>
        <w:instrText xml:space="preserve"> HYPERLINK "https://doi.org/10.47941/ijhss.2082" \h </w:instrText>
      </w:r>
      <w:r>
        <w:fldChar w:fldCharType="separate"/>
      </w:r>
      <w:r>
        <w:rPr>
          <w:u w:val="single"/>
        </w:rPr>
        <w:t>https://doi.org/10.47941/ijhss.2082</w:t>
      </w:r>
      <w:r>
        <w:rPr>
          <w:u w:val="single"/>
        </w:rPr>
        <w:fldChar w:fldCharType="end"/>
      </w:r>
    </w:p>
    <w:p w14:paraId="6944973A">
      <w:pPr>
        <w:ind w:left="360"/>
      </w:pPr>
      <w:r>
        <w:t xml:space="preserve">Padilla-Petry, P., Fantova-Romero, A., Rodríguez-Rodríguez, J. and Argemí-Baldich, R., 2026. Improving students' emotional well-being in an extracurricular activity: contrasting students' and professionals’ views on an emotionally supportive learning environment. </w:t>
      </w:r>
      <w:r>
        <w:rPr>
          <w:i/>
          <w:iCs/>
        </w:rPr>
        <w:t>Social Sciences &amp; Humanities Open</w:t>
      </w:r>
      <w:r>
        <w:t xml:space="preserve">, </w:t>
      </w:r>
      <w:r>
        <w:rPr>
          <w:i/>
          <w:iCs/>
        </w:rPr>
        <w:t>13</w:t>
      </w:r>
      <w:r>
        <w:t xml:space="preserve">, p.102752. </w:t>
      </w:r>
      <w:r>
        <w:fldChar w:fldCharType="begin"/>
      </w:r>
      <w:r>
        <w:instrText xml:space="preserve"> HYPERLINK "https://doi.org/10.1016/j.ssaho.2026.102752" \h </w:instrText>
      </w:r>
      <w:r>
        <w:fldChar w:fldCharType="separate"/>
      </w:r>
      <w:r>
        <w:rPr>
          <w:u w:val="single"/>
        </w:rPr>
        <w:t>https://doi.org/10.1016/j.ssaho.2026.102752</w:t>
      </w:r>
      <w:r>
        <w:rPr>
          <w:u w:val="single"/>
        </w:rPr>
        <w:fldChar w:fldCharType="end"/>
      </w:r>
      <w:r>
        <w:t xml:space="preserve"> </w:t>
      </w:r>
    </w:p>
    <w:p w14:paraId="076A75A6">
      <w:pPr>
        <w:spacing w:after="160"/>
        <w:ind w:left="360"/>
        <w:rPr>
          <w:u w:val="single"/>
        </w:rPr>
      </w:pPr>
      <w:r>
        <w:t>Palmer, C., Kane, J., Patterson, P. and Tuomainen, H., 2025. Universal mental health screening in schools: How acceptable is this to key stakeholders? A systematic review. Journal of Child and Family Studies, 34(2), pp.366-380.</w:t>
      </w:r>
      <w:r>
        <w:fldChar w:fldCharType="begin"/>
      </w:r>
      <w:r>
        <w:instrText xml:space="preserve"> HYPERLINK "https://doi.org/10.1007/s10826-025-03007-0" \h </w:instrText>
      </w:r>
      <w:r>
        <w:fldChar w:fldCharType="separate"/>
      </w:r>
      <w:r>
        <w:t xml:space="preserve"> </w:t>
      </w:r>
      <w:r>
        <w:fldChar w:fldCharType="end"/>
      </w:r>
      <w:r>
        <w:fldChar w:fldCharType="begin"/>
      </w:r>
      <w:r>
        <w:instrText xml:space="preserve"> HYPERLINK "https://doi.org/10.1007/s10826-025-03007-0" \h </w:instrText>
      </w:r>
      <w:r>
        <w:fldChar w:fldCharType="separate"/>
      </w:r>
      <w:r>
        <w:rPr>
          <w:u w:val="single"/>
        </w:rPr>
        <w:t>https://doi.org/10.1007/s10826-025-03007-0</w:t>
      </w:r>
      <w:r>
        <w:rPr>
          <w:u w:val="single"/>
        </w:rPr>
        <w:fldChar w:fldCharType="end"/>
      </w:r>
    </w:p>
    <w:p w14:paraId="1A301229">
      <w:pPr>
        <w:spacing w:before="240" w:after="240"/>
        <w:ind w:left="360"/>
      </w:pPr>
      <w:r>
        <w:t xml:space="preserve">Peipert, A., Krendl, A.C. and Lorenzo-Luaces, L., 2022. Waiting lists for Psychotherapy and provider attitudes towards Low-Intensity treatments as potential interventions: Survey study (preprint). </w:t>
      </w:r>
      <w:r>
        <w:rPr>
          <w:i/>
          <w:iCs/>
        </w:rPr>
        <w:t>JMIR formative research</w:t>
      </w:r>
      <w:r>
        <w:t xml:space="preserve">, 6(9).  </w:t>
      </w:r>
      <w:r>
        <w:fldChar w:fldCharType="begin"/>
      </w:r>
      <w:r>
        <w:instrText xml:space="preserve"> HYPERLINK "https://doi.org/10.2196/39787" \h </w:instrText>
      </w:r>
      <w:r>
        <w:fldChar w:fldCharType="separate"/>
      </w:r>
      <w:r>
        <w:rPr>
          <w:u w:val="single"/>
        </w:rPr>
        <w:t>https://doi.org/10.2196/39787</w:t>
      </w:r>
      <w:r>
        <w:rPr>
          <w:u w:val="single"/>
        </w:rPr>
        <w:fldChar w:fldCharType="end"/>
      </w:r>
    </w:p>
    <w:p w14:paraId="413572DB">
      <w:pPr>
        <w:spacing w:before="240" w:after="240"/>
        <w:ind w:left="360"/>
      </w:pPr>
      <w:r>
        <w:t xml:space="preserve">Proudfoot, K., 2023. Inductive/deductive hybrid thematic analysis in mixed methods research. </w:t>
      </w:r>
      <w:r>
        <w:rPr>
          <w:i/>
          <w:iCs/>
        </w:rPr>
        <w:t>Journal of mixed methods research</w:t>
      </w:r>
      <w:r>
        <w:t xml:space="preserve">, </w:t>
      </w:r>
      <w:r>
        <w:rPr>
          <w:i/>
          <w:iCs/>
        </w:rPr>
        <w:t>17</w:t>
      </w:r>
      <w:r>
        <w:t xml:space="preserve">(3), pp.308-326. </w:t>
      </w:r>
      <w:r>
        <w:fldChar w:fldCharType="begin"/>
      </w:r>
      <w:r>
        <w:instrText xml:space="preserve"> HYPERLINK "https://doi.org/10.1177/15586898221126816" \h </w:instrText>
      </w:r>
      <w:r>
        <w:fldChar w:fldCharType="separate"/>
      </w:r>
      <w:r>
        <w:rPr>
          <w:u w:val="single"/>
        </w:rPr>
        <w:t>https://doi.org/10.1177/15586898221126816</w:t>
      </w:r>
      <w:r>
        <w:rPr>
          <w:u w:val="single"/>
        </w:rPr>
        <w:fldChar w:fldCharType="end"/>
      </w:r>
      <w:r>
        <w:t xml:space="preserve"> </w:t>
      </w:r>
    </w:p>
    <w:p w14:paraId="3A840BBC">
      <w:pPr>
        <w:spacing w:before="240" w:after="240"/>
        <w:ind w:left="360"/>
      </w:pPr>
      <w:r>
        <w:t>Rashid, L., Bowes, L., Halligan, S.L. and Creswell, C., 2026. How Can Refugee Parents Be Supported to Help Their Young Children with Mental Health Needs? Parents’ and Stakeholders’ Perspectives. Child Psychiatry &amp; Human Development, pp.1-15.</w:t>
      </w:r>
      <w:r>
        <w:fldChar w:fldCharType="begin"/>
      </w:r>
      <w:r>
        <w:instrText xml:space="preserve"> HYPERLINK "https://doi.org/10.1007/s10578-026-02045-z" \h </w:instrText>
      </w:r>
      <w:r>
        <w:fldChar w:fldCharType="separate"/>
      </w:r>
      <w:r>
        <w:rPr>
          <w:u w:val="single"/>
        </w:rPr>
        <w:t>https://doi.org/10.1007/s10578-026-02045-z</w:t>
      </w:r>
      <w:r>
        <w:rPr>
          <w:u w:val="single"/>
        </w:rPr>
        <w:fldChar w:fldCharType="end"/>
      </w:r>
      <w:r>
        <w:t xml:space="preserve"> </w:t>
      </w:r>
    </w:p>
    <w:p w14:paraId="76C2EC68">
      <w:pPr>
        <w:spacing w:before="240" w:after="240"/>
        <w:ind w:left="360"/>
      </w:pPr>
      <w:r>
        <w:t>Reardon, T., Ball, S., Breen, M., Brown, P., Day, E., Ford, T., Gray, A., Green, I., Hill, C., Jasper, B. and King, T., 2022. Identifying Child Anxiety Through Schools-identification to intervention (iCATS-i2i): protocol for single-arm feasibility trial. Pilot and feasibility studies, 8(1), p.176.</w:t>
      </w:r>
      <w:r>
        <w:fldChar w:fldCharType="begin"/>
      </w:r>
      <w:r>
        <w:instrText xml:space="preserve"> HYPERLINK "https://doi.org/10.1186/s40814-022-01140-x" \h </w:instrText>
      </w:r>
      <w:r>
        <w:fldChar w:fldCharType="separate"/>
      </w:r>
      <w:r>
        <w:rPr>
          <w:u w:val="single"/>
        </w:rPr>
        <w:t>https://doi.org/10.1186/s40814-022-01140-x</w:t>
      </w:r>
      <w:r>
        <w:rPr>
          <w:u w:val="single"/>
        </w:rPr>
        <w:fldChar w:fldCharType="end"/>
      </w:r>
      <w:r>
        <w:t xml:space="preserve">  </w:t>
      </w:r>
    </w:p>
    <w:p w14:paraId="2EF44C11">
      <w:pPr>
        <w:spacing w:before="240" w:after="240"/>
        <w:ind w:left="360"/>
      </w:pPr>
      <w:r>
        <w:t>Reardon, T., Ukoumunne, O.C., Ball, S., Brown, P., Ford, T., Gray, A., Hill, C., Jasper, B., Larkin, M., Macdonald, I. and Morgan, F., 2025. Development of a brief assessment tool to identify children with probable anxiety disorders. JCPP advances, 5(2), p.e12265.</w:t>
      </w:r>
      <w:r>
        <w:fldChar w:fldCharType="begin"/>
      </w:r>
      <w:r>
        <w:instrText xml:space="preserve"> HYPERLINK "https://doi.org/10.1002/jcv2.12265" \h </w:instrText>
      </w:r>
      <w:r>
        <w:fldChar w:fldCharType="separate"/>
      </w:r>
      <w:r>
        <w:rPr>
          <w:u w:val="single"/>
        </w:rPr>
        <w:t>https://doi.org/10.1002/jcv2.12265</w:t>
      </w:r>
      <w:r>
        <w:rPr>
          <w:u w:val="single"/>
        </w:rPr>
        <w:fldChar w:fldCharType="end"/>
      </w:r>
      <w:r>
        <w:t xml:space="preserve"> </w:t>
      </w:r>
    </w:p>
    <w:p w14:paraId="6D16EC6F">
      <w:pPr>
        <w:spacing w:before="240" w:after="240"/>
        <w:ind w:left="360"/>
      </w:pPr>
      <w:r>
        <w:t>Reardon, T., Ukoumunne, O.C., Dodd, H., Halliday, G., Hill, C., Jasper, B., Jones, B., Lawrence, P.J., Morgan, F., Placzek, A. and Rapee, R.M., 2026. Parent‐led CBT delivered via online and telephone support alongside usual school practice versus usual school practice only for young children identified as at risk for anxiety disorders through screening in schools: a cluster randomised controlled trial. Journal of child psychology and psychiatry, 67(8), pp.1280-1296.doi:</w:t>
      </w:r>
      <w:r>
        <w:fldChar w:fldCharType="begin"/>
      </w:r>
      <w:r>
        <w:instrText xml:space="preserve"> HYPERLINK "https://acamh.onlinelibrary.wiley.com/toc/14697610/57/12" \h </w:instrText>
      </w:r>
      <w:r>
        <w:fldChar w:fldCharType="separate"/>
      </w:r>
      <w:r>
        <w:rPr>
          <w:u w:val="single"/>
        </w:rPr>
        <w:t xml:space="preserve">10.1111/jcpp.70119  </w:t>
      </w:r>
      <w:r>
        <w:rPr>
          <w:u w:val="single"/>
        </w:rPr>
        <w:fldChar w:fldCharType="end"/>
      </w:r>
    </w:p>
    <w:p w14:paraId="23794A5F">
      <w:pPr>
        <w:spacing w:before="240" w:after="240"/>
        <w:ind w:left="360"/>
      </w:pPr>
      <w:r>
        <w:t>Reardon, T., Ukoumunne, O.C., Taylor, L., Ball, S., Violato, M., Larkin, M., Fisk, J., Halliday, G., Yu, S., Williamson, V. and Ford, T., 2026. Screening-to-intervention pathway for child anxiety problems alongside usual school practice versus usual school practice only (iCATSi2i): a cluster-randomised, controlled trial in primary schools in England. The Lancet Psychiatry, 13(5), pp.396-412.</w:t>
      </w:r>
      <w:r>
        <w:fldChar w:fldCharType="begin"/>
      </w:r>
      <w:r>
        <w:instrText xml:space="preserve"> HYPERLINK "https://doi.org/10.1016/S2215-0366(26)00064-7" \h </w:instrText>
      </w:r>
      <w:r>
        <w:fldChar w:fldCharType="separate"/>
      </w:r>
      <w:r>
        <w:rPr>
          <w:u w:val="single"/>
        </w:rPr>
        <w:t>https://doi.org/10.1016/S2215-0366(26)00064-7</w:t>
      </w:r>
      <w:r>
        <w:rPr>
          <w:u w:val="single"/>
        </w:rPr>
        <w:fldChar w:fldCharType="end"/>
      </w:r>
      <w:r>
        <w:t xml:space="preserve"> </w:t>
      </w:r>
    </w:p>
    <w:p w14:paraId="7F26F5A6">
      <w:pPr>
        <w:spacing w:before="240" w:after="240"/>
        <w:ind w:left="360"/>
      </w:pPr>
      <w:r>
        <w:t>Renwick, L., Pedley, R., Johnson, I., Bell, V., Lovell, K., Bee, P. and Brooks, H., 2024. Mental health literacy in children and adolescents in low-and middle-income countries: a mixed studies systematic review and narrative synthesis. European child &amp; adolescent psychiatry, 33(4), pp.961-985.</w:t>
      </w:r>
      <w:r>
        <w:fldChar w:fldCharType="begin"/>
      </w:r>
      <w:r>
        <w:instrText xml:space="preserve"> HYPERLINK "https://doi.org/10.1007/s00787-022-01997-6" \h </w:instrText>
      </w:r>
      <w:r>
        <w:fldChar w:fldCharType="separate"/>
      </w:r>
      <w:r>
        <w:rPr>
          <w:u w:val="single"/>
        </w:rPr>
        <w:t>https://doi.org/10.1007/s00787-022-01997-6</w:t>
      </w:r>
      <w:r>
        <w:rPr>
          <w:u w:val="single"/>
        </w:rPr>
        <w:fldChar w:fldCharType="end"/>
      </w:r>
    </w:p>
    <w:p w14:paraId="14AAEB07">
      <w:pPr>
        <w:spacing w:before="240" w:after="240"/>
        <w:ind w:left="360"/>
      </w:pPr>
      <w:r>
        <w:t xml:space="preserve">Roach, E.J., Al-abri, K., Yesodharan, D.K., Arulappan, J., Al Sabei, S. and Al Shekaili, M.S., 2025. Barriers and facilitators in child and adolescent mental health services in a middle eastern country: Qualitative study. </w:t>
      </w:r>
      <w:r>
        <w:rPr>
          <w:i/>
          <w:iCs/>
        </w:rPr>
        <w:t>BMC health services research</w:t>
      </w:r>
      <w:r>
        <w:t xml:space="preserve">, 25(1). </w:t>
      </w:r>
      <w:r>
        <w:fldChar w:fldCharType="begin"/>
      </w:r>
      <w:r>
        <w:instrText xml:space="preserve"> HYPERLINK "https://doi.org/10.1186/s12913-025-13209-3" \h </w:instrText>
      </w:r>
      <w:r>
        <w:fldChar w:fldCharType="separate"/>
      </w:r>
      <w:r>
        <w:rPr>
          <w:u w:val="single"/>
        </w:rPr>
        <w:t>https://doi.org/10.1186/s12913-025-13209-3</w:t>
      </w:r>
      <w:r>
        <w:rPr>
          <w:u w:val="single"/>
        </w:rPr>
        <w:fldChar w:fldCharType="end"/>
      </w:r>
    </w:p>
    <w:p w14:paraId="7C07199F">
      <w:pPr>
        <w:spacing w:after="160"/>
        <w:ind w:left="360"/>
        <w:rPr>
          <w:u w:val="single"/>
        </w:rPr>
      </w:pPr>
      <w:r>
        <w:t>Robinson, E., Chapman, C., Orchard, F., Dixon, C. and John, M., 2025. Characteristics of young people referred for treatment of depression and anxiety in a school‐based mental health service. British Journal of Clinical Psychology, 64(3), pp.744-756. DOI: 10.1111/bjc.12526</w:t>
      </w:r>
      <w:r>
        <w:fldChar w:fldCharType="begin"/>
      </w:r>
      <w:r>
        <w:instrText xml:space="preserve"> HYPERLINK "https://bpspsychub.onlinelibrary.wiley.com/doi/pdfdirect/10.1111/bjc.12526" \h </w:instrText>
      </w:r>
      <w:r>
        <w:fldChar w:fldCharType="separate"/>
      </w:r>
      <w:r>
        <w:t xml:space="preserve"> </w:t>
      </w:r>
      <w:r>
        <w:fldChar w:fldCharType="end"/>
      </w:r>
      <w:r>
        <w:fldChar w:fldCharType="begin"/>
      </w:r>
      <w:r>
        <w:instrText xml:space="preserve"> HYPERLINK "https://bpspsychub.onlinelibrary.wiley.com/doi/pdfdirect/10.1111/bjc.12526" \h </w:instrText>
      </w:r>
      <w:r>
        <w:fldChar w:fldCharType="separate"/>
      </w:r>
      <w:r>
        <w:rPr>
          <w:u w:val="single"/>
        </w:rPr>
        <w:t>https://bpspsychub.onlinelibrary.wiley.com/doi/pdfdirect/10.1111/bjc.12526</w:t>
      </w:r>
      <w:r>
        <w:rPr>
          <w:u w:val="single"/>
        </w:rPr>
        <w:fldChar w:fldCharType="end"/>
      </w:r>
    </w:p>
    <w:p w14:paraId="376EDDCD">
      <w:pPr>
        <w:spacing w:before="240" w:after="240"/>
        <w:ind w:left="360"/>
      </w:pPr>
      <w:r>
        <w:t xml:space="preserve">Shah, J.L., Jones, N., van Os, J., McGorry, P.D. and Gülöksüz, S., 2022. Early intervention service systems for youth mental health: integrating pluripotentiality, clinical staging, and transdiagnostic lessons from early psychosis. </w:t>
      </w:r>
      <w:r>
        <w:rPr>
          <w:i/>
          <w:iCs/>
        </w:rPr>
        <w:t>The Lancet Psychiatry</w:t>
      </w:r>
      <w:r>
        <w:t xml:space="preserve">, </w:t>
      </w:r>
      <w:r>
        <w:rPr>
          <w:i/>
          <w:iCs/>
        </w:rPr>
        <w:t>9</w:t>
      </w:r>
      <w:r>
        <w:t xml:space="preserve">(5), pp.413-422. </w:t>
      </w:r>
      <w:r>
        <w:fldChar w:fldCharType="begin"/>
      </w:r>
      <w:r>
        <w:instrText xml:space="preserve"> HYPERLINK "https://www.thelancet.com/journals/lanpsy/article/PIIS2215-0366(21)00467-3/abstract" \h </w:instrText>
      </w:r>
      <w:r>
        <w:fldChar w:fldCharType="separate"/>
      </w:r>
      <w:r>
        <w:rPr>
          <w:u w:val="single"/>
        </w:rPr>
        <w:t>https://www.thelancet.com/journals/lanpsy/article/PIIS2215-0366(21)00467-3/abstract</w:t>
      </w:r>
      <w:r>
        <w:rPr>
          <w:u w:val="single"/>
        </w:rPr>
        <w:fldChar w:fldCharType="end"/>
      </w:r>
      <w:r>
        <w:t xml:space="preserve"> </w:t>
      </w:r>
    </w:p>
    <w:p w14:paraId="333FD0D3">
      <w:pPr>
        <w:spacing w:before="240" w:after="240"/>
        <w:ind w:left="360"/>
      </w:pPr>
      <w:r>
        <w:t xml:space="preserve">Smela, B., Toumi, M., Świerk, K., Francois, C., Biernikiewicz, M., Clay, E. and Boyer, L., 2023. Rapid literature review: definition and methodology. </w:t>
      </w:r>
      <w:r>
        <w:rPr>
          <w:i/>
          <w:iCs/>
        </w:rPr>
        <w:t>Journal of market access &amp; health policy</w:t>
      </w:r>
      <w:r>
        <w:t xml:space="preserve">, </w:t>
      </w:r>
      <w:r>
        <w:rPr>
          <w:i/>
          <w:iCs/>
        </w:rPr>
        <w:t>11</w:t>
      </w:r>
      <w:r>
        <w:t xml:space="preserve">(1), p.2241234. </w:t>
      </w:r>
      <w:r>
        <w:fldChar w:fldCharType="begin"/>
      </w:r>
      <w:r>
        <w:instrText xml:space="preserve"> HYPERLINK "https://doi.org/10.1080/20016689.2023.2241234" \h </w:instrText>
      </w:r>
      <w:r>
        <w:fldChar w:fldCharType="separate"/>
      </w:r>
      <w:r>
        <w:rPr>
          <w:u w:val="single"/>
        </w:rPr>
        <w:t>https://doi.org/10.1080/20016689.2023.2241234</w:t>
      </w:r>
      <w:r>
        <w:rPr>
          <w:u w:val="single"/>
        </w:rPr>
        <w:fldChar w:fldCharType="end"/>
      </w:r>
      <w:r>
        <w:t xml:space="preserve"> </w:t>
      </w:r>
    </w:p>
    <w:p w14:paraId="323AEFD7">
      <w:pPr>
        <w:spacing w:before="240" w:after="240"/>
        <w:ind w:left="360"/>
      </w:pPr>
      <w:r>
        <w:t xml:space="preserve">Soneson, E., Howarth, E., Weir, A., Jones, P.B. and Fazel, M., 2024. Empowering school staff to support pupil mental health through a brief, interactive web-based training program: mixed methods study. </w:t>
      </w:r>
      <w:r>
        <w:rPr>
          <w:i/>
          <w:iCs/>
        </w:rPr>
        <w:t>Journal of medical Internet research</w:t>
      </w:r>
      <w:r>
        <w:t xml:space="preserve">, </w:t>
      </w:r>
      <w:r>
        <w:rPr>
          <w:i/>
          <w:iCs/>
        </w:rPr>
        <w:t>26</w:t>
      </w:r>
      <w:r>
        <w:t xml:space="preserve">, p.e46764. </w:t>
      </w:r>
      <w:r>
        <w:fldChar w:fldCharType="begin"/>
      </w:r>
      <w:r>
        <w:instrText xml:space="preserve"> HYPERLINK "https://doi.org/10.2196/46764" \h </w:instrText>
      </w:r>
      <w:r>
        <w:fldChar w:fldCharType="separate"/>
      </w:r>
      <w:r>
        <w:rPr>
          <w:u w:val="single"/>
        </w:rPr>
        <w:t>https://doi.org/10.2196/46764</w:t>
      </w:r>
      <w:r>
        <w:rPr>
          <w:u w:val="single"/>
        </w:rPr>
        <w:fldChar w:fldCharType="end"/>
      </w:r>
    </w:p>
    <w:p w14:paraId="1A0FE5FF">
      <w:pPr>
        <w:spacing w:after="160"/>
        <w:ind w:left="360"/>
        <w:rPr>
          <w:u w:val="single"/>
        </w:rPr>
      </w:pPr>
      <w:r>
        <w:t>Songco, A., Francis, D.A., McDermott, E.A., Lim, C.Y., Allsop, A., Croguennec, J., Sicouri, G., Mackinnon, A. and Hudson, J.L., 2025. The impact of universal mental health screening on stigma in primary schools. Child and Adolescent Psychiatry and Mental Health, 19(1), p.5.</w:t>
      </w:r>
      <w:r>
        <w:fldChar w:fldCharType="begin"/>
      </w:r>
      <w:r>
        <w:instrText xml:space="preserve"> HYPERLINK "https://doi.org/10.1186/s13034-024-00854-5" \h </w:instrText>
      </w:r>
      <w:r>
        <w:fldChar w:fldCharType="separate"/>
      </w:r>
      <w:r>
        <w:t xml:space="preserve"> </w:t>
      </w:r>
      <w:r>
        <w:fldChar w:fldCharType="end"/>
      </w:r>
      <w:r>
        <w:fldChar w:fldCharType="begin"/>
      </w:r>
      <w:r>
        <w:instrText xml:space="preserve"> HYPERLINK "https://doi.org/10.1186/s13034-024-00854-5" \h </w:instrText>
      </w:r>
      <w:r>
        <w:fldChar w:fldCharType="separate"/>
      </w:r>
      <w:r>
        <w:rPr>
          <w:u w:val="single"/>
        </w:rPr>
        <w:t>https://doi.org/10.1186/s13034-024-00854-5</w:t>
      </w:r>
      <w:r>
        <w:rPr>
          <w:u w:val="single"/>
        </w:rPr>
        <w:fldChar w:fldCharType="end"/>
      </w:r>
    </w:p>
    <w:p w14:paraId="6EF727C6">
      <w:pPr>
        <w:spacing w:before="240" w:after="240"/>
        <w:ind w:left="360"/>
      </w:pPr>
      <w:r>
        <w:t xml:space="preserve">Sony, E., Ali, E., Cletus, E., Agbakhamen, O., Ogheneteme, E. and Okoro, P., 2025. Ethical standards in Research: A professional imperative. </w:t>
      </w:r>
      <w:r>
        <w:rPr>
          <w:i/>
          <w:iCs/>
        </w:rPr>
        <w:t>International journal of innovative scientific &amp; engineering technologies research</w:t>
      </w:r>
      <w:r>
        <w:t xml:space="preserve">, [online] 13(1), pp.94–104. </w:t>
      </w:r>
      <w:r>
        <w:fldChar w:fldCharType="begin"/>
      </w:r>
      <w:r>
        <w:instrText xml:space="preserve"> HYPERLINK "https://doi.org/10.5281/zenodo.14875237" \h </w:instrText>
      </w:r>
      <w:r>
        <w:fldChar w:fldCharType="separate"/>
      </w:r>
      <w:r>
        <w:rPr>
          <w:u w:val="single"/>
        </w:rPr>
        <w:t>https://doi.org/10.5281/zenodo.14875237</w:t>
      </w:r>
      <w:r>
        <w:rPr>
          <w:u w:val="single"/>
        </w:rPr>
        <w:fldChar w:fldCharType="end"/>
      </w:r>
    </w:p>
    <w:p w14:paraId="1ABDC35B">
      <w:pPr>
        <w:spacing w:after="160"/>
        <w:ind w:left="360"/>
        <w:rPr>
          <w:u w:val="single"/>
        </w:rPr>
      </w:pPr>
      <w:r>
        <w:t>Spencer, L., Carling, S., Robinson, T., Thomson, K. and Kaner, E., 2025. Selective and indicated UK school-based mental health interventions: a systematic review and narrative synthesis. Journal of Mental Health, 34(4), pp.496-509.</w:t>
      </w:r>
      <w:r>
        <w:fldChar w:fldCharType="begin"/>
      </w:r>
      <w:r>
        <w:instrText xml:space="preserve"> HYPERLINK "https://doi.org/10.1080/09638237.2025.2460118" \h </w:instrText>
      </w:r>
      <w:r>
        <w:fldChar w:fldCharType="separate"/>
      </w:r>
      <w:r>
        <w:t xml:space="preserve"> </w:t>
      </w:r>
      <w:r>
        <w:fldChar w:fldCharType="end"/>
      </w:r>
      <w:r>
        <w:fldChar w:fldCharType="begin"/>
      </w:r>
      <w:r>
        <w:instrText xml:space="preserve"> HYPERLINK "https://doi.org/10.1080/09638237.2025.2460118" \h </w:instrText>
      </w:r>
      <w:r>
        <w:fldChar w:fldCharType="separate"/>
      </w:r>
      <w:r>
        <w:rPr>
          <w:u w:val="single"/>
        </w:rPr>
        <w:t>https://doi.org/10.1080/09638237.2025.2460118</w:t>
      </w:r>
      <w:r>
        <w:rPr>
          <w:u w:val="single"/>
        </w:rPr>
        <w:fldChar w:fldCharType="end"/>
      </w:r>
    </w:p>
    <w:p w14:paraId="7CFC273D">
      <w:pPr>
        <w:spacing w:after="160"/>
        <w:ind w:left="360"/>
        <w:rPr>
          <w:u w:val="single"/>
        </w:rPr>
      </w:pPr>
      <w:r>
        <w:t>Stapley, E., March, A., Mansfield, R., Ashworth, E., Burrell, K., Thompson, A., Ravaccia, G., Deighton, J. and Hayes, D., 2026. A qualitative study of school staff experiences of implementing five universal mental health interventions in England. Contemporary School Psychology, pp.1-17.</w:t>
      </w:r>
      <w:r>
        <w:fldChar w:fldCharType="begin"/>
      </w:r>
      <w:r>
        <w:instrText xml:space="preserve"> HYPERLINK "https://doi.org/10.1007/s40688-025-00574-3" \h </w:instrText>
      </w:r>
      <w:r>
        <w:fldChar w:fldCharType="separate"/>
      </w:r>
      <w:r>
        <w:t xml:space="preserve"> </w:t>
      </w:r>
      <w:r>
        <w:fldChar w:fldCharType="end"/>
      </w:r>
      <w:r>
        <w:fldChar w:fldCharType="begin"/>
      </w:r>
      <w:r>
        <w:instrText xml:space="preserve"> HYPERLINK "https://doi.org/10.1007/s40688-025-00574-3" \h </w:instrText>
      </w:r>
      <w:r>
        <w:fldChar w:fldCharType="separate"/>
      </w:r>
      <w:r>
        <w:rPr>
          <w:u w:val="single"/>
        </w:rPr>
        <w:t>https://doi.org/10.1007/s40688-025-00574-3</w:t>
      </w:r>
      <w:r>
        <w:rPr>
          <w:u w:val="single"/>
        </w:rPr>
        <w:fldChar w:fldCharType="end"/>
      </w:r>
    </w:p>
    <w:p w14:paraId="707A3D4D">
      <w:pPr>
        <w:spacing w:after="160"/>
        <w:ind w:left="360"/>
        <w:rPr>
          <w:u w:val="single"/>
        </w:rPr>
      </w:pPr>
      <w:r>
        <w:t xml:space="preserve">Storm, M.M., van Eldik, W.M., Nooteboom, L.A. and Vermeiren, R.R.J.M., 2025. Social determinants associated with mental health problems in youth with intellectual disability: a systematic literature review. </w:t>
      </w:r>
      <w:r>
        <w:rPr>
          <w:i/>
          <w:iCs/>
        </w:rPr>
        <w:t>European Child &amp; Adolescent Psychiatry</w:t>
      </w:r>
      <w:r>
        <w:t xml:space="preserve">, </w:t>
      </w:r>
      <w:r>
        <w:rPr>
          <w:i/>
          <w:iCs/>
        </w:rPr>
        <w:t>34</w:t>
      </w:r>
      <w:r>
        <w:t>(12), pp.3697-3711.</w:t>
      </w:r>
      <w:r>
        <w:fldChar w:fldCharType="begin"/>
      </w:r>
      <w:r>
        <w:instrText xml:space="preserve"> HYPERLINK "https://doi.org/10.1007/s00787-025-02794-7" \h </w:instrText>
      </w:r>
      <w:r>
        <w:fldChar w:fldCharType="separate"/>
      </w:r>
      <w:r>
        <w:t xml:space="preserve"> </w:t>
      </w:r>
      <w:r>
        <w:fldChar w:fldCharType="end"/>
      </w:r>
      <w:r>
        <w:fldChar w:fldCharType="begin"/>
      </w:r>
      <w:r>
        <w:instrText xml:space="preserve"> HYPERLINK "https://doi.org/10.1007/s00787-025-02794-7" \h </w:instrText>
      </w:r>
      <w:r>
        <w:fldChar w:fldCharType="separate"/>
      </w:r>
      <w:r>
        <w:rPr>
          <w:u w:val="single"/>
        </w:rPr>
        <w:t>https://doi.org/10.1007/s00787-025-02794-7</w:t>
      </w:r>
      <w:r>
        <w:rPr>
          <w:u w:val="single"/>
        </w:rPr>
        <w:fldChar w:fldCharType="end"/>
      </w:r>
    </w:p>
    <w:p w14:paraId="1C8EB3C7">
      <w:pPr>
        <w:ind w:left="360"/>
      </w:pPr>
      <w:r>
        <w:t xml:space="preserve">Subramanyam, A.A., Somaiya, M. and De Sousa, A., 2024. Mental health and well-being in children and adolescents. </w:t>
      </w:r>
      <w:r>
        <w:rPr>
          <w:i/>
          <w:iCs/>
        </w:rPr>
        <w:t>Indian Journal of Psychiatry</w:t>
      </w:r>
      <w:r>
        <w:t xml:space="preserve">, </w:t>
      </w:r>
      <w:r>
        <w:rPr>
          <w:i/>
          <w:iCs/>
        </w:rPr>
        <w:t>66</w:t>
      </w:r>
      <w:r>
        <w:t xml:space="preserve">(Suppl 2), p.S304. </w:t>
      </w:r>
      <w:r>
        <w:fldChar w:fldCharType="begin"/>
      </w:r>
      <w:r>
        <w:instrText xml:space="preserve"> HYPERLINK "https://doi.org/10.4103/indianjpsychiatry.indianjpsychiatry_624_23" \h </w:instrText>
      </w:r>
      <w:r>
        <w:fldChar w:fldCharType="separate"/>
      </w:r>
      <w:r>
        <w:rPr>
          <w:u w:val="single"/>
        </w:rPr>
        <w:t>https://doi.org/10.4103/indianjpsychiatry.indianjpsychiatry_624_23</w:t>
      </w:r>
      <w:r>
        <w:rPr>
          <w:u w:val="single"/>
        </w:rPr>
        <w:fldChar w:fldCharType="end"/>
      </w:r>
      <w:r>
        <w:t xml:space="preserve"> </w:t>
      </w:r>
    </w:p>
    <w:p w14:paraId="29939610">
      <w:pPr>
        <w:spacing w:before="240" w:after="240"/>
        <w:ind w:left="360"/>
      </w:pPr>
      <w:r>
        <w:t xml:space="preserve">Suppiej, A., Longo, I. and Pettoello-Mantovani, M., 2025. The pivotal role of mental health in child and adolescent development. </w:t>
      </w:r>
      <w:r>
        <w:rPr>
          <w:i/>
          <w:iCs/>
        </w:rPr>
        <w:t>Global pediatrics</w:t>
      </w:r>
      <w:r>
        <w:t xml:space="preserve">, 13, p.100277. </w:t>
      </w:r>
      <w:r>
        <w:fldChar w:fldCharType="begin"/>
      </w:r>
      <w:r>
        <w:instrText xml:space="preserve"> HYPERLINK "https://doi.org/10.1016/j.gpeds.2025.100277" \h </w:instrText>
      </w:r>
      <w:r>
        <w:fldChar w:fldCharType="separate"/>
      </w:r>
      <w:r>
        <w:rPr>
          <w:u w:val="single"/>
        </w:rPr>
        <w:t>https://doi.org/10.1016/j.gpeds.2025.100277</w:t>
      </w:r>
      <w:r>
        <w:rPr>
          <w:u w:val="single"/>
        </w:rPr>
        <w:fldChar w:fldCharType="end"/>
      </w:r>
    </w:p>
    <w:p w14:paraId="1DF0A334">
      <w:pPr>
        <w:spacing w:before="240" w:after="240"/>
        <w:ind w:left="360"/>
      </w:pPr>
      <w:r>
        <w:t>Tasca, I., Guidi, M., Turriziani, P., Mento, G. and Tarantino, V., 2024. Behavioral and socio-emotional disorders in intellectual giftedness: A systematic review. Child Psychiatry &amp; Human Development, 55(3), pp.768-789.</w:t>
      </w:r>
      <w:r>
        <w:fldChar w:fldCharType="begin"/>
      </w:r>
      <w:r>
        <w:instrText xml:space="preserve"> HYPERLINK "https://doi.org/10.1007/s10578-022-01420-w" \h </w:instrText>
      </w:r>
      <w:r>
        <w:fldChar w:fldCharType="separate"/>
      </w:r>
      <w:r>
        <w:rPr>
          <w:u w:val="single"/>
        </w:rPr>
        <w:t>https://doi.org/10.1007/s10578-022-01420-w</w:t>
      </w:r>
      <w:r>
        <w:rPr>
          <w:u w:val="single"/>
        </w:rPr>
        <w:fldChar w:fldCharType="end"/>
      </w:r>
    </w:p>
    <w:p w14:paraId="33B1CEFE">
      <w:pPr>
        <w:spacing w:before="240" w:after="240"/>
        <w:ind w:left="360"/>
      </w:pPr>
      <w:r>
        <w:t xml:space="preserve">Thomson, A., Harriss, E., Peters-Corbett, A., Koppel, K. and Creswell, C., 2023. Barriers and facilitators of community-based implementation of evidence-based interventions in the UK, for children and young people's mental health promotion, prevention and treatment: rapid scoping review. BJPsych Open, 9(4), p.e132.doi: </w:t>
      </w:r>
      <w:r>
        <w:fldChar w:fldCharType="begin"/>
      </w:r>
      <w:r>
        <w:instrText xml:space="preserve"> HYPERLINK "https://www.cambridge.org/core/journals/bjpsych-open/article/barriers-and-facilitators-of-communitybased-implementation-of-evidencebased-interventions-in-the-uk-for-children-and-young-peoples-mental-health-promotion-prevention-and-treatment-rapid-scoping-review/1FF3DF6E9EDEC667B9960A41A8DA6BDB" \h </w:instrText>
      </w:r>
      <w:r>
        <w:fldChar w:fldCharType="separate"/>
      </w:r>
      <w:r>
        <w:rPr>
          <w:u w:val="single"/>
        </w:rPr>
        <w:t xml:space="preserve">10.1192/bjo.2023.531 </w:t>
      </w:r>
      <w:r>
        <w:rPr>
          <w:u w:val="single"/>
        </w:rPr>
        <w:fldChar w:fldCharType="end"/>
      </w:r>
    </w:p>
    <w:p w14:paraId="475EBC97">
      <w:pPr>
        <w:spacing w:after="160"/>
        <w:ind w:left="360"/>
        <w:rPr>
          <w:u w:val="single"/>
        </w:rPr>
      </w:pPr>
      <w:r>
        <w:t>Thomson, L., Newman, K., Ewart, C., Bhardwaj, A., Dubicka, B., Marshall, T., Gledhill, J., Lang, A., Sprange, K. and Sayal, K., 2025. Barriers and facilitators to using standardised diagnostic assessments in child and adolescent mental health services: a qualitative process evaluation of the STADIA trial. European Child &amp; Adolescent Psychiatry, 34(9), pp.2763-2777.</w:t>
      </w:r>
      <w:r>
        <w:fldChar w:fldCharType="begin"/>
      </w:r>
      <w:r>
        <w:instrText xml:space="preserve"> HYPERLINK "https://doi.org/10.1007/s00787-025-02678-w" \h </w:instrText>
      </w:r>
      <w:r>
        <w:fldChar w:fldCharType="separate"/>
      </w:r>
      <w:r>
        <w:t xml:space="preserve"> </w:t>
      </w:r>
      <w:r>
        <w:fldChar w:fldCharType="end"/>
      </w:r>
      <w:r>
        <w:fldChar w:fldCharType="begin"/>
      </w:r>
      <w:r>
        <w:instrText xml:space="preserve"> HYPERLINK "https://doi.org/10.1007/s00787-025-02678-w" \h </w:instrText>
      </w:r>
      <w:r>
        <w:fldChar w:fldCharType="separate"/>
      </w:r>
      <w:r>
        <w:rPr>
          <w:u w:val="single"/>
        </w:rPr>
        <w:t>https://doi.org/10.1007/s00787-025-02678-w</w:t>
      </w:r>
      <w:r>
        <w:rPr>
          <w:u w:val="single"/>
        </w:rPr>
        <w:fldChar w:fldCharType="end"/>
      </w:r>
    </w:p>
    <w:p w14:paraId="1875D04A">
      <w:pPr>
        <w:spacing w:before="240" w:after="240"/>
        <w:ind w:left="360"/>
      </w:pPr>
      <w:r>
        <w:t xml:space="preserve">Totsika, V., Liew, A., Absoud, M., Adnams, C. and Emerson, E., 2022. Mental health problems in children with intellectual disability. The Lancet Child &amp; Adolescent Health, 6(6), pp.432-444. </w:t>
      </w:r>
      <w:r>
        <w:fldChar w:fldCharType="begin"/>
      </w:r>
      <w:r>
        <w:instrText xml:space="preserve"> HYPERLINK "https://www.thelancet.com/journals/lanchi/article/PIIS2352-4642(22)00067-0/abstract" \h </w:instrText>
      </w:r>
      <w:r>
        <w:fldChar w:fldCharType="separate"/>
      </w:r>
      <w:r>
        <w:rPr>
          <w:u w:val="single"/>
        </w:rPr>
        <w:t>https://www.thelancet.com/journals/lanchi/article/PIIS2352-4642(22)00067-0/abstract</w:t>
      </w:r>
      <w:r>
        <w:rPr>
          <w:u w:val="single"/>
        </w:rPr>
        <w:fldChar w:fldCharType="end"/>
      </w:r>
      <w:r>
        <w:t xml:space="preserve">  </w:t>
      </w:r>
    </w:p>
    <w:p w14:paraId="7AC45BC7">
      <w:pPr>
        <w:ind w:left="360"/>
      </w:pPr>
      <w:r>
        <w:t xml:space="preserve">Turnbull, M., Kirk, H., Lincoln, M., Peacock, S. and Howey, L., 2023. A pilot evaluation of the role of a children’s wellbeing practitioner (CWP) in a child and adolescent mental health service (CAMHS). </w:t>
      </w:r>
      <w:r>
        <w:rPr>
          <w:i/>
          <w:iCs/>
        </w:rPr>
        <w:t>Clinical child psychology and psychiatry</w:t>
      </w:r>
      <w:r>
        <w:t xml:space="preserve">, </w:t>
      </w:r>
      <w:r>
        <w:rPr>
          <w:i/>
          <w:iCs/>
        </w:rPr>
        <w:t>28</w:t>
      </w:r>
      <w:r>
        <w:t xml:space="preserve">(3), pp.1150-1159. </w:t>
      </w:r>
      <w:r>
        <w:fldChar w:fldCharType="begin"/>
      </w:r>
      <w:r>
        <w:instrText xml:space="preserve"> HYPERLINK "https://doi.org/10.1177/13591045231157621" \h </w:instrText>
      </w:r>
      <w:r>
        <w:fldChar w:fldCharType="separate"/>
      </w:r>
      <w:r>
        <w:rPr>
          <w:u w:val="single"/>
        </w:rPr>
        <w:t>https://doi.org/10.1177/13591045231157621</w:t>
      </w:r>
      <w:r>
        <w:rPr>
          <w:u w:val="single"/>
        </w:rPr>
        <w:fldChar w:fldCharType="end"/>
      </w:r>
      <w:r>
        <w:t xml:space="preserve"> </w:t>
      </w:r>
    </w:p>
    <w:p w14:paraId="5A01EAA3">
      <w:pPr>
        <w:spacing w:before="240" w:after="240"/>
        <w:ind w:left="360"/>
      </w:pPr>
      <w:r>
        <w:t xml:space="preserve">Veroniki, A.A., Hutton, B., Stevens, A., McKenzie, J.E., Page, M.J., Moher, D., McGowan, J., Straus, S.E., Li, T., Munn, Z. and Pollock, D., 2025. Update to the PRISMA guidelines for network meta-analyses and scoping reviews and development of guidelines for rapid reviews: a scoping review protocol. </w:t>
      </w:r>
      <w:r>
        <w:rPr>
          <w:i/>
          <w:iCs/>
        </w:rPr>
        <w:t>JBI evidence synthesis</w:t>
      </w:r>
      <w:r>
        <w:t xml:space="preserve">, </w:t>
      </w:r>
      <w:r>
        <w:rPr>
          <w:i/>
          <w:iCs/>
        </w:rPr>
        <w:t>23</w:t>
      </w:r>
      <w:r>
        <w:t xml:space="preserve">(3), pp.517-526. DOI: </w:t>
      </w:r>
      <w:r>
        <w:fldChar w:fldCharType="begin"/>
      </w:r>
      <w:r>
        <w:instrText xml:space="preserve"> HYPERLINK "https://journals.lww.com/jbisrir/fulltext/2025/03000/update_to_the_prisma_guidelines_for_network.7.aspx" \h </w:instrText>
      </w:r>
      <w:r>
        <w:fldChar w:fldCharType="separate"/>
      </w:r>
      <w:r>
        <w:rPr>
          <w:u w:val="single"/>
        </w:rPr>
        <w:t>10.11124/JBIES-24-00308</w:t>
      </w:r>
      <w:r>
        <w:rPr>
          <w:u w:val="single"/>
        </w:rPr>
        <w:fldChar w:fldCharType="end"/>
      </w:r>
    </w:p>
    <w:p w14:paraId="1693471C">
      <w:pPr>
        <w:ind w:left="360"/>
      </w:pPr>
      <w:r>
        <w:t xml:space="preserve">Wardany, D.K., 2024. Early intervention strategies to support mental health and social development in children. </w:t>
      </w:r>
      <w:r>
        <w:rPr>
          <w:i/>
          <w:iCs/>
        </w:rPr>
        <w:t>International Journal of Education and Humanities</w:t>
      </w:r>
      <w:r>
        <w:t xml:space="preserve">, </w:t>
      </w:r>
      <w:r>
        <w:rPr>
          <w:i/>
          <w:iCs/>
        </w:rPr>
        <w:t>4</w:t>
      </w:r>
      <w:r>
        <w:t xml:space="preserve">(3), pp.256-265. </w:t>
      </w:r>
      <w:r>
        <w:fldChar w:fldCharType="begin"/>
      </w:r>
      <w:r>
        <w:instrText xml:space="preserve"> HYPERLINK "http://i-jeh.com/index.php/ijeh/article/view/238" \h </w:instrText>
      </w:r>
      <w:r>
        <w:fldChar w:fldCharType="separate"/>
      </w:r>
      <w:r>
        <w:rPr>
          <w:u w:val="single"/>
        </w:rPr>
        <w:t>http://i-jeh.com/index.php/ijeh/article/view/238</w:t>
      </w:r>
      <w:r>
        <w:rPr>
          <w:u w:val="single"/>
        </w:rPr>
        <w:fldChar w:fldCharType="end"/>
      </w:r>
      <w:r>
        <w:t xml:space="preserve"> </w:t>
      </w:r>
    </w:p>
    <w:p w14:paraId="2B1BB31F">
      <w:pPr>
        <w:spacing w:before="240" w:after="240"/>
        <w:ind w:left="360"/>
      </w:pPr>
      <w:r>
        <w:t>Williamson, V., Larkin, M., Reardon, T., Ford, T., Spence, S.H., Morgan, F. and Creswell, C., 2022. Primary school-based screening for childhood mental health problems and intervention delivery: a qualitative study of parents in challenging circumstances. Emotional and Behavioural Difficulties, 27(4), pp.267-279.</w:t>
      </w:r>
      <w:r>
        <w:fldChar w:fldCharType="begin"/>
      </w:r>
      <w:r>
        <w:instrText xml:space="preserve"> HYPERLINK "https://doi.org/10.1080/13632752.2022.2122285" \h </w:instrText>
      </w:r>
      <w:r>
        <w:fldChar w:fldCharType="separate"/>
      </w:r>
      <w:r>
        <w:rPr>
          <w:u w:val="single"/>
        </w:rPr>
        <w:t>https://doi.org/10.1080/13632752.2022.2122285</w:t>
      </w:r>
      <w:r>
        <w:rPr>
          <w:u w:val="single"/>
        </w:rPr>
        <w:fldChar w:fldCharType="end"/>
      </w:r>
      <w:r>
        <w:t xml:space="preserve"> </w:t>
      </w:r>
    </w:p>
    <w:p w14:paraId="60B37DB5">
      <w:pPr>
        <w:spacing w:before="240" w:after="240"/>
        <w:ind w:left="360"/>
      </w:pPr>
      <w:r>
        <w:t>Williamson, V., Larkin, M., Reardon, T., Pearcey, S., Button, R., Green, I., Hill, C., Stallard, P., Spence, S.H., Breen, M. and Mcdonald, I., 2022. School-based screening for childhood anxiety problems and intervention delivery: a codesign approach. BMJ open, 12(6), p.e058089.</w:t>
      </w:r>
      <w:r>
        <w:fldChar w:fldCharType="begin"/>
      </w:r>
      <w:r>
        <w:instrText xml:space="preserve"> HYPERLINK "http://dx.doi.org/10.1136/bmjopen-2021-058089" \h </w:instrText>
      </w:r>
      <w:r>
        <w:fldChar w:fldCharType="separate"/>
      </w:r>
      <w:r>
        <w:rPr>
          <w:u w:val="single"/>
        </w:rPr>
        <w:t>http://dx.doi.org/10.1136/bmjopen-2021-058089</w:t>
      </w:r>
      <w:r>
        <w:rPr>
          <w:u w:val="single"/>
        </w:rPr>
        <w:fldChar w:fldCharType="end"/>
      </w:r>
      <w:r>
        <w:t xml:space="preserve">  </w:t>
      </w:r>
    </w:p>
    <w:p w14:paraId="60EA739A">
      <w:pPr>
        <w:spacing w:before="240" w:after="240"/>
        <w:ind w:left="360"/>
      </w:pPr>
      <w:r>
        <w:t>Williamson, V., Larkin, M., Reardon, T., Pearcey, S., Hill, C., Stallard, P., Spence, S.H., Breen, M., Macdonald, I., Ukoumunne, O. and Ford, T., 2021. Codesign and development of a primary school based pathway for child anxiety screening and intervention delivery: a protocol, mixed-methods feasibility study. BMJ open, 11(4), p.e044852.doi:</w:t>
      </w:r>
      <w:r>
        <w:fldChar w:fldCharType="begin"/>
      </w:r>
      <w:r>
        <w:instrText xml:space="preserve"> HYPERLINK "https://bmjopen.bmj.com/content/11/4/e044852" \h </w:instrText>
      </w:r>
      <w:r>
        <w:fldChar w:fldCharType="separate"/>
      </w:r>
      <w:r>
        <w:rPr>
          <w:u w:val="single"/>
        </w:rPr>
        <w:t xml:space="preserve">10.1136/bmjopen-2020-044852  </w:t>
      </w:r>
      <w:r>
        <w:rPr>
          <w:u w:val="single"/>
        </w:rPr>
        <w:fldChar w:fldCharType="end"/>
      </w:r>
      <w:r>
        <w:t xml:space="preserve"> </w:t>
      </w:r>
    </w:p>
    <w:p w14:paraId="1D61B589">
      <w:pPr>
        <w:spacing w:before="240" w:after="240"/>
        <w:ind w:left="360"/>
      </w:pPr>
      <w:r>
        <w:t>Williamson, V., Larkin, M., Reardon, T., Stallard, P., Spence, S.H., Macdonald, I., Ukoumunne, O.C., Ford, T., Violato, M., Sniehotta, F.F. and Stainer, J., 2025. Protocol for the process evaluation for a cluster randomised controlled trial evaluating primary school-based screening and intervention delivery for childhood anxiety problems. BMJ open, 15(2), p.e082691.</w:t>
      </w:r>
      <w:r>
        <w:fldChar w:fldCharType="begin"/>
      </w:r>
      <w:r>
        <w:instrText xml:space="preserve"> HYPERLINK "https://bmjopen.bmj.com/content/bmjopen/15/2/e082691.full.pdf" \h </w:instrText>
      </w:r>
      <w:r>
        <w:fldChar w:fldCharType="separate"/>
      </w:r>
      <w:r>
        <w:rPr>
          <w:u w:val="single"/>
        </w:rPr>
        <w:t>https://bmjopen.bmj.com/content/bmjopen/15/2/e082691.full.pdf</w:t>
      </w:r>
      <w:r>
        <w:rPr>
          <w:u w:val="single"/>
        </w:rPr>
        <w:fldChar w:fldCharType="end"/>
      </w:r>
      <w:r>
        <w:t xml:space="preserve">  </w:t>
      </w:r>
    </w:p>
    <w:p w14:paraId="487E1366">
      <w:pPr>
        <w:spacing w:after="160"/>
        <w:ind w:left="360"/>
        <w:rPr>
          <w:u w:val="single"/>
        </w:rPr>
      </w:pPr>
      <w:r>
        <w:t>Winship, G., MacDonald, S. and Wang, H., 2025. A study of birth order and family characteristics in referrals to two UK primary school psychotherapy services. Journal of Child Psychotherapy, 51(3), pp.508-524.</w:t>
      </w:r>
      <w:r>
        <w:fldChar w:fldCharType="begin"/>
      </w:r>
      <w:r>
        <w:instrText xml:space="preserve"> HYPERLINK "https://doi.org/10.1080/0075417X.2025.2539319" \h </w:instrText>
      </w:r>
      <w:r>
        <w:fldChar w:fldCharType="separate"/>
      </w:r>
      <w:r>
        <w:t xml:space="preserve"> </w:t>
      </w:r>
      <w:r>
        <w:fldChar w:fldCharType="end"/>
      </w:r>
      <w:r>
        <w:fldChar w:fldCharType="begin"/>
      </w:r>
      <w:r>
        <w:instrText xml:space="preserve"> HYPERLINK "https://doi.org/10.1080/0075417X.2025.2539319" \h </w:instrText>
      </w:r>
      <w:r>
        <w:fldChar w:fldCharType="separate"/>
      </w:r>
      <w:r>
        <w:rPr>
          <w:u w:val="single"/>
        </w:rPr>
        <w:t>https://doi.org/10.1080/0075417X.2025.2539319</w:t>
      </w:r>
      <w:r>
        <w:rPr>
          <w:u w:val="single"/>
        </w:rPr>
        <w:fldChar w:fldCharType="end"/>
      </w:r>
    </w:p>
    <w:p w14:paraId="27BB0699">
      <w:pPr>
        <w:spacing w:before="240" w:after="240"/>
        <w:ind w:left="360"/>
      </w:pPr>
      <w:r>
        <w:t>World Health Organization., 2022. Child and Adolescent Mental and Brain Health. [online] www.who.int. Available at: https://www.who.int/activities/improving-the-mental-and-brain-health-of-children-and-adolescents.</w:t>
      </w:r>
    </w:p>
    <w:p w14:paraId="4CF8ED8E">
      <w:pPr>
        <w:spacing w:before="240" w:after="240"/>
        <w:ind w:left="360"/>
      </w:pPr>
      <w:r>
        <w:t xml:space="preserve">World Health Organization., 2022. </w:t>
      </w:r>
      <w:r>
        <w:rPr>
          <w:i/>
          <w:iCs/>
        </w:rPr>
        <w:t>Child and adolescent mental and brain health</w:t>
      </w:r>
      <w:r>
        <w:t xml:space="preserve">. [online] </w:t>
      </w:r>
      <w:r>
        <w:rPr>
          <w:i/>
          <w:iCs/>
        </w:rPr>
        <w:t>www.who.int</w:t>
      </w:r>
      <w:r>
        <w:t xml:space="preserve">. Available at: </w:t>
      </w:r>
      <w:r>
        <w:fldChar w:fldCharType="begin"/>
      </w:r>
      <w:r>
        <w:instrText xml:space="preserve"> HYPERLINK "https://www.who.int/activities/improving-the-mental-and-brain-health-of-children-and-adolescents" \h </w:instrText>
      </w:r>
      <w:r>
        <w:fldChar w:fldCharType="separate"/>
      </w:r>
      <w:r>
        <w:rPr>
          <w:u w:val="single"/>
        </w:rPr>
        <w:t>https://www.who.int/activities/improving-the-mental-and-brain-health-of-children-and-adolescents</w:t>
      </w:r>
      <w:r>
        <w:rPr>
          <w:u w:val="single"/>
        </w:rPr>
        <w:fldChar w:fldCharType="end"/>
      </w:r>
    </w:p>
    <w:p w14:paraId="04BE2F7D">
      <w:pPr>
        <w:spacing w:before="240" w:after="240"/>
        <w:ind w:left="360"/>
      </w:pPr>
      <w:r>
        <w:t xml:space="preserve">Wright, B., Blackwell, J.E., Bell, K.J., Teige, C., Mandefield, L., Wang, H.I., Welch, C., Scantlebury, A., Watson, J., McMillan, D. and Standley, E., 2025. Autism Spectrum Social Stories in Schools Trial 2 (ASSSIST‐2): a pragmatic randomised controlled trial of the Social Stories™ intervention to address the social and emotional health of autistic children in UK primary schools. Child and adolescent mental health, 30(1), pp.4-12. doi:10.1111/camh.12740 </w:t>
      </w:r>
      <w:r>
        <w:fldChar w:fldCharType="begin"/>
      </w:r>
      <w:r>
        <w:instrText xml:space="preserve"> HYPERLINK "https://acamh.onlinelibrary.wiley.com/doi/pdfdirect/10.1111/camh.12740" </w:instrText>
      </w:r>
      <w:r>
        <w:fldChar w:fldCharType="separate"/>
      </w:r>
      <w:r>
        <w:rPr>
          <w:rStyle w:val="12"/>
          <w:color w:val="auto"/>
        </w:rPr>
        <w:t>https://acamh.onlinelibrary.wiley.com/doi/pdfdirect/10.1111/camh.12740</w:t>
      </w:r>
      <w:r>
        <w:rPr>
          <w:rStyle w:val="12"/>
          <w:color w:val="auto"/>
        </w:rPr>
        <w:fldChar w:fldCharType="end"/>
      </w:r>
      <w:r>
        <w:t xml:space="preserve"> </w:t>
      </w:r>
    </w:p>
    <w:p w14:paraId="0F308C28">
      <w:pPr>
        <w:spacing w:after="160"/>
        <w:ind w:left="360"/>
        <w:rPr>
          <w:u w:val="single"/>
        </w:rPr>
      </w:pPr>
      <w:r>
        <w:t>Yang, M., Carson, C. and Violato, M., 2026. Measuring and decomposing income inequalities in child and adolescent mental health in the UK. The European Journal of Health Economics, pp.1-17.</w:t>
      </w:r>
      <w:r>
        <w:fldChar w:fldCharType="begin"/>
      </w:r>
      <w:r>
        <w:instrText xml:space="preserve"> HYPERLINK "https://doi.org/10.1007/s10198-026-01918-3" \h </w:instrText>
      </w:r>
      <w:r>
        <w:fldChar w:fldCharType="separate"/>
      </w:r>
      <w:r>
        <w:t xml:space="preserve"> </w:t>
      </w:r>
      <w:r>
        <w:fldChar w:fldCharType="end"/>
      </w:r>
      <w:r>
        <w:fldChar w:fldCharType="begin"/>
      </w:r>
      <w:r>
        <w:instrText xml:space="preserve"> HYPERLINK "https://doi.org/10.1007/s10198-026-01918-3" \h </w:instrText>
      </w:r>
      <w:r>
        <w:fldChar w:fldCharType="separate"/>
      </w:r>
      <w:r>
        <w:rPr>
          <w:u w:val="single"/>
        </w:rPr>
        <w:t>https://doi.org/10.1007/s10198-026-01918-3</w:t>
      </w:r>
      <w:r>
        <w:rPr>
          <w:u w:val="single"/>
        </w:rPr>
        <w:fldChar w:fldCharType="end"/>
      </w:r>
    </w:p>
    <w:p w14:paraId="547D816B">
      <w:pPr>
        <w:spacing w:before="240" w:after="240"/>
        <w:ind w:left="360"/>
      </w:pPr>
      <w:r>
        <w:t xml:space="preserve">Young Minds., 2026. CAMHS. [Online]. Available at </w:t>
      </w:r>
      <w:r>
        <w:fldChar w:fldCharType="begin"/>
      </w:r>
      <w:r>
        <w:instrText xml:space="preserve"> HYPERLINK "https://www.youngminds.org.uk/young-person/your-guide-to-support/guide-to-camhs/" \h </w:instrText>
      </w:r>
      <w:r>
        <w:fldChar w:fldCharType="separate"/>
      </w:r>
      <w:r>
        <w:rPr>
          <w:u w:val="single"/>
        </w:rPr>
        <w:t>https://www.youngminds.org.uk/young-person/your-guide-to-support/guide-to-camhs/</w:t>
      </w:r>
      <w:r>
        <w:rPr>
          <w:u w:val="single"/>
        </w:rPr>
        <w:fldChar w:fldCharType="end"/>
      </w:r>
      <w:r>
        <w:t xml:space="preserve"> [Accessed on 24.06.2026]</w:t>
      </w:r>
    </w:p>
    <w:p w14:paraId="6DDACA1F">
      <w:pPr>
        <w:spacing w:before="240" w:after="240"/>
        <w:ind w:left="360"/>
      </w:pPr>
      <w:r>
        <w:t xml:space="preserve">Yusop, S.R.M., Rasul, M.S., Mohamad Yasin, R., Hashim, H.U. and Jalaludin, N.A., 2022. An assessment approaches and learning outcomes in technical and vocational education: A systematic review using PRISMA. </w:t>
      </w:r>
      <w:r>
        <w:rPr>
          <w:i/>
          <w:iCs/>
        </w:rPr>
        <w:t>Sustainability</w:t>
      </w:r>
      <w:r>
        <w:t xml:space="preserve">, </w:t>
      </w:r>
      <w:r>
        <w:rPr>
          <w:i/>
          <w:iCs/>
        </w:rPr>
        <w:t>14</w:t>
      </w:r>
      <w:r>
        <w:t xml:space="preserve">(9), p.5225. </w:t>
      </w:r>
      <w:r>
        <w:fldChar w:fldCharType="begin"/>
      </w:r>
      <w:r>
        <w:instrText xml:space="preserve"> HYPERLINK "https://doi.org/10.3390/su14095225" \h </w:instrText>
      </w:r>
      <w:r>
        <w:fldChar w:fldCharType="separate"/>
      </w:r>
      <w:r>
        <w:rPr>
          <w:u w:val="single"/>
        </w:rPr>
        <w:t>https://doi.org/10.3390/su14095225</w:t>
      </w:r>
      <w:r>
        <w:rPr>
          <w:u w:val="single"/>
        </w:rPr>
        <w:fldChar w:fldCharType="end"/>
      </w:r>
    </w:p>
    <w:p w14:paraId="40FB0DD8">
      <w:pPr>
        <w:spacing w:after="160"/>
      </w:pPr>
      <w:r>
        <w:t xml:space="preserve"> </w:t>
      </w:r>
      <w:bookmarkStart w:id="72" w:name="_GoBack"/>
      <w:bookmarkEnd w:id="72"/>
    </w:p>
    <w:p w14:paraId="7A4EF713">
      <w:pPr>
        <w:spacing w:before="240" w:after="240"/>
      </w:pPr>
      <w:r>
        <w:br w:type="page"/>
      </w:r>
    </w:p>
    <w:p w14:paraId="42698B6A">
      <w:pPr>
        <w:pStyle w:val="2"/>
        <w:spacing w:before="240" w:after="240"/>
        <w:jc w:val="both"/>
        <w:rPr>
          <w:sz w:val="24"/>
          <w:szCs w:val="24"/>
        </w:rPr>
      </w:pPr>
      <w:bookmarkStart w:id="68" w:name="_Toc241231952"/>
      <w:r>
        <w:rPr>
          <w:sz w:val="24"/>
          <w:szCs w:val="24"/>
        </w:rPr>
        <w:t>Appendices</w:t>
      </w:r>
      <w:bookmarkEnd w:id="68"/>
    </w:p>
    <w:p w14:paraId="6616308E">
      <w:pPr>
        <w:pStyle w:val="3"/>
        <w:spacing w:before="240" w:after="240"/>
      </w:pPr>
      <w:bookmarkStart w:id="69" w:name="_Toc241231953"/>
      <w:r>
        <w:t>Appendix 1: CASP Critical Appraisal Checklist</w:t>
      </w:r>
      <w:bookmarkEnd w:id="69"/>
    </w:p>
    <w:tbl>
      <w:tblPr>
        <w:tblStyle w:val="21"/>
        <w:tblW w:w="9350" w:type="dxa"/>
        <w:tblInd w:w="0" w:type="dxa"/>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fixed"/>
        <w:tblCellMar>
          <w:top w:w="0" w:type="dxa"/>
          <w:left w:w="108" w:type="dxa"/>
          <w:bottom w:w="0" w:type="dxa"/>
          <w:right w:w="108" w:type="dxa"/>
        </w:tblCellMar>
      </w:tblPr>
      <w:tblGrid>
        <w:gridCol w:w="2225"/>
        <w:gridCol w:w="1118"/>
        <w:gridCol w:w="1142"/>
        <w:gridCol w:w="840"/>
        <w:gridCol w:w="715"/>
        <w:gridCol w:w="1079"/>
        <w:gridCol w:w="822"/>
        <w:gridCol w:w="1409"/>
      </w:tblGrid>
      <w:tr w14:paraId="6A3AE2D3">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2225" w:type="dxa"/>
          </w:tcPr>
          <w:p w14:paraId="7C51A9A0">
            <w:pPr>
              <w:spacing w:before="240" w:after="240" w:line="360" w:lineRule="auto"/>
              <w:rPr>
                <w:b/>
                <w:bCs/>
              </w:rPr>
            </w:pPr>
            <w:r>
              <w:rPr>
                <w:b/>
                <w:bCs/>
              </w:rPr>
              <w:t>CASP criterion</w:t>
            </w:r>
          </w:p>
        </w:tc>
        <w:tc>
          <w:tcPr>
            <w:tcW w:w="1118" w:type="dxa"/>
          </w:tcPr>
          <w:p w14:paraId="63E54A7F">
            <w:pPr>
              <w:spacing w:before="240" w:after="240" w:line="360" w:lineRule="auto"/>
              <w:rPr>
                <w:b/>
                <w:bCs/>
              </w:rPr>
            </w:pPr>
            <w:r>
              <w:rPr>
                <w:b/>
                <w:bCs/>
              </w:rPr>
              <w:t>Childs-Fegredo 2021</w:t>
            </w:r>
          </w:p>
        </w:tc>
        <w:tc>
          <w:tcPr>
            <w:tcW w:w="1142" w:type="dxa"/>
          </w:tcPr>
          <w:p w14:paraId="6E67CF36">
            <w:pPr>
              <w:spacing w:before="240" w:after="240" w:line="360" w:lineRule="auto"/>
              <w:rPr>
                <w:b/>
                <w:bCs/>
              </w:rPr>
            </w:pPr>
            <w:r>
              <w:rPr>
                <w:b/>
                <w:bCs/>
              </w:rPr>
              <w:t>Williamson 2022</w:t>
            </w:r>
          </w:p>
        </w:tc>
        <w:tc>
          <w:tcPr>
            <w:tcW w:w="840" w:type="dxa"/>
          </w:tcPr>
          <w:p w14:paraId="1F854C18">
            <w:pPr>
              <w:spacing w:before="240" w:after="240" w:line="360" w:lineRule="auto"/>
              <w:rPr>
                <w:b/>
                <w:bCs/>
              </w:rPr>
            </w:pPr>
            <w:r>
              <w:rPr>
                <w:b/>
                <w:bCs/>
              </w:rPr>
              <w:t>Rashid 2026</w:t>
            </w:r>
          </w:p>
        </w:tc>
        <w:tc>
          <w:tcPr>
            <w:tcW w:w="715" w:type="dxa"/>
          </w:tcPr>
          <w:p w14:paraId="57C509C3">
            <w:pPr>
              <w:spacing w:before="240" w:after="240" w:line="360" w:lineRule="auto"/>
              <w:rPr>
                <w:b/>
                <w:bCs/>
              </w:rPr>
            </w:pPr>
            <w:r>
              <w:rPr>
                <w:b/>
                <w:bCs/>
              </w:rPr>
              <w:t>Ashu 2025</w:t>
            </w:r>
          </w:p>
        </w:tc>
        <w:tc>
          <w:tcPr>
            <w:tcW w:w="1079" w:type="dxa"/>
          </w:tcPr>
          <w:p w14:paraId="3D145DE6">
            <w:pPr>
              <w:spacing w:before="240" w:after="240" w:line="360" w:lineRule="auto"/>
              <w:rPr>
                <w:b/>
                <w:bCs/>
              </w:rPr>
            </w:pPr>
            <w:r>
              <w:rPr>
                <w:b/>
                <w:bCs/>
              </w:rPr>
              <w:t>McDonald 2023</w:t>
            </w:r>
          </w:p>
        </w:tc>
        <w:tc>
          <w:tcPr>
            <w:tcW w:w="822" w:type="dxa"/>
          </w:tcPr>
          <w:p w14:paraId="51631526">
            <w:pPr>
              <w:spacing w:before="240" w:after="240" w:line="360" w:lineRule="auto"/>
              <w:rPr>
                <w:b/>
                <w:bCs/>
              </w:rPr>
            </w:pPr>
            <w:r>
              <w:rPr>
                <w:b/>
                <w:bCs/>
              </w:rPr>
              <w:t>Dolton 2020</w:t>
            </w:r>
          </w:p>
        </w:tc>
        <w:tc>
          <w:tcPr>
            <w:tcW w:w="1409" w:type="dxa"/>
          </w:tcPr>
          <w:p w14:paraId="612F2F6A">
            <w:pPr>
              <w:spacing w:before="240" w:after="240" w:line="360" w:lineRule="auto"/>
              <w:rPr>
                <w:b/>
                <w:bCs/>
              </w:rPr>
            </w:pPr>
            <w:r>
              <w:rPr>
                <w:b/>
                <w:bCs/>
              </w:rPr>
              <w:t>Williamson 2022 Codesign</w:t>
            </w:r>
          </w:p>
        </w:tc>
      </w:tr>
      <w:tr w14:paraId="1AD8B6C4">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2225" w:type="dxa"/>
          </w:tcPr>
          <w:p w14:paraId="701CB960">
            <w:pPr>
              <w:spacing w:before="240" w:after="240" w:line="360" w:lineRule="auto"/>
            </w:pPr>
            <w:r>
              <w:t>Clear research aim</w:t>
            </w:r>
          </w:p>
        </w:tc>
        <w:tc>
          <w:tcPr>
            <w:tcW w:w="1118" w:type="dxa"/>
          </w:tcPr>
          <w:p w14:paraId="19009A54">
            <w:pPr>
              <w:spacing w:before="240" w:after="240" w:line="360" w:lineRule="auto"/>
            </w:pPr>
            <w:r>
              <w:t>Yes</w:t>
            </w:r>
          </w:p>
        </w:tc>
        <w:tc>
          <w:tcPr>
            <w:tcW w:w="1142" w:type="dxa"/>
          </w:tcPr>
          <w:p w14:paraId="472D4522">
            <w:pPr>
              <w:spacing w:before="240" w:after="240" w:line="360" w:lineRule="auto"/>
            </w:pPr>
            <w:r>
              <w:t>Yes</w:t>
            </w:r>
          </w:p>
        </w:tc>
        <w:tc>
          <w:tcPr>
            <w:tcW w:w="840" w:type="dxa"/>
          </w:tcPr>
          <w:p w14:paraId="2EC2012B">
            <w:pPr>
              <w:spacing w:before="240" w:after="240" w:line="360" w:lineRule="auto"/>
            </w:pPr>
            <w:r>
              <w:t>Yes</w:t>
            </w:r>
          </w:p>
        </w:tc>
        <w:tc>
          <w:tcPr>
            <w:tcW w:w="715" w:type="dxa"/>
          </w:tcPr>
          <w:p w14:paraId="63B3A3F6">
            <w:pPr>
              <w:spacing w:before="240" w:after="240" w:line="360" w:lineRule="auto"/>
            </w:pPr>
            <w:r>
              <w:t>Yes</w:t>
            </w:r>
          </w:p>
        </w:tc>
        <w:tc>
          <w:tcPr>
            <w:tcW w:w="1079" w:type="dxa"/>
          </w:tcPr>
          <w:p w14:paraId="7DA6104C">
            <w:pPr>
              <w:spacing w:before="240" w:after="240" w:line="360" w:lineRule="auto"/>
            </w:pPr>
            <w:r>
              <w:t>Yes</w:t>
            </w:r>
          </w:p>
        </w:tc>
        <w:tc>
          <w:tcPr>
            <w:tcW w:w="822" w:type="dxa"/>
          </w:tcPr>
          <w:p w14:paraId="66CC1E15">
            <w:pPr>
              <w:spacing w:before="240" w:after="240" w:line="360" w:lineRule="auto"/>
            </w:pPr>
            <w:r>
              <w:t>Yes</w:t>
            </w:r>
          </w:p>
        </w:tc>
        <w:tc>
          <w:tcPr>
            <w:tcW w:w="1409" w:type="dxa"/>
          </w:tcPr>
          <w:p w14:paraId="3FAAE9D0">
            <w:pPr>
              <w:spacing w:before="240" w:after="240" w:line="360" w:lineRule="auto"/>
            </w:pPr>
            <w:r>
              <w:t>Yes</w:t>
            </w:r>
          </w:p>
        </w:tc>
      </w:tr>
      <w:tr w14:paraId="76FB4F57">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2225" w:type="dxa"/>
          </w:tcPr>
          <w:p w14:paraId="06E84DC1">
            <w:pPr>
              <w:spacing w:before="240" w:after="240" w:line="360" w:lineRule="auto"/>
            </w:pPr>
            <w:r>
              <w:t>Qualitative approach appropriate</w:t>
            </w:r>
          </w:p>
        </w:tc>
        <w:tc>
          <w:tcPr>
            <w:tcW w:w="1118" w:type="dxa"/>
          </w:tcPr>
          <w:p w14:paraId="18FBA2B5">
            <w:pPr>
              <w:spacing w:before="240" w:after="240" w:line="360" w:lineRule="auto"/>
            </w:pPr>
            <w:r>
              <w:t>Yes</w:t>
            </w:r>
          </w:p>
        </w:tc>
        <w:tc>
          <w:tcPr>
            <w:tcW w:w="1142" w:type="dxa"/>
          </w:tcPr>
          <w:p w14:paraId="089DB912">
            <w:pPr>
              <w:spacing w:before="240" w:after="240" w:line="360" w:lineRule="auto"/>
            </w:pPr>
            <w:r>
              <w:t>Yes</w:t>
            </w:r>
          </w:p>
        </w:tc>
        <w:tc>
          <w:tcPr>
            <w:tcW w:w="840" w:type="dxa"/>
          </w:tcPr>
          <w:p w14:paraId="25D1ADAD">
            <w:pPr>
              <w:spacing w:before="240" w:after="240" w:line="360" w:lineRule="auto"/>
            </w:pPr>
            <w:r>
              <w:t>Yes</w:t>
            </w:r>
          </w:p>
        </w:tc>
        <w:tc>
          <w:tcPr>
            <w:tcW w:w="715" w:type="dxa"/>
          </w:tcPr>
          <w:p w14:paraId="780079EB">
            <w:pPr>
              <w:spacing w:before="240" w:after="240" w:line="360" w:lineRule="auto"/>
            </w:pPr>
            <w:r>
              <w:t>Yes</w:t>
            </w:r>
          </w:p>
        </w:tc>
        <w:tc>
          <w:tcPr>
            <w:tcW w:w="1079" w:type="dxa"/>
          </w:tcPr>
          <w:p w14:paraId="455235CA">
            <w:pPr>
              <w:spacing w:before="240" w:after="240" w:line="360" w:lineRule="auto"/>
            </w:pPr>
            <w:r>
              <w:t>Yes</w:t>
            </w:r>
          </w:p>
        </w:tc>
        <w:tc>
          <w:tcPr>
            <w:tcW w:w="822" w:type="dxa"/>
          </w:tcPr>
          <w:p w14:paraId="7DE66550">
            <w:pPr>
              <w:spacing w:before="240" w:after="240" w:line="360" w:lineRule="auto"/>
            </w:pPr>
            <w:r>
              <w:t>Yes</w:t>
            </w:r>
          </w:p>
        </w:tc>
        <w:tc>
          <w:tcPr>
            <w:tcW w:w="1409" w:type="dxa"/>
          </w:tcPr>
          <w:p w14:paraId="0AC9B397">
            <w:pPr>
              <w:spacing w:before="240" w:after="240" w:line="360" w:lineRule="auto"/>
            </w:pPr>
            <w:r>
              <w:t>Yes</w:t>
            </w:r>
          </w:p>
        </w:tc>
      </w:tr>
      <w:tr w14:paraId="0B3AF2F7">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2225" w:type="dxa"/>
          </w:tcPr>
          <w:p w14:paraId="221FB23F">
            <w:pPr>
              <w:spacing w:before="240" w:after="240" w:line="360" w:lineRule="auto"/>
            </w:pPr>
            <w:r>
              <w:t>Research design appropriate</w:t>
            </w:r>
          </w:p>
        </w:tc>
        <w:tc>
          <w:tcPr>
            <w:tcW w:w="1118" w:type="dxa"/>
          </w:tcPr>
          <w:p w14:paraId="3505D542">
            <w:pPr>
              <w:spacing w:before="240" w:after="240" w:line="360" w:lineRule="auto"/>
            </w:pPr>
            <w:r>
              <w:t>Yes</w:t>
            </w:r>
          </w:p>
        </w:tc>
        <w:tc>
          <w:tcPr>
            <w:tcW w:w="1142" w:type="dxa"/>
          </w:tcPr>
          <w:p w14:paraId="3BD30B8F">
            <w:pPr>
              <w:spacing w:before="240" w:after="240" w:line="360" w:lineRule="auto"/>
            </w:pPr>
            <w:r>
              <w:t>Yes</w:t>
            </w:r>
          </w:p>
        </w:tc>
        <w:tc>
          <w:tcPr>
            <w:tcW w:w="840" w:type="dxa"/>
          </w:tcPr>
          <w:p w14:paraId="2A6F4AD6">
            <w:pPr>
              <w:spacing w:before="240" w:after="240" w:line="360" w:lineRule="auto"/>
            </w:pPr>
            <w:r>
              <w:t>Yes</w:t>
            </w:r>
          </w:p>
        </w:tc>
        <w:tc>
          <w:tcPr>
            <w:tcW w:w="715" w:type="dxa"/>
          </w:tcPr>
          <w:p w14:paraId="0A96BE13">
            <w:pPr>
              <w:spacing w:before="240" w:after="240" w:line="360" w:lineRule="auto"/>
            </w:pPr>
            <w:r>
              <w:t>Yes</w:t>
            </w:r>
          </w:p>
        </w:tc>
        <w:tc>
          <w:tcPr>
            <w:tcW w:w="1079" w:type="dxa"/>
          </w:tcPr>
          <w:p w14:paraId="54069992">
            <w:pPr>
              <w:spacing w:before="240" w:after="240" w:line="360" w:lineRule="auto"/>
            </w:pPr>
            <w:r>
              <w:t>Yes</w:t>
            </w:r>
          </w:p>
        </w:tc>
        <w:tc>
          <w:tcPr>
            <w:tcW w:w="822" w:type="dxa"/>
          </w:tcPr>
          <w:p w14:paraId="1C3E587F">
            <w:pPr>
              <w:spacing w:before="240" w:after="240" w:line="360" w:lineRule="auto"/>
            </w:pPr>
            <w:r>
              <w:t>Yes</w:t>
            </w:r>
          </w:p>
        </w:tc>
        <w:tc>
          <w:tcPr>
            <w:tcW w:w="1409" w:type="dxa"/>
          </w:tcPr>
          <w:p w14:paraId="1ED5CD8A">
            <w:pPr>
              <w:spacing w:before="240" w:after="240" w:line="360" w:lineRule="auto"/>
            </w:pPr>
            <w:r>
              <w:t>Yes</w:t>
            </w:r>
          </w:p>
        </w:tc>
      </w:tr>
      <w:tr w14:paraId="2D8FC9AB">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2225" w:type="dxa"/>
          </w:tcPr>
          <w:p w14:paraId="6F879A4F">
            <w:pPr>
              <w:spacing w:before="240" w:after="240" w:line="360" w:lineRule="auto"/>
            </w:pPr>
            <w:r>
              <w:t>Recruitment appropriate</w:t>
            </w:r>
          </w:p>
        </w:tc>
        <w:tc>
          <w:tcPr>
            <w:tcW w:w="1118" w:type="dxa"/>
          </w:tcPr>
          <w:p w14:paraId="4037CBD3">
            <w:pPr>
              <w:spacing w:before="240" w:after="240" w:line="360" w:lineRule="auto"/>
            </w:pPr>
            <w:r>
              <w:t>Yes</w:t>
            </w:r>
          </w:p>
        </w:tc>
        <w:tc>
          <w:tcPr>
            <w:tcW w:w="1142" w:type="dxa"/>
          </w:tcPr>
          <w:p w14:paraId="379332B2">
            <w:pPr>
              <w:spacing w:before="240" w:after="240" w:line="360" w:lineRule="auto"/>
            </w:pPr>
            <w:r>
              <w:t>CT</w:t>
            </w:r>
          </w:p>
        </w:tc>
        <w:tc>
          <w:tcPr>
            <w:tcW w:w="840" w:type="dxa"/>
          </w:tcPr>
          <w:p w14:paraId="250CB6B9">
            <w:pPr>
              <w:spacing w:before="240" w:after="240" w:line="360" w:lineRule="auto"/>
            </w:pPr>
            <w:r>
              <w:t>Yes</w:t>
            </w:r>
          </w:p>
        </w:tc>
        <w:tc>
          <w:tcPr>
            <w:tcW w:w="715" w:type="dxa"/>
          </w:tcPr>
          <w:p w14:paraId="73CAABCC">
            <w:pPr>
              <w:spacing w:before="240" w:after="240" w:line="360" w:lineRule="auto"/>
            </w:pPr>
            <w:r>
              <w:t>Yes</w:t>
            </w:r>
          </w:p>
        </w:tc>
        <w:tc>
          <w:tcPr>
            <w:tcW w:w="1079" w:type="dxa"/>
          </w:tcPr>
          <w:p w14:paraId="412DB416">
            <w:pPr>
              <w:spacing w:before="240" w:after="240" w:line="360" w:lineRule="auto"/>
            </w:pPr>
            <w:r>
              <w:t>Yes</w:t>
            </w:r>
          </w:p>
        </w:tc>
        <w:tc>
          <w:tcPr>
            <w:tcW w:w="822" w:type="dxa"/>
          </w:tcPr>
          <w:p w14:paraId="116276F4">
            <w:pPr>
              <w:spacing w:before="240" w:after="240" w:line="360" w:lineRule="auto"/>
            </w:pPr>
            <w:r>
              <w:t>Yes</w:t>
            </w:r>
          </w:p>
        </w:tc>
        <w:tc>
          <w:tcPr>
            <w:tcW w:w="1409" w:type="dxa"/>
          </w:tcPr>
          <w:p w14:paraId="097A22A5">
            <w:pPr>
              <w:spacing w:before="240" w:after="240" w:line="360" w:lineRule="auto"/>
            </w:pPr>
            <w:r>
              <w:t>CT</w:t>
            </w:r>
          </w:p>
        </w:tc>
      </w:tr>
      <w:tr w14:paraId="30960556">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2225" w:type="dxa"/>
          </w:tcPr>
          <w:p w14:paraId="003861AB">
            <w:pPr>
              <w:spacing w:before="240" w:after="240" w:line="360" w:lineRule="auto"/>
            </w:pPr>
            <w:r>
              <w:t>Data collection suitable</w:t>
            </w:r>
          </w:p>
        </w:tc>
        <w:tc>
          <w:tcPr>
            <w:tcW w:w="1118" w:type="dxa"/>
          </w:tcPr>
          <w:p w14:paraId="0E07879C">
            <w:pPr>
              <w:spacing w:before="240" w:after="240" w:line="360" w:lineRule="auto"/>
            </w:pPr>
            <w:r>
              <w:t>Yes</w:t>
            </w:r>
          </w:p>
        </w:tc>
        <w:tc>
          <w:tcPr>
            <w:tcW w:w="1142" w:type="dxa"/>
          </w:tcPr>
          <w:p w14:paraId="51EA1EC6">
            <w:pPr>
              <w:spacing w:before="240" w:after="240" w:line="360" w:lineRule="auto"/>
            </w:pPr>
            <w:r>
              <w:t>Yes</w:t>
            </w:r>
          </w:p>
        </w:tc>
        <w:tc>
          <w:tcPr>
            <w:tcW w:w="840" w:type="dxa"/>
          </w:tcPr>
          <w:p w14:paraId="1DAB757E">
            <w:pPr>
              <w:spacing w:before="240" w:after="240" w:line="360" w:lineRule="auto"/>
            </w:pPr>
            <w:r>
              <w:t>Yes</w:t>
            </w:r>
          </w:p>
        </w:tc>
        <w:tc>
          <w:tcPr>
            <w:tcW w:w="715" w:type="dxa"/>
          </w:tcPr>
          <w:p w14:paraId="55C72D7A">
            <w:pPr>
              <w:spacing w:before="240" w:after="240" w:line="360" w:lineRule="auto"/>
            </w:pPr>
            <w:r>
              <w:t>Yes</w:t>
            </w:r>
          </w:p>
        </w:tc>
        <w:tc>
          <w:tcPr>
            <w:tcW w:w="1079" w:type="dxa"/>
          </w:tcPr>
          <w:p w14:paraId="55287ED4">
            <w:pPr>
              <w:spacing w:before="240" w:after="240" w:line="360" w:lineRule="auto"/>
            </w:pPr>
            <w:r>
              <w:t>Yes</w:t>
            </w:r>
          </w:p>
        </w:tc>
        <w:tc>
          <w:tcPr>
            <w:tcW w:w="822" w:type="dxa"/>
          </w:tcPr>
          <w:p w14:paraId="0D967F3C">
            <w:pPr>
              <w:spacing w:before="240" w:after="240" w:line="360" w:lineRule="auto"/>
            </w:pPr>
            <w:r>
              <w:t>Yes</w:t>
            </w:r>
          </w:p>
        </w:tc>
        <w:tc>
          <w:tcPr>
            <w:tcW w:w="1409" w:type="dxa"/>
          </w:tcPr>
          <w:p w14:paraId="619BC9B5">
            <w:pPr>
              <w:spacing w:before="240" w:after="240" w:line="360" w:lineRule="auto"/>
            </w:pPr>
            <w:r>
              <w:t>Yes</w:t>
            </w:r>
          </w:p>
        </w:tc>
      </w:tr>
      <w:tr w14:paraId="4C59876C">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2225" w:type="dxa"/>
          </w:tcPr>
          <w:p w14:paraId="06579341">
            <w:pPr>
              <w:spacing w:before="240" w:after="240" w:line="360" w:lineRule="auto"/>
            </w:pPr>
            <w:r>
              <w:t>Researcher-participant relationship adequately addressed</w:t>
            </w:r>
          </w:p>
        </w:tc>
        <w:tc>
          <w:tcPr>
            <w:tcW w:w="1118" w:type="dxa"/>
          </w:tcPr>
          <w:p w14:paraId="68B8E460">
            <w:pPr>
              <w:spacing w:before="240" w:after="240" w:line="360" w:lineRule="auto"/>
            </w:pPr>
            <w:r>
              <w:t>CT</w:t>
            </w:r>
          </w:p>
        </w:tc>
        <w:tc>
          <w:tcPr>
            <w:tcW w:w="1142" w:type="dxa"/>
          </w:tcPr>
          <w:p w14:paraId="181E26D2">
            <w:pPr>
              <w:spacing w:before="240" w:after="240" w:line="360" w:lineRule="auto"/>
            </w:pPr>
            <w:r>
              <w:t>CT</w:t>
            </w:r>
          </w:p>
        </w:tc>
        <w:tc>
          <w:tcPr>
            <w:tcW w:w="840" w:type="dxa"/>
          </w:tcPr>
          <w:p w14:paraId="57C40800">
            <w:pPr>
              <w:spacing w:before="240" w:after="240" w:line="360" w:lineRule="auto"/>
            </w:pPr>
            <w:r>
              <w:t>CT</w:t>
            </w:r>
          </w:p>
        </w:tc>
        <w:tc>
          <w:tcPr>
            <w:tcW w:w="715" w:type="dxa"/>
          </w:tcPr>
          <w:p w14:paraId="1673CD4E">
            <w:pPr>
              <w:spacing w:before="240" w:after="240" w:line="360" w:lineRule="auto"/>
            </w:pPr>
            <w:r>
              <w:t>CT</w:t>
            </w:r>
          </w:p>
        </w:tc>
        <w:tc>
          <w:tcPr>
            <w:tcW w:w="1079" w:type="dxa"/>
          </w:tcPr>
          <w:p w14:paraId="7397F2FD">
            <w:pPr>
              <w:spacing w:before="240" w:after="240" w:line="360" w:lineRule="auto"/>
            </w:pPr>
            <w:r>
              <w:t>CT</w:t>
            </w:r>
          </w:p>
        </w:tc>
        <w:tc>
          <w:tcPr>
            <w:tcW w:w="822" w:type="dxa"/>
          </w:tcPr>
          <w:p w14:paraId="2751C2F5">
            <w:pPr>
              <w:spacing w:before="240" w:after="240" w:line="360" w:lineRule="auto"/>
            </w:pPr>
            <w:r>
              <w:t>CT</w:t>
            </w:r>
          </w:p>
        </w:tc>
        <w:tc>
          <w:tcPr>
            <w:tcW w:w="1409" w:type="dxa"/>
          </w:tcPr>
          <w:p w14:paraId="06B0EBFA">
            <w:pPr>
              <w:spacing w:before="240" w:after="240" w:line="360" w:lineRule="auto"/>
            </w:pPr>
            <w:r>
              <w:t>CT</w:t>
            </w:r>
          </w:p>
        </w:tc>
      </w:tr>
      <w:tr w14:paraId="6A2886E6">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2225" w:type="dxa"/>
          </w:tcPr>
          <w:p w14:paraId="21AD1D84">
            <w:pPr>
              <w:spacing w:before="240" w:after="240" w:line="360" w:lineRule="auto"/>
            </w:pPr>
            <w:r>
              <w:t>Ethical considerations adequately reported</w:t>
            </w:r>
          </w:p>
        </w:tc>
        <w:tc>
          <w:tcPr>
            <w:tcW w:w="1118" w:type="dxa"/>
          </w:tcPr>
          <w:p w14:paraId="09521E48">
            <w:pPr>
              <w:spacing w:before="240" w:after="240" w:line="360" w:lineRule="auto"/>
            </w:pPr>
            <w:r>
              <w:t>CT</w:t>
            </w:r>
          </w:p>
        </w:tc>
        <w:tc>
          <w:tcPr>
            <w:tcW w:w="1142" w:type="dxa"/>
          </w:tcPr>
          <w:p w14:paraId="2E607504">
            <w:pPr>
              <w:spacing w:before="240" w:after="240" w:line="360" w:lineRule="auto"/>
            </w:pPr>
            <w:r>
              <w:t>CT</w:t>
            </w:r>
          </w:p>
        </w:tc>
        <w:tc>
          <w:tcPr>
            <w:tcW w:w="840" w:type="dxa"/>
          </w:tcPr>
          <w:p w14:paraId="4575F185">
            <w:pPr>
              <w:spacing w:before="240" w:after="240" w:line="360" w:lineRule="auto"/>
            </w:pPr>
            <w:r>
              <w:t>CT</w:t>
            </w:r>
          </w:p>
        </w:tc>
        <w:tc>
          <w:tcPr>
            <w:tcW w:w="715" w:type="dxa"/>
          </w:tcPr>
          <w:p w14:paraId="58BF57B4">
            <w:pPr>
              <w:spacing w:before="240" w:after="240" w:line="360" w:lineRule="auto"/>
            </w:pPr>
            <w:r>
              <w:t>CT</w:t>
            </w:r>
          </w:p>
        </w:tc>
        <w:tc>
          <w:tcPr>
            <w:tcW w:w="1079" w:type="dxa"/>
          </w:tcPr>
          <w:p w14:paraId="3F946CCE">
            <w:pPr>
              <w:spacing w:before="240" w:after="240" w:line="360" w:lineRule="auto"/>
            </w:pPr>
            <w:r>
              <w:t>CT</w:t>
            </w:r>
          </w:p>
        </w:tc>
        <w:tc>
          <w:tcPr>
            <w:tcW w:w="822" w:type="dxa"/>
          </w:tcPr>
          <w:p w14:paraId="3C1F0190">
            <w:pPr>
              <w:spacing w:before="240" w:after="240" w:line="360" w:lineRule="auto"/>
            </w:pPr>
            <w:r>
              <w:t>CT</w:t>
            </w:r>
          </w:p>
        </w:tc>
        <w:tc>
          <w:tcPr>
            <w:tcW w:w="1409" w:type="dxa"/>
          </w:tcPr>
          <w:p w14:paraId="0C8BCC47">
            <w:pPr>
              <w:spacing w:before="240" w:after="240" w:line="360" w:lineRule="auto"/>
            </w:pPr>
            <w:r>
              <w:t>CT</w:t>
            </w:r>
          </w:p>
        </w:tc>
      </w:tr>
      <w:tr w14:paraId="7FF9D9EC">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2225" w:type="dxa"/>
          </w:tcPr>
          <w:p w14:paraId="2FCC0DDB">
            <w:pPr>
              <w:spacing w:before="240" w:after="240" w:line="360" w:lineRule="auto"/>
            </w:pPr>
            <w:r>
              <w:t>Analysis sufficiently rigorous</w:t>
            </w:r>
          </w:p>
        </w:tc>
        <w:tc>
          <w:tcPr>
            <w:tcW w:w="1118" w:type="dxa"/>
          </w:tcPr>
          <w:p w14:paraId="423C5E67">
            <w:pPr>
              <w:spacing w:before="240" w:after="240" w:line="360" w:lineRule="auto"/>
            </w:pPr>
            <w:r>
              <w:t>Yes</w:t>
            </w:r>
          </w:p>
        </w:tc>
        <w:tc>
          <w:tcPr>
            <w:tcW w:w="1142" w:type="dxa"/>
          </w:tcPr>
          <w:p w14:paraId="20FE7913">
            <w:pPr>
              <w:spacing w:before="240" w:after="240" w:line="360" w:lineRule="auto"/>
            </w:pPr>
            <w:r>
              <w:t>CT</w:t>
            </w:r>
          </w:p>
        </w:tc>
        <w:tc>
          <w:tcPr>
            <w:tcW w:w="840" w:type="dxa"/>
          </w:tcPr>
          <w:p w14:paraId="5D7797B5">
            <w:pPr>
              <w:spacing w:before="240" w:after="240" w:line="360" w:lineRule="auto"/>
            </w:pPr>
            <w:r>
              <w:t>Yes</w:t>
            </w:r>
          </w:p>
        </w:tc>
        <w:tc>
          <w:tcPr>
            <w:tcW w:w="715" w:type="dxa"/>
          </w:tcPr>
          <w:p w14:paraId="5003D15F">
            <w:pPr>
              <w:spacing w:before="240" w:after="240" w:line="360" w:lineRule="auto"/>
            </w:pPr>
            <w:r>
              <w:t>Yes</w:t>
            </w:r>
          </w:p>
        </w:tc>
        <w:tc>
          <w:tcPr>
            <w:tcW w:w="1079" w:type="dxa"/>
          </w:tcPr>
          <w:p w14:paraId="3D840274">
            <w:pPr>
              <w:spacing w:before="240" w:after="240" w:line="360" w:lineRule="auto"/>
            </w:pPr>
            <w:r>
              <w:t>Yes</w:t>
            </w:r>
          </w:p>
        </w:tc>
        <w:tc>
          <w:tcPr>
            <w:tcW w:w="822" w:type="dxa"/>
          </w:tcPr>
          <w:p w14:paraId="0C5EE6EC">
            <w:pPr>
              <w:spacing w:before="240" w:after="240" w:line="360" w:lineRule="auto"/>
            </w:pPr>
            <w:r>
              <w:t>Yes</w:t>
            </w:r>
          </w:p>
        </w:tc>
        <w:tc>
          <w:tcPr>
            <w:tcW w:w="1409" w:type="dxa"/>
          </w:tcPr>
          <w:p w14:paraId="2FCDA9DA">
            <w:pPr>
              <w:spacing w:before="240" w:after="240" w:line="360" w:lineRule="auto"/>
            </w:pPr>
            <w:r>
              <w:t>CT</w:t>
            </w:r>
          </w:p>
        </w:tc>
      </w:tr>
      <w:tr w14:paraId="50C7E0FC">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2225" w:type="dxa"/>
          </w:tcPr>
          <w:p w14:paraId="2F2A28BF">
            <w:pPr>
              <w:spacing w:before="240" w:after="240" w:line="360" w:lineRule="auto"/>
            </w:pPr>
            <w:r>
              <w:t>Findings clearly presented</w:t>
            </w:r>
          </w:p>
        </w:tc>
        <w:tc>
          <w:tcPr>
            <w:tcW w:w="1118" w:type="dxa"/>
          </w:tcPr>
          <w:p w14:paraId="7F6A0485">
            <w:pPr>
              <w:spacing w:before="240" w:after="240" w:line="360" w:lineRule="auto"/>
            </w:pPr>
            <w:r>
              <w:t>Yes</w:t>
            </w:r>
          </w:p>
        </w:tc>
        <w:tc>
          <w:tcPr>
            <w:tcW w:w="1142" w:type="dxa"/>
          </w:tcPr>
          <w:p w14:paraId="213C5A0E">
            <w:pPr>
              <w:spacing w:before="240" w:after="240" w:line="360" w:lineRule="auto"/>
            </w:pPr>
            <w:r>
              <w:t>Yes</w:t>
            </w:r>
          </w:p>
        </w:tc>
        <w:tc>
          <w:tcPr>
            <w:tcW w:w="840" w:type="dxa"/>
          </w:tcPr>
          <w:p w14:paraId="235788C1">
            <w:pPr>
              <w:spacing w:before="240" w:after="240" w:line="360" w:lineRule="auto"/>
            </w:pPr>
            <w:r>
              <w:t>Yes</w:t>
            </w:r>
          </w:p>
        </w:tc>
        <w:tc>
          <w:tcPr>
            <w:tcW w:w="715" w:type="dxa"/>
          </w:tcPr>
          <w:p w14:paraId="70261A65">
            <w:pPr>
              <w:spacing w:before="240" w:after="240" w:line="360" w:lineRule="auto"/>
            </w:pPr>
            <w:r>
              <w:t>Yes</w:t>
            </w:r>
          </w:p>
        </w:tc>
        <w:tc>
          <w:tcPr>
            <w:tcW w:w="1079" w:type="dxa"/>
          </w:tcPr>
          <w:p w14:paraId="00CF7D12">
            <w:pPr>
              <w:spacing w:before="240" w:after="240" w:line="360" w:lineRule="auto"/>
            </w:pPr>
            <w:r>
              <w:t>Yes</w:t>
            </w:r>
          </w:p>
        </w:tc>
        <w:tc>
          <w:tcPr>
            <w:tcW w:w="822" w:type="dxa"/>
          </w:tcPr>
          <w:p w14:paraId="32FDD011">
            <w:pPr>
              <w:spacing w:before="240" w:after="240" w:line="360" w:lineRule="auto"/>
            </w:pPr>
            <w:r>
              <w:t>Yes</w:t>
            </w:r>
          </w:p>
        </w:tc>
        <w:tc>
          <w:tcPr>
            <w:tcW w:w="1409" w:type="dxa"/>
          </w:tcPr>
          <w:p w14:paraId="4E23DC51">
            <w:pPr>
              <w:spacing w:before="240" w:after="240" w:line="360" w:lineRule="auto"/>
            </w:pPr>
            <w:r>
              <w:t>Yes</w:t>
            </w:r>
          </w:p>
        </w:tc>
      </w:tr>
      <w:tr w14:paraId="40F64B3F">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2225" w:type="dxa"/>
          </w:tcPr>
          <w:p w14:paraId="1F0F05B5">
            <w:pPr>
              <w:spacing w:before="240" w:after="240" w:line="360" w:lineRule="auto"/>
            </w:pPr>
            <w:r>
              <w:t>Study provides useful contribution</w:t>
            </w:r>
          </w:p>
        </w:tc>
        <w:tc>
          <w:tcPr>
            <w:tcW w:w="1118" w:type="dxa"/>
          </w:tcPr>
          <w:p w14:paraId="1E5AA249">
            <w:pPr>
              <w:spacing w:before="240" w:after="240" w:line="360" w:lineRule="auto"/>
            </w:pPr>
            <w:r>
              <w:t>Yes</w:t>
            </w:r>
          </w:p>
        </w:tc>
        <w:tc>
          <w:tcPr>
            <w:tcW w:w="1142" w:type="dxa"/>
          </w:tcPr>
          <w:p w14:paraId="16108079">
            <w:pPr>
              <w:spacing w:before="240" w:after="240" w:line="360" w:lineRule="auto"/>
            </w:pPr>
            <w:r>
              <w:t>Yes</w:t>
            </w:r>
          </w:p>
        </w:tc>
        <w:tc>
          <w:tcPr>
            <w:tcW w:w="840" w:type="dxa"/>
          </w:tcPr>
          <w:p w14:paraId="121D4D0B">
            <w:pPr>
              <w:spacing w:before="240" w:after="240" w:line="360" w:lineRule="auto"/>
            </w:pPr>
            <w:r>
              <w:t>Yes</w:t>
            </w:r>
          </w:p>
        </w:tc>
        <w:tc>
          <w:tcPr>
            <w:tcW w:w="715" w:type="dxa"/>
          </w:tcPr>
          <w:p w14:paraId="0921637C">
            <w:pPr>
              <w:spacing w:before="240" w:after="240" w:line="360" w:lineRule="auto"/>
            </w:pPr>
            <w:r>
              <w:t>Yes</w:t>
            </w:r>
          </w:p>
        </w:tc>
        <w:tc>
          <w:tcPr>
            <w:tcW w:w="1079" w:type="dxa"/>
          </w:tcPr>
          <w:p w14:paraId="60F24045">
            <w:pPr>
              <w:spacing w:before="240" w:after="240" w:line="360" w:lineRule="auto"/>
            </w:pPr>
            <w:r>
              <w:t>Yes</w:t>
            </w:r>
          </w:p>
        </w:tc>
        <w:tc>
          <w:tcPr>
            <w:tcW w:w="822" w:type="dxa"/>
          </w:tcPr>
          <w:p w14:paraId="4898880F">
            <w:pPr>
              <w:spacing w:before="240" w:after="240" w:line="360" w:lineRule="auto"/>
            </w:pPr>
            <w:r>
              <w:t>Yes</w:t>
            </w:r>
          </w:p>
        </w:tc>
        <w:tc>
          <w:tcPr>
            <w:tcW w:w="1409" w:type="dxa"/>
          </w:tcPr>
          <w:p w14:paraId="1EA87DFE">
            <w:pPr>
              <w:spacing w:before="240" w:after="240" w:line="360" w:lineRule="auto"/>
            </w:pPr>
            <w:r>
              <w:t>Yes</w:t>
            </w:r>
          </w:p>
        </w:tc>
      </w:tr>
      <w:tr w14:paraId="4F9923CA">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2225" w:type="dxa"/>
          </w:tcPr>
          <w:p w14:paraId="43B17EC9">
            <w:pPr>
              <w:spacing w:before="240" w:after="240" w:line="360" w:lineRule="auto"/>
            </w:pPr>
            <w:r>
              <w:rPr>
                <w:b/>
                <w:bCs/>
              </w:rPr>
              <w:t>Overall abstract-level judgement</w:t>
            </w:r>
          </w:p>
        </w:tc>
        <w:tc>
          <w:tcPr>
            <w:tcW w:w="1118" w:type="dxa"/>
          </w:tcPr>
          <w:p w14:paraId="0B59C921">
            <w:pPr>
              <w:spacing w:before="240" w:after="240" w:line="360" w:lineRule="auto"/>
            </w:pPr>
            <w:r>
              <w:rPr>
                <w:b/>
                <w:bCs/>
              </w:rPr>
              <w:t>High</w:t>
            </w:r>
          </w:p>
        </w:tc>
        <w:tc>
          <w:tcPr>
            <w:tcW w:w="1142" w:type="dxa"/>
          </w:tcPr>
          <w:p w14:paraId="0E859DE1">
            <w:pPr>
              <w:spacing w:before="240" w:after="240" w:line="360" w:lineRule="auto"/>
            </w:pPr>
            <w:r>
              <w:rPr>
                <w:b/>
                <w:bCs/>
              </w:rPr>
              <w:t>Moderate–High</w:t>
            </w:r>
          </w:p>
        </w:tc>
        <w:tc>
          <w:tcPr>
            <w:tcW w:w="840" w:type="dxa"/>
          </w:tcPr>
          <w:p w14:paraId="37067EA1">
            <w:pPr>
              <w:spacing w:before="240" w:after="240" w:line="360" w:lineRule="auto"/>
            </w:pPr>
            <w:r>
              <w:rPr>
                <w:b/>
                <w:bCs/>
              </w:rPr>
              <w:t>High</w:t>
            </w:r>
          </w:p>
        </w:tc>
        <w:tc>
          <w:tcPr>
            <w:tcW w:w="715" w:type="dxa"/>
          </w:tcPr>
          <w:p w14:paraId="0F34C1AE">
            <w:pPr>
              <w:spacing w:before="240" w:after="240" w:line="360" w:lineRule="auto"/>
            </w:pPr>
            <w:r>
              <w:rPr>
                <w:b/>
                <w:bCs/>
              </w:rPr>
              <w:t>High</w:t>
            </w:r>
          </w:p>
        </w:tc>
        <w:tc>
          <w:tcPr>
            <w:tcW w:w="1079" w:type="dxa"/>
          </w:tcPr>
          <w:p w14:paraId="75F6E5DB">
            <w:pPr>
              <w:spacing w:before="240" w:after="240" w:line="360" w:lineRule="auto"/>
            </w:pPr>
            <w:r>
              <w:rPr>
                <w:b/>
                <w:bCs/>
              </w:rPr>
              <w:t>High</w:t>
            </w:r>
          </w:p>
        </w:tc>
        <w:tc>
          <w:tcPr>
            <w:tcW w:w="822" w:type="dxa"/>
          </w:tcPr>
          <w:p w14:paraId="1BDD04DD">
            <w:pPr>
              <w:spacing w:before="240" w:after="240" w:line="360" w:lineRule="auto"/>
            </w:pPr>
            <w:r>
              <w:rPr>
                <w:b/>
                <w:bCs/>
              </w:rPr>
              <w:t>High</w:t>
            </w:r>
          </w:p>
        </w:tc>
        <w:tc>
          <w:tcPr>
            <w:tcW w:w="1409" w:type="dxa"/>
          </w:tcPr>
          <w:p w14:paraId="091040F8">
            <w:pPr>
              <w:spacing w:before="240" w:after="240" w:line="360" w:lineRule="auto"/>
            </w:pPr>
            <w:r>
              <w:rPr>
                <w:b/>
                <w:bCs/>
              </w:rPr>
              <w:t>Moderate–High</w:t>
            </w:r>
          </w:p>
        </w:tc>
      </w:tr>
    </w:tbl>
    <w:p w14:paraId="40FED0FA">
      <w:pPr>
        <w:spacing w:before="240" w:after="240"/>
      </w:pPr>
    </w:p>
    <w:p w14:paraId="0AA3E36F">
      <w:pPr>
        <w:pStyle w:val="3"/>
        <w:spacing w:before="240" w:after="240"/>
      </w:pPr>
      <w:bookmarkStart w:id="70" w:name="_Toc241231954"/>
      <w:r>
        <w:t>Appendix 2: JBI checklist for the quantitative studies</w:t>
      </w:r>
      <w:bookmarkEnd w:id="70"/>
    </w:p>
    <w:p w14:paraId="4C58E048">
      <w:pPr>
        <w:spacing w:before="240" w:after="240"/>
      </w:pPr>
      <w:r>
        <w:t>A. JBI appraisal of completed RCTs</w:t>
      </w:r>
    </w:p>
    <w:tbl>
      <w:tblPr>
        <w:tblStyle w:val="22"/>
        <w:tblW w:w="9348" w:type="dxa"/>
        <w:tblInd w:w="0" w:type="dxa"/>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fixed"/>
        <w:tblCellMar>
          <w:top w:w="0" w:type="dxa"/>
          <w:left w:w="108" w:type="dxa"/>
          <w:bottom w:w="0" w:type="dxa"/>
          <w:right w:w="108" w:type="dxa"/>
        </w:tblCellMar>
      </w:tblPr>
      <w:tblGrid>
        <w:gridCol w:w="367"/>
        <w:gridCol w:w="634"/>
        <w:gridCol w:w="1195"/>
        <w:gridCol w:w="743"/>
        <w:gridCol w:w="1027"/>
        <w:gridCol w:w="819"/>
        <w:gridCol w:w="1154"/>
        <w:gridCol w:w="819"/>
        <w:gridCol w:w="773"/>
        <w:gridCol w:w="1114"/>
        <w:gridCol w:w="703"/>
      </w:tblGrid>
      <w:tr w14:paraId="58390A59">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368" w:type="dxa"/>
          </w:tcPr>
          <w:p w14:paraId="08A10486">
            <w:pPr>
              <w:spacing w:before="240" w:after="240" w:line="360" w:lineRule="auto"/>
              <w:rPr>
                <w:b/>
                <w:bCs/>
              </w:rPr>
            </w:pPr>
            <w:r>
              <w:rPr>
                <w:b/>
                <w:bCs/>
              </w:rPr>
              <w:t>No.</w:t>
            </w:r>
          </w:p>
        </w:tc>
        <w:tc>
          <w:tcPr>
            <w:tcW w:w="634" w:type="dxa"/>
          </w:tcPr>
          <w:p w14:paraId="24373E68">
            <w:pPr>
              <w:spacing w:before="240" w:after="240" w:line="360" w:lineRule="auto"/>
              <w:rPr>
                <w:b/>
                <w:bCs/>
              </w:rPr>
            </w:pPr>
            <w:r>
              <w:rPr>
                <w:b/>
                <w:bCs/>
              </w:rPr>
              <w:t>Study</w:t>
            </w:r>
          </w:p>
        </w:tc>
        <w:tc>
          <w:tcPr>
            <w:tcW w:w="1195" w:type="dxa"/>
          </w:tcPr>
          <w:p w14:paraId="7661D852">
            <w:pPr>
              <w:spacing w:before="240" w:after="240" w:line="360" w:lineRule="auto"/>
              <w:rPr>
                <w:b/>
                <w:bCs/>
              </w:rPr>
            </w:pPr>
            <w:r>
              <w:rPr>
                <w:b/>
                <w:bCs/>
              </w:rPr>
              <w:t>Quantitative design / JBI approach</w:t>
            </w:r>
          </w:p>
        </w:tc>
        <w:tc>
          <w:tcPr>
            <w:tcW w:w="743" w:type="dxa"/>
          </w:tcPr>
          <w:p w14:paraId="22B4B901">
            <w:pPr>
              <w:spacing w:before="240" w:after="240" w:line="360" w:lineRule="auto"/>
              <w:rPr>
                <w:b/>
                <w:bCs/>
              </w:rPr>
            </w:pPr>
            <w:r>
              <w:rPr>
                <w:b/>
                <w:bCs/>
              </w:rPr>
              <w:t>Clear inclusion criteria / participant selection</w:t>
            </w:r>
          </w:p>
        </w:tc>
        <w:tc>
          <w:tcPr>
            <w:tcW w:w="1027" w:type="dxa"/>
          </w:tcPr>
          <w:p w14:paraId="0A2A0E8B">
            <w:pPr>
              <w:spacing w:before="240" w:after="240" w:line="360" w:lineRule="auto"/>
              <w:rPr>
                <w:b/>
                <w:bCs/>
              </w:rPr>
            </w:pPr>
            <w:r>
              <w:rPr>
                <w:b/>
                <w:bCs/>
              </w:rPr>
              <w:t>Groups comparable / appropriate comparator</w:t>
            </w:r>
          </w:p>
        </w:tc>
        <w:tc>
          <w:tcPr>
            <w:tcW w:w="819" w:type="dxa"/>
          </w:tcPr>
          <w:p w14:paraId="0A7CA04C">
            <w:pPr>
              <w:spacing w:before="240" w:after="240" w:line="360" w:lineRule="auto"/>
              <w:rPr>
                <w:b/>
                <w:bCs/>
              </w:rPr>
            </w:pPr>
            <w:r>
              <w:rPr>
                <w:b/>
                <w:bCs/>
              </w:rPr>
              <w:t>Exposure or intervention clearly described</w:t>
            </w:r>
          </w:p>
        </w:tc>
        <w:tc>
          <w:tcPr>
            <w:tcW w:w="1154" w:type="dxa"/>
          </w:tcPr>
          <w:p w14:paraId="6A1E471E">
            <w:pPr>
              <w:spacing w:before="240" w:after="240" w:line="360" w:lineRule="auto"/>
              <w:rPr>
                <w:b/>
                <w:bCs/>
              </w:rPr>
            </w:pPr>
            <w:r>
              <w:rPr>
                <w:b/>
                <w:bCs/>
              </w:rPr>
              <w:t>Outcome measured validly and reliably</w:t>
            </w:r>
          </w:p>
        </w:tc>
        <w:tc>
          <w:tcPr>
            <w:tcW w:w="819" w:type="dxa"/>
          </w:tcPr>
          <w:p w14:paraId="269B3CFD">
            <w:pPr>
              <w:spacing w:before="240" w:after="240" w:line="360" w:lineRule="auto"/>
              <w:rPr>
                <w:b/>
                <w:bCs/>
              </w:rPr>
            </w:pPr>
            <w:r>
              <w:rPr>
                <w:b/>
                <w:bCs/>
              </w:rPr>
              <w:t>Follow-up adequate</w:t>
            </w:r>
          </w:p>
        </w:tc>
        <w:tc>
          <w:tcPr>
            <w:tcW w:w="773" w:type="dxa"/>
          </w:tcPr>
          <w:p w14:paraId="2C7F8FC0">
            <w:pPr>
              <w:spacing w:before="240" w:after="240" w:line="360" w:lineRule="auto"/>
              <w:rPr>
                <w:b/>
                <w:bCs/>
              </w:rPr>
            </w:pPr>
            <w:r>
              <w:rPr>
                <w:b/>
                <w:bCs/>
              </w:rPr>
              <w:t>Appropriate statistical analysis</w:t>
            </w:r>
          </w:p>
        </w:tc>
        <w:tc>
          <w:tcPr>
            <w:tcW w:w="1114" w:type="dxa"/>
          </w:tcPr>
          <w:p w14:paraId="34BA8A6C">
            <w:pPr>
              <w:spacing w:before="240" w:after="240" w:line="360" w:lineRule="auto"/>
              <w:rPr>
                <w:b/>
                <w:bCs/>
              </w:rPr>
            </w:pPr>
            <w:r>
              <w:rPr>
                <w:b/>
                <w:bCs/>
              </w:rPr>
              <w:t>Confounding / bias addressed</w:t>
            </w:r>
          </w:p>
        </w:tc>
        <w:tc>
          <w:tcPr>
            <w:tcW w:w="703" w:type="dxa"/>
          </w:tcPr>
          <w:p w14:paraId="735D2A9F">
            <w:pPr>
              <w:spacing w:before="240" w:after="240" w:line="360" w:lineRule="auto"/>
              <w:rPr>
                <w:b/>
                <w:bCs/>
              </w:rPr>
            </w:pPr>
            <w:r>
              <w:rPr>
                <w:b/>
                <w:bCs/>
              </w:rPr>
              <w:t>Overall JBI judgement</w:t>
            </w:r>
          </w:p>
        </w:tc>
      </w:tr>
      <w:tr w14:paraId="206E62A9">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368" w:type="dxa"/>
          </w:tcPr>
          <w:p w14:paraId="1F4EEA73">
            <w:pPr>
              <w:spacing w:before="240" w:after="240" w:line="360" w:lineRule="auto"/>
            </w:pPr>
            <w:r>
              <w:rPr>
                <w:b/>
                <w:bCs/>
              </w:rPr>
              <w:t>1</w:t>
            </w:r>
          </w:p>
        </w:tc>
        <w:tc>
          <w:tcPr>
            <w:tcW w:w="634" w:type="dxa"/>
          </w:tcPr>
          <w:p w14:paraId="318509C1">
            <w:pPr>
              <w:spacing w:before="240" w:after="240" w:line="360" w:lineRule="auto"/>
            </w:pPr>
            <w:r>
              <w:rPr>
                <w:b/>
                <w:bCs/>
              </w:rPr>
              <w:t>Davies et al. (2021)</w:t>
            </w:r>
          </w:p>
        </w:tc>
        <w:tc>
          <w:tcPr>
            <w:tcW w:w="1195" w:type="dxa"/>
          </w:tcPr>
          <w:p w14:paraId="57D411FF">
            <w:pPr>
              <w:spacing w:before="240" w:after="240" w:line="360" w:lineRule="auto"/>
            </w:pPr>
            <w:r>
              <w:t>Feasibility/intervention study; JBI quasi-experimental principles</w:t>
            </w:r>
          </w:p>
        </w:tc>
        <w:tc>
          <w:tcPr>
            <w:tcW w:w="743" w:type="dxa"/>
          </w:tcPr>
          <w:p w14:paraId="7DC33827">
            <w:pPr>
              <w:spacing w:before="240" w:after="240" w:line="360" w:lineRule="auto"/>
            </w:pPr>
            <w:r>
              <w:rPr>
                <w:b/>
                <w:bCs/>
              </w:rPr>
              <w:t>Y</w:t>
            </w:r>
            <w:r>
              <w:t xml:space="preserve"> – primary-school children in Greater Manchester were clearly identified</w:t>
            </w:r>
          </w:p>
        </w:tc>
        <w:tc>
          <w:tcPr>
            <w:tcW w:w="1027" w:type="dxa"/>
          </w:tcPr>
          <w:p w14:paraId="454E2C2D">
            <w:pPr>
              <w:spacing w:before="240" w:after="240" w:line="360" w:lineRule="auto"/>
            </w:pPr>
            <w:r>
              <w:rPr>
                <w:b/>
                <w:bCs/>
              </w:rPr>
              <w:t>N</w:t>
            </w:r>
            <w:r>
              <w:t xml:space="preserve"> – no control/comparison group</w:t>
            </w:r>
          </w:p>
        </w:tc>
        <w:tc>
          <w:tcPr>
            <w:tcW w:w="819" w:type="dxa"/>
          </w:tcPr>
          <w:p w14:paraId="63018580">
            <w:pPr>
              <w:spacing w:before="240" w:after="240" w:line="360" w:lineRule="auto"/>
            </w:pPr>
            <w:r>
              <w:rPr>
                <w:b/>
                <w:bCs/>
              </w:rPr>
              <w:t>Y</w:t>
            </w:r>
            <w:r>
              <w:t xml:space="preserve"> – 6-week Lexplore and Lincus intervention clearly described</w:t>
            </w:r>
          </w:p>
        </w:tc>
        <w:tc>
          <w:tcPr>
            <w:tcW w:w="1154" w:type="dxa"/>
          </w:tcPr>
          <w:p w14:paraId="4C6B6075">
            <w:pPr>
              <w:spacing w:before="240" w:after="240" w:line="360" w:lineRule="auto"/>
            </w:pPr>
            <w:r>
              <w:rPr>
                <w:b/>
                <w:bCs/>
              </w:rPr>
              <w:t>Y/CT</w:t>
            </w:r>
            <w:r>
              <w:t xml:space="preserve"> – completion and usage outcomes reported; effectiveness measures were limited</w:t>
            </w:r>
          </w:p>
        </w:tc>
        <w:tc>
          <w:tcPr>
            <w:tcW w:w="819" w:type="dxa"/>
          </w:tcPr>
          <w:p w14:paraId="4E6043FE">
            <w:pPr>
              <w:spacing w:before="240" w:after="240" w:line="360" w:lineRule="auto"/>
            </w:pPr>
            <w:r>
              <w:rPr>
                <w:b/>
                <w:bCs/>
              </w:rPr>
              <w:t>Y</w:t>
            </w:r>
            <w:r>
              <w:t xml:space="preserve"> – 30 of 34 completed follow-up</w:t>
            </w:r>
          </w:p>
        </w:tc>
        <w:tc>
          <w:tcPr>
            <w:tcW w:w="773" w:type="dxa"/>
          </w:tcPr>
          <w:p w14:paraId="5E1D38CB">
            <w:pPr>
              <w:spacing w:before="240" w:after="240" w:line="360" w:lineRule="auto"/>
            </w:pPr>
            <w:r>
              <w:rPr>
                <w:b/>
                <w:bCs/>
              </w:rPr>
              <w:t>Y</w:t>
            </w:r>
            <w:r>
              <w:t xml:space="preserve"> for feasibility outcomes</w:t>
            </w:r>
          </w:p>
        </w:tc>
        <w:tc>
          <w:tcPr>
            <w:tcW w:w="1114" w:type="dxa"/>
          </w:tcPr>
          <w:p w14:paraId="2218B590">
            <w:pPr>
              <w:spacing w:before="240" w:after="240" w:line="360" w:lineRule="auto"/>
            </w:pPr>
            <w:r>
              <w:rPr>
                <w:b/>
                <w:bCs/>
              </w:rPr>
              <w:t>CT</w:t>
            </w:r>
            <w:r>
              <w:t xml:space="preserve"> – limited information on potential confounders</w:t>
            </w:r>
          </w:p>
        </w:tc>
        <w:tc>
          <w:tcPr>
            <w:tcW w:w="703" w:type="dxa"/>
          </w:tcPr>
          <w:p w14:paraId="28FA2BC8">
            <w:pPr>
              <w:spacing w:before="240" w:after="240" w:line="360" w:lineRule="auto"/>
            </w:pPr>
            <w:r>
              <w:rPr>
                <w:b/>
                <w:bCs/>
              </w:rPr>
              <w:t>Moderate quality</w:t>
            </w:r>
          </w:p>
        </w:tc>
      </w:tr>
      <w:tr w14:paraId="67F2E743">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368" w:type="dxa"/>
          </w:tcPr>
          <w:p w14:paraId="45CBC06A">
            <w:pPr>
              <w:spacing w:before="240" w:after="240" w:line="360" w:lineRule="auto"/>
            </w:pPr>
            <w:r>
              <w:rPr>
                <w:b/>
                <w:bCs/>
              </w:rPr>
              <w:t>2</w:t>
            </w:r>
          </w:p>
        </w:tc>
        <w:tc>
          <w:tcPr>
            <w:tcW w:w="634" w:type="dxa"/>
          </w:tcPr>
          <w:p w14:paraId="34A1863D">
            <w:pPr>
              <w:spacing w:before="240" w:after="240" w:line="360" w:lineRule="auto"/>
            </w:pPr>
            <w:r>
              <w:rPr>
                <w:b/>
                <w:bCs/>
              </w:rPr>
              <w:t>Bennett et al. (2024)</w:t>
            </w:r>
          </w:p>
        </w:tc>
        <w:tc>
          <w:tcPr>
            <w:tcW w:w="1195" w:type="dxa"/>
          </w:tcPr>
          <w:p w14:paraId="33A7A2EF">
            <w:pPr>
              <w:spacing w:before="240" w:after="240" w:line="360" w:lineRule="auto"/>
            </w:pPr>
            <w:r>
              <w:t>Multicentre RCT; JBI RCT checklist</w:t>
            </w:r>
          </w:p>
        </w:tc>
        <w:tc>
          <w:tcPr>
            <w:tcW w:w="743" w:type="dxa"/>
          </w:tcPr>
          <w:p w14:paraId="41227D52">
            <w:pPr>
              <w:spacing w:before="240" w:after="240" w:line="360" w:lineRule="auto"/>
            </w:pPr>
            <w:r>
              <w:rPr>
                <w:b/>
                <w:bCs/>
              </w:rPr>
              <w:t>Y</w:t>
            </w:r>
            <w:r>
              <w:t xml:space="preserve"> – participants had epilepsy and a diagnosed common mental-health disorder</w:t>
            </w:r>
          </w:p>
        </w:tc>
        <w:tc>
          <w:tcPr>
            <w:tcW w:w="1027" w:type="dxa"/>
          </w:tcPr>
          <w:p w14:paraId="632E8C1A">
            <w:pPr>
              <w:spacing w:before="240" w:after="240" w:line="360" w:lineRule="auto"/>
            </w:pPr>
            <w:r>
              <w:rPr>
                <w:b/>
                <w:bCs/>
              </w:rPr>
              <w:t>Y</w:t>
            </w:r>
            <w:r>
              <w:t xml:space="preserve"> – intervention and control groups created through randomisation</w:t>
            </w:r>
          </w:p>
        </w:tc>
        <w:tc>
          <w:tcPr>
            <w:tcW w:w="819" w:type="dxa"/>
          </w:tcPr>
          <w:p w14:paraId="0BC1AF12">
            <w:pPr>
              <w:spacing w:before="240" w:after="240" w:line="360" w:lineRule="auto"/>
            </w:pPr>
            <w:r>
              <w:rPr>
                <w:b/>
                <w:bCs/>
              </w:rPr>
              <w:t>Y</w:t>
            </w:r>
            <w:r>
              <w:t xml:space="preserve"> – MICE plus usual care clearly defined</w:t>
            </w:r>
          </w:p>
        </w:tc>
        <w:tc>
          <w:tcPr>
            <w:tcW w:w="1154" w:type="dxa"/>
          </w:tcPr>
          <w:p w14:paraId="2065EF0D">
            <w:pPr>
              <w:spacing w:before="240" w:after="240" w:line="360" w:lineRule="auto"/>
            </w:pPr>
            <w:r>
              <w:rPr>
                <w:b/>
                <w:bCs/>
              </w:rPr>
              <w:t>Y</w:t>
            </w:r>
            <w:r>
              <w:t xml:space="preserve"> – SDQ used as primary outcome</w:t>
            </w:r>
          </w:p>
        </w:tc>
        <w:tc>
          <w:tcPr>
            <w:tcW w:w="819" w:type="dxa"/>
          </w:tcPr>
          <w:p w14:paraId="01909154">
            <w:pPr>
              <w:spacing w:before="240" w:after="240" w:line="360" w:lineRule="auto"/>
            </w:pPr>
            <w:r>
              <w:rPr>
                <w:b/>
                <w:bCs/>
              </w:rPr>
              <w:t>Y</w:t>
            </w:r>
            <w:r>
              <w:t xml:space="preserve"> – six-month follow-up reported</w:t>
            </w:r>
          </w:p>
        </w:tc>
        <w:tc>
          <w:tcPr>
            <w:tcW w:w="773" w:type="dxa"/>
          </w:tcPr>
          <w:p w14:paraId="2224018F">
            <w:pPr>
              <w:spacing w:before="240" w:after="240" w:line="360" w:lineRule="auto"/>
            </w:pPr>
            <w:r>
              <w:rPr>
                <w:b/>
                <w:bCs/>
              </w:rPr>
              <w:t>Y</w:t>
            </w:r>
            <w:r>
              <w:t xml:space="preserve"> – modified intention-to-treat analysis and effect estimates reported</w:t>
            </w:r>
          </w:p>
        </w:tc>
        <w:tc>
          <w:tcPr>
            <w:tcW w:w="1114" w:type="dxa"/>
          </w:tcPr>
          <w:p w14:paraId="5A5C8DB6">
            <w:pPr>
              <w:spacing w:before="240" w:after="240" w:line="360" w:lineRule="auto"/>
            </w:pPr>
            <w:r>
              <w:rPr>
                <w:b/>
                <w:bCs/>
              </w:rPr>
              <w:t>Y</w:t>
            </w:r>
            <w:r>
              <w:t xml:space="preserve"> – randomisation, minimisation and masked statisticians reduced bias</w:t>
            </w:r>
          </w:p>
        </w:tc>
        <w:tc>
          <w:tcPr>
            <w:tcW w:w="703" w:type="dxa"/>
          </w:tcPr>
          <w:p w14:paraId="2BB55E64">
            <w:pPr>
              <w:spacing w:before="240" w:after="240" w:line="360" w:lineRule="auto"/>
            </w:pPr>
            <w:r>
              <w:rPr>
                <w:b/>
                <w:bCs/>
              </w:rPr>
              <w:t>High quality</w:t>
            </w:r>
          </w:p>
        </w:tc>
      </w:tr>
      <w:tr w14:paraId="1F270B91">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368" w:type="dxa"/>
          </w:tcPr>
          <w:p w14:paraId="6C9ED35F">
            <w:pPr>
              <w:spacing w:before="240" w:after="240" w:line="360" w:lineRule="auto"/>
            </w:pPr>
            <w:r>
              <w:rPr>
                <w:b/>
                <w:bCs/>
              </w:rPr>
              <w:t>3</w:t>
            </w:r>
          </w:p>
        </w:tc>
        <w:tc>
          <w:tcPr>
            <w:tcW w:w="634" w:type="dxa"/>
          </w:tcPr>
          <w:p w14:paraId="241FE224">
            <w:pPr>
              <w:spacing w:before="240" w:after="240" w:line="360" w:lineRule="auto"/>
            </w:pPr>
            <w:r>
              <w:rPr>
                <w:b/>
                <w:bCs/>
              </w:rPr>
              <w:t>Reardon et al. (2026), iCATSi2i</w:t>
            </w:r>
          </w:p>
        </w:tc>
        <w:tc>
          <w:tcPr>
            <w:tcW w:w="1195" w:type="dxa"/>
          </w:tcPr>
          <w:p w14:paraId="76335804">
            <w:pPr>
              <w:spacing w:before="240" w:after="240" w:line="360" w:lineRule="auto"/>
            </w:pPr>
            <w:r>
              <w:t>Cluster RCT; JBI RCT checklist</w:t>
            </w:r>
          </w:p>
        </w:tc>
        <w:tc>
          <w:tcPr>
            <w:tcW w:w="743" w:type="dxa"/>
          </w:tcPr>
          <w:p w14:paraId="2AC48299">
            <w:pPr>
              <w:spacing w:before="240" w:after="240" w:line="360" w:lineRule="auto"/>
            </w:pPr>
            <w:r>
              <w:rPr>
                <w:b/>
                <w:bCs/>
              </w:rPr>
              <w:t>Y</w:t>
            </w:r>
            <w:r>
              <w:t xml:space="preserve"> – Year-4 children aged 8–9 in participating schools</w:t>
            </w:r>
          </w:p>
        </w:tc>
        <w:tc>
          <w:tcPr>
            <w:tcW w:w="1027" w:type="dxa"/>
          </w:tcPr>
          <w:p w14:paraId="4FD2E5D9">
            <w:pPr>
              <w:spacing w:before="240" w:after="240" w:line="360" w:lineRule="auto"/>
            </w:pPr>
            <w:r>
              <w:rPr>
                <w:b/>
                <w:bCs/>
              </w:rPr>
              <w:t>Y</w:t>
            </w:r>
            <w:r>
              <w:t xml:space="preserve"> – 42 intervention and 42 control schools</w:t>
            </w:r>
          </w:p>
        </w:tc>
        <w:tc>
          <w:tcPr>
            <w:tcW w:w="819" w:type="dxa"/>
          </w:tcPr>
          <w:p w14:paraId="68C88D7F">
            <w:pPr>
              <w:spacing w:before="240" w:after="240" w:line="360" w:lineRule="auto"/>
            </w:pPr>
            <w:r>
              <w:rPr>
                <w:b/>
                <w:bCs/>
              </w:rPr>
              <w:t>Y</w:t>
            </w:r>
            <w:r>
              <w:t xml:space="preserve"> – screening, feedback, OSI and whole-class intervention clearly explained</w:t>
            </w:r>
          </w:p>
        </w:tc>
        <w:tc>
          <w:tcPr>
            <w:tcW w:w="1154" w:type="dxa"/>
          </w:tcPr>
          <w:p w14:paraId="70E92EE7">
            <w:pPr>
              <w:spacing w:before="240" w:after="240" w:line="360" w:lineRule="auto"/>
            </w:pPr>
            <w:r>
              <w:rPr>
                <w:b/>
                <w:bCs/>
              </w:rPr>
              <w:t>Y</w:t>
            </w:r>
            <w:r>
              <w:t xml:space="preserve"> – iCATS-2 and predefined outcomes used</w:t>
            </w:r>
          </w:p>
        </w:tc>
        <w:tc>
          <w:tcPr>
            <w:tcW w:w="819" w:type="dxa"/>
          </w:tcPr>
          <w:p w14:paraId="3CB95818">
            <w:pPr>
              <w:spacing w:before="240" w:after="240" w:line="360" w:lineRule="auto"/>
            </w:pPr>
            <w:r>
              <w:rPr>
                <w:b/>
                <w:bCs/>
              </w:rPr>
              <w:t>Y</w:t>
            </w:r>
            <w:r>
              <w:t xml:space="preserve"> – 12-month outcome assessment</w:t>
            </w:r>
          </w:p>
        </w:tc>
        <w:tc>
          <w:tcPr>
            <w:tcW w:w="773" w:type="dxa"/>
          </w:tcPr>
          <w:p w14:paraId="2D755415">
            <w:pPr>
              <w:spacing w:before="240" w:after="240" w:line="360" w:lineRule="auto"/>
            </w:pPr>
            <w:r>
              <w:rPr>
                <w:b/>
                <w:bCs/>
              </w:rPr>
              <w:t>Y</w:t>
            </w:r>
            <w:r>
              <w:t xml:space="preserve"> – intention-to-treat analysis with imputation for missing data</w:t>
            </w:r>
          </w:p>
        </w:tc>
        <w:tc>
          <w:tcPr>
            <w:tcW w:w="1114" w:type="dxa"/>
          </w:tcPr>
          <w:p w14:paraId="0927686C">
            <w:pPr>
              <w:spacing w:before="240" w:after="240" w:line="360" w:lineRule="auto"/>
            </w:pPr>
            <w:r>
              <w:rPr>
                <w:b/>
                <w:bCs/>
              </w:rPr>
              <w:t>Y</w:t>
            </w:r>
            <w:r>
              <w:t xml:space="preserve"> – stratification, block randomisation and masked statisticians used</w:t>
            </w:r>
          </w:p>
        </w:tc>
        <w:tc>
          <w:tcPr>
            <w:tcW w:w="703" w:type="dxa"/>
          </w:tcPr>
          <w:p w14:paraId="47DDB2F4">
            <w:pPr>
              <w:spacing w:before="240" w:after="240" w:line="360" w:lineRule="auto"/>
            </w:pPr>
            <w:r>
              <w:rPr>
                <w:b/>
                <w:bCs/>
              </w:rPr>
              <w:t>High quality</w:t>
            </w:r>
          </w:p>
        </w:tc>
      </w:tr>
      <w:tr w14:paraId="4B3902E8">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368" w:type="dxa"/>
          </w:tcPr>
          <w:p w14:paraId="37F373BF">
            <w:pPr>
              <w:spacing w:before="240" w:after="240" w:line="360" w:lineRule="auto"/>
            </w:pPr>
            <w:r>
              <w:rPr>
                <w:b/>
                <w:bCs/>
              </w:rPr>
              <w:t>4</w:t>
            </w:r>
          </w:p>
        </w:tc>
        <w:tc>
          <w:tcPr>
            <w:tcW w:w="634" w:type="dxa"/>
          </w:tcPr>
          <w:p w14:paraId="11AC3776">
            <w:pPr>
              <w:spacing w:before="240" w:after="240" w:line="360" w:lineRule="auto"/>
            </w:pPr>
            <w:r>
              <w:rPr>
                <w:b/>
                <w:bCs/>
              </w:rPr>
              <w:t>Reardon et al. (2025)</w:t>
            </w:r>
          </w:p>
        </w:tc>
        <w:tc>
          <w:tcPr>
            <w:tcW w:w="1195" w:type="dxa"/>
          </w:tcPr>
          <w:p w14:paraId="16D871E0">
            <w:pPr>
              <w:spacing w:before="240" w:after="240" w:line="360" w:lineRule="auto"/>
            </w:pPr>
            <w:r>
              <w:t>Diagnostic/assessment-tool development; JBI diagnostic accuracy principles</w:t>
            </w:r>
          </w:p>
        </w:tc>
        <w:tc>
          <w:tcPr>
            <w:tcW w:w="743" w:type="dxa"/>
          </w:tcPr>
          <w:p w14:paraId="08956736">
            <w:pPr>
              <w:spacing w:before="240" w:after="240" w:line="360" w:lineRule="auto"/>
            </w:pPr>
            <w:r>
              <w:rPr>
                <w:b/>
                <w:bCs/>
              </w:rPr>
              <w:t>Y</w:t>
            </w:r>
            <w:r>
              <w:t xml:space="preserve"> – children aged 8–11 recruited from 19 schools</w:t>
            </w:r>
          </w:p>
        </w:tc>
        <w:tc>
          <w:tcPr>
            <w:tcW w:w="1027" w:type="dxa"/>
          </w:tcPr>
          <w:p w14:paraId="66A52502">
            <w:pPr>
              <w:spacing w:before="240" w:after="240" w:line="360" w:lineRule="auto"/>
            </w:pPr>
            <w:r>
              <w:rPr>
                <w:b/>
                <w:bCs/>
              </w:rPr>
              <w:t>NA</w:t>
            </w:r>
            <w:r>
              <w:t xml:space="preserve"> – not an intervention comparison study</w:t>
            </w:r>
          </w:p>
        </w:tc>
        <w:tc>
          <w:tcPr>
            <w:tcW w:w="819" w:type="dxa"/>
          </w:tcPr>
          <w:p w14:paraId="6889A5E0">
            <w:pPr>
              <w:spacing w:before="240" w:after="240" w:line="360" w:lineRule="auto"/>
            </w:pPr>
            <w:r>
              <w:rPr>
                <w:b/>
                <w:bCs/>
              </w:rPr>
              <w:t>Y</w:t>
            </w:r>
            <w:r>
              <w:t xml:space="preserve"> – candidate questionnaires and diagnostic assessment clearly described</w:t>
            </w:r>
          </w:p>
        </w:tc>
        <w:tc>
          <w:tcPr>
            <w:tcW w:w="1154" w:type="dxa"/>
          </w:tcPr>
          <w:p w14:paraId="03AD6EA6">
            <w:pPr>
              <w:spacing w:before="240" w:after="240" w:line="360" w:lineRule="auto"/>
            </w:pPr>
            <w:r>
              <w:rPr>
                <w:b/>
                <w:bCs/>
              </w:rPr>
              <w:t>Y</w:t>
            </w:r>
            <w:r>
              <w:t xml:space="preserve"> – Anxiety Disorder Interview Schedule served as diagnostic reference</w:t>
            </w:r>
          </w:p>
        </w:tc>
        <w:tc>
          <w:tcPr>
            <w:tcW w:w="819" w:type="dxa"/>
          </w:tcPr>
          <w:p w14:paraId="2F7A9BD7">
            <w:pPr>
              <w:spacing w:before="240" w:after="240" w:line="360" w:lineRule="auto"/>
            </w:pPr>
            <w:r>
              <w:rPr>
                <w:b/>
                <w:bCs/>
              </w:rPr>
              <w:t>Y</w:t>
            </w:r>
            <w:r>
              <w:t xml:space="preserve"> – diagnostic data obtained for 463 children</w:t>
            </w:r>
          </w:p>
        </w:tc>
        <w:tc>
          <w:tcPr>
            <w:tcW w:w="773" w:type="dxa"/>
          </w:tcPr>
          <w:p w14:paraId="0DB9502A">
            <w:pPr>
              <w:spacing w:before="240" w:after="240" w:line="360" w:lineRule="auto"/>
            </w:pPr>
            <w:r>
              <w:rPr>
                <w:b/>
                <w:bCs/>
              </w:rPr>
              <w:t>Y</w:t>
            </w:r>
            <w:r>
              <w:t xml:space="preserve"> – factor analysis and logistic regression appropriately used</w:t>
            </w:r>
          </w:p>
        </w:tc>
        <w:tc>
          <w:tcPr>
            <w:tcW w:w="1114" w:type="dxa"/>
          </w:tcPr>
          <w:p w14:paraId="1945128F">
            <w:pPr>
              <w:spacing w:before="240" w:after="240" w:line="360" w:lineRule="auto"/>
            </w:pPr>
            <w:r>
              <w:rPr>
                <w:b/>
                <w:bCs/>
              </w:rPr>
              <w:t>Y/CT</w:t>
            </w:r>
            <w:r>
              <w:t xml:space="preserve"> – independent assessors used, although full bias assessment requires full text</w:t>
            </w:r>
          </w:p>
        </w:tc>
        <w:tc>
          <w:tcPr>
            <w:tcW w:w="703" w:type="dxa"/>
          </w:tcPr>
          <w:p w14:paraId="09E5AD60">
            <w:pPr>
              <w:spacing w:before="240" w:after="240" w:line="360" w:lineRule="auto"/>
            </w:pPr>
            <w:r>
              <w:rPr>
                <w:b/>
                <w:bCs/>
              </w:rPr>
              <w:t>High quality</w:t>
            </w:r>
          </w:p>
        </w:tc>
      </w:tr>
      <w:tr w14:paraId="19BFB090">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368" w:type="dxa"/>
          </w:tcPr>
          <w:p w14:paraId="65315F9C">
            <w:pPr>
              <w:spacing w:before="240" w:after="240" w:line="360" w:lineRule="auto"/>
            </w:pPr>
            <w:r>
              <w:rPr>
                <w:b/>
                <w:bCs/>
              </w:rPr>
              <w:t>5</w:t>
            </w:r>
          </w:p>
        </w:tc>
        <w:tc>
          <w:tcPr>
            <w:tcW w:w="634" w:type="dxa"/>
          </w:tcPr>
          <w:p w14:paraId="322DE201">
            <w:pPr>
              <w:spacing w:before="240" w:after="240" w:line="360" w:lineRule="auto"/>
            </w:pPr>
            <w:r>
              <w:rPr>
                <w:b/>
                <w:bCs/>
              </w:rPr>
              <w:t>Finning et al. (2022)</w:t>
            </w:r>
          </w:p>
        </w:tc>
        <w:tc>
          <w:tcPr>
            <w:tcW w:w="1195" w:type="dxa"/>
          </w:tcPr>
          <w:p w14:paraId="2543FD48">
            <w:pPr>
              <w:spacing w:before="240" w:after="240" w:line="360" w:lineRule="auto"/>
            </w:pPr>
            <w:r>
              <w:t>Quasi-experimental longitudinal comparative study; JBI quasi-experimental checklist</w:t>
            </w:r>
          </w:p>
        </w:tc>
        <w:tc>
          <w:tcPr>
            <w:tcW w:w="743" w:type="dxa"/>
          </w:tcPr>
          <w:p w14:paraId="3C58807C">
            <w:pPr>
              <w:spacing w:before="240" w:after="240" w:line="360" w:lineRule="auto"/>
            </w:pPr>
            <w:r>
              <w:rPr>
                <w:b/>
                <w:bCs/>
              </w:rPr>
              <w:t>Y</w:t>
            </w:r>
            <w:r>
              <w:t xml:space="preserve"> – children receiving UK primary-school counselling were identified</w:t>
            </w:r>
          </w:p>
        </w:tc>
        <w:tc>
          <w:tcPr>
            <w:tcW w:w="1027" w:type="dxa"/>
          </w:tcPr>
          <w:p w14:paraId="2A45D9E8">
            <w:pPr>
              <w:spacing w:before="240" w:after="240" w:line="360" w:lineRule="auto"/>
            </w:pPr>
            <w:r>
              <w:rPr>
                <w:b/>
                <w:bCs/>
              </w:rPr>
              <w:t>Y</w:t>
            </w:r>
            <w:r>
              <w:t xml:space="preserve"> – propensity-score matched comparator group created</w:t>
            </w:r>
          </w:p>
        </w:tc>
        <w:tc>
          <w:tcPr>
            <w:tcW w:w="819" w:type="dxa"/>
          </w:tcPr>
          <w:p w14:paraId="54C57059">
            <w:pPr>
              <w:spacing w:before="240" w:after="240" w:line="360" w:lineRule="auto"/>
            </w:pPr>
            <w:r>
              <w:rPr>
                <w:b/>
                <w:bCs/>
              </w:rPr>
              <w:t>Y</w:t>
            </w:r>
            <w:r>
              <w:t xml:space="preserve"> – one-to-one school counselling clearly specified</w:t>
            </w:r>
          </w:p>
        </w:tc>
        <w:tc>
          <w:tcPr>
            <w:tcW w:w="1154" w:type="dxa"/>
          </w:tcPr>
          <w:p w14:paraId="3573E2B8">
            <w:pPr>
              <w:spacing w:before="240" w:after="240" w:line="360" w:lineRule="auto"/>
            </w:pPr>
            <w:r>
              <w:rPr>
                <w:b/>
                <w:bCs/>
              </w:rPr>
              <w:t>Y</w:t>
            </w:r>
            <w:r>
              <w:t xml:space="preserve"> – SDQ completed by teachers and parents</w:t>
            </w:r>
          </w:p>
        </w:tc>
        <w:tc>
          <w:tcPr>
            <w:tcW w:w="819" w:type="dxa"/>
          </w:tcPr>
          <w:p w14:paraId="39CD8543">
            <w:pPr>
              <w:spacing w:before="240" w:after="240" w:line="360" w:lineRule="auto"/>
            </w:pPr>
            <w:r>
              <w:rPr>
                <w:b/>
                <w:bCs/>
              </w:rPr>
              <w:t>Y</w:t>
            </w:r>
            <w:r>
              <w:t xml:space="preserve"> – approximately one-year follow-up, with modelling extending to two years</w:t>
            </w:r>
          </w:p>
        </w:tc>
        <w:tc>
          <w:tcPr>
            <w:tcW w:w="773" w:type="dxa"/>
          </w:tcPr>
          <w:p w14:paraId="1C7E1BB5">
            <w:pPr>
              <w:spacing w:before="240" w:after="240" w:line="360" w:lineRule="auto"/>
            </w:pPr>
            <w:r>
              <w:rPr>
                <w:b/>
                <w:bCs/>
              </w:rPr>
              <w:t>Y</w:t>
            </w:r>
            <w:r>
              <w:t xml:space="preserve"> – paired t-tests, propensity matching and mixed-effects models used</w:t>
            </w:r>
          </w:p>
        </w:tc>
        <w:tc>
          <w:tcPr>
            <w:tcW w:w="1114" w:type="dxa"/>
          </w:tcPr>
          <w:p w14:paraId="2CF9A35B">
            <w:pPr>
              <w:spacing w:before="240" w:after="240" w:line="360" w:lineRule="auto"/>
            </w:pPr>
            <w:r>
              <w:rPr>
                <w:b/>
                <w:bCs/>
              </w:rPr>
              <w:t>Y</w:t>
            </w:r>
            <w:r>
              <w:t xml:space="preserve"> – propensity-score matching reduced measured confounding</w:t>
            </w:r>
          </w:p>
        </w:tc>
        <w:tc>
          <w:tcPr>
            <w:tcW w:w="703" w:type="dxa"/>
          </w:tcPr>
          <w:p w14:paraId="7FFCA129">
            <w:pPr>
              <w:spacing w:before="240" w:after="240" w:line="360" w:lineRule="auto"/>
            </w:pPr>
            <w:r>
              <w:rPr>
                <w:b/>
                <w:bCs/>
              </w:rPr>
              <w:t>Moderate–High quality</w:t>
            </w:r>
          </w:p>
        </w:tc>
      </w:tr>
      <w:tr w14:paraId="3E79D83D">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368" w:type="dxa"/>
          </w:tcPr>
          <w:p w14:paraId="69E531CB">
            <w:pPr>
              <w:spacing w:before="240" w:after="240" w:line="360" w:lineRule="auto"/>
            </w:pPr>
            <w:r>
              <w:rPr>
                <w:b/>
                <w:bCs/>
              </w:rPr>
              <w:t>6</w:t>
            </w:r>
          </w:p>
        </w:tc>
        <w:tc>
          <w:tcPr>
            <w:tcW w:w="634" w:type="dxa"/>
          </w:tcPr>
          <w:p w14:paraId="18B41C67">
            <w:pPr>
              <w:spacing w:before="240" w:after="240" w:line="360" w:lineRule="auto"/>
            </w:pPr>
            <w:r>
              <w:rPr>
                <w:b/>
                <w:bCs/>
              </w:rPr>
              <w:t>Axford et al. (2021)</w:t>
            </w:r>
          </w:p>
        </w:tc>
        <w:tc>
          <w:tcPr>
            <w:tcW w:w="1195" w:type="dxa"/>
          </w:tcPr>
          <w:p w14:paraId="50B26539">
            <w:pPr>
              <w:spacing w:before="240" w:after="240" w:line="360" w:lineRule="auto"/>
            </w:pPr>
            <w:r>
              <w:t>Two-arm RCT; JBI RCT checklist</w:t>
            </w:r>
          </w:p>
        </w:tc>
        <w:tc>
          <w:tcPr>
            <w:tcW w:w="743" w:type="dxa"/>
          </w:tcPr>
          <w:p w14:paraId="66E21252">
            <w:pPr>
              <w:spacing w:before="240" w:after="240" w:line="360" w:lineRule="auto"/>
            </w:pPr>
            <w:r>
              <w:rPr>
                <w:b/>
                <w:bCs/>
              </w:rPr>
              <w:t>Y</w:t>
            </w:r>
            <w:r>
              <w:t xml:space="preserve"> – children aged 5–11 with elevated SDQ difficulties</w:t>
            </w:r>
          </w:p>
        </w:tc>
        <w:tc>
          <w:tcPr>
            <w:tcW w:w="1027" w:type="dxa"/>
          </w:tcPr>
          <w:p w14:paraId="09E5D319">
            <w:pPr>
              <w:spacing w:before="240" w:after="240" w:line="360" w:lineRule="auto"/>
            </w:pPr>
            <w:r>
              <w:rPr>
                <w:b/>
                <w:bCs/>
              </w:rPr>
              <w:t>Y</w:t>
            </w:r>
            <w:r>
              <w:t xml:space="preserve"> – 123 intervention and 123 control participants</w:t>
            </w:r>
          </w:p>
        </w:tc>
        <w:tc>
          <w:tcPr>
            <w:tcW w:w="819" w:type="dxa"/>
          </w:tcPr>
          <w:p w14:paraId="50E00A7F">
            <w:pPr>
              <w:spacing w:before="240" w:after="240" w:line="360" w:lineRule="auto"/>
            </w:pPr>
            <w:r>
              <w:rPr>
                <w:b/>
                <w:bCs/>
              </w:rPr>
              <w:t>Y</w:t>
            </w:r>
            <w:r>
              <w:t xml:space="preserve"> – 12-month one-to-one mentoring clearly defined</w:t>
            </w:r>
          </w:p>
        </w:tc>
        <w:tc>
          <w:tcPr>
            <w:tcW w:w="1154" w:type="dxa"/>
          </w:tcPr>
          <w:p w14:paraId="3DFF8E9E">
            <w:pPr>
              <w:spacing w:before="240" w:after="240" w:line="360" w:lineRule="auto"/>
            </w:pPr>
            <w:r>
              <w:rPr>
                <w:b/>
                <w:bCs/>
              </w:rPr>
              <w:t>Y</w:t>
            </w:r>
            <w:r>
              <w:t xml:space="preserve"> – SDQ and child-reported measures used</w:t>
            </w:r>
          </w:p>
        </w:tc>
        <w:tc>
          <w:tcPr>
            <w:tcW w:w="819" w:type="dxa"/>
          </w:tcPr>
          <w:p w14:paraId="100F0D22">
            <w:pPr>
              <w:spacing w:before="240" w:after="240" w:line="360" w:lineRule="auto"/>
            </w:pPr>
            <w:r>
              <w:rPr>
                <w:b/>
                <w:bCs/>
              </w:rPr>
              <w:t>Y</w:t>
            </w:r>
            <w:r>
              <w:t xml:space="preserve"> – outcomes assessed 16 months after randomisation</w:t>
            </w:r>
          </w:p>
        </w:tc>
        <w:tc>
          <w:tcPr>
            <w:tcW w:w="773" w:type="dxa"/>
          </w:tcPr>
          <w:p w14:paraId="2C777AA3">
            <w:pPr>
              <w:spacing w:before="240" w:after="240" w:line="360" w:lineRule="auto"/>
            </w:pPr>
            <w:r>
              <w:rPr>
                <w:b/>
                <w:bCs/>
              </w:rPr>
              <w:t>Y</w:t>
            </w:r>
            <w:r>
              <w:t xml:space="preserve"> – intention-to-treat and CACE analyses reported</w:t>
            </w:r>
          </w:p>
        </w:tc>
        <w:tc>
          <w:tcPr>
            <w:tcW w:w="1114" w:type="dxa"/>
          </w:tcPr>
          <w:p w14:paraId="7EA89C46">
            <w:pPr>
              <w:spacing w:before="240" w:after="240" w:line="360" w:lineRule="auto"/>
            </w:pPr>
            <w:r>
              <w:rPr>
                <w:b/>
                <w:bCs/>
              </w:rPr>
              <w:t>Y</w:t>
            </w:r>
            <w:r>
              <w:t xml:space="preserve"> – computer randomisation, stratification and blinded assessors/statisticians</w:t>
            </w:r>
          </w:p>
        </w:tc>
        <w:tc>
          <w:tcPr>
            <w:tcW w:w="703" w:type="dxa"/>
          </w:tcPr>
          <w:p w14:paraId="25801A33">
            <w:pPr>
              <w:spacing w:before="240" w:after="240" w:line="360" w:lineRule="auto"/>
            </w:pPr>
            <w:r>
              <w:rPr>
                <w:b/>
                <w:bCs/>
              </w:rPr>
              <w:t>High quality</w:t>
            </w:r>
          </w:p>
        </w:tc>
      </w:tr>
      <w:tr w14:paraId="758B5DF1">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368" w:type="dxa"/>
          </w:tcPr>
          <w:p w14:paraId="63698176">
            <w:pPr>
              <w:spacing w:before="240" w:after="240" w:line="360" w:lineRule="auto"/>
            </w:pPr>
            <w:r>
              <w:rPr>
                <w:b/>
                <w:bCs/>
              </w:rPr>
              <w:t>7</w:t>
            </w:r>
          </w:p>
        </w:tc>
        <w:tc>
          <w:tcPr>
            <w:tcW w:w="634" w:type="dxa"/>
          </w:tcPr>
          <w:p w14:paraId="61987BE2">
            <w:pPr>
              <w:spacing w:before="240" w:after="240" w:line="360" w:lineRule="auto"/>
            </w:pPr>
            <w:r>
              <w:rPr>
                <w:b/>
                <w:bCs/>
              </w:rPr>
              <w:t>Jolley et al. (2023)</w:t>
            </w:r>
          </w:p>
        </w:tc>
        <w:tc>
          <w:tcPr>
            <w:tcW w:w="1195" w:type="dxa"/>
          </w:tcPr>
          <w:p w14:paraId="31D57C25">
            <w:pPr>
              <w:spacing w:before="240" w:after="240" w:line="360" w:lineRule="auto"/>
            </w:pPr>
            <w:r>
              <w:t xml:space="preserve">Cluster RCT </w:t>
            </w:r>
            <w:r>
              <w:rPr>
                <w:b/>
                <w:bCs/>
              </w:rPr>
              <w:t>protocol</w:t>
            </w:r>
            <w:r>
              <w:t>; JBI RCT principles</w:t>
            </w:r>
          </w:p>
        </w:tc>
        <w:tc>
          <w:tcPr>
            <w:tcW w:w="743" w:type="dxa"/>
          </w:tcPr>
          <w:p w14:paraId="6608789F">
            <w:pPr>
              <w:spacing w:before="240" w:after="240" w:line="360" w:lineRule="auto"/>
            </w:pPr>
            <w:r>
              <w:rPr>
                <w:b/>
                <w:bCs/>
              </w:rPr>
              <w:t>Y</w:t>
            </w:r>
            <w:r>
              <w:t xml:space="preserve"> – Year-4 children, including vulnerable children, clearly specified</w:t>
            </w:r>
          </w:p>
        </w:tc>
        <w:tc>
          <w:tcPr>
            <w:tcW w:w="1027" w:type="dxa"/>
          </w:tcPr>
          <w:p w14:paraId="6E085C27">
            <w:pPr>
              <w:spacing w:before="240" w:after="240" w:line="360" w:lineRule="auto"/>
            </w:pPr>
            <w:r>
              <w:rPr>
                <w:b/>
                <w:bCs/>
              </w:rPr>
              <w:t>Planned Y</w:t>
            </w:r>
            <w:r>
              <w:t xml:space="preserve"> – usual curriculum vs CUES</w:t>
            </w:r>
          </w:p>
        </w:tc>
        <w:tc>
          <w:tcPr>
            <w:tcW w:w="819" w:type="dxa"/>
          </w:tcPr>
          <w:p w14:paraId="51C42FB0">
            <w:pPr>
              <w:spacing w:before="240" w:after="240" w:line="360" w:lineRule="auto"/>
            </w:pPr>
            <w:r>
              <w:rPr>
                <w:b/>
                <w:bCs/>
              </w:rPr>
              <w:t>Y</w:t>
            </w:r>
            <w:r>
              <w:t xml:space="preserve"> – 24 digital CBT modules over 12 weeks described</w:t>
            </w:r>
          </w:p>
        </w:tc>
        <w:tc>
          <w:tcPr>
            <w:tcW w:w="1154" w:type="dxa"/>
          </w:tcPr>
          <w:p w14:paraId="6E6665F3">
            <w:pPr>
              <w:spacing w:before="240" w:after="240" w:line="360" w:lineRule="auto"/>
            </w:pPr>
            <w:r>
              <w:rPr>
                <w:b/>
                <w:bCs/>
              </w:rPr>
              <w:t>Planned Y</w:t>
            </w:r>
            <w:r>
              <w:t xml:space="preserve"> – emotional/behavioural and wellbeing measures specified</w:t>
            </w:r>
          </w:p>
        </w:tc>
        <w:tc>
          <w:tcPr>
            <w:tcW w:w="819" w:type="dxa"/>
          </w:tcPr>
          <w:p w14:paraId="69621482">
            <w:pPr>
              <w:spacing w:before="240" w:after="240" w:line="360" w:lineRule="auto"/>
            </w:pPr>
            <w:r>
              <w:rPr>
                <w:b/>
                <w:bCs/>
              </w:rPr>
              <w:t>Planned Y</w:t>
            </w:r>
            <w:r>
              <w:t xml:space="preserve"> – baseline, 8- and 16-week assessments</w:t>
            </w:r>
          </w:p>
        </w:tc>
        <w:tc>
          <w:tcPr>
            <w:tcW w:w="773" w:type="dxa"/>
          </w:tcPr>
          <w:p w14:paraId="72B9BB88">
            <w:pPr>
              <w:spacing w:before="240" w:after="240" w:line="360" w:lineRule="auto"/>
            </w:pPr>
            <w:r>
              <w:rPr>
                <w:b/>
                <w:bCs/>
              </w:rPr>
              <w:t>Planned Y</w:t>
            </w:r>
            <w:r>
              <w:t xml:space="preserve"> – cluster RCT analysis anticipated</w:t>
            </w:r>
          </w:p>
        </w:tc>
        <w:tc>
          <w:tcPr>
            <w:tcW w:w="1114" w:type="dxa"/>
          </w:tcPr>
          <w:p w14:paraId="5A5C375B">
            <w:pPr>
              <w:spacing w:before="240" w:after="240" w:line="360" w:lineRule="auto"/>
            </w:pPr>
            <w:r>
              <w:rPr>
                <w:b/>
                <w:bCs/>
              </w:rPr>
              <w:t>CT</w:t>
            </w:r>
            <w:r>
              <w:t xml:space="preserve"> – cannot judge implementation bias before trial completion</w:t>
            </w:r>
          </w:p>
        </w:tc>
        <w:tc>
          <w:tcPr>
            <w:tcW w:w="703" w:type="dxa"/>
          </w:tcPr>
          <w:p w14:paraId="1EC48E14">
            <w:pPr>
              <w:spacing w:before="240" w:after="240" w:line="360" w:lineRule="auto"/>
            </w:pPr>
            <w:r>
              <w:rPr>
                <w:b/>
                <w:bCs/>
              </w:rPr>
              <w:t>Moderate quality</w:t>
            </w:r>
          </w:p>
        </w:tc>
      </w:tr>
      <w:tr w14:paraId="5C5E36D1">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368" w:type="dxa"/>
          </w:tcPr>
          <w:p w14:paraId="7E9FEE18">
            <w:pPr>
              <w:spacing w:before="240" w:after="240" w:line="360" w:lineRule="auto"/>
            </w:pPr>
            <w:r>
              <w:rPr>
                <w:b/>
                <w:bCs/>
              </w:rPr>
              <w:t>8</w:t>
            </w:r>
          </w:p>
        </w:tc>
        <w:tc>
          <w:tcPr>
            <w:tcW w:w="634" w:type="dxa"/>
          </w:tcPr>
          <w:p w14:paraId="587DFF2F">
            <w:pPr>
              <w:spacing w:before="240" w:after="240" w:line="360" w:lineRule="auto"/>
            </w:pPr>
            <w:r>
              <w:rPr>
                <w:b/>
                <w:bCs/>
              </w:rPr>
              <w:t>Reardon et al. (2026), parent-led CBT</w:t>
            </w:r>
          </w:p>
        </w:tc>
        <w:tc>
          <w:tcPr>
            <w:tcW w:w="1195" w:type="dxa"/>
          </w:tcPr>
          <w:p w14:paraId="74B3A0A3">
            <w:pPr>
              <w:spacing w:before="240" w:after="240" w:line="360" w:lineRule="auto"/>
            </w:pPr>
            <w:r>
              <w:t>Cluster RCT; JBI RCT checklist</w:t>
            </w:r>
          </w:p>
        </w:tc>
        <w:tc>
          <w:tcPr>
            <w:tcW w:w="743" w:type="dxa"/>
          </w:tcPr>
          <w:p w14:paraId="2A268301">
            <w:pPr>
              <w:spacing w:before="240" w:after="240" w:line="360" w:lineRule="auto"/>
            </w:pPr>
            <w:r>
              <w:rPr>
                <w:b/>
                <w:bCs/>
              </w:rPr>
              <w:t>Y</w:t>
            </w:r>
            <w:r>
              <w:t xml:space="preserve"> – children aged 4–7 screening positive for anxiety-related risks</w:t>
            </w:r>
          </w:p>
        </w:tc>
        <w:tc>
          <w:tcPr>
            <w:tcW w:w="1027" w:type="dxa"/>
          </w:tcPr>
          <w:p w14:paraId="227C8585">
            <w:pPr>
              <w:spacing w:before="240" w:after="240" w:line="360" w:lineRule="auto"/>
            </w:pPr>
            <w:r>
              <w:rPr>
                <w:b/>
                <w:bCs/>
              </w:rPr>
              <w:t>Y</w:t>
            </w:r>
            <w:r>
              <w:t xml:space="preserve"> – 48 intervention and 47 usual-practice schools</w:t>
            </w:r>
          </w:p>
        </w:tc>
        <w:tc>
          <w:tcPr>
            <w:tcW w:w="819" w:type="dxa"/>
          </w:tcPr>
          <w:p w14:paraId="1E1B1616">
            <w:pPr>
              <w:spacing w:before="240" w:after="240" w:line="360" w:lineRule="auto"/>
            </w:pPr>
            <w:r>
              <w:rPr>
                <w:b/>
                <w:bCs/>
              </w:rPr>
              <w:t>Y</w:t>
            </w:r>
            <w:r>
              <w:t xml:space="preserve"> – parent-led CBT delivered online and by telephone clearly described</w:t>
            </w:r>
          </w:p>
        </w:tc>
        <w:tc>
          <w:tcPr>
            <w:tcW w:w="1154" w:type="dxa"/>
          </w:tcPr>
          <w:p w14:paraId="102B0A82">
            <w:pPr>
              <w:spacing w:before="240" w:after="240" w:line="360" w:lineRule="auto"/>
            </w:pPr>
            <w:r>
              <w:rPr>
                <w:b/>
                <w:bCs/>
              </w:rPr>
              <w:t>Y</w:t>
            </w:r>
            <w:r>
              <w:t xml:space="preserve"> – ADIS-P and secondary clinical measures reported</w:t>
            </w:r>
          </w:p>
        </w:tc>
        <w:tc>
          <w:tcPr>
            <w:tcW w:w="819" w:type="dxa"/>
          </w:tcPr>
          <w:p w14:paraId="5E3EDFC3">
            <w:pPr>
              <w:spacing w:before="240" w:after="240" w:line="360" w:lineRule="auto"/>
            </w:pPr>
            <w:r>
              <w:rPr>
                <w:b/>
                <w:bCs/>
              </w:rPr>
              <w:t>Y</w:t>
            </w:r>
            <w:r>
              <w:t xml:space="preserve"> – 12-week and 12-month follow-ups</w:t>
            </w:r>
          </w:p>
        </w:tc>
        <w:tc>
          <w:tcPr>
            <w:tcW w:w="773" w:type="dxa"/>
          </w:tcPr>
          <w:p w14:paraId="2D1B2112">
            <w:pPr>
              <w:spacing w:before="240" w:after="240" w:line="360" w:lineRule="auto"/>
            </w:pPr>
            <w:r>
              <w:rPr>
                <w:b/>
                <w:bCs/>
              </w:rPr>
              <w:t>Y</w:t>
            </w:r>
            <w:r>
              <w:t xml:space="preserve"> – intention-to-treat analyses and effect estimates reported</w:t>
            </w:r>
          </w:p>
        </w:tc>
        <w:tc>
          <w:tcPr>
            <w:tcW w:w="1114" w:type="dxa"/>
          </w:tcPr>
          <w:p w14:paraId="04D0723B">
            <w:pPr>
              <w:spacing w:before="240" w:after="240" w:line="360" w:lineRule="auto"/>
            </w:pPr>
            <w:r>
              <w:rPr>
                <w:b/>
                <w:bCs/>
              </w:rPr>
              <w:t>Y</w:t>
            </w:r>
            <w:r>
              <w:t xml:space="preserve"> – stratified cluster randomisation and independent outcome assessment</w:t>
            </w:r>
          </w:p>
        </w:tc>
        <w:tc>
          <w:tcPr>
            <w:tcW w:w="703" w:type="dxa"/>
          </w:tcPr>
          <w:p w14:paraId="4BBAE7DF">
            <w:pPr>
              <w:spacing w:before="240" w:after="240" w:line="360" w:lineRule="auto"/>
            </w:pPr>
            <w:r>
              <w:rPr>
                <w:b/>
                <w:bCs/>
              </w:rPr>
              <w:t>High quality</w:t>
            </w:r>
          </w:p>
        </w:tc>
      </w:tr>
    </w:tbl>
    <w:p w14:paraId="2569E3D7">
      <w:pPr>
        <w:spacing w:before="240" w:after="240"/>
      </w:pPr>
    </w:p>
    <w:p w14:paraId="6A5688DE">
      <w:pPr>
        <w:pStyle w:val="3"/>
        <w:spacing w:before="240" w:after="240"/>
      </w:pPr>
      <w:bookmarkStart w:id="71" w:name="_Toc241231955"/>
      <w:r>
        <w:t>Appendix 3: MMAT checklist for mixed-method studies</w:t>
      </w:r>
      <w:bookmarkEnd w:id="71"/>
    </w:p>
    <w:tbl>
      <w:tblPr>
        <w:tblStyle w:val="23"/>
        <w:tblW w:w="9350" w:type="dxa"/>
        <w:tblInd w:w="0" w:type="dxa"/>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fixed"/>
        <w:tblCellMar>
          <w:top w:w="0" w:type="dxa"/>
          <w:left w:w="108" w:type="dxa"/>
          <w:bottom w:w="0" w:type="dxa"/>
          <w:right w:w="108" w:type="dxa"/>
        </w:tblCellMar>
      </w:tblPr>
      <w:tblGrid>
        <w:gridCol w:w="2839"/>
        <w:gridCol w:w="1104"/>
        <w:gridCol w:w="1307"/>
        <w:gridCol w:w="1406"/>
        <w:gridCol w:w="1288"/>
        <w:gridCol w:w="1406"/>
      </w:tblGrid>
      <w:tr w14:paraId="373C8157">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Ex>
        <w:tc>
          <w:tcPr>
            <w:tcW w:w="2839" w:type="dxa"/>
          </w:tcPr>
          <w:p w14:paraId="14CD9DB8">
            <w:pPr>
              <w:spacing w:before="240" w:after="240" w:line="360" w:lineRule="auto"/>
              <w:rPr>
                <w:b/>
                <w:bCs/>
              </w:rPr>
            </w:pPr>
            <w:r>
              <w:rPr>
                <w:b/>
                <w:bCs/>
              </w:rPr>
              <w:t>MMAT criterion</w:t>
            </w:r>
          </w:p>
        </w:tc>
        <w:tc>
          <w:tcPr>
            <w:tcW w:w="1104" w:type="dxa"/>
          </w:tcPr>
          <w:p w14:paraId="2F2852FE">
            <w:pPr>
              <w:spacing w:before="240" w:after="240" w:line="360" w:lineRule="auto"/>
              <w:rPr>
                <w:b/>
                <w:bCs/>
              </w:rPr>
            </w:pPr>
            <w:r>
              <w:rPr>
                <w:b/>
                <w:bCs/>
              </w:rPr>
              <w:t>Green 2023</w:t>
            </w:r>
          </w:p>
        </w:tc>
        <w:tc>
          <w:tcPr>
            <w:tcW w:w="1307" w:type="dxa"/>
          </w:tcPr>
          <w:p w14:paraId="3904A820">
            <w:pPr>
              <w:spacing w:before="240" w:after="240" w:line="360" w:lineRule="auto"/>
              <w:rPr>
                <w:b/>
                <w:bCs/>
              </w:rPr>
            </w:pPr>
            <w:r>
              <w:rPr>
                <w:b/>
                <w:bCs/>
              </w:rPr>
              <w:t>Reardon 2022 Protocol</w:t>
            </w:r>
          </w:p>
        </w:tc>
        <w:tc>
          <w:tcPr>
            <w:tcW w:w="1406" w:type="dxa"/>
          </w:tcPr>
          <w:p w14:paraId="02B2A2E7">
            <w:pPr>
              <w:spacing w:before="240" w:after="240" w:line="360" w:lineRule="auto"/>
              <w:rPr>
                <w:b/>
                <w:bCs/>
              </w:rPr>
            </w:pPr>
            <w:r>
              <w:rPr>
                <w:b/>
                <w:bCs/>
              </w:rPr>
              <w:t>Williamson 2021 Protocol</w:t>
            </w:r>
          </w:p>
        </w:tc>
        <w:tc>
          <w:tcPr>
            <w:tcW w:w="1288" w:type="dxa"/>
          </w:tcPr>
          <w:p w14:paraId="1A203224">
            <w:pPr>
              <w:spacing w:before="240" w:after="240" w:line="360" w:lineRule="auto"/>
              <w:rPr>
                <w:b/>
                <w:bCs/>
              </w:rPr>
            </w:pPr>
            <w:r>
              <w:rPr>
                <w:b/>
                <w:bCs/>
              </w:rPr>
              <w:t>O'Brien 2023 Protocol</w:t>
            </w:r>
          </w:p>
        </w:tc>
        <w:tc>
          <w:tcPr>
            <w:tcW w:w="1406" w:type="dxa"/>
          </w:tcPr>
          <w:p w14:paraId="603047BA">
            <w:pPr>
              <w:spacing w:before="240" w:after="240" w:line="360" w:lineRule="auto"/>
              <w:rPr>
                <w:b/>
                <w:bCs/>
              </w:rPr>
            </w:pPr>
            <w:r>
              <w:rPr>
                <w:b/>
                <w:bCs/>
              </w:rPr>
              <w:t>Williamson 2025 Protocol</w:t>
            </w:r>
          </w:p>
        </w:tc>
      </w:tr>
      <w:tr w14:paraId="0EC0BF2D">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2839" w:type="dxa"/>
          </w:tcPr>
          <w:p w14:paraId="273AA71F">
            <w:pPr>
              <w:spacing w:before="240" w:after="240" w:line="360" w:lineRule="auto"/>
            </w:pPr>
            <w:r>
              <w:t>Clear research question</w:t>
            </w:r>
          </w:p>
        </w:tc>
        <w:tc>
          <w:tcPr>
            <w:tcW w:w="1104" w:type="dxa"/>
          </w:tcPr>
          <w:p w14:paraId="102A12CD">
            <w:pPr>
              <w:spacing w:before="240" w:after="240" w:line="360" w:lineRule="auto"/>
            </w:pPr>
            <w:r>
              <w:t>Yes</w:t>
            </w:r>
          </w:p>
        </w:tc>
        <w:tc>
          <w:tcPr>
            <w:tcW w:w="1307" w:type="dxa"/>
          </w:tcPr>
          <w:p w14:paraId="39200157">
            <w:pPr>
              <w:spacing w:before="240" w:after="240" w:line="360" w:lineRule="auto"/>
            </w:pPr>
            <w:r>
              <w:t>Yes</w:t>
            </w:r>
          </w:p>
        </w:tc>
        <w:tc>
          <w:tcPr>
            <w:tcW w:w="1406" w:type="dxa"/>
          </w:tcPr>
          <w:p w14:paraId="1BE0294B">
            <w:pPr>
              <w:spacing w:before="240" w:after="240" w:line="360" w:lineRule="auto"/>
            </w:pPr>
            <w:r>
              <w:t>Yes</w:t>
            </w:r>
          </w:p>
        </w:tc>
        <w:tc>
          <w:tcPr>
            <w:tcW w:w="1288" w:type="dxa"/>
          </w:tcPr>
          <w:p w14:paraId="019CEF0D">
            <w:pPr>
              <w:spacing w:before="240" w:after="240" w:line="360" w:lineRule="auto"/>
            </w:pPr>
            <w:r>
              <w:t>Yes</w:t>
            </w:r>
          </w:p>
        </w:tc>
        <w:tc>
          <w:tcPr>
            <w:tcW w:w="1406" w:type="dxa"/>
          </w:tcPr>
          <w:p w14:paraId="7C8B802A">
            <w:pPr>
              <w:spacing w:before="240" w:after="240" w:line="360" w:lineRule="auto"/>
            </w:pPr>
            <w:r>
              <w:t>Yes</w:t>
            </w:r>
          </w:p>
        </w:tc>
      </w:tr>
      <w:tr w14:paraId="1F0FD8A4">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2839" w:type="dxa"/>
          </w:tcPr>
          <w:p w14:paraId="1372E05E">
            <w:pPr>
              <w:spacing w:before="240" w:after="240" w:line="360" w:lineRule="auto"/>
            </w:pPr>
            <w:r>
              <w:t>Data capable of addressing question</w:t>
            </w:r>
          </w:p>
        </w:tc>
        <w:tc>
          <w:tcPr>
            <w:tcW w:w="1104" w:type="dxa"/>
          </w:tcPr>
          <w:p w14:paraId="39162069">
            <w:pPr>
              <w:spacing w:before="240" w:after="240" w:line="360" w:lineRule="auto"/>
            </w:pPr>
            <w:r>
              <w:t>Yes</w:t>
            </w:r>
          </w:p>
        </w:tc>
        <w:tc>
          <w:tcPr>
            <w:tcW w:w="1307" w:type="dxa"/>
          </w:tcPr>
          <w:p w14:paraId="20E620B5">
            <w:pPr>
              <w:spacing w:before="240" w:after="240" w:line="360" w:lineRule="auto"/>
            </w:pPr>
            <w:r>
              <w:t>NA</w:t>
            </w:r>
          </w:p>
        </w:tc>
        <w:tc>
          <w:tcPr>
            <w:tcW w:w="1406" w:type="dxa"/>
          </w:tcPr>
          <w:p w14:paraId="37817AF3">
            <w:pPr>
              <w:spacing w:before="240" w:after="240" w:line="360" w:lineRule="auto"/>
            </w:pPr>
            <w:r>
              <w:t>Yes</w:t>
            </w:r>
          </w:p>
        </w:tc>
        <w:tc>
          <w:tcPr>
            <w:tcW w:w="1288" w:type="dxa"/>
          </w:tcPr>
          <w:p w14:paraId="7D5682C8">
            <w:pPr>
              <w:spacing w:before="240" w:after="240" w:line="360" w:lineRule="auto"/>
            </w:pPr>
            <w:r>
              <w:t>NA</w:t>
            </w:r>
          </w:p>
        </w:tc>
        <w:tc>
          <w:tcPr>
            <w:tcW w:w="1406" w:type="dxa"/>
          </w:tcPr>
          <w:p w14:paraId="7AE42FEF">
            <w:pPr>
              <w:spacing w:before="240" w:after="240" w:line="360" w:lineRule="auto"/>
            </w:pPr>
            <w:r>
              <w:t>NA</w:t>
            </w:r>
          </w:p>
        </w:tc>
      </w:tr>
      <w:tr w14:paraId="59E21ED2">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2839" w:type="dxa"/>
          </w:tcPr>
          <w:p w14:paraId="3DF6C5F3">
            <w:pPr>
              <w:spacing w:before="240" w:after="240" w:line="360" w:lineRule="auto"/>
            </w:pPr>
            <w:r>
              <w:t>Rationale for mixed methods appropriate</w:t>
            </w:r>
          </w:p>
        </w:tc>
        <w:tc>
          <w:tcPr>
            <w:tcW w:w="1104" w:type="dxa"/>
          </w:tcPr>
          <w:p w14:paraId="3F14C1DC">
            <w:pPr>
              <w:spacing w:before="240" w:after="240" w:line="360" w:lineRule="auto"/>
            </w:pPr>
            <w:r>
              <w:t>Yes</w:t>
            </w:r>
          </w:p>
        </w:tc>
        <w:tc>
          <w:tcPr>
            <w:tcW w:w="1307" w:type="dxa"/>
          </w:tcPr>
          <w:p w14:paraId="1A5DF2CF">
            <w:pPr>
              <w:spacing w:before="240" w:after="240" w:line="360" w:lineRule="auto"/>
            </w:pPr>
            <w:r>
              <w:t>Yes</w:t>
            </w:r>
          </w:p>
        </w:tc>
        <w:tc>
          <w:tcPr>
            <w:tcW w:w="1406" w:type="dxa"/>
          </w:tcPr>
          <w:p w14:paraId="2138B988">
            <w:pPr>
              <w:spacing w:before="240" w:after="240" w:line="360" w:lineRule="auto"/>
            </w:pPr>
            <w:r>
              <w:t>Yes</w:t>
            </w:r>
          </w:p>
        </w:tc>
        <w:tc>
          <w:tcPr>
            <w:tcW w:w="1288" w:type="dxa"/>
          </w:tcPr>
          <w:p w14:paraId="18325114">
            <w:pPr>
              <w:spacing w:before="240" w:after="240" w:line="360" w:lineRule="auto"/>
            </w:pPr>
            <w:r>
              <w:t>Yes</w:t>
            </w:r>
          </w:p>
        </w:tc>
        <w:tc>
          <w:tcPr>
            <w:tcW w:w="1406" w:type="dxa"/>
          </w:tcPr>
          <w:p w14:paraId="5D5D285B">
            <w:pPr>
              <w:spacing w:before="240" w:after="240" w:line="360" w:lineRule="auto"/>
            </w:pPr>
            <w:r>
              <w:t>Yes</w:t>
            </w:r>
          </w:p>
        </w:tc>
      </w:tr>
      <w:tr w14:paraId="2A0C4FF7">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2839" w:type="dxa"/>
          </w:tcPr>
          <w:p w14:paraId="52C5507B">
            <w:pPr>
              <w:spacing w:before="240" w:after="240" w:line="360" w:lineRule="auto"/>
            </w:pPr>
            <w:r>
              <w:t>Qualitative and quantitative components effectively combined</w:t>
            </w:r>
          </w:p>
        </w:tc>
        <w:tc>
          <w:tcPr>
            <w:tcW w:w="1104" w:type="dxa"/>
          </w:tcPr>
          <w:p w14:paraId="76AD51A0">
            <w:pPr>
              <w:spacing w:before="240" w:after="240" w:line="360" w:lineRule="auto"/>
            </w:pPr>
            <w:r>
              <w:t>Yes/CT</w:t>
            </w:r>
          </w:p>
        </w:tc>
        <w:tc>
          <w:tcPr>
            <w:tcW w:w="1307" w:type="dxa"/>
          </w:tcPr>
          <w:p w14:paraId="72216A3F">
            <w:pPr>
              <w:spacing w:before="240" w:after="240" w:line="360" w:lineRule="auto"/>
            </w:pPr>
            <w:r>
              <w:t>NA</w:t>
            </w:r>
          </w:p>
        </w:tc>
        <w:tc>
          <w:tcPr>
            <w:tcW w:w="1406" w:type="dxa"/>
          </w:tcPr>
          <w:p w14:paraId="06F5EE4C">
            <w:pPr>
              <w:spacing w:before="240" w:after="240" w:line="360" w:lineRule="auto"/>
            </w:pPr>
            <w:r>
              <w:t>NA</w:t>
            </w:r>
          </w:p>
        </w:tc>
        <w:tc>
          <w:tcPr>
            <w:tcW w:w="1288" w:type="dxa"/>
          </w:tcPr>
          <w:p w14:paraId="23C39362">
            <w:pPr>
              <w:spacing w:before="240" w:after="240" w:line="360" w:lineRule="auto"/>
            </w:pPr>
            <w:r>
              <w:t>Yes</w:t>
            </w:r>
          </w:p>
        </w:tc>
        <w:tc>
          <w:tcPr>
            <w:tcW w:w="1406" w:type="dxa"/>
          </w:tcPr>
          <w:p w14:paraId="20F9CBCE">
            <w:pPr>
              <w:spacing w:before="240" w:after="240" w:line="360" w:lineRule="auto"/>
            </w:pPr>
            <w:r>
              <w:t>Yes</w:t>
            </w:r>
          </w:p>
        </w:tc>
      </w:tr>
      <w:tr w14:paraId="518900C2">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2839" w:type="dxa"/>
          </w:tcPr>
          <w:p w14:paraId="35647E10">
            <w:pPr>
              <w:spacing w:before="240" w:after="240" w:line="360" w:lineRule="auto"/>
            </w:pPr>
            <w:r>
              <w:t>Integration adequately addresses research question</w:t>
            </w:r>
          </w:p>
        </w:tc>
        <w:tc>
          <w:tcPr>
            <w:tcW w:w="1104" w:type="dxa"/>
          </w:tcPr>
          <w:p w14:paraId="6B4502A7">
            <w:pPr>
              <w:spacing w:before="240" w:after="240" w:line="360" w:lineRule="auto"/>
            </w:pPr>
            <w:r>
              <w:t>Yes/CT</w:t>
            </w:r>
          </w:p>
        </w:tc>
        <w:tc>
          <w:tcPr>
            <w:tcW w:w="1307" w:type="dxa"/>
          </w:tcPr>
          <w:p w14:paraId="5183AE83">
            <w:pPr>
              <w:spacing w:before="240" w:after="240" w:line="360" w:lineRule="auto"/>
            </w:pPr>
            <w:r>
              <w:t>NA</w:t>
            </w:r>
          </w:p>
        </w:tc>
        <w:tc>
          <w:tcPr>
            <w:tcW w:w="1406" w:type="dxa"/>
          </w:tcPr>
          <w:p w14:paraId="43CABC85">
            <w:pPr>
              <w:spacing w:before="240" w:after="240" w:line="360" w:lineRule="auto"/>
            </w:pPr>
            <w:r>
              <w:t>CT</w:t>
            </w:r>
          </w:p>
        </w:tc>
        <w:tc>
          <w:tcPr>
            <w:tcW w:w="1288" w:type="dxa"/>
          </w:tcPr>
          <w:p w14:paraId="53AF077E">
            <w:pPr>
              <w:spacing w:before="240" w:after="240" w:line="360" w:lineRule="auto"/>
            </w:pPr>
            <w:r>
              <w:t>Yes</w:t>
            </w:r>
          </w:p>
        </w:tc>
        <w:tc>
          <w:tcPr>
            <w:tcW w:w="1406" w:type="dxa"/>
          </w:tcPr>
          <w:p w14:paraId="7CBF4A0E">
            <w:pPr>
              <w:spacing w:before="240" w:after="240" w:line="360" w:lineRule="auto"/>
            </w:pPr>
            <w:r>
              <w:t>Yes</w:t>
            </w:r>
          </w:p>
        </w:tc>
      </w:tr>
      <w:tr w14:paraId="3630EFDD">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2839" w:type="dxa"/>
          </w:tcPr>
          <w:p w14:paraId="0FEEEE1E">
            <w:pPr>
              <w:spacing w:before="240" w:after="240" w:line="360" w:lineRule="auto"/>
            </w:pPr>
            <w:r>
              <w:t>Divergence/inconsistency between components considered</w:t>
            </w:r>
          </w:p>
        </w:tc>
        <w:tc>
          <w:tcPr>
            <w:tcW w:w="1104" w:type="dxa"/>
          </w:tcPr>
          <w:p w14:paraId="5C31ADFE">
            <w:pPr>
              <w:spacing w:before="240" w:after="240" w:line="360" w:lineRule="auto"/>
            </w:pPr>
            <w:r>
              <w:t>CT</w:t>
            </w:r>
          </w:p>
        </w:tc>
        <w:tc>
          <w:tcPr>
            <w:tcW w:w="1307" w:type="dxa"/>
          </w:tcPr>
          <w:p w14:paraId="78ECD2D8">
            <w:pPr>
              <w:spacing w:before="240" w:after="240" w:line="360" w:lineRule="auto"/>
            </w:pPr>
            <w:r>
              <w:t>CT</w:t>
            </w:r>
          </w:p>
        </w:tc>
        <w:tc>
          <w:tcPr>
            <w:tcW w:w="1406" w:type="dxa"/>
          </w:tcPr>
          <w:p w14:paraId="3061A60D">
            <w:pPr>
              <w:spacing w:before="240" w:after="240" w:line="360" w:lineRule="auto"/>
            </w:pPr>
            <w:r>
              <w:t>Yes</w:t>
            </w:r>
          </w:p>
        </w:tc>
        <w:tc>
          <w:tcPr>
            <w:tcW w:w="1288" w:type="dxa"/>
          </w:tcPr>
          <w:p w14:paraId="2D2C04AF">
            <w:pPr>
              <w:spacing w:before="240" w:after="240" w:line="360" w:lineRule="auto"/>
            </w:pPr>
            <w:r>
              <w:t>CT</w:t>
            </w:r>
          </w:p>
        </w:tc>
        <w:tc>
          <w:tcPr>
            <w:tcW w:w="1406" w:type="dxa"/>
          </w:tcPr>
          <w:p w14:paraId="0CBC7DC0">
            <w:pPr>
              <w:spacing w:before="240" w:after="240" w:line="360" w:lineRule="auto"/>
            </w:pPr>
            <w:r>
              <w:t>CT</w:t>
            </w:r>
          </w:p>
        </w:tc>
      </w:tr>
      <w:tr w14:paraId="25E7922C">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2839" w:type="dxa"/>
          </w:tcPr>
          <w:p w14:paraId="0E6EC535">
            <w:pPr>
              <w:spacing w:before="240" w:after="240" w:line="360" w:lineRule="auto"/>
            </w:pPr>
            <w:r>
              <w:t>Components meet relevant methodological standards</w:t>
            </w:r>
          </w:p>
        </w:tc>
        <w:tc>
          <w:tcPr>
            <w:tcW w:w="1104" w:type="dxa"/>
          </w:tcPr>
          <w:p w14:paraId="4A904683">
            <w:pPr>
              <w:spacing w:before="240" w:after="240" w:line="360" w:lineRule="auto"/>
            </w:pPr>
            <w:r>
              <w:t>Yes/CT</w:t>
            </w:r>
          </w:p>
        </w:tc>
        <w:tc>
          <w:tcPr>
            <w:tcW w:w="1307" w:type="dxa"/>
          </w:tcPr>
          <w:p w14:paraId="1BEDFBA4">
            <w:pPr>
              <w:spacing w:before="240" w:after="240" w:line="360" w:lineRule="auto"/>
            </w:pPr>
            <w:r>
              <w:t>Yes</w:t>
            </w:r>
          </w:p>
        </w:tc>
        <w:tc>
          <w:tcPr>
            <w:tcW w:w="1406" w:type="dxa"/>
          </w:tcPr>
          <w:p w14:paraId="13DB7336">
            <w:pPr>
              <w:spacing w:before="240" w:after="240" w:line="360" w:lineRule="auto"/>
            </w:pPr>
            <w:r>
              <w:t>Yes</w:t>
            </w:r>
          </w:p>
        </w:tc>
        <w:tc>
          <w:tcPr>
            <w:tcW w:w="1288" w:type="dxa"/>
          </w:tcPr>
          <w:p w14:paraId="64DF8DAC">
            <w:pPr>
              <w:spacing w:before="240" w:after="240" w:line="360" w:lineRule="auto"/>
            </w:pPr>
            <w:r>
              <w:t>Yes</w:t>
            </w:r>
          </w:p>
        </w:tc>
        <w:tc>
          <w:tcPr>
            <w:tcW w:w="1406" w:type="dxa"/>
          </w:tcPr>
          <w:p w14:paraId="6F4ADC05">
            <w:pPr>
              <w:spacing w:before="240" w:after="240" w:line="360" w:lineRule="auto"/>
            </w:pPr>
            <w:r>
              <w:t>Yes</w:t>
            </w:r>
          </w:p>
        </w:tc>
      </w:tr>
      <w:tr w14:paraId="16946713">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c>
          <w:tcPr>
            <w:tcW w:w="2839" w:type="dxa"/>
          </w:tcPr>
          <w:p w14:paraId="3FDF5A42">
            <w:pPr>
              <w:spacing w:before="240" w:after="240" w:line="360" w:lineRule="auto"/>
            </w:pPr>
            <w:r>
              <w:rPr>
                <w:b/>
                <w:bCs/>
              </w:rPr>
              <w:t>Overall judgement</w:t>
            </w:r>
          </w:p>
        </w:tc>
        <w:tc>
          <w:tcPr>
            <w:tcW w:w="1104" w:type="dxa"/>
          </w:tcPr>
          <w:p w14:paraId="76965942">
            <w:pPr>
              <w:spacing w:before="240" w:after="240" w:line="360" w:lineRule="auto"/>
            </w:pPr>
            <w:r>
              <w:rPr>
                <w:b/>
                <w:bCs/>
              </w:rPr>
              <w:t>Moderate–High</w:t>
            </w:r>
          </w:p>
        </w:tc>
        <w:tc>
          <w:tcPr>
            <w:tcW w:w="1307" w:type="dxa"/>
          </w:tcPr>
          <w:p w14:paraId="00EB3D87">
            <w:pPr>
              <w:spacing w:before="240" w:after="240" w:line="360" w:lineRule="auto"/>
            </w:pPr>
            <w:r>
              <w:rPr>
                <w:b/>
                <w:bCs/>
              </w:rPr>
              <w:t>Moderate–High</w:t>
            </w:r>
          </w:p>
        </w:tc>
        <w:tc>
          <w:tcPr>
            <w:tcW w:w="1406" w:type="dxa"/>
          </w:tcPr>
          <w:p w14:paraId="5BA423F5">
            <w:pPr>
              <w:spacing w:before="240" w:after="240" w:line="360" w:lineRule="auto"/>
            </w:pPr>
            <w:r>
              <w:rPr>
                <w:b/>
                <w:bCs/>
              </w:rPr>
              <w:t>Moderate</w:t>
            </w:r>
          </w:p>
        </w:tc>
        <w:tc>
          <w:tcPr>
            <w:tcW w:w="1288" w:type="dxa"/>
          </w:tcPr>
          <w:p w14:paraId="43044585">
            <w:pPr>
              <w:spacing w:before="240" w:after="240" w:line="360" w:lineRule="auto"/>
            </w:pPr>
            <w:r>
              <w:rPr>
                <w:b/>
                <w:bCs/>
              </w:rPr>
              <w:t>Moderate–High</w:t>
            </w:r>
          </w:p>
        </w:tc>
        <w:tc>
          <w:tcPr>
            <w:tcW w:w="1406" w:type="dxa"/>
          </w:tcPr>
          <w:p w14:paraId="15EBEA9E">
            <w:pPr>
              <w:spacing w:before="240" w:after="240" w:line="360" w:lineRule="auto"/>
            </w:pPr>
            <w:r>
              <w:rPr>
                <w:b/>
                <w:bCs/>
              </w:rPr>
              <w:t>Moderate–High</w:t>
            </w:r>
          </w:p>
        </w:tc>
      </w:tr>
    </w:tbl>
    <w:p w14:paraId="5642F5CE">
      <w:pPr>
        <w:spacing w:before="240" w:after="240"/>
      </w:pPr>
    </w:p>
    <w:p w14:paraId="61DCB8A0">
      <w:pPr>
        <w:spacing w:before="240" w:after="240"/>
      </w:pPr>
    </w:p>
    <w:p w14:paraId="6BA3B554">
      <w:pPr>
        <w:spacing w:before="240" w:after="240"/>
      </w:pP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titlePg/>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embedRegular r:id="rId1" w:fontKey="{9587852A-C7F4-4338-9934-21DC5B409968}"/>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2" w:fontKey="{841E5250-8EFA-4BCF-A122-CC930806922E}"/>
  </w:font>
  <w:font w:name="Wingdings">
    <w:panose1 w:val="05000000000000000000"/>
    <w:charset w:val="02"/>
    <w:family w:val="auto"/>
    <w:pitch w:val="default"/>
    <w:sig w:usb0="00000000" w:usb1="00000000" w:usb2="00000000" w:usb3="00000000" w:csb0="80000000" w:csb1="00000000"/>
    <w:embedRegular r:id="rId3" w:fontKey="{FFF117D7-93C2-4B60-B628-8FFE0ADDBA1B}"/>
  </w:font>
  <w:font w:name="Calibri">
    <w:panose1 w:val="020F0502020204030204"/>
    <w:charset w:val="00"/>
    <w:family w:val="swiss"/>
    <w:pitch w:val="default"/>
    <w:sig w:usb0="E4002EFF" w:usb1="C200247B" w:usb2="00000009" w:usb3="00000000" w:csb0="200001FF" w:csb1="00000000"/>
    <w:embedRegular r:id="rId4" w:fontKey="{657C7223-FA7B-43AD-B154-D701C1D4CAFA}"/>
  </w:font>
  <w:font w:name="等线">
    <w:altName w:val="Microsoft YaHei"/>
    <w:panose1 w:val="00000000000000000000"/>
    <w:charset w:val="86"/>
    <w:family w:val="auto"/>
    <w:pitch w:val="default"/>
    <w:sig w:usb0="00000000" w:usb1="00000000" w:usb2="00000000" w:usb3="00000000" w:csb0="00000000" w:csb1="00000000"/>
  </w:font>
  <w:font w:name="Noto Sans Symbols">
    <w:altName w:val="Noto Sans"/>
    <w:panose1 w:val="00000000000000000000"/>
    <w:charset w:val="00"/>
    <w:family w:val="auto"/>
    <w:pitch w:val="default"/>
    <w:sig w:usb0="00000000" w:usb1="00000000" w:usb2="00000000" w:usb3="00000000" w:csb0="00000000" w:csb1="00000000"/>
  </w:font>
  <w:font w:name="Noto Sans">
    <w:panose1 w:val="020B0502040504020204"/>
    <w:charset w:val="00"/>
    <w:family w:val="auto"/>
    <w:pitch w:val="default"/>
    <w:sig w:usb0="E00002FF" w:usb1="4000001F" w:usb2="08000029" w:usb3="00100000" w:csb0="00000000" w:csb1="00000000"/>
    <w:embedRegular r:id="rId5" w:fontKey="{6FB49C85-28B8-41A3-A761-4A82B31E0A5D}"/>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D6FEB">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 xml:space="preserve">PAGE</w:instrText>
    </w:r>
    <w:r>
      <w:rPr>
        <w:color w:val="000000"/>
        <w:sz w:val="20"/>
        <w:szCs w:val="20"/>
      </w:rPr>
      <w:fldChar w:fldCharType="separate"/>
    </w:r>
    <w:r>
      <w:rPr>
        <w:color w:val="000000"/>
        <w:sz w:val="20"/>
        <w:szCs w:val="20"/>
      </w:rPr>
      <w:t>1</w:t>
    </w:r>
    <w:r>
      <w:rPr>
        <w:color w:val="000000"/>
        <w:sz w:val="20"/>
        <w:szCs w:val="20"/>
      </w:rPr>
      <w:fldChar w:fldCharType="end"/>
    </w:r>
  </w:p>
  <w:p w14:paraId="5E3B65EF">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91A406C"/>
    <w:multiLevelType w:val="multilevel"/>
    <w:tmpl w:val="491A406C"/>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
    <w:nsid w:val="520A0632"/>
    <w:multiLevelType w:val="multilevel"/>
    <w:tmpl w:val="520A0632"/>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2">
    <w:nsid w:val="6F376280"/>
    <w:multiLevelType w:val="multilevel"/>
    <w:tmpl w:val="6F376280"/>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3AE"/>
    <w:rsid w:val="000A1ABC"/>
    <w:rsid w:val="000B2187"/>
    <w:rsid w:val="00390918"/>
    <w:rsid w:val="00510804"/>
    <w:rsid w:val="00536EBF"/>
    <w:rsid w:val="0076496E"/>
    <w:rsid w:val="007B457B"/>
    <w:rsid w:val="007E303B"/>
    <w:rsid w:val="00A30FFE"/>
    <w:rsid w:val="00E411CA"/>
    <w:rsid w:val="00F933AE"/>
    <w:rsid w:val="5F024C1A"/>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Times New Roman" w:cs="Times New Roman"/>
      <w:sz w:val="24"/>
      <w:szCs w:val="24"/>
      <w:lang w:val="en-GB" w:eastAsia="en-GB" w:bidi="ar-SA"/>
    </w:rPr>
  </w:style>
  <w:style w:type="paragraph" w:styleId="2">
    <w:name w:val="heading 1"/>
    <w:basedOn w:val="1"/>
    <w:next w:val="1"/>
    <w:qFormat/>
    <w:uiPriority w:val="9"/>
    <w:pPr>
      <w:keepNext/>
      <w:keepLines/>
      <w:jc w:val="center"/>
      <w:outlineLvl w:val="0"/>
    </w:pPr>
    <w:rPr>
      <w:b/>
      <w:bCs/>
      <w:sz w:val="28"/>
      <w:szCs w:val="28"/>
    </w:rPr>
  </w:style>
  <w:style w:type="paragraph" w:styleId="3">
    <w:name w:val="heading 2"/>
    <w:basedOn w:val="1"/>
    <w:next w:val="1"/>
    <w:unhideWhenUsed/>
    <w:qFormat/>
    <w:uiPriority w:val="9"/>
    <w:pPr>
      <w:keepNext/>
      <w:keepLines/>
      <w:outlineLvl w:val="1"/>
    </w:pPr>
    <w:rPr>
      <w:b/>
      <w:bCs/>
    </w:rPr>
  </w:style>
  <w:style w:type="paragraph" w:styleId="4">
    <w:name w:val="heading 3"/>
    <w:basedOn w:val="1"/>
    <w:next w:val="1"/>
    <w:unhideWhenUsed/>
    <w:qFormat/>
    <w:uiPriority w:val="9"/>
    <w:pPr>
      <w:keepNext/>
      <w:keepLines/>
      <w:spacing w:before="320" w:after="80"/>
      <w:outlineLvl w:val="2"/>
    </w:pPr>
    <w:rPr>
      <w:b/>
      <w:bCs/>
      <w:color w:val="434343"/>
    </w:rPr>
  </w:style>
  <w:style w:type="paragraph" w:styleId="5">
    <w:name w:val="heading 4"/>
    <w:basedOn w:val="1"/>
    <w:next w:val="1"/>
    <w:semiHidden/>
    <w:unhideWhenUsed/>
    <w:qFormat/>
    <w:uiPriority w:val="9"/>
    <w:pPr>
      <w:keepNext/>
      <w:keepLines/>
      <w:spacing w:before="280" w:after="80"/>
      <w:outlineLvl w:val="3"/>
    </w:pPr>
    <w:rPr>
      <w:color w:val="666666"/>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iCs/>
      <w:color w:val="666666"/>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27"/>
    <w:unhideWhenUsed/>
    <w:qFormat/>
    <w:uiPriority w:val="99"/>
    <w:pPr>
      <w:tabs>
        <w:tab w:val="center" w:pos="4513"/>
        <w:tab w:val="right" w:pos="9026"/>
      </w:tabs>
      <w:spacing w:line="240" w:lineRule="auto"/>
    </w:pPr>
  </w:style>
  <w:style w:type="paragraph" w:styleId="11">
    <w:name w:val="header"/>
    <w:basedOn w:val="1"/>
    <w:link w:val="26"/>
    <w:unhideWhenUsed/>
    <w:qFormat/>
    <w:uiPriority w:val="99"/>
    <w:pPr>
      <w:tabs>
        <w:tab w:val="center" w:pos="4513"/>
        <w:tab w:val="right" w:pos="9026"/>
      </w:tabs>
      <w:spacing w:line="240" w:lineRule="auto"/>
    </w:pPr>
  </w:style>
  <w:style w:type="character" w:styleId="12">
    <w:name w:val="Hyperlink"/>
    <w:basedOn w:val="8"/>
    <w:unhideWhenUsed/>
    <w:qFormat/>
    <w:uiPriority w:val="99"/>
    <w:rPr>
      <w:color w:val="0000FF" w:themeColor="hyperlink"/>
      <w:u w:val="single"/>
      <w14:textFill>
        <w14:solidFill>
          <w14:schemeClr w14:val="hlink"/>
        </w14:solidFill>
      </w14:textFill>
    </w:rPr>
  </w:style>
  <w:style w:type="paragraph" w:styleId="13">
    <w:name w:val="Subtitle"/>
    <w:basedOn w:val="1"/>
    <w:next w:val="1"/>
    <w:qFormat/>
    <w:uiPriority w:val="11"/>
    <w:pPr>
      <w:keepNext/>
      <w:keepLines/>
      <w:spacing w:after="320"/>
    </w:pPr>
    <w:rPr>
      <w:color w:val="666666"/>
      <w:sz w:val="30"/>
      <w:szCs w:val="30"/>
    </w:rPr>
  </w:style>
  <w:style w:type="paragraph" w:styleId="14">
    <w:name w:val="Title"/>
    <w:basedOn w:val="1"/>
    <w:next w:val="1"/>
    <w:qFormat/>
    <w:uiPriority w:val="10"/>
    <w:pPr>
      <w:keepNext/>
      <w:keepLines/>
      <w:spacing w:after="60"/>
    </w:pPr>
    <w:rPr>
      <w:sz w:val="52"/>
      <w:szCs w:val="52"/>
    </w:rPr>
  </w:style>
  <w:style w:type="paragraph" w:styleId="15">
    <w:name w:val="toc 1"/>
    <w:basedOn w:val="1"/>
    <w:next w:val="1"/>
    <w:autoRedefine/>
    <w:unhideWhenUsed/>
    <w:qFormat/>
    <w:uiPriority w:val="39"/>
    <w:pPr>
      <w:spacing w:after="100"/>
    </w:pPr>
  </w:style>
  <w:style w:type="paragraph" w:styleId="16">
    <w:name w:val="toc 2"/>
    <w:basedOn w:val="1"/>
    <w:next w:val="1"/>
    <w:autoRedefine/>
    <w:unhideWhenUsed/>
    <w:qFormat/>
    <w:uiPriority w:val="39"/>
    <w:pPr>
      <w:spacing w:after="100"/>
      <w:ind w:left="240"/>
    </w:pPr>
  </w:style>
  <w:style w:type="paragraph" w:styleId="17">
    <w:name w:val="toc 3"/>
    <w:basedOn w:val="1"/>
    <w:next w:val="1"/>
    <w:autoRedefine/>
    <w:unhideWhenUsed/>
    <w:qFormat/>
    <w:uiPriority w:val="39"/>
    <w:pPr>
      <w:spacing w:after="100"/>
      <w:ind w:left="480"/>
    </w:pPr>
  </w:style>
  <w:style w:type="table" w:customStyle="1" w:styleId="18">
    <w:name w:val="TableNormal"/>
    <w:qFormat/>
    <w:uiPriority w:val="0"/>
    <w:tblPr>
      <w:tblCellMar>
        <w:top w:w="100" w:type="dxa"/>
        <w:left w:w="100" w:type="dxa"/>
        <w:bottom w:w="100" w:type="dxa"/>
        <w:right w:w="100" w:type="dxa"/>
      </w:tblCellMar>
    </w:tblPr>
  </w:style>
  <w:style w:type="table" w:customStyle="1" w:styleId="19">
    <w:name w:val="_Style 12"/>
    <w:basedOn w:val="18"/>
    <w:qFormat/>
    <w:uiPriority w:val="0"/>
    <w:tblPr>
      <w:tblCellMar>
        <w:top w:w="0" w:type="dxa"/>
        <w:left w:w="115" w:type="dxa"/>
        <w:bottom w:w="0" w:type="dxa"/>
        <w:right w:w="115" w:type="dxa"/>
      </w:tblCellMar>
    </w:tblPr>
  </w:style>
  <w:style w:type="table" w:customStyle="1" w:styleId="20">
    <w:name w:val="_Style 13"/>
    <w:basedOn w:val="18"/>
    <w:qFormat/>
    <w:uiPriority w:val="0"/>
    <w:tblPr>
      <w:tblCellMar>
        <w:top w:w="0" w:type="dxa"/>
        <w:left w:w="115" w:type="dxa"/>
        <w:bottom w:w="0" w:type="dxa"/>
        <w:right w:w="115" w:type="dxa"/>
      </w:tblCellMar>
    </w:tblPr>
  </w:style>
  <w:style w:type="table" w:customStyle="1" w:styleId="21">
    <w:name w:val="_Style 14"/>
    <w:basedOn w:val="18"/>
    <w:qFormat/>
    <w:uiPriority w:val="0"/>
    <w:pPr>
      <w:spacing w:line="240" w:lineRule="auto"/>
    </w:pPr>
    <w:tblPr>
      <w:tblCellMar>
        <w:top w:w="0" w:type="dxa"/>
        <w:left w:w="108" w:type="dxa"/>
        <w:bottom w:w="0" w:type="dxa"/>
        <w:right w:w="108" w:type="dxa"/>
      </w:tblCellMar>
    </w:tblPr>
  </w:style>
  <w:style w:type="table" w:customStyle="1" w:styleId="22">
    <w:name w:val="_Style 15"/>
    <w:basedOn w:val="18"/>
    <w:qFormat/>
    <w:uiPriority w:val="0"/>
    <w:pPr>
      <w:spacing w:line="240" w:lineRule="auto"/>
    </w:pPr>
    <w:tblPr>
      <w:tblCellMar>
        <w:top w:w="0" w:type="dxa"/>
        <w:left w:w="108" w:type="dxa"/>
        <w:bottom w:w="0" w:type="dxa"/>
        <w:right w:w="108" w:type="dxa"/>
      </w:tblCellMar>
    </w:tblPr>
  </w:style>
  <w:style w:type="table" w:customStyle="1" w:styleId="23">
    <w:name w:val="_Style 16"/>
    <w:basedOn w:val="18"/>
    <w:qFormat/>
    <w:uiPriority w:val="0"/>
    <w:pPr>
      <w:spacing w:line="240" w:lineRule="auto"/>
    </w:pPr>
    <w:tblPr>
      <w:tblCellMar>
        <w:top w:w="0" w:type="dxa"/>
        <w:left w:w="108" w:type="dxa"/>
        <w:bottom w:w="0" w:type="dxa"/>
        <w:right w:w="108" w:type="dxa"/>
      </w:tblCellMar>
    </w:tblPr>
  </w:style>
  <w:style w:type="paragraph" w:styleId="24">
    <w:name w:val="List Paragraph"/>
    <w:basedOn w:val="1"/>
    <w:qFormat/>
    <w:uiPriority w:val="34"/>
    <w:pPr>
      <w:ind w:left="720"/>
      <w:contextualSpacing/>
    </w:pPr>
  </w:style>
  <w:style w:type="character" w:customStyle="1" w:styleId="25">
    <w:name w:val="Unresolved Mention"/>
    <w:basedOn w:val="8"/>
    <w:semiHidden/>
    <w:unhideWhenUsed/>
    <w:qFormat/>
    <w:uiPriority w:val="99"/>
    <w:rPr>
      <w:color w:val="605E5C"/>
      <w:shd w:val="clear" w:color="auto" w:fill="E1DFDD"/>
    </w:rPr>
  </w:style>
  <w:style w:type="character" w:customStyle="1" w:styleId="26">
    <w:name w:val="Header Char"/>
    <w:basedOn w:val="8"/>
    <w:link w:val="11"/>
    <w:qFormat/>
    <w:uiPriority w:val="99"/>
  </w:style>
  <w:style w:type="character" w:customStyle="1" w:styleId="27">
    <w:name w:val="Footer Char"/>
    <w:basedOn w:val="8"/>
    <w:link w:val="10"/>
    <w:qFormat/>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82</Pages>
  <Words>23348</Words>
  <Characters>133088</Characters>
  <Lines>1109</Lines>
  <Paragraphs>312</Paragraphs>
  <TotalTime>34</TotalTime>
  <ScaleCrop>false</ScaleCrop>
  <LinksUpToDate>false</LinksUpToDate>
  <CharactersWithSpaces>156124</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2026-09-25T06:50:00Z</dcterms:created>
  <dc:creator>HP</dc:creator>
  <cp:lastModifiedBy>HP</cp:lastModifiedBy>
  <dcterms:modified xsi:type="dcterms:W3CDTF">2026-09-25T09:37:17Z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f132d366-1daa-4d9a-a489-e61463bf9a31</vt:lpwstr>
  </property>
  <property fmtid="{D5CDD505-2E9C-101B-9397-08002B2CF9AE}" pid="3" name="KSOProductBuildVer">
    <vt:lpwstr>1033-12.2.0.21931</vt:lpwstr>
  </property>
  <property fmtid="{D5CDD505-2E9C-101B-9397-08002B2CF9AE}" pid="4" name="ICV">
    <vt:lpwstr>6E675982792448B1AFAEC50852E37FA7_12</vt:lpwstr>
  </property>
</Properties>
</file>