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7B7CF528" w14:textId="77777777" w:rsidR="005E6C44" w:rsidRPr="004C3A0B" w:rsidRDefault="005E6C44" w:rsidP="003F6F7B">
            <w:pPr>
              <w:rPr>
                <w:rFonts w:ascii="Arial" w:hAnsi="Arial" w:cs="Arial"/>
                <w:sz w:val="22"/>
                <w:szCs w:val="22"/>
              </w:rPr>
            </w:pPr>
            <w:r>
              <w:rPr>
                <w:rFonts w:ascii="Arial" w:hAnsi="Arial" w:cs="Arial"/>
                <w:sz w:val="22"/>
                <w:szCs w:val="22"/>
              </w:rPr>
              <w:t>Prashant Rathod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r>
              <w:rPr>
                <w:rFonts w:ascii="Arial" w:hAnsi="Arial" w:cs="Arial"/>
                <w:sz w:val="22"/>
                <w:szCs w:val="22"/>
              </w:rPr>
              <w:t>2431299</w:t>
            </w:r>
          </w:p>
          <w:p w14:paraId="6D16D89E" w14:textId="77777777" w:rsidR="005E6C44" w:rsidRPr="004C3A0B" w:rsidRDefault="005E6C44" w:rsidP="003F6F7B">
            <w:pPr>
              <w:rPr>
                <w:rFonts w:ascii="Arial" w:hAnsi="Arial" w:cs="Arial"/>
                <w:sz w:val="22"/>
                <w:szCs w:val="22"/>
              </w:rPr>
            </w:pP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60B34DE8" w14:textId="77777777" w:rsidR="005E6C44" w:rsidRPr="004C3A0B" w:rsidRDefault="005E6C44" w:rsidP="003F6F7B">
            <w:pPr>
              <w:rPr>
                <w:rFonts w:ascii="Arial" w:hAnsi="Arial" w:cs="Arial"/>
                <w:sz w:val="22"/>
                <w:szCs w:val="22"/>
              </w:rPr>
            </w:pPr>
            <w:r>
              <w:rPr>
                <w:rFonts w:ascii="Arial" w:hAnsi="Arial" w:cs="Arial"/>
                <w:sz w:val="22"/>
                <w:szCs w:val="22"/>
              </w:rPr>
              <w:t>2431299@student.uwtsd.ac.uk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660E53A9" w14:textId="77777777" w:rsidR="005E6C44" w:rsidRPr="004C3A0B" w:rsidRDefault="005E6C44" w:rsidP="003F6F7B">
            <w:pPr>
              <w:rPr>
                <w:rFonts w:ascii="Arial" w:hAnsi="Arial" w:cs="Arial"/>
                <w:sz w:val="22"/>
                <w:szCs w:val="22"/>
              </w:rPr>
            </w:pPr>
            <w:r>
              <w:rPr>
                <w:rFonts w:ascii="Arial" w:hAnsi="Arial" w:cs="Arial"/>
                <w:sz w:val="22"/>
                <w:szCs w:val="22"/>
              </w:rPr>
              <w:t>Master of Business Administration (MBA)</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3E5E7D21" w14:textId="174A4F77" w:rsidR="005E6C44" w:rsidRPr="004C3A0B" w:rsidRDefault="006E4206" w:rsidP="003F6F7B">
            <w:pPr>
              <w:rPr>
                <w:rFonts w:ascii="Arial" w:hAnsi="Arial" w:cs="Arial"/>
                <w:sz w:val="22"/>
                <w:szCs w:val="22"/>
              </w:rPr>
            </w:pPr>
            <w:r>
              <w:rPr>
                <w:rFonts w:ascii="Arial" w:hAnsi="Arial" w:cs="Arial"/>
                <w:sz w:val="22"/>
                <w:szCs w:val="22"/>
              </w:rPr>
              <w:t>Alireza Nazarian</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8"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Content>
              <w:p w14:paraId="1F73DACC" w14:textId="039E87CF"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003F6F7B">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4C3A0B" w:rsidRDefault="004C3D85" w:rsidP="003C07E3">
            <w:pPr>
              <w:rPr>
                <w:rFonts w:ascii="Arial" w:hAnsi="Arial" w:cs="Arial"/>
                <w:sz w:val="22"/>
                <w:szCs w:val="22"/>
              </w:rPr>
            </w:pPr>
            <w:r>
              <w:rPr>
                <w:rFonts w:ascii="Arial" w:hAnsi="Arial" w:cs="Arial"/>
                <w:sz w:val="22"/>
                <w:szCs w:val="22"/>
              </w:rPr>
              <w:t>The Impact of the UK Carbon Border Adjustment Mechanism (CBAM) on the Procurement Strategies of UK Construction MNEs: A Study of High-Emission Material Sourcing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7777777" w:rsidR="004C3D85" w:rsidRPr="00D839CD" w:rsidRDefault="004C3D85" w:rsidP="003C07E3">
            <w:pPr>
              <w:rPr>
                <w:rFonts w:ascii="Arial" w:hAnsi="Arial" w:cs="Arial"/>
                <w:sz w:val="22"/>
                <w:szCs w:val="22"/>
              </w:rPr>
            </w:pPr>
            <w:r>
              <w:rPr>
                <w:rFonts w:ascii="Arial" w:hAnsi="Arial" w:cs="Arial"/>
                <w:sz w:val="22"/>
                <w:szCs w:val="22"/>
              </w:rPr>
              <w:t>March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2962345B" w:rsidR="004C3D85" w:rsidRPr="004C3A0B" w:rsidRDefault="004C3D85" w:rsidP="003C07E3">
            <w:pPr>
              <w:rPr>
                <w:rFonts w:ascii="Arial" w:hAnsi="Arial" w:cs="Arial"/>
                <w:sz w:val="22"/>
                <w:szCs w:val="22"/>
              </w:rPr>
            </w:pPr>
            <w:r>
              <w:rPr>
                <w:rFonts w:ascii="Arial" w:hAnsi="Arial" w:cs="Arial"/>
                <w:sz w:val="22"/>
                <w:szCs w:val="22"/>
              </w:rPr>
              <w:t>June 2026</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lastRenderedPageBreak/>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177334D2" w:rsidR="00F96C3F" w:rsidRPr="002A152D" w:rsidDel="00425DA7" w:rsidRDefault="00F96C3F" w:rsidP="00F96C3F">
            <w:pPr>
              <w:rPr>
                <w:rFonts w:ascii="Arial" w:hAnsi="Arial" w:cs="Arial"/>
                <w:sz w:val="22"/>
                <w:szCs w:val="22"/>
              </w:rPr>
            </w:pPr>
            <w:r>
              <w:rPr>
                <w:rFonts w:ascii="Arial" w:hAnsi="Arial" w:cs="Arial"/>
                <w:sz w:val="22"/>
                <w:szCs w:val="22"/>
              </w:rPr>
              <w:t>This research investigates how the UK Carbon Border Adjustment Mechanism (CBAM) is reshaping procurement strategies within UK construction multinational enterprises (MNEs). The UK CBAM places a carbon price on imported high-emission materials such as steel, aluminium, cement, and glass, where equivalent carbon costs are not applied in the country of origin. This creates significant financial implications for UK construction firms that have traditionally relied on cost-efficient international sourcing. The purpose of this study is to evaluate the extent to which CBAM is forcing a strategic reorientation in supplier selection, from prioritising cost-efficiency to prioritising carbon-efficiency, and to understand how this regulatory shift influences decisions between international high-emission suppliers and domestic low-carbon alternatives such as green steel producers. By conducting an Extended Literature Review and thematic analysis, this research will generate evidence-based knowledge on cost implications, supply chain restructuring, and procurement adaptation. The findings will contribute to both academic understanding and practical guidance for UK construction MNEs navigating an increasingly carbon-regulated procurement landscape.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rPr>
                <w:rFonts w:ascii="Arial" w:hAnsi="Arial" w:cs="Arial"/>
                <w:sz w:val="22"/>
                <w:szCs w:val="22"/>
              </w:rPr>
            </w:pPr>
            <w:r>
              <w:rPr>
                <w:rFonts w:ascii="Arial" w:hAnsi="Arial" w:cs="Arial"/>
                <w:sz w:val="22"/>
                <w:szCs w:val="22"/>
              </w:rPr>
              <w:t>RQ1: What are the projected cost implications of UK CBAM for construction MNEs importing high-emission materials such as steel, aluminium, cement, and glass?</w:t>
            </w:r>
          </w:p>
          <w:p w14:paraId="76C0468B" w14:textId="77777777" w:rsidR="00F96C3F" w:rsidRDefault="00F96C3F" w:rsidP="00F96C3F">
            <w:pPr>
              <w:rPr>
                <w:rFonts w:ascii="Arial" w:hAnsi="Arial" w:cs="Arial"/>
                <w:sz w:val="22"/>
                <w:szCs w:val="22"/>
              </w:rPr>
            </w:pPr>
            <w:r>
              <w:rPr>
                <w:rFonts w:ascii="Arial" w:hAnsi="Arial" w:cs="Arial"/>
                <w:sz w:val="22"/>
                <w:szCs w:val="22"/>
              </w:rPr>
              <w:t>RQ2: How is UK CBAM driving a strategic shift from cost-efficiency to carbon-efficiency in procurement decision-making among UK construction MNEs?</w:t>
            </w:r>
          </w:p>
          <w:p w14:paraId="76C0468C" w14:textId="77777777" w:rsidR="00F96C3F" w:rsidRDefault="00F96C3F" w:rsidP="00F96C3F">
            <w:pPr>
              <w:rPr>
                <w:rFonts w:ascii="Arial" w:hAnsi="Arial" w:cs="Arial"/>
                <w:sz w:val="22"/>
                <w:szCs w:val="22"/>
              </w:rPr>
            </w:pPr>
            <w:r>
              <w:rPr>
                <w:rFonts w:ascii="Arial" w:hAnsi="Arial" w:cs="Arial"/>
                <w:sz w:val="22"/>
                <w:szCs w:val="22"/>
              </w:rPr>
              <w:t>RQ3: How does CBAM influence sourcing decisions between international high-emission suppliers and domestic low-carbon producers such as green steel manufacturers?</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sz w:val="22"/>
                <w:szCs w:val="22"/>
              </w:rPr>
            </w:pPr>
            <w:r>
              <w:rPr>
                <w:rFonts w:ascii="Arial" w:hAnsi="Arial" w:cs="Arial"/>
                <w:sz w:val="22"/>
                <w:szCs w:val="22"/>
              </w:rPr>
              <w:t>Aim 1: To evaluate how UK construction MNEs are reconfiguring their international supply chains in response to emerging UK CBAM regulations. (Links to Objectives 1, 2, 3 and 4)</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Pr>
                <w:rFonts w:ascii="Arial" w:hAnsi="Arial" w:cs="Arial"/>
                <w:sz w:val="22"/>
                <w:szCs w:val="22"/>
              </w:rPr>
              <w:t>1. To examine the projected cost implications for UK firms procuring carbon-intensive materials from non-UK markets under the Carbon Border Adjustment Mechanism (CBAM).</w:t>
            </w:r>
          </w:p>
          <w:p w14:paraId="195CBC89" w14:textId="77777777" w:rsidR="00F96C3F" w:rsidRDefault="00F96C3F" w:rsidP="00F96C3F">
            <w:pPr>
              <w:rPr>
                <w:rFonts w:ascii="Arial" w:hAnsi="Arial" w:cs="Arial"/>
                <w:sz w:val="22"/>
                <w:szCs w:val="22"/>
              </w:rPr>
            </w:pPr>
            <w:r>
              <w:rPr>
                <w:rFonts w:ascii="Arial" w:hAnsi="Arial" w:cs="Arial"/>
                <w:sz w:val="22"/>
                <w:szCs w:val="22"/>
              </w:rPr>
              <w:t>2. To analyse the strategic reorientation from cost-efficiency to carbon-efficiency in supplier selection practices among UK importing firms.</w:t>
            </w:r>
          </w:p>
          <w:p w14:paraId="195CBC8A" w14:textId="77777777" w:rsidR="00F96C3F" w:rsidRDefault="00F96C3F" w:rsidP="00F96C3F">
            <w:pPr>
              <w:rPr>
                <w:rFonts w:ascii="Arial" w:hAnsi="Arial" w:cs="Arial"/>
                <w:sz w:val="22"/>
                <w:szCs w:val="22"/>
              </w:rPr>
            </w:pPr>
            <w:r>
              <w:rPr>
                <w:rFonts w:ascii="Arial" w:hAnsi="Arial" w:cs="Arial"/>
                <w:sz w:val="22"/>
                <w:szCs w:val="22"/>
              </w:rPr>
              <w:t>3. To evaluate the influence of CBAM on sourcing decisions between international suppliers and domestic green steel producers within the UK procurement landscape.</w:t>
            </w:r>
          </w:p>
          <w:p w14:paraId="195CBC8B" w14:textId="77777777" w:rsidR="00F96C3F" w:rsidRDefault="00F96C3F" w:rsidP="00F96C3F">
            <w:pPr>
              <w:rPr>
                <w:rFonts w:ascii="Arial" w:hAnsi="Arial" w:cs="Arial"/>
                <w:sz w:val="22"/>
                <w:szCs w:val="22"/>
              </w:rPr>
            </w:pPr>
            <w:r>
              <w:rPr>
                <w:rFonts w:ascii="Arial" w:hAnsi="Arial" w:cs="Arial"/>
                <w:sz w:val="22"/>
                <w:szCs w:val="22"/>
              </w:rPr>
              <w:t>4. To provide evidence-based recommendations for UK firms seeking to adapt procurement strategies in response to CBAM, with the aim of mitigating regulatory exposure and long-term financial risk.</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14:textId="61410278" w:rsidR="00F96C3F" w:rsidRPr="004C3A0B" w:rsidRDefault="00F96C3F" w:rsidP="00F96C3F">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009C481E" w14:textId="24BAAC8D" w:rsidR="00F96C3F" w:rsidRPr="004C3A0B" w:rsidRDefault="003C3C40" w:rsidP="00F96C3F">
            <w:pPr>
              <w:rPr>
                <w:rFonts w:ascii="Arial" w:hAnsi="Arial" w:cs="Arial"/>
                <w:sz w:val="22"/>
                <w:szCs w:val="22"/>
              </w:rPr>
            </w:pPr>
            <w:r>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sz w:val="22"/>
                <w:szCs w:val="22"/>
              </w:rPr>
            </w:pPr>
            <w:r>
              <w:rPr>
                <w:rFonts w:ascii="Arial" w:hAnsi="Arial" w:cs="Arial"/>
                <w:sz w:val="22"/>
                <w:szCs w:val="22"/>
              </w:rPr>
              <w:t>This research is entirely secondary in nature and does not involve the collection of primary data. No interviews, surveys, questionnaires, focus groups, or participant observations will be conducted. All data will be gathered exclusively from publicly available secondary sources.</w:t>
            </w:r>
          </w:p>
          <w:p w14:paraId="108EF2F8" w14:textId="77777777" w:rsidR="00F96C3F" w:rsidRDefault="00F96C3F" w:rsidP="00F96C3F">
            <w:pPr>
              <w:rPr>
                <w:rFonts w:ascii="Arial" w:hAnsi="Arial" w:cs="Arial"/>
                <w:sz w:val="22"/>
                <w:szCs w:val="22"/>
              </w:rPr>
            </w:pPr>
            <w:r>
              <w:rPr>
                <w:rFonts w:ascii="Arial" w:hAnsi="Arial" w:cs="Arial"/>
                <w:sz w:val="22"/>
                <w:szCs w:val="22"/>
              </w:rPr>
              <w:t>The data collection method is an Extended Literature Review (ELR). Unlike a Systematic Literature Review (SLR), the ELR allows for a broader, more discursive engagement with the existing body of knowledge, incorporating peer-reviewed academic articles, government policy documents, and industry reports without being restricted by rigid PRISMA inclusion/exclusion matrices. Sources will be identified from: (1) UK Government CBAM policy documents and consultation papers; (2) UK construction MNE sustainability and annual reports; (3) Academic databases including Scopus, Web of Science, and Google Scholar, searched using keywords such as “UK CBAM”, “carbon pricing construction”, and “green steel procurement”; and (4) Grey literature from organisations including UCL Institute for Sustainable Resources and the World Bank.</w:t>
            </w:r>
          </w:p>
          <w:p w14:paraId="108EF2F9" w14:textId="77777777" w:rsidR="00F96C3F" w:rsidRDefault="00F96C3F" w:rsidP="00F96C3F">
            <w:pPr>
              <w:rPr>
                <w:rFonts w:ascii="Arial" w:hAnsi="Arial" w:cs="Arial"/>
                <w:sz w:val="22"/>
                <w:szCs w:val="22"/>
              </w:rPr>
            </w:pPr>
            <w:r>
              <w:rPr>
                <w:rFonts w:ascii="Arial" w:hAnsi="Arial" w:cs="Arial"/>
                <w:sz w:val="22"/>
                <w:szCs w:val="22"/>
              </w:rPr>
              <w:t>The Extended Literature Review will be structured around two tiers of sources. The first tier comprises 15 to 20 main articles forming the analytical backbone of the dissertation, drawn from peer-reviewed journals directly addressing UK CBAM, carbon pricing in construction, and green steel procurement. The second tier consists of 15 to 20 supporting articles providing contextual, theoretical, or comparative arguments. Only sources published between 2015 and 2025 within a UK or comparable CBAM regulatory context will be included. For each main article, a structured summary of approximately half to one page will be prepared, capturing the title, journal, authors, aim, objectives, research questions, methodology, and key findings, recorded in a structured Excel spreadsheet to facilitate thematic comparison. Thematic analysis following Braun and Clarke (2006) will then be applied across three analytical dimensions: carbon cost impact, supply chain restructuring, and carbon-adjusted procurement. No personal, confidential or sensitive data will be collected or processed at any point.</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4D892BB1" w:rsidR="00C11423" w:rsidRPr="004C3A0B" w:rsidRDefault="00BD150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0A7F4059" w:rsidR="00C11423" w:rsidRPr="004C3A0B" w:rsidRDefault="00BD150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3CF5CF6" w:rsidR="00770C66" w:rsidRDefault="00BD150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57D8451A" w:rsidR="00770C66" w:rsidRPr="004C3A0B" w:rsidRDefault="00BD15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F42C449" w:rsidR="00D107AC" w:rsidRDefault="00BD1507"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76438D01" w:rsidR="00770C66" w:rsidRPr="004C3A0B" w:rsidRDefault="00BD15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4FF22C86" w:rsidR="00770C66" w:rsidRPr="004C3A0B" w:rsidRDefault="00BD15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C5C69E1" w:rsidR="00770C66" w:rsidRPr="004C3A0B" w:rsidRDefault="00BD15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57039BD4" w:rsidR="00770C66" w:rsidRPr="004C3A0B" w:rsidRDefault="00BD15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B70CCD7" w:rsidR="00770C66" w:rsidRPr="004C3A0B" w:rsidRDefault="00BD1507"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52704102" w:rsidR="00770C66" w:rsidRPr="004C3A0B" w:rsidRDefault="00BD15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7A03F67C" w:rsidR="00770C66" w:rsidRPr="004C3A0B" w:rsidRDefault="00BD15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68C0F77F" w:rsidR="00770C66" w:rsidRPr="004C3A0B" w:rsidRDefault="00BD15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325739FB" w:rsidR="00770C66" w:rsidRPr="004C3A0B" w:rsidRDefault="00BD15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6C6CD60C" w:rsidR="00770C66" w:rsidRPr="004C3A0B" w:rsidRDefault="00BD1507"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462B7445" w:rsidR="00770C66" w:rsidRDefault="00BD150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D9AAD27" w:rsidR="00770C66" w:rsidRPr="006C1FDD" w:rsidRDefault="00BD1507"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N/A – No other primary data collection methods will be used. This research relies entirely on secondary sources.</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36B72835" w:rsidR="00ED0C59" w:rsidRPr="004C3A0B" w:rsidRDefault="00BD150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0B78CF87" w:rsidR="00ED0C59" w:rsidRPr="004C3A0B" w:rsidRDefault="00BD150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D329BD2" w:rsidR="00ED0C59" w:rsidRPr="004C3A0B" w:rsidRDefault="00BD150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62619D2C" w:rsidR="00ED0C59" w:rsidRPr="004C3A0B" w:rsidRDefault="00BD150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789D713" w:rsidR="00ED0C59" w:rsidRPr="004C3A0B" w:rsidRDefault="00BD150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1A2FBB5D" w:rsidR="00ED0C59" w:rsidRPr="004C3A0B" w:rsidRDefault="00BD1507"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D365B35" w:rsidR="00ED0C59" w:rsidRPr="004C3A0B" w:rsidRDefault="00BD150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A582207" w:rsidR="00ED0C59" w:rsidRPr="004C3A0B" w:rsidRDefault="00BD150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19461311" w:rsidR="00ED0C59" w:rsidRPr="004C3A0B" w:rsidRDefault="00BD1507"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Cs w:val="22"/>
              </w:rPr>
              <w:t>N/A – There are no participants in this research. The study draws exclusively on publicly available secondary sources.</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Pr>
                <w:rFonts w:ascii="Arial" w:hAnsi="Arial" w:cs="Arial"/>
                <w:i/>
                <w:szCs w:val="22"/>
              </w:rPr>
              <w:t>N/A – This research involves no human participants. All data is sourced from publicly available secondary materials including policy documents, academic journals, and industry reports.</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szCs w:val="22"/>
              </w:rPr>
            </w:pPr>
            <w:r>
              <w:rPr>
                <w:rFonts w:ascii="Arial" w:hAnsi="Arial" w:cs="Arial"/>
                <w:i/>
                <w:szCs w:val="22"/>
              </w:rPr>
              <w:t>N/A – No participants involved in this research.</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szCs w:val="22"/>
              </w:rPr>
            </w:pPr>
            <w:r>
              <w:rPr>
                <w:rFonts w:ascii="Arial" w:hAnsi="Arial" w:cs="Arial"/>
                <w:i/>
                <w:szCs w:val="22"/>
              </w:rPr>
              <w:t>N/A – No participants involved in this research.</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Content>
              <w:p w14:paraId="77D93ED7" w14:textId="76126F72" w:rsidR="00025F69" w:rsidRPr="004C3A0B" w:rsidRDefault="00BD150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Content>
              <w:p w14:paraId="31AB7545" w14:textId="0D76E8E8"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6EAC15F5" w14:textId="794377D4"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6C87203B"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05B13CD4"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2AF87706"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6FCFF0D4" w14:textId="6BBCABAE"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Content>
              <w:p w14:paraId="4091ED0F" w14:textId="3ABE670D"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294F23C6" w:rsidR="00025F69" w:rsidRPr="004C3A0B" w:rsidRDefault="00BD150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YES for all of these questions. If not, then explain why not 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Pr>
                <w:rFonts w:ascii="Arial" w:hAnsi="Arial" w:cs="Arial"/>
                <w:i/>
                <w:szCs w:val="22"/>
              </w:rPr>
              <w:t>N/A – This research has no participants, therefore all participant information questions are not applicable.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Content>
              <w:p w14:paraId="4BB823A6" w14:textId="41AA8ADE" w:rsidR="00382031" w:rsidRPr="004C3A0B" w:rsidRDefault="00BD150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54044902" w14:textId="41FCD77C" w:rsidR="00382031" w:rsidRPr="004C3A0B" w:rsidRDefault="00BD150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Content>
              <w:p w14:paraId="58943282" w14:textId="037577E8" w:rsidR="00382031" w:rsidRPr="004C3A0B" w:rsidRDefault="00BD150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Content>
              <w:p w14:paraId="7DC60C70" w14:textId="41E51A1A" w:rsidR="00382031" w:rsidRPr="004C3A0B" w:rsidRDefault="00BD150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Pr>
                <w:rFonts w:ascii="Arial" w:hAnsi="Arial" w:cs="Arial"/>
                <w:i/>
                <w:szCs w:val="22"/>
              </w:rPr>
              <w:t>N/A – This research has no participants. No cameras, voice recorders, or any other data collection equipment will be used on individuals. All data is from publicly available secondary sources only.</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Pr>
          <w:rFonts w:ascii="Arial" w:hAnsi="Arial" w:cs="Arial"/>
          <w:b/>
          <w:sz w:val="22"/>
          <w:szCs w:val="22"/>
        </w:rPr>
        <w:t>SECTION F: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00C40B6C" w14:textId="002AB5A9" w:rsidR="003C3C40" w:rsidRPr="00AA34BD" w:rsidRDefault="003C3C40" w:rsidP="003C3C40">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rPr>
                <w:rFonts w:ascii="Arial" w:hAnsi="Arial" w:cs="Arial"/>
                <w:sz w:val="22"/>
                <w:szCs w:val="22"/>
              </w:rPr>
            </w:pPr>
            <w:r>
              <w:rPr>
                <w:rFonts w:ascii="Arial" w:hAnsi="Arial" w:cs="Arial"/>
                <w:sz w:val="22"/>
                <w:szCs w:val="22"/>
              </w:rPr>
              <w:t>N/A – This research involves no human participants. All data is drawn exclusively from publicly available secondary sources including policy documents, academic databases, and industry reports.</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22"/>
                <w:szCs w:val="22"/>
              </w:rPr>
            </w:pPr>
            <w:r>
              <w:rPr>
                <w:rFonts w:ascii="Arial" w:hAnsi="Arial" w:cs="Arial"/>
                <w:i/>
                <w:sz w:val="22"/>
                <w:szCs w:val="22"/>
              </w:rPr>
              <w:t>How you will mitigate the risk to participants: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Pr>
                <w:rFonts w:ascii="Arial" w:hAnsi="Arial" w:cs="Arial"/>
                <w:i/>
                <w:szCs w:val="22"/>
              </w:rPr>
              <w:t>N/A – As there are no participants, there are no risks to mitigate. The research is conducted using publicly available secondary sources only.</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w:t>
              <w:lastRenderedPageBreak/>
              <w:t xml:space="preserve">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Pr>
                <w:rFonts w:ascii="Arial" w:hAnsi="Arial" w:cs="Arial"/>
                <w:i/>
                <w:szCs w:val="22"/>
              </w:rPr>
              <w:t>N/A – This research involves no participants and no sensitive, embarrassing or upsetting topics will be raised with any individuals. All data is drawn from published secondary sources.</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7606F765" w14:textId="17308251"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50D8CC11"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szCs w:val="22"/>
              </w:rPr>
              <w:t>The principal risk to the investigator is the potential for misinterpretation of complex regulatory and policy literature on CBAM, which is still evolving. There is also a risk of over-reliance on limited or non-peer-reviewed grey literature given the novelty of the subject.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22"/>
                <w:szCs w:val="22"/>
              </w:rPr>
            </w:pPr>
            <w:r>
              <w:rPr>
                <w:rFonts w:ascii="Arial" w:hAnsi="Arial" w:cs="Arial"/>
                <w:i/>
                <w:sz w:val="22"/>
                <w:szCs w:val="22"/>
              </w:rPr>
              <w:t>How you will mitigate the risk to the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Pr>
                <w:rFonts w:ascii="Arial" w:hAnsi="Arial" w:cs="Arial"/>
                <w:i/>
                <w:szCs w:val="22"/>
              </w:rPr>
              <w:t>This risk will be mitigated by applying transparent inclusion criteria and a clearly documented article selection rationale within the Extended Literature Review to ensure only credible, relevant sources are included. All claims will be triangulated across multiple source types (academic, government, and industry). The supervisor will be consulted at key review stages.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07078B9"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74A8C135" w14:textId="77777777"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Pr>
                <w:rFonts w:ascii="Arial" w:hAnsi="Arial" w:cs="Arial"/>
                <w:i/>
                <w:szCs w:val="22"/>
              </w:rPr>
              <w:t>The primary risk to the University is reputational, should the research findings misrepresent CBAM policy or industry practice without adequate evidential basis. There is also a minor data protection risk if any secondary sources contain identifiable personal data.</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22"/>
                <w:szCs w:val="22"/>
              </w:rPr>
            </w:pPr>
            <w:r>
              <w:rPr>
                <w:rFonts w:ascii="Arial" w:hAnsi="Arial" w:cs="Arial"/>
                <w:i/>
                <w:sz w:val="22"/>
                <w:szCs w:val="22"/>
              </w:rPr>
              <w:t>How you will mitigate the risk to the University:</w:t>
            </w:r>
          </w:p>
          <w:p w14:paraId="54E9C6FC" w14:textId="77777777" w:rsidR="0094056C" w:rsidRDefault="0094056C" w:rsidP="00D107AC">
            <w:pPr>
              <w:rPr>
                <w:rFonts w:ascii="Arial" w:hAnsi="Arial" w:cs="Arial"/>
                <w:sz w:val="22"/>
                <w:szCs w:val="22"/>
              </w:rPr>
            </w:pPr>
          </w:p>
          <w:p w14:paraId="27838F0F" w14:textId="77777777" w:rsidR="0094056C" w:rsidRDefault="0094056C" w:rsidP="00D107AC">
            <w:pPr>
              <w:rPr>
                <w:rFonts w:ascii="Arial" w:hAnsi="Arial" w:cs="Arial"/>
                <w:sz w:val="22"/>
                <w:szCs w:val="22"/>
              </w:rPr>
            </w:pP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Pr>
                <w:rFonts w:ascii="Arial" w:hAnsi="Arial" w:cs="Arial"/>
                <w:i/>
                <w:szCs w:val="22"/>
              </w:rPr>
              <w:t>Reputational risk will be mitigated by ensuring all findings are grounded in peer-reviewed and credible sources, and by following UWTSD academic integrity guidelines throughout. Any source found to contain personal data will be excluded from the study.</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 risks</w:t>
            </w:r>
          </w:p>
          <w:p w14:paraId="3AA753E9" w14:textId="3150C185"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szCs w:val="22"/>
              </w:rPr>
              <w:t>This is a desk-based secondary research study. No laboratory work, fieldwork, hazardous materials, or physical interventions are involved. The risk to the environment is negligible.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22"/>
                <w:szCs w:val="22"/>
              </w:rPr>
            </w:pPr>
            <w:r>
              <w:rPr>
                <w:rFonts w:ascii="Arial" w:hAnsi="Arial" w:cs="Arial"/>
                <w:i/>
                <w:sz w:val="22"/>
                <w:szCs w:val="22"/>
              </w:rPr>
              <w:t>How you will mitigate the risk to environment: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Pr>
                <w:rFonts w:ascii="Arial" w:hAnsi="Arial" w:cs="Arial"/>
                <w:i/>
                <w:szCs w:val="22"/>
              </w:rPr>
              <w:t>No specific mitigation required. The research is entirely desk-based and generates no environmental impact beyond standard computing energy use.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Pr>
                <w:rFonts w:ascii="Arial" w:hAnsi="Arial" w:cs="Arial"/>
                <w:i/>
                <w:szCs w:val="22"/>
              </w:rPr>
              <w:t>N/A – This study involves no participants. No debriefing or feedback procedures are required.</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Pr>
                <w:rFonts w:ascii="Arial" w:hAnsi="Arial" w:cs="Arial"/>
                <w:color w:val="00B050"/>
                <w:sz w:val="22"/>
              </w:rPr>
              <w:lastRenderedPageBreak/>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Pr>
                <w:rFonts w:ascii="Arial" w:hAnsi="Arial" w:cs="Arial"/>
                <w:i/>
                <w:szCs w:val="22"/>
              </w:rPr>
              <w:t>N/A – This study involves no participants. No consent procedures are required as all data is drawn from publicly available, secondary sources and no individuals are contacted, observed, or surveyed at any stage.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Pr>
                <w:rFonts w:ascii="Arial" w:hAnsi="Arial" w:cs="Arial"/>
                <w:i/>
                <w:szCs w:val="22"/>
              </w:rPr>
              <w:t>N/A – This study involves no participants. No personal data is collected and no anonymity or confidentiality arrangements are required for individuals. All sources used are publicly available and will be fully referenced in accordance with UWTSD Harvard referencing guidelines.</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highlight w:val="yellow"/>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Pr>
                <w:rFonts w:ascii="Arial" w:hAnsi="Arial" w:cs="Arial"/>
                <w:color w:val="00B050"/>
                <w:sz w:val="22"/>
              </w:rPr>
              <w:t>This includes audio/video data of participants but can also include IP addresses and usernames. Names, addresses and emails also count,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Pr>
                <w:rFonts w:ascii="Arial" w:hAnsi="Arial" w:cs="Arial"/>
                <w:i/>
                <w:szCs w:val="22"/>
              </w:rPr>
              <w:t>No – This research does not involve personal data as defined under GDPR/DPA2018. All data is drawn from publicly available sources including UK Government CBAM policy documents, academic databases (Scopus, Web of Science), industry sustainability reports, and grey literature. No names, contact details, IP addresses, or any other personal identifiers will be collected or processed.</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Pr>
                <w:rFonts w:ascii="Arial" w:hAnsi="Arial" w:cs="Arial"/>
                <w:i/>
                <w:szCs w:val="22"/>
              </w:rPr>
              <w:t>N/A – No special category data is involved. The research is entirely based on secondary, publicly available data sources relating to regulatory policy and procurement strategy.</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18A013C3" w14:textId="30C9B85B"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5022EC44" w14:textId="77777777" w:rsidR="00A121A0" w:rsidRPr="004033FC" w:rsidRDefault="00A121A0" w:rsidP="00A121A0">
            <w:pPr>
              <w:rPr>
                <w:rFonts w:ascii="Arial" w:hAnsi="Arial" w:cs="Arial"/>
                <w:color w:val="00B050"/>
                <w:sz w:val="22"/>
              </w:rPr>
            </w:pPr>
          </w:p>
          <w:p w14:paraId="66CED108"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27360210"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5DF9F7B4" w14:textId="77777777" w:rsidR="00A121A0" w:rsidRPr="006C06BB" w:rsidRDefault="00A121A0" w:rsidP="00A121A0">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Pr>
                <w:rFonts w:ascii="Arial" w:hAnsi="Arial" w:cs="Arial"/>
                <w:i/>
                <w:szCs w:val="22"/>
              </w:rPr>
              <w:t>All research data (notes, drafts, and final outputs) will be stored securely in password-protected cloud storage using the University Office 365 system. No data will be shared outside of the immediate research team. No USB sticks will be used to store personal data. As no personal or sensitive data is collected, the risk of data breach is minimal. Data will be deleted following dissertation submission and assessment.</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Content>
              <w:p w14:paraId="234D7DB1"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Content>
              <w:p w14:paraId="479B539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Content>
              <w:p w14:paraId="4A4CD2D7"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Content>
              <w:p w14:paraId="673902E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4F0453DF" w14:textId="77777777" w:rsidR="00A121A0" w:rsidRDefault="00A121A0"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w:t>
              <w:lastRenderedPageBreak/>
              <w:t>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Pr>
                <w:rFonts w:ascii="Arial" w:hAnsi="Arial" w:cs="Arial"/>
                <w:i/>
                <w:szCs w:val="22"/>
              </w:rPr>
              <w:t>All data will be kept in password-protected cloud storage on the University Office 365 system and will not be shared externally. All data transfers (e.g., sharing drafts with the supervisor) will be conducted via the University’s secure systems. As the research involves no personal data, no participant identifiers are required. The data will be stored until the completion of the project and then deleted in accordance with UWTSD data management policy.</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szCs w:val="22"/>
              </w:rPr>
              <w:t>The principal researcher (Prashant Rathod) and the dissertation supervisor will have access to the data generated by this research activity. No external parties or industrial partners are involved.</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rPr>
              <w:t>Usually the principal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szCs w:val="22"/>
              </w:rPr>
              <w:t>The principal researcher (Prashant Rathod) will act as the sole custodian of all data generated by this research activity.</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77777777" w:rsidR="00A121A0" w:rsidRDefault="00A121A0" w:rsidP="00A121A0">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szCs w:val="22"/>
              </w:rPr>
              <w:t>All research data, including literature notes, drafts, and the final dissertation, will be stored in password-protected cloud storage on the University Office 365 system. No paper files or external USB storage will be used for sensitive material. Data will be retained until the completion and formal assessment of the dissertation, after which it will be deleted in accordance with UWTSD Research Data Management Policy.</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9"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677861B6" w14:textId="1EAF7D6F"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4C3A7FD9"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001B41AD">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1FDE42CA" w14:textId="77777777" w:rsidTr="001B41AD">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0"/>
                <w14:checkedState w14:val="2612" w14:font="MS Gothic"/>
                <w14:uncheckedState w14:val="2610" w14:font="MS Gothic"/>
              </w14:checkbox>
            </w:sdtPr>
            <w:sdtContent>
              <w:p w14:paraId="012BC38A"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67534ED" w14:textId="77777777" w:rsidTr="001B41AD">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538BC788"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75D8E7B" w14:textId="77777777" w:rsidTr="001B41AD">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0"/>
                <w14:checkedState w14:val="2612" w14:font="MS Gothic"/>
                <w14:uncheckedState w14:val="2610" w14:font="MS Gothic"/>
              </w14:checkbox>
            </w:sdtPr>
            <w:sdtContent>
              <w:p w14:paraId="64CE47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C85530" w14:textId="77777777" w:rsidTr="001B41AD">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0"/>
                <w14:checkedState w14:val="2612" w14:font="MS Gothic"/>
                <w14:uncheckedState w14:val="2610" w14:font="MS Gothic"/>
              </w14:checkbox>
            </w:sdtPr>
            <w:sdtContent>
              <w:p w14:paraId="0548A2D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D8B2A2" w14:textId="77777777" w:rsidTr="001B41AD">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0"/>
                <w14:checkedState w14:val="2612" w14:font="MS Gothic"/>
                <w14:uncheckedState w14:val="2610" w14:font="MS Gothic"/>
              </w14:checkbox>
            </w:sdtPr>
            <w:sdtContent>
              <w:p w14:paraId="46CCFD6C"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4ED07CF" w14:textId="77777777" w:rsidTr="001B41AD">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0"/>
                <w14:checkedState w14:val="2612" w14:font="MS Gothic"/>
                <w14:uncheckedState w14:val="2610" w14:font="MS Gothic"/>
              </w14:checkbox>
            </w:sdtPr>
            <w:sdtContent>
              <w:p w14:paraId="6E63F030"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4E36EE9" w14:textId="77777777" w:rsidTr="001B41AD">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0"/>
                <w14:checkedState w14:val="2612" w14:font="MS Gothic"/>
                <w14:uncheckedState w14:val="2610" w14:font="MS Gothic"/>
              </w14:checkbox>
            </w:sdtPr>
            <w:sdtContent>
              <w:p w14:paraId="031C60A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CA5BCC1" w14:textId="77777777" w:rsidTr="001B41AD">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0"/>
                <w14:checkedState w14:val="2612" w14:font="MS Gothic"/>
                <w14:uncheckedState w14:val="2610" w14:font="MS Gothic"/>
              </w14:checkbox>
            </w:sdtPr>
            <w:sdtContent>
              <w:p w14:paraId="66066D41"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6AFAD902" w14:textId="77777777" w:rsidTr="001B41AD">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0"/>
                <w14:checkedState w14:val="2612" w14:font="MS Gothic"/>
                <w14:uncheckedState w14:val="2610" w14:font="MS Gothic"/>
              </w14:checkbox>
            </w:sdtPr>
            <w:sdtContent>
              <w:p w14:paraId="147437E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F821B1B" w14:textId="77777777" w:rsidTr="001B41AD">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0"/>
                <w14:checkedState w14:val="2612" w14:font="MS Gothic"/>
                <w14:uncheckedState w14:val="2610" w14:font="MS Gothic"/>
              </w14:checkbox>
            </w:sdtPr>
            <w:sdtContent>
              <w:p w14:paraId="37DE205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0B7F8BD" w14:textId="77777777" w:rsidTr="001B41AD">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C026102"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2825916" w14:textId="77777777" w:rsidTr="0000343C">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tc>
      </w:tr>
      <w:tr w:rsidR="001B41AD" w:rsidRPr="003C7DED" w14:paraId="6D540764" w14:textId="77777777" w:rsidTr="0000343C">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6418C692" w14:textId="77777777" w:rsidR="001B41AD" w:rsidRPr="001B41AD" w:rsidRDefault="001B41AD" w:rsidP="0000343C">
            <w:pPr>
              <w:rPr>
                <w:rFonts w:ascii="Arial" w:hAnsi="Arial" w:cs="Arial"/>
                <w:color w:val="00B050"/>
                <w:sz w:val="22"/>
                <w:szCs w:val="22"/>
              </w:rPr>
            </w:pPr>
            <w:r>
              <w:rPr>
                <w:rFonts w:ascii="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121C571D" w14:textId="77777777" w:rsidR="00D40CA0" w:rsidRDefault="00D40CA0" w:rsidP="0000343C">
            <w:pPr>
              <w:autoSpaceDE w:val="0"/>
              <w:autoSpaceDN w:val="0"/>
              <w:adjustRightInd w:val="0"/>
              <w:rPr>
                <w:rFonts w:ascii="Arial" w:hAnsi="Arial" w:cs="Arial"/>
                <w:i/>
                <w:szCs w:val="22"/>
              </w:rPr>
            </w:pPr>
          </w:p>
          <w:p w14:paraId="6BEFE5E9" w14:textId="2D0ACB0C" w:rsidR="001B41AD" w:rsidRPr="003C7DED" w:rsidRDefault="001B41AD" w:rsidP="0000343C">
            <w:pPr>
              <w:autoSpaceDE w:val="0"/>
              <w:autoSpaceDN w:val="0"/>
              <w:adjustRightInd w:val="0"/>
              <w:rPr>
                <w:rFonts w:ascii="Arial" w:hAnsi="Arial" w:cs="Arial"/>
              </w:rPr>
            </w:pPr>
            <w:r>
              <w:rPr>
                <w:rFonts w:ascii="Arial" w:hAnsi="Arial" w:cs="Arial"/>
                <w:i/>
                <w:szCs w:val="22"/>
              </w:rPr>
              <w:t>AI tools may be used during this research for literature search assistance and academic writing support. Specifically, Microsoft Copilot (UWTSD institutional version via Office 365) may be used to support literature searching and text editing. This use complies with current UWTSD AI guidance. No personal or sensitive data will be entered into any AI tool. All AI-assisted content will be reviewed, verified, and appropriately acknowledged in accordance with UWTSD academic integrity and AI use policy. AI will not be used to generate, fabricate, or substitute for original analysis or academic argument.</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0"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417337B7" w14:textId="0644FDFA" w:rsidR="004D0161" w:rsidRPr="004C3A0B" w:rsidRDefault="00BD1507" w:rsidP="00694EA8">
            <w:pPr>
              <w:spacing w:before="100" w:beforeAutospacing="1" w:after="100" w:afterAutospacing="1"/>
              <w:rPr>
                <w:rFonts w:ascii="Arial" w:hAnsi="Arial" w:cs="Arial"/>
                <w:sz w:val="22"/>
                <w:szCs w:val="22"/>
              </w:rPr>
            </w:pPr>
            <w:r>
              <w:rPr>
                <w:rFonts w:ascii="Arial" w:hAnsi="Arial" w:cs="Arial"/>
                <w:sz w:val="22"/>
                <w:szCs w:val="22"/>
              </w:rPr>
              <w:t>Prashant Rathod</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p>
          <w:p w14:paraId="6C1C1BE5" w14:textId="4C4C57F2" w:rsidR="004D0161" w:rsidRPr="004C3A0B" w:rsidRDefault="00BD1507" w:rsidP="00694EA8">
            <w:pPr>
              <w:spacing w:before="100" w:beforeAutospacing="1" w:after="100" w:afterAutospacing="1"/>
              <w:rPr>
                <w:rFonts w:ascii="Arial" w:hAnsi="Arial" w:cs="Arial"/>
                <w:sz w:val="22"/>
                <w:szCs w:val="22"/>
              </w:rPr>
            </w:pPr>
            <w:r>
              <w:rPr>
                <w:rFonts w:ascii="Arial" w:hAnsi="Arial" w:cs="Arial"/>
                <w:sz w:val="22"/>
                <w:szCs w:val="22"/>
              </w:rPr>
              <w:t>16/03/2026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1"/>
      <w:footerReference w:type="default" r:id="rId12"/>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93A9D3" w14:textId="77777777" w:rsidR="004A4C6F" w:rsidRDefault="004A4C6F" w:rsidP="00390251">
      <w:r>
        <w:separator/>
      </w:r>
    </w:p>
    <w:p w14:paraId="29E6CFEE" w14:textId="77777777" w:rsidR="004A4C6F" w:rsidRDefault="004A4C6F"/>
  </w:endnote>
  <w:endnote w:type="continuationSeparator" w:id="0">
    <w:p w14:paraId="6CD79C97" w14:textId="77777777" w:rsidR="004A4C6F" w:rsidRDefault="004A4C6F" w:rsidP="00390251">
      <w:r>
        <w:continuationSeparator/>
      </w:r>
    </w:p>
    <w:p w14:paraId="269F4A5D" w14:textId="77777777" w:rsidR="004A4C6F" w:rsidRDefault="004A4C6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83696" w14:textId="77777777" w:rsidR="004A4C6F" w:rsidRDefault="004A4C6F" w:rsidP="00390251">
      <w:r>
        <w:separator/>
      </w:r>
    </w:p>
    <w:p w14:paraId="342317DF" w14:textId="77777777" w:rsidR="004A4C6F" w:rsidRDefault="004A4C6F"/>
  </w:footnote>
  <w:footnote w:type="continuationSeparator" w:id="0">
    <w:p w14:paraId="5865CDD5" w14:textId="77777777" w:rsidR="004A4C6F" w:rsidRDefault="004A4C6F" w:rsidP="00390251">
      <w:r>
        <w:continuationSeparator/>
      </w:r>
    </w:p>
    <w:p w14:paraId="549654D8" w14:textId="77777777" w:rsidR="004A4C6F" w:rsidRDefault="004A4C6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3DD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D658A"/>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4C6F"/>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3BD5"/>
    <w:rsid w:val="00526C56"/>
    <w:rsid w:val="00527AED"/>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4206"/>
    <w:rsid w:val="006F307C"/>
    <w:rsid w:val="006F4828"/>
    <w:rsid w:val="00700361"/>
    <w:rsid w:val="00703AD7"/>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02C7"/>
    <w:rsid w:val="00961B2E"/>
    <w:rsid w:val="00965F27"/>
    <w:rsid w:val="009831F5"/>
    <w:rsid w:val="00986EEC"/>
    <w:rsid w:val="00986FD8"/>
    <w:rsid w:val="009955DD"/>
    <w:rsid w:val="009A3300"/>
    <w:rsid w:val="009A3C08"/>
    <w:rsid w:val="009A4E14"/>
    <w:rsid w:val="009A6F5D"/>
    <w:rsid w:val="009B1FB6"/>
    <w:rsid w:val="009B3534"/>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623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1507"/>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7D7E"/>
    <w:rsid w:val="00C81846"/>
    <w:rsid w:val="00C86572"/>
    <w:rsid w:val="00C95AAC"/>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2DAD"/>
    <w:rsid w:val="00DD4D69"/>
    <w:rsid w:val="00DE6682"/>
    <w:rsid w:val="00DF26D2"/>
    <w:rsid w:val="00E0132E"/>
    <w:rsid w:val="00E0333A"/>
    <w:rsid w:val="00E16786"/>
    <w:rsid w:val="00E168CB"/>
    <w:rsid w:val="00E17AFC"/>
    <w:rsid w:val="00E239F4"/>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EB2"/>
    <w:rsid w:val="00F230F0"/>
    <w:rsid w:val="00F33A1A"/>
    <w:rsid w:val="00F478CB"/>
    <w:rsid w:val="00F52C97"/>
    <w:rsid w:val="00F54257"/>
    <w:rsid w:val="00F60A4D"/>
    <w:rsid w:val="00F619F4"/>
    <w:rsid w:val="00F62093"/>
    <w:rsid w:val="00F62C23"/>
    <w:rsid w:val="00F64D54"/>
    <w:rsid w:val="00F722A2"/>
    <w:rsid w:val="00F75F59"/>
    <w:rsid w:val="00F82885"/>
    <w:rsid w:val="00F842FD"/>
    <w:rsid w:val="00F87E26"/>
    <w:rsid w:val="00F9685B"/>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Relationships xmlns="http://schemas.openxmlformats.org/package/2006/relationships"><Relationship Id="rId8" Type="http://schemas.openxmlformats.org/officeDocument/2006/relationships/hyperlink" Target="https://www.uwtsd.ac.uk/research/research-ethic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4838</Words>
  <Characters>25788</Characters>
  <Application>Microsoft Office Word</Application>
  <DocSecurity>0</DocSecurity>
  <Lines>889</Lines>
  <Paragraphs>577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2026-03-17T19:57:00Z</dcterms:created>
  <dcterms:modified xsi:type="dcterms:W3CDTF">2026-03-17T19:57:00Z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fb421a8a-99c4-469b-9647-a89fc9a79b38</vt:lpwstr>
  </property>
</Properties>
</file>