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1F8C" w:rsidRDefault="00C741B2" w:rsidP="00E06DA5">
      <w:pPr>
        <w:jc w:val="center"/>
        <w:rPr>
          <w:i/>
        </w:rPr>
      </w:pPr>
      <w:r w:rsidRPr="00081F8C">
        <w:rPr>
          <w:i/>
        </w:rPr>
        <w:t>Death, Dying and the Macabre in the Late Middle Ages</w:t>
      </w:r>
      <w:r w:rsidR="00081F8C">
        <w:rPr>
          <w:i/>
        </w:rPr>
        <w:t>: Portfolio exercise one (</w:t>
      </w:r>
      <w:r w:rsidR="00081F8C" w:rsidRPr="00081F8C">
        <w:rPr>
          <w:i/>
        </w:rPr>
        <w:t>Will of Cecily, Duchess of York, dated 1495</w:t>
      </w:r>
      <w:r w:rsidR="00081F8C">
        <w:rPr>
          <w:i/>
        </w:rPr>
        <w:t>).</w:t>
      </w:r>
    </w:p>
    <w:p w:rsidR="00E06DA5" w:rsidRPr="00E06DA5" w:rsidRDefault="00E06DA5" w:rsidP="00081F8C">
      <w:pPr>
        <w:jc w:val="both"/>
        <w:rPr>
          <w:i/>
        </w:rPr>
      </w:pPr>
    </w:p>
    <w:p w:rsidR="00081F8C" w:rsidRPr="00E06DA5" w:rsidRDefault="00C87022" w:rsidP="00E06DA5">
      <w:pPr>
        <w:jc w:val="both"/>
        <w:rPr>
          <w:sz w:val="20"/>
        </w:rPr>
      </w:pPr>
      <w:r w:rsidRPr="00E06DA5">
        <w:rPr>
          <w:sz w:val="20"/>
        </w:rPr>
        <w:t xml:space="preserve">The document </w:t>
      </w:r>
      <w:r w:rsidR="00CD4DDB" w:rsidRPr="00E06DA5">
        <w:rPr>
          <w:sz w:val="20"/>
        </w:rPr>
        <w:t>comprises the last will and testament of Cecily, Duchess of York. Cecily was the eighteenth child of Ralph, 1</w:t>
      </w:r>
      <w:r w:rsidR="00CD4DDB" w:rsidRPr="00E06DA5">
        <w:rPr>
          <w:sz w:val="20"/>
          <w:vertAlign w:val="superscript"/>
        </w:rPr>
        <w:t>st</w:t>
      </w:r>
      <w:r w:rsidR="003D5312" w:rsidRPr="00E06DA5">
        <w:rPr>
          <w:sz w:val="20"/>
        </w:rPr>
        <w:t xml:space="preserve"> Earl of Westmorland and</w:t>
      </w:r>
      <w:r w:rsidR="00CD4DDB" w:rsidRPr="00E06DA5">
        <w:rPr>
          <w:sz w:val="20"/>
        </w:rPr>
        <w:t xml:space="preserve"> married Richard, Duke of Y</w:t>
      </w:r>
      <w:r w:rsidR="000F7A98" w:rsidRPr="00E06DA5">
        <w:rPr>
          <w:sz w:val="20"/>
        </w:rPr>
        <w:t>ork. This was a very powerful</w:t>
      </w:r>
      <w:r w:rsidR="00CD4DDB" w:rsidRPr="00E06DA5">
        <w:rPr>
          <w:sz w:val="20"/>
        </w:rPr>
        <w:t xml:space="preserve"> match between two powerful families: the </w:t>
      </w:r>
      <w:proofErr w:type="spellStart"/>
      <w:r w:rsidR="00CD4DDB" w:rsidRPr="00E06DA5">
        <w:rPr>
          <w:sz w:val="20"/>
        </w:rPr>
        <w:t>Yorks</w:t>
      </w:r>
      <w:proofErr w:type="spellEnd"/>
      <w:r w:rsidR="00CD4DDB" w:rsidRPr="00E06DA5">
        <w:rPr>
          <w:sz w:val="20"/>
        </w:rPr>
        <w:t xml:space="preserve"> (a royal bloodline) and the </w:t>
      </w:r>
      <w:proofErr w:type="spellStart"/>
      <w:r w:rsidR="00CD4DDB" w:rsidRPr="00E06DA5">
        <w:rPr>
          <w:sz w:val="20"/>
        </w:rPr>
        <w:t>Nevillles</w:t>
      </w:r>
      <w:proofErr w:type="spellEnd"/>
      <w:r w:rsidR="00CD4DDB" w:rsidRPr="00E06DA5">
        <w:rPr>
          <w:sz w:val="20"/>
        </w:rPr>
        <w:t>. The Duke of York was Henry VIs heir presumptiv</w:t>
      </w:r>
      <w:r w:rsidR="007D369A" w:rsidRPr="00E06DA5">
        <w:rPr>
          <w:sz w:val="20"/>
        </w:rPr>
        <w:t xml:space="preserve">e until his son was born to him. Due </w:t>
      </w:r>
      <w:r w:rsidR="000F7A98" w:rsidRPr="00E06DA5">
        <w:rPr>
          <w:sz w:val="20"/>
        </w:rPr>
        <w:t>to political differences and</w:t>
      </w:r>
      <w:r w:rsidR="007D369A" w:rsidRPr="00E06DA5">
        <w:rPr>
          <w:sz w:val="20"/>
        </w:rPr>
        <w:t xml:space="preserve"> other reasons the Duke decided to challenge the King for the throne of England. </w:t>
      </w:r>
      <w:r w:rsidR="00CD4DDB" w:rsidRPr="00E06DA5">
        <w:rPr>
          <w:sz w:val="20"/>
        </w:rPr>
        <w:t>Cecily was the Yorkist matriarch after her husband died in the Battle of Wakefield and lived to see her sons Edward IV and Richard III gain the throne. She survived them both and died on 31</w:t>
      </w:r>
      <w:r w:rsidR="00CD4DDB" w:rsidRPr="00E06DA5">
        <w:rPr>
          <w:sz w:val="20"/>
          <w:vertAlign w:val="superscript"/>
        </w:rPr>
        <w:t>st</w:t>
      </w:r>
      <w:r w:rsidR="00CD4DDB" w:rsidRPr="00E06DA5">
        <w:rPr>
          <w:sz w:val="20"/>
        </w:rPr>
        <w:t xml:space="preserve"> May 1495 during Henry VIIs reign. She was arguably one of the most powerful women of her time in her own right after the death of her husband and was known to involve herself in the politics of her royal sons.</w:t>
      </w:r>
    </w:p>
    <w:p w:rsidR="0095171C" w:rsidRPr="00E06DA5" w:rsidRDefault="006243DF" w:rsidP="00E06DA5">
      <w:pPr>
        <w:jc w:val="both"/>
        <w:rPr>
          <w:sz w:val="20"/>
        </w:rPr>
      </w:pPr>
      <w:r w:rsidRPr="00E06DA5">
        <w:rPr>
          <w:sz w:val="20"/>
        </w:rPr>
        <w:t>Cecily started composition of her will</w:t>
      </w:r>
      <w:r w:rsidR="00B54EE4" w:rsidRPr="00E06DA5">
        <w:rPr>
          <w:sz w:val="20"/>
        </w:rPr>
        <w:t xml:space="preserve"> on the ‘first day of </w:t>
      </w:r>
      <w:proofErr w:type="spellStart"/>
      <w:r w:rsidR="00B54EE4" w:rsidRPr="00E06DA5">
        <w:rPr>
          <w:sz w:val="20"/>
        </w:rPr>
        <w:t>Aprill</w:t>
      </w:r>
      <w:proofErr w:type="spellEnd"/>
      <w:r w:rsidR="00B54EE4" w:rsidRPr="00E06DA5">
        <w:rPr>
          <w:sz w:val="20"/>
        </w:rPr>
        <w:t>’</w:t>
      </w:r>
      <w:r w:rsidR="00B54EE4" w:rsidRPr="00E06DA5">
        <w:rPr>
          <w:rStyle w:val="FootnoteReference"/>
          <w:sz w:val="20"/>
        </w:rPr>
        <w:footnoteReference w:id="1"/>
      </w:r>
      <w:r w:rsidR="00B54EE4" w:rsidRPr="00E06DA5">
        <w:rPr>
          <w:sz w:val="20"/>
        </w:rPr>
        <w:t xml:space="preserve"> as stated in her will. She died and signed off her will on 31</w:t>
      </w:r>
      <w:r w:rsidR="00B54EE4" w:rsidRPr="00E06DA5">
        <w:rPr>
          <w:sz w:val="20"/>
          <w:vertAlign w:val="superscript"/>
        </w:rPr>
        <w:t>st</w:t>
      </w:r>
      <w:r w:rsidR="00B54EE4" w:rsidRPr="00E06DA5">
        <w:rPr>
          <w:sz w:val="20"/>
        </w:rPr>
        <w:t xml:space="preserve"> May 1495. Due to the substantial </w:t>
      </w:r>
      <w:r w:rsidR="00A03CD3" w:rsidRPr="00E06DA5">
        <w:rPr>
          <w:sz w:val="20"/>
        </w:rPr>
        <w:t>period</w:t>
      </w:r>
      <w:r w:rsidR="00B54EE4" w:rsidRPr="00E06DA5">
        <w:rPr>
          <w:sz w:val="20"/>
        </w:rPr>
        <w:t xml:space="preserve"> between the two dates it is easy to assume she became ill and made her will in preparation. This holds with the idea that people in the medieval mind set wanted to prepare for their death as much as possible</w:t>
      </w:r>
      <w:r w:rsidR="00B54EE4" w:rsidRPr="00E06DA5">
        <w:rPr>
          <w:rStyle w:val="FootnoteReference"/>
          <w:sz w:val="20"/>
        </w:rPr>
        <w:footnoteReference w:id="2"/>
      </w:r>
      <w:r w:rsidR="00B54EE4" w:rsidRPr="00E06DA5">
        <w:rPr>
          <w:sz w:val="20"/>
        </w:rPr>
        <w:t>. To have a sudden death was feared as the soul could not be prepared, thus your time in purgatory would be lengthened. There were strong beliefs around this time including looking daily at saints to ward off sudden death. Conveniently this “charm” only worked for the day you viewed the image of the saint so if you only viewed this saint in church (St Christopher was often painted opposite a church door) then you would have to attend church every day. Witnessing the raising of the host was another way of avoiding sudden death. For all these precautions to take against sudden death it becomes obvious that</w:t>
      </w:r>
      <w:r w:rsidR="00A03CD3" w:rsidRPr="00E06DA5">
        <w:rPr>
          <w:sz w:val="20"/>
        </w:rPr>
        <w:t xml:space="preserve"> it was important to medieval people to prepare for their own death as much as possible. It was a lengthy event with people often dying in bed surrounded by friends, family and church figures. The amount of people and their social standing was determined by your own social standing of the time. For example, the deaths of Kings or important and influential nobles must be a public event </w:t>
      </w:r>
      <w:r w:rsidR="000F7A98" w:rsidRPr="00E06DA5">
        <w:rPr>
          <w:sz w:val="20"/>
        </w:rPr>
        <w:t>to</w:t>
      </w:r>
      <w:r w:rsidR="00A03CD3" w:rsidRPr="00E06DA5">
        <w:rPr>
          <w:sz w:val="20"/>
        </w:rPr>
        <w:t xml:space="preserve"> prove that person was </w:t>
      </w:r>
      <w:proofErr w:type="gramStart"/>
      <w:r w:rsidR="00A03CD3" w:rsidRPr="00E06DA5">
        <w:rPr>
          <w:sz w:val="20"/>
        </w:rPr>
        <w:t>actually deceased</w:t>
      </w:r>
      <w:proofErr w:type="gramEnd"/>
      <w:r w:rsidR="00A03CD3" w:rsidRPr="00E06DA5">
        <w:rPr>
          <w:sz w:val="20"/>
        </w:rPr>
        <w:t>. Cecily therefore allowed plenty of time before becoming very sick. Bearing in mind she was eighty years old when she died, she created her will two whole months before she succumbed to death.</w:t>
      </w:r>
      <w:r w:rsidR="006A6E82" w:rsidRPr="00E06DA5">
        <w:rPr>
          <w:sz w:val="20"/>
        </w:rPr>
        <w:t xml:space="preserve"> </w:t>
      </w:r>
    </w:p>
    <w:p w:rsidR="007863DD" w:rsidRPr="00E06DA5" w:rsidRDefault="006A6E82" w:rsidP="00E06DA5">
      <w:pPr>
        <w:jc w:val="both"/>
        <w:rPr>
          <w:sz w:val="20"/>
        </w:rPr>
      </w:pPr>
      <w:r w:rsidRPr="00E06DA5">
        <w:rPr>
          <w:sz w:val="20"/>
        </w:rPr>
        <w:t>The place of burial was also an important consideration. Due to Cecily’s important position concerning the royal family (the Queen’s grandmother), this might explain why after she places her preference to be buried at Fotheringhay</w:t>
      </w:r>
      <w:r w:rsidR="00C065C2" w:rsidRPr="00E06DA5">
        <w:rPr>
          <w:sz w:val="20"/>
        </w:rPr>
        <w:t>, alongside her husband, she adds ‘</w:t>
      </w:r>
      <w:proofErr w:type="spellStart"/>
      <w:r w:rsidR="00C065C2" w:rsidRPr="00E06DA5">
        <w:rPr>
          <w:sz w:val="20"/>
        </w:rPr>
        <w:t>elles</w:t>
      </w:r>
      <w:proofErr w:type="spellEnd"/>
      <w:r w:rsidR="00C065C2" w:rsidRPr="00E06DA5">
        <w:rPr>
          <w:sz w:val="20"/>
        </w:rPr>
        <w:t xml:space="preserve"> at the </w:t>
      </w:r>
      <w:proofErr w:type="spellStart"/>
      <w:r w:rsidR="00C065C2" w:rsidRPr="00E06DA5">
        <w:rPr>
          <w:sz w:val="20"/>
        </w:rPr>
        <w:t>Kinges</w:t>
      </w:r>
      <w:proofErr w:type="spellEnd"/>
      <w:r w:rsidR="00C065C2" w:rsidRPr="00E06DA5">
        <w:rPr>
          <w:sz w:val="20"/>
        </w:rPr>
        <w:t xml:space="preserve"> pleasure’</w:t>
      </w:r>
      <w:r w:rsidR="00C065C2" w:rsidRPr="00E06DA5">
        <w:rPr>
          <w:rStyle w:val="FootnoteReference"/>
          <w:sz w:val="20"/>
        </w:rPr>
        <w:footnoteReference w:id="3"/>
      </w:r>
      <w:r w:rsidR="00C065C2" w:rsidRPr="00E06DA5">
        <w:rPr>
          <w:sz w:val="20"/>
        </w:rPr>
        <w:t>. She is still, even on her deathbed mindful of the King’s choice. Was she expecting he might want her buried elsewhere? Or was she just being polite and considerate with the courtesy of the day? Her choice to be buried at Fotheringhay has obvious reasons. Her husband Richard, 3</w:t>
      </w:r>
      <w:r w:rsidR="00C065C2" w:rsidRPr="00E06DA5">
        <w:rPr>
          <w:sz w:val="20"/>
          <w:vertAlign w:val="superscript"/>
        </w:rPr>
        <w:t>rd</w:t>
      </w:r>
      <w:r w:rsidR="00C065C2" w:rsidRPr="00E06DA5">
        <w:rPr>
          <w:sz w:val="20"/>
        </w:rPr>
        <w:t xml:space="preserve"> Duke of York and her second surviving son Edmund, Earl of Rutland had been reinterred there by Edward IV (Cecily’s eldest son) early during his reign. His choice for reinternment of his father and brother’s remains there are likely due to the second Duke of York, Richard’s uncle, being buried there after his death at Agincourt. It appears that a tradition of sorts might have been instigated as was usual in the period to have a family mausoleum, a tradition that carries on to this day in some of the remaining royal families.</w:t>
      </w:r>
      <w:r w:rsidR="00D328DA" w:rsidRPr="00E06DA5">
        <w:rPr>
          <w:sz w:val="20"/>
        </w:rPr>
        <w:t xml:space="preserve"> Therefore Cecily, rather than choosing to be buried somewhere that meant something to her, chose to lie with her husband in death. This may be because she imagined she might be </w:t>
      </w:r>
      <w:r w:rsidR="007A0C52" w:rsidRPr="00E06DA5">
        <w:rPr>
          <w:sz w:val="20"/>
        </w:rPr>
        <w:t xml:space="preserve">resurrected beside her husband </w:t>
      </w:r>
      <w:r w:rsidR="005075EA" w:rsidRPr="00E06DA5">
        <w:rPr>
          <w:sz w:val="20"/>
        </w:rPr>
        <w:t xml:space="preserve">on Judgement day although it was customary for wives to be buried alongside their husbands. </w:t>
      </w:r>
    </w:p>
    <w:p w:rsidR="00E12521" w:rsidRPr="00E06DA5" w:rsidRDefault="007863DD" w:rsidP="00E06DA5">
      <w:pPr>
        <w:jc w:val="both"/>
        <w:rPr>
          <w:sz w:val="20"/>
        </w:rPr>
      </w:pPr>
      <w:r w:rsidRPr="00E06DA5">
        <w:rPr>
          <w:sz w:val="20"/>
        </w:rPr>
        <w:lastRenderedPageBreak/>
        <w:t xml:space="preserve">Within the extract we see Cecily bequeath many items to many people. </w:t>
      </w:r>
      <w:r w:rsidR="00A45819" w:rsidRPr="00E06DA5">
        <w:rPr>
          <w:sz w:val="20"/>
        </w:rPr>
        <w:t xml:space="preserve">Who she </w:t>
      </w:r>
      <w:r w:rsidR="008C2431" w:rsidRPr="00E06DA5">
        <w:rPr>
          <w:sz w:val="20"/>
        </w:rPr>
        <w:t>bequeaths</w:t>
      </w:r>
      <w:r w:rsidR="00A45819" w:rsidRPr="00E06DA5">
        <w:rPr>
          <w:sz w:val="20"/>
        </w:rPr>
        <w:t xml:space="preserve"> to and in what order is of interest as it reveals the courtesy of the time and character also of the individual as to who else they may remember in their will. Some individuals remember those we don’t see in the history books as they seem of little consequence to us but they are revealed to us by others to sometimes mean more than they appear. </w:t>
      </w:r>
      <w:r w:rsidRPr="00E06DA5">
        <w:rPr>
          <w:sz w:val="20"/>
        </w:rPr>
        <w:t>It is interesting that the first bequeath is</w:t>
      </w:r>
      <w:r w:rsidR="00C065C2" w:rsidRPr="00E06DA5">
        <w:rPr>
          <w:sz w:val="20"/>
        </w:rPr>
        <w:t xml:space="preserve"> </w:t>
      </w:r>
      <w:r w:rsidRPr="00E06DA5">
        <w:rPr>
          <w:sz w:val="20"/>
        </w:rPr>
        <w:t xml:space="preserve">to Henry VII and not her first major family member of status. </w:t>
      </w:r>
      <w:r w:rsidR="00A45819" w:rsidRPr="00E06DA5">
        <w:rPr>
          <w:sz w:val="20"/>
        </w:rPr>
        <w:t>Of course,</w:t>
      </w:r>
      <w:r w:rsidRPr="00E06DA5">
        <w:rPr>
          <w:sz w:val="20"/>
        </w:rPr>
        <w:t xml:space="preserve"> the this first major family member of status would have to be her granddaughter the Queen as her two surviving daughters were of lower ranks and no male members of her family were alive that held significant rank or position. Her granddaughter could not be seen to out rank her husband the King even in a will and so it is presumably for courtesy sake that Henry VII is the first named. After them follows interestingly Margaret Beaufort: mother to Henry VII. She is not named however but referred to by the title ‘my Lady the </w:t>
      </w:r>
      <w:proofErr w:type="spellStart"/>
      <w:r w:rsidRPr="00E06DA5">
        <w:rPr>
          <w:sz w:val="20"/>
        </w:rPr>
        <w:t>Kinges</w:t>
      </w:r>
      <w:proofErr w:type="spellEnd"/>
      <w:r w:rsidRPr="00E06DA5">
        <w:rPr>
          <w:sz w:val="20"/>
        </w:rPr>
        <w:t xml:space="preserve"> </w:t>
      </w:r>
      <w:proofErr w:type="spellStart"/>
      <w:r w:rsidRPr="00E06DA5">
        <w:rPr>
          <w:sz w:val="20"/>
        </w:rPr>
        <w:t>moder</w:t>
      </w:r>
      <w:proofErr w:type="spellEnd"/>
      <w:r w:rsidRPr="00E06DA5">
        <w:rPr>
          <w:sz w:val="20"/>
        </w:rPr>
        <w:t>’</w:t>
      </w:r>
      <w:r w:rsidR="00FC339A" w:rsidRPr="00E06DA5">
        <w:rPr>
          <w:rStyle w:val="FootnoteReference"/>
          <w:sz w:val="20"/>
        </w:rPr>
        <w:footnoteReference w:id="4"/>
      </w:r>
      <w:r w:rsidR="001B6CE7" w:rsidRPr="00E06DA5">
        <w:rPr>
          <w:sz w:val="20"/>
        </w:rPr>
        <w:t>, whether this was</w:t>
      </w:r>
      <w:r w:rsidR="00DC5E81" w:rsidRPr="00E06DA5">
        <w:rPr>
          <w:sz w:val="20"/>
        </w:rPr>
        <w:t xml:space="preserve"> necessary is speculation, much has been said on whether Lady Beaufort insisted on this title or whether it should have been used formally anyway. Whether Cecily was referred to like this whilst the King’s mother herself during each of her son’s reigns </w:t>
      </w:r>
      <w:r w:rsidR="00FB77CA" w:rsidRPr="00E06DA5">
        <w:rPr>
          <w:sz w:val="20"/>
        </w:rPr>
        <w:t>would go to show whether she wrote this title out of respect for Lady Beaufort’s position o</w:t>
      </w:r>
      <w:r w:rsidR="001B6CE7" w:rsidRPr="00E06DA5">
        <w:rPr>
          <w:sz w:val="20"/>
        </w:rPr>
        <w:t xml:space="preserve">r whether it </w:t>
      </w:r>
      <w:r w:rsidR="00FB77CA" w:rsidRPr="00E06DA5">
        <w:rPr>
          <w:sz w:val="20"/>
        </w:rPr>
        <w:t>was expected in the same way the King and Queen are referred to as they are by titles and not by name.</w:t>
      </w:r>
      <w:r w:rsidR="0007216E" w:rsidRPr="00E06DA5">
        <w:rPr>
          <w:sz w:val="20"/>
        </w:rPr>
        <w:t xml:space="preserve"> She then bequeaths items to her great-grandsons the royal Princes Arthur and Henry but not the Princess Margaret who was the second born. Does this show favouritism or rather again a show of respect for the heir and the spare because of their position rather than what they may mean to her?</w:t>
      </w:r>
      <w:r w:rsidR="009654A1" w:rsidRPr="00E06DA5">
        <w:rPr>
          <w:sz w:val="20"/>
        </w:rPr>
        <w:t xml:space="preserve"> Following these persons of high rank, only then were Cecily’s own surviving daughters and </w:t>
      </w:r>
      <w:r w:rsidR="00E12521" w:rsidRPr="00E06DA5">
        <w:rPr>
          <w:sz w:val="20"/>
        </w:rPr>
        <w:t>their husbands</w:t>
      </w:r>
      <w:r w:rsidR="009654A1" w:rsidRPr="00E06DA5">
        <w:rPr>
          <w:sz w:val="20"/>
        </w:rPr>
        <w:t xml:space="preserve"> named. </w:t>
      </w:r>
      <w:r w:rsidR="003E2462" w:rsidRPr="00E06DA5">
        <w:rPr>
          <w:sz w:val="20"/>
        </w:rPr>
        <w:t>Surely,</w:t>
      </w:r>
      <w:r w:rsidR="009654A1" w:rsidRPr="00E06DA5">
        <w:rPr>
          <w:sz w:val="20"/>
        </w:rPr>
        <w:t xml:space="preserve"> she would have favoured her own children over grandchildren and others married into the family? Therefore</w:t>
      </w:r>
      <w:r w:rsidR="003E2462" w:rsidRPr="00E06DA5">
        <w:rPr>
          <w:sz w:val="20"/>
        </w:rPr>
        <w:t>,</w:t>
      </w:r>
      <w:r w:rsidR="009654A1" w:rsidRPr="00E06DA5">
        <w:rPr>
          <w:sz w:val="20"/>
        </w:rPr>
        <w:t xml:space="preserve"> it must be down to social etiquette or the like that the King and his mother at the very least were recognised before her children.</w:t>
      </w:r>
    </w:p>
    <w:p w:rsidR="00E12521" w:rsidRPr="00E06DA5" w:rsidRDefault="00E12521" w:rsidP="00E06DA5">
      <w:pPr>
        <w:jc w:val="both"/>
        <w:rPr>
          <w:sz w:val="20"/>
        </w:rPr>
      </w:pPr>
      <w:r w:rsidRPr="00E06DA5">
        <w:rPr>
          <w:sz w:val="20"/>
        </w:rPr>
        <w:t xml:space="preserve">Cecily’s will </w:t>
      </w:r>
      <w:proofErr w:type="gramStart"/>
      <w:r w:rsidRPr="00E06DA5">
        <w:rPr>
          <w:sz w:val="20"/>
        </w:rPr>
        <w:t>reveals</w:t>
      </w:r>
      <w:proofErr w:type="gramEnd"/>
      <w:r w:rsidRPr="00E06DA5">
        <w:rPr>
          <w:sz w:val="20"/>
        </w:rPr>
        <w:t xml:space="preserve"> that even a medieval person’s last will and testament had rules and etiquette. She remembers the high-ranking nobles, the church where she is to be buried alongside her husband and then her personal family. Whether who was bequeathed what more genuinely than others we cannot know although by comparison we can see that we have a lot more freedom with the making of our own wills today. Whilst in medieval times a lot of preparation went on before death in preparing your soul the only thing we tend to prepare nowadays for the most part is what happens to our estates, property and those who we leave behind.</w:t>
      </w:r>
    </w:p>
    <w:p w:rsidR="009654A1" w:rsidRPr="00E06DA5" w:rsidRDefault="009654A1" w:rsidP="00E06DA5">
      <w:pPr>
        <w:jc w:val="both"/>
        <w:rPr>
          <w:sz w:val="20"/>
        </w:rPr>
      </w:pPr>
    </w:p>
    <w:p w:rsidR="009654A1" w:rsidRPr="00E06DA5" w:rsidRDefault="009654A1" w:rsidP="00E06DA5">
      <w:pPr>
        <w:jc w:val="both"/>
        <w:rPr>
          <w:sz w:val="20"/>
        </w:rPr>
      </w:pPr>
      <w:r w:rsidRPr="00E06DA5">
        <w:rPr>
          <w:sz w:val="20"/>
        </w:rPr>
        <w:t>Bibliography</w:t>
      </w:r>
    </w:p>
    <w:p w:rsidR="001C6DC8" w:rsidRPr="00E06DA5" w:rsidRDefault="009654A1" w:rsidP="00E06DA5">
      <w:pPr>
        <w:jc w:val="both"/>
        <w:rPr>
          <w:sz w:val="20"/>
        </w:rPr>
      </w:pPr>
      <w:proofErr w:type="spellStart"/>
      <w:r w:rsidRPr="00E06DA5">
        <w:rPr>
          <w:sz w:val="20"/>
        </w:rPr>
        <w:t>Daniell</w:t>
      </w:r>
      <w:proofErr w:type="spellEnd"/>
      <w:r w:rsidRPr="00E06DA5">
        <w:rPr>
          <w:sz w:val="20"/>
        </w:rPr>
        <w:t xml:space="preserve">, Christopher, Death </w:t>
      </w:r>
      <w:proofErr w:type="gramStart"/>
      <w:r w:rsidRPr="00E06DA5">
        <w:rPr>
          <w:sz w:val="20"/>
        </w:rPr>
        <w:t>And</w:t>
      </w:r>
      <w:proofErr w:type="gramEnd"/>
      <w:r w:rsidRPr="00E06DA5">
        <w:rPr>
          <w:sz w:val="20"/>
        </w:rPr>
        <w:t xml:space="preserve"> Burial In Medieval England, 1066-1550 (London: Taylor &amp; Francis e-Library, 2005), pp. 30-64</w:t>
      </w:r>
    </w:p>
    <w:p w:rsidR="00081F8C" w:rsidRPr="00E06DA5" w:rsidRDefault="001C6DC8" w:rsidP="00E06DA5">
      <w:pPr>
        <w:jc w:val="both"/>
        <w:rPr>
          <w:sz w:val="20"/>
        </w:rPr>
      </w:pPr>
      <w:r w:rsidRPr="00E06DA5">
        <w:rPr>
          <w:sz w:val="20"/>
        </w:rPr>
        <w:t>Nichols, J. and Bruce, J. (</w:t>
      </w:r>
      <w:proofErr w:type="spellStart"/>
      <w:r w:rsidRPr="00E06DA5">
        <w:rPr>
          <w:sz w:val="20"/>
        </w:rPr>
        <w:t>eds</w:t>
      </w:r>
      <w:proofErr w:type="spellEnd"/>
      <w:r w:rsidRPr="00E06DA5">
        <w:rPr>
          <w:sz w:val="20"/>
        </w:rPr>
        <w:t xml:space="preserve">) 1863. Wills from the Doctors’ Commons. A selection from the wills of eminent persons proved in the Prerogative Court of Canterbury, 1495-1695. Westminster: Printed for the Camden society. </w:t>
      </w:r>
      <w:r w:rsidR="00D3471B" w:rsidRPr="00E06DA5">
        <w:rPr>
          <w:sz w:val="20"/>
        </w:rPr>
        <w:t xml:space="preserve">[online] </w:t>
      </w:r>
      <w:r w:rsidRPr="00E06DA5">
        <w:rPr>
          <w:sz w:val="20"/>
        </w:rPr>
        <w:t xml:space="preserve">Available from: </w:t>
      </w:r>
      <w:hyperlink r:id="rId7" w:history="1">
        <w:r w:rsidRPr="00E06DA5">
          <w:rPr>
            <w:rStyle w:val="Hyperlink"/>
            <w:sz w:val="20"/>
          </w:rPr>
          <w:t>https:</w:t>
        </w:r>
        <w:bookmarkStart w:id="0" w:name="_GoBack"/>
        <w:bookmarkEnd w:id="0"/>
        <w:r w:rsidRPr="00E06DA5">
          <w:rPr>
            <w:rStyle w:val="Hyperlink"/>
            <w:sz w:val="20"/>
          </w:rPr>
          <w:t>//archive.org/details/willsfromdoctors00churrich</w:t>
        </w:r>
      </w:hyperlink>
      <w:r w:rsidRPr="00E06DA5">
        <w:rPr>
          <w:sz w:val="20"/>
        </w:rPr>
        <w:t xml:space="preserve"> [Accessed </w:t>
      </w:r>
      <w:r w:rsidR="00D3471B" w:rsidRPr="00E06DA5">
        <w:rPr>
          <w:sz w:val="20"/>
        </w:rPr>
        <w:t>18/10/17]</w:t>
      </w:r>
    </w:p>
    <w:sectPr w:rsidR="00081F8C" w:rsidRPr="00E06DA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0BE0" w:rsidRDefault="00750BE0" w:rsidP="00C741B2">
      <w:pPr>
        <w:spacing w:after="0" w:line="240" w:lineRule="auto"/>
      </w:pPr>
      <w:r>
        <w:separator/>
      </w:r>
    </w:p>
  </w:endnote>
  <w:endnote w:type="continuationSeparator" w:id="0">
    <w:p w:rsidR="00750BE0" w:rsidRDefault="00750BE0" w:rsidP="00C74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0BE0" w:rsidRDefault="00750BE0" w:rsidP="00C741B2">
      <w:pPr>
        <w:spacing w:after="0" w:line="240" w:lineRule="auto"/>
      </w:pPr>
      <w:r>
        <w:separator/>
      </w:r>
    </w:p>
  </w:footnote>
  <w:footnote w:type="continuationSeparator" w:id="0">
    <w:p w:rsidR="00750BE0" w:rsidRDefault="00750BE0" w:rsidP="00C741B2">
      <w:pPr>
        <w:spacing w:after="0" w:line="240" w:lineRule="auto"/>
      </w:pPr>
      <w:r>
        <w:continuationSeparator/>
      </w:r>
    </w:p>
  </w:footnote>
  <w:footnote w:id="1">
    <w:p w:rsidR="00B54EE4" w:rsidRDefault="00B54EE4">
      <w:pPr>
        <w:pStyle w:val="FootnoteText"/>
      </w:pPr>
      <w:r>
        <w:rPr>
          <w:rStyle w:val="FootnoteReference"/>
        </w:rPr>
        <w:footnoteRef/>
      </w:r>
      <w:r>
        <w:t xml:space="preserve"> </w:t>
      </w:r>
      <w:r w:rsidR="00FC339A">
        <w:t>Nichols, J. and Bruce, J. (</w:t>
      </w:r>
      <w:proofErr w:type="spellStart"/>
      <w:r w:rsidR="00FC339A">
        <w:t>eds</w:t>
      </w:r>
      <w:proofErr w:type="spellEnd"/>
      <w:r w:rsidR="00FC339A">
        <w:t>) 1863. Wills from the Doctors’ Commons. A selection from the wills of eminent persons proved in the Prerogative Court of Canterbury, 1495-1695. Westminster: Printed for the Camden society.</w:t>
      </w:r>
    </w:p>
  </w:footnote>
  <w:footnote w:id="2">
    <w:p w:rsidR="00B54EE4" w:rsidRDefault="00B54EE4">
      <w:pPr>
        <w:pStyle w:val="FootnoteText"/>
      </w:pPr>
      <w:r>
        <w:rPr>
          <w:rStyle w:val="FootnoteReference"/>
        </w:rPr>
        <w:footnoteRef/>
      </w:r>
      <w:r>
        <w:t xml:space="preserve"> </w:t>
      </w:r>
      <w:r w:rsidRPr="00B54EE4">
        <w:t xml:space="preserve">Christopher </w:t>
      </w:r>
      <w:proofErr w:type="spellStart"/>
      <w:r w:rsidRPr="00B54EE4">
        <w:t>Daniell</w:t>
      </w:r>
      <w:proofErr w:type="spellEnd"/>
      <w:r w:rsidRPr="00B54EE4">
        <w:t xml:space="preserve">, Death </w:t>
      </w:r>
      <w:proofErr w:type="gramStart"/>
      <w:r w:rsidRPr="00B54EE4">
        <w:t>And</w:t>
      </w:r>
      <w:proofErr w:type="gramEnd"/>
      <w:r w:rsidRPr="00B54EE4">
        <w:t xml:space="preserve"> Burial In Medieval England, 1066-1550 (London: Taylor &amp; Francis e-Library, 2005), pp. 30-64.</w:t>
      </w:r>
    </w:p>
  </w:footnote>
  <w:footnote w:id="3">
    <w:p w:rsidR="00C065C2" w:rsidRDefault="00C065C2">
      <w:pPr>
        <w:pStyle w:val="FootnoteText"/>
      </w:pPr>
      <w:r>
        <w:rPr>
          <w:rStyle w:val="FootnoteReference"/>
        </w:rPr>
        <w:footnoteRef/>
      </w:r>
      <w:r>
        <w:t xml:space="preserve"> </w:t>
      </w:r>
      <w:r w:rsidR="00FC339A">
        <w:t>Nichols, J. and Bruce, J. (</w:t>
      </w:r>
      <w:proofErr w:type="spellStart"/>
      <w:r w:rsidR="00FC339A">
        <w:t>eds</w:t>
      </w:r>
      <w:proofErr w:type="spellEnd"/>
      <w:r w:rsidR="00FC339A">
        <w:t>) 1863. Wills from the Doctors’ Commons. A selection from the wills of eminent persons proved in the Prerogative Court of Canterbury, 1495-1695. Westminster: Printed for the Camden society.</w:t>
      </w:r>
    </w:p>
  </w:footnote>
  <w:footnote w:id="4">
    <w:p w:rsidR="00FC339A" w:rsidRDefault="00FC339A">
      <w:pPr>
        <w:pStyle w:val="FootnoteText"/>
      </w:pPr>
      <w:r>
        <w:rPr>
          <w:rStyle w:val="FootnoteReference"/>
        </w:rPr>
        <w:footnoteRef/>
      </w:r>
      <w:r>
        <w:t xml:space="preserve"> </w:t>
      </w:r>
      <w:r>
        <w:t>Nichols, J. and Bruce, J. (</w:t>
      </w:r>
      <w:proofErr w:type="spellStart"/>
      <w:r>
        <w:t>eds</w:t>
      </w:r>
      <w:proofErr w:type="spellEnd"/>
      <w:r>
        <w:t>) 1863. Wills from the Doctors’ Commons. A selection from the wills of eminent persons proved in the Prerogative Court of Canterbury, 1495-1695. Westminster: Printed for the Camden society.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41B2" w:rsidRDefault="00081F8C">
    <w:pPr>
      <w:pStyle w:val="Header"/>
    </w:pPr>
    <w:r>
      <w:t>HPHI6002</w:t>
    </w:r>
    <w:r w:rsidR="00C741B2">
      <w:ptab w:relativeTo="margin" w:alignment="center" w:leader="none"/>
    </w:r>
    <w:r>
      <w:t>Anna Roberts</w:t>
    </w:r>
    <w:r w:rsidR="00C741B2">
      <w:ptab w:relativeTo="margin" w:alignment="right" w:leader="none"/>
    </w:r>
    <w:r>
      <w:t>1500630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1B2"/>
    <w:rsid w:val="0007216E"/>
    <w:rsid w:val="00081F8C"/>
    <w:rsid w:val="000C2CF1"/>
    <w:rsid w:val="000C3965"/>
    <w:rsid w:val="000F7A98"/>
    <w:rsid w:val="001B6CE7"/>
    <w:rsid w:val="001C6DC8"/>
    <w:rsid w:val="003D5312"/>
    <w:rsid w:val="003E2462"/>
    <w:rsid w:val="005075EA"/>
    <w:rsid w:val="006243DF"/>
    <w:rsid w:val="00647F2E"/>
    <w:rsid w:val="006A6E82"/>
    <w:rsid w:val="00750BE0"/>
    <w:rsid w:val="007863DD"/>
    <w:rsid w:val="007967F4"/>
    <w:rsid w:val="007A0C52"/>
    <w:rsid w:val="007D369A"/>
    <w:rsid w:val="00861ED1"/>
    <w:rsid w:val="008C2431"/>
    <w:rsid w:val="0095171C"/>
    <w:rsid w:val="009654A1"/>
    <w:rsid w:val="00A03CD3"/>
    <w:rsid w:val="00A45819"/>
    <w:rsid w:val="00B54EE4"/>
    <w:rsid w:val="00BC0E49"/>
    <w:rsid w:val="00C065C2"/>
    <w:rsid w:val="00C741B2"/>
    <w:rsid w:val="00C87022"/>
    <w:rsid w:val="00CD4DDB"/>
    <w:rsid w:val="00D328DA"/>
    <w:rsid w:val="00D3471B"/>
    <w:rsid w:val="00D8336F"/>
    <w:rsid w:val="00DC5E81"/>
    <w:rsid w:val="00E06DA5"/>
    <w:rsid w:val="00E12521"/>
    <w:rsid w:val="00FB77CA"/>
    <w:rsid w:val="00FC3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45120"/>
  <w15:chartTrackingRefBased/>
  <w15:docId w15:val="{979C9EA4-9077-4A43-8536-FF194E66C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1B2"/>
  </w:style>
  <w:style w:type="paragraph" w:styleId="Footer">
    <w:name w:val="footer"/>
    <w:basedOn w:val="Normal"/>
    <w:link w:val="FooterChar"/>
    <w:uiPriority w:val="99"/>
    <w:unhideWhenUsed/>
    <w:rsid w:val="00C74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1B2"/>
  </w:style>
  <w:style w:type="paragraph" w:styleId="FootnoteText">
    <w:name w:val="footnote text"/>
    <w:basedOn w:val="Normal"/>
    <w:link w:val="FootnoteTextChar"/>
    <w:uiPriority w:val="99"/>
    <w:semiHidden/>
    <w:unhideWhenUsed/>
    <w:rsid w:val="00B54E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4EE4"/>
    <w:rPr>
      <w:sz w:val="20"/>
      <w:szCs w:val="20"/>
    </w:rPr>
  </w:style>
  <w:style w:type="character" w:styleId="FootnoteReference">
    <w:name w:val="footnote reference"/>
    <w:basedOn w:val="DefaultParagraphFont"/>
    <w:uiPriority w:val="99"/>
    <w:semiHidden/>
    <w:unhideWhenUsed/>
    <w:rsid w:val="00B54EE4"/>
    <w:rPr>
      <w:vertAlign w:val="superscript"/>
    </w:rPr>
  </w:style>
  <w:style w:type="character" w:styleId="Hyperlink">
    <w:name w:val="Hyperlink"/>
    <w:basedOn w:val="DefaultParagraphFont"/>
    <w:uiPriority w:val="99"/>
    <w:unhideWhenUsed/>
    <w:rsid w:val="001C6DC8"/>
    <w:rPr>
      <w:color w:val="0563C1" w:themeColor="hyperlink"/>
      <w:u w:val="single"/>
    </w:rPr>
  </w:style>
  <w:style w:type="character" w:styleId="UnresolvedMention">
    <w:name w:val="Unresolved Mention"/>
    <w:basedOn w:val="DefaultParagraphFont"/>
    <w:uiPriority w:val="99"/>
    <w:semiHidden/>
    <w:unhideWhenUsed/>
    <w:rsid w:val="001C6D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archive.org/details/willsfromdoctors00churri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30615-0620-44AA-B82B-B16C71938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Roberts</dc:creator>
  <cp:keywords/>
  <dc:description/>
  <cp:lastModifiedBy>Anna Roberts</cp:lastModifiedBy>
  <cp:revision>21</cp:revision>
  <dcterms:created xsi:type="dcterms:W3CDTF">2017-10-09T13:30:00Z</dcterms:created>
  <dcterms:modified xsi:type="dcterms:W3CDTF">2017-10-20T21:26:00Z</dcterms:modified>
</cp:coreProperties>
</file>