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DB1543" wp14:paraId="7EDC1731" wp14:textId="57179E81">
      <w:pPr>
        <w:spacing w:before="212"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005AF673">
        <w:drawing>
          <wp:inline xmlns:wp14="http://schemas.microsoft.com/office/word/2010/wordprocessingDrawing" wp14:editId="0D437B7E" wp14:anchorId="58C09651">
            <wp:extent cx="3514725" cy="1400175"/>
            <wp:effectExtent l="0" t="0" r="0" b="0"/>
            <wp:docPr id="440476154" name="" title=""/>
            <wp:cNvGraphicFramePr>
              <a:graphicFrameLocks noChangeAspect="1"/>
            </wp:cNvGraphicFramePr>
            <a:graphic>
              <a:graphicData uri="http://schemas.openxmlformats.org/drawingml/2006/picture">
                <pic:pic>
                  <pic:nvPicPr>
                    <pic:cNvPr id="0" name=""/>
                    <pic:cNvPicPr/>
                  </pic:nvPicPr>
                  <pic:blipFill>
                    <a:blip r:embed="Rbc9efb5eef1d46a3">
                      <a:extLst>
                        <a:ext xmlns:a="http://schemas.openxmlformats.org/drawingml/2006/main" uri="{28A0092B-C50C-407E-A947-70E740481C1C}">
                          <a14:useLocalDpi val="0"/>
                        </a:ext>
                      </a:extLst>
                    </a:blip>
                    <a:stretch>
                      <a:fillRect/>
                    </a:stretch>
                  </pic:blipFill>
                  <pic:spPr>
                    <a:xfrm>
                      <a:off x="0" y="0"/>
                      <a:ext cx="3514725" cy="1400175"/>
                    </a:xfrm>
                    <a:prstGeom prst="rect">
                      <a:avLst/>
                    </a:prstGeom>
                  </pic:spPr>
                </pic:pic>
              </a:graphicData>
            </a:graphic>
          </wp:inline>
        </w:drawing>
      </w:r>
    </w:p>
    <w:p xmlns:wp14="http://schemas.microsoft.com/office/word/2010/wordml" w:rsidP="1BDB1543" wp14:paraId="760CCCDC" wp14:textId="09550378">
      <w:pPr>
        <w:spacing w:before="212"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BDB1543" w:rsidR="005AF673">
        <w:rPr>
          <w:rFonts w:ascii="Arial" w:hAnsi="Arial" w:eastAsia="Arial" w:cs="Arial"/>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1BDB1543" wp14:paraId="66E321B8" wp14:textId="330CCCB4">
      <w:pPr>
        <w:spacing w:before="212" w:line="276" w:lineRule="auto"/>
        <w:rPr>
          <w:rFonts w:ascii="Arial" w:hAnsi="Arial" w:eastAsia="Arial" w:cs="Arial"/>
          <w:b w:val="0"/>
          <w:bCs w:val="0"/>
          <w:i w:val="0"/>
          <w:iCs w:val="0"/>
          <w:caps w:val="0"/>
          <w:smallCaps w:val="0"/>
          <w:noProof w:val="0"/>
          <w:color w:val="000000" w:themeColor="text1" w:themeTint="FF" w:themeShade="FF"/>
          <w:sz w:val="56"/>
          <w:szCs w:val="56"/>
          <w:lang w:val="en-GB"/>
        </w:rPr>
      </w:pPr>
      <w:r w:rsidRPr="1BDB1543" w:rsidR="005AF673">
        <w:rPr>
          <w:rFonts w:ascii="Arial" w:hAnsi="Arial" w:eastAsia="Arial" w:cs="Arial"/>
          <w:b w:val="1"/>
          <w:bCs w:val="1"/>
          <w:i w:val="0"/>
          <w:iCs w:val="0"/>
          <w:caps w:val="0"/>
          <w:smallCaps w:val="0"/>
          <w:noProof w:val="0"/>
          <w:color w:val="000000" w:themeColor="text1" w:themeTint="FF" w:themeShade="FF"/>
          <w:sz w:val="56"/>
          <w:szCs w:val="56"/>
          <w:lang w:val="en-GB"/>
        </w:rPr>
        <w:t xml:space="preserve"> </w:t>
      </w:r>
    </w:p>
    <w:p xmlns:wp14="http://schemas.microsoft.com/office/word/2010/wordml" w:rsidP="1BDB1543" wp14:paraId="752695DF" wp14:textId="17957325">
      <w:pPr>
        <w:spacing w:before="212"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MODULE CODE: ECAD401</w:t>
      </w:r>
      <w:r w:rsidRPr="1BDB1543" w:rsidR="24AF9836">
        <w:rPr>
          <w:rFonts w:ascii="Arial" w:hAnsi="Arial" w:eastAsia="Arial" w:cs="Arial"/>
          <w:b w:val="1"/>
          <w:bCs w:val="1"/>
          <w:i w:val="0"/>
          <w:iCs w:val="0"/>
          <w:caps w:val="0"/>
          <w:smallCaps w:val="0"/>
          <w:noProof w:val="0"/>
          <w:color w:val="000000" w:themeColor="text1" w:themeTint="FF" w:themeShade="FF"/>
          <w:sz w:val="48"/>
          <w:szCs w:val="48"/>
          <w:lang w:val="en-GB"/>
        </w:rPr>
        <w:t>5</w:t>
      </w:r>
    </w:p>
    <w:p xmlns:wp14="http://schemas.microsoft.com/office/word/2010/wordml" w:rsidP="1BDB1543" wp14:paraId="7FADE633" wp14:textId="34A2D2C5">
      <w:pPr>
        <w:spacing w:before="212"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1BDB1543" wp14:paraId="1FC52AE6" wp14:textId="76C73531">
      <w:pPr>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STUDENT NAME: Mollie Thomas</w:t>
      </w:r>
    </w:p>
    <w:p xmlns:wp14="http://schemas.microsoft.com/office/word/2010/wordml" w:rsidP="1BDB1543" wp14:paraId="20BB7BA0" wp14:textId="0C6017A5">
      <w:pPr>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STUDENT NUMBER: 2404011</w:t>
      </w:r>
    </w:p>
    <w:p xmlns:wp14="http://schemas.microsoft.com/office/word/2010/wordml" w:rsidP="1BDB1543" wp14:paraId="181DCF58" wp14:textId="40868568">
      <w:pPr>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 xml:space="preserve"> </w:t>
      </w:r>
    </w:p>
    <w:p xmlns:wp14="http://schemas.microsoft.com/office/word/2010/wordml" w:rsidP="1BDB1543" wp14:paraId="7D09E243" wp14:textId="2E03DF96">
      <w:pPr>
        <w:spacing w:before="3" w:line="276" w:lineRule="auto"/>
        <w:rPr>
          <w:rFonts w:ascii="Arial" w:hAnsi="Arial" w:eastAsia="Arial" w:cs="Arial"/>
          <w:b w:val="1"/>
          <w:bCs w:val="1"/>
          <w:noProof w:val="0"/>
          <w:sz w:val="48"/>
          <w:szCs w:val="48"/>
          <w:lang w:val="en-GB"/>
        </w:rPr>
      </w:pPr>
      <w:r w:rsidRPr="1BDB1543" w:rsidR="2DCFC6F8">
        <w:rPr>
          <w:rFonts w:ascii="Arial" w:hAnsi="Arial" w:eastAsia="Arial" w:cs="Arial"/>
          <w:b w:val="1"/>
          <w:bCs w:val="1"/>
          <w:noProof w:val="0"/>
          <w:sz w:val="48"/>
          <w:szCs w:val="48"/>
          <w:lang w:val="en-GB"/>
        </w:rPr>
        <w:t xml:space="preserve">Demonstrate how cross-curricular teaching and learning can influence in-depth skills and understanding. </w:t>
      </w:r>
    </w:p>
    <w:p xmlns:wp14="http://schemas.microsoft.com/office/word/2010/wordml" w:rsidP="1BDB1543" wp14:paraId="77BD4B7D" wp14:textId="0C1237EF">
      <w:pPr>
        <w:pStyle w:val="Normal"/>
        <w:spacing w:before="3" w:line="276" w:lineRule="auto"/>
        <w:rPr>
          <w:rFonts w:ascii="Arial" w:hAnsi="Arial" w:eastAsia="Arial" w:cs="Arial"/>
          <w:b w:val="1"/>
          <w:bCs w:val="1"/>
          <w:i w:val="0"/>
          <w:iCs w:val="0"/>
          <w:caps w:val="0"/>
          <w:smallCaps w:val="0"/>
          <w:noProof w:val="0"/>
          <w:color w:val="000000" w:themeColor="text1" w:themeTint="FF" w:themeShade="FF"/>
          <w:sz w:val="48"/>
          <w:szCs w:val="48"/>
          <w:lang w:val="en-GB"/>
        </w:rPr>
      </w:pPr>
    </w:p>
    <w:p xmlns:wp14="http://schemas.microsoft.com/office/word/2010/wordml" w:rsidP="1BDB1543" wp14:paraId="20479181" wp14:textId="506E6580">
      <w:pPr>
        <w:spacing w:before="3" w:line="276" w:lineRule="auto"/>
        <w:rPr>
          <w:rFonts w:ascii="Arial" w:hAnsi="Arial" w:eastAsia="Arial" w:cs="Arial"/>
          <w:b w:val="1"/>
          <w:bCs w:val="1"/>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Word count: 2</w:t>
      </w:r>
      <w:r w:rsidRPr="1BDB1543" w:rsidR="3DE97644">
        <w:rPr>
          <w:rFonts w:ascii="Arial" w:hAnsi="Arial" w:eastAsia="Arial" w:cs="Arial"/>
          <w:b w:val="1"/>
          <w:bCs w:val="1"/>
          <w:i w:val="0"/>
          <w:iCs w:val="0"/>
          <w:caps w:val="0"/>
          <w:smallCaps w:val="0"/>
          <w:noProof w:val="0"/>
          <w:color w:val="000000" w:themeColor="text1" w:themeTint="FF" w:themeShade="FF"/>
          <w:sz w:val="48"/>
          <w:szCs w:val="48"/>
          <w:lang w:val="en-GB"/>
        </w:rPr>
        <w:t xml:space="preserve">075 </w:t>
      </w: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words.</w:t>
      </w:r>
    </w:p>
    <w:p xmlns:wp14="http://schemas.microsoft.com/office/word/2010/wordml" w:rsidP="1BDB1543" wp14:paraId="5F2C01F6" wp14:textId="0AA68F14">
      <w:pPr>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 xml:space="preserve">Word counts complete: </w:t>
      </w:r>
      <w:r w:rsidRPr="1BDB1543" w:rsidR="316EB6CD">
        <w:rPr>
          <w:rFonts w:ascii="Arial" w:hAnsi="Arial" w:eastAsia="Arial" w:cs="Arial"/>
          <w:b w:val="1"/>
          <w:bCs w:val="1"/>
          <w:i w:val="0"/>
          <w:iCs w:val="0"/>
          <w:caps w:val="0"/>
          <w:smallCaps w:val="0"/>
          <w:noProof w:val="0"/>
          <w:color w:val="000000" w:themeColor="text1" w:themeTint="FF" w:themeShade="FF"/>
          <w:sz w:val="48"/>
          <w:szCs w:val="48"/>
          <w:lang w:val="en-GB"/>
        </w:rPr>
        <w:t>4143</w:t>
      </w:r>
      <w:r w:rsidRPr="1BDB1543" w:rsidR="005AF673">
        <w:rPr>
          <w:rFonts w:ascii="Arial" w:hAnsi="Arial" w:eastAsia="Arial" w:cs="Arial"/>
          <w:b w:val="1"/>
          <w:bCs w:val="1"/>
          <w:i w:val="0"/>
          <w:iCs w:val="0"/>
          <w:caps w:val="0"/>
          <w:smallCaps w:val="0"/>
          <w:noProof w:val="0"/>
          <w:color w:val="000000" w:themeColor="text1" w:themeTint="FF" w:themeShade="FF"/>
          <w:sz w:val="48"/>
          <w:szCs w:val="48"/>
          <w:lang w:val="en-GB"/>
        </w:rPr>
        <w:t xml:space="preserve"> words.</w:t>
      </w:r>
    </w:p>
    <w:p xmlns:wp14="http://schemas.microsoft.com/office/word/2010/wordml" w:rsidP="1BDB1543" wp14:paraId="627BEE78" wp14:textId="099E94CC">
      <w:pPr>
        <w:spacing w:line="360" w:lineRule="auto"/>
        <w:rPr>
          <w:rFonts w:ascii="Aptos" w:hAnsi="Aptos" w:eastAsia="Aptos" w:cs="Aptos"/>
          <w:b w:val="0"/>
          <w:bCs w:val="0"/>
          <w:i w:val="0"/>
          <w:iCs w:val="0"/>
          <w:caps w:val="0"/>
          <w:smallCaps w:val="0"/>
          <w:noProof w:val="0"/>
          <w:color w:val="000000" w:themeColor="text1" w:themeTint="FF" w:themeShade="FF"/>
          <w:sz w:val="32"/>
          <w:szCs w:val="32"/>
          <w:lang w:val="en-GB"/>
        </w:rPr>
      </w:pPr>
      <w:r w:rsidRPr="1BDB1543" w:rsidR="005AF673">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AI Acknowledgement</w:t>
      </w:r>
    </w:p>
    <w:p xmlns:wp14="http://schemas.microsoft.com/office/word/2010/wordml" w:rsidP="1BDB1543" wp14:paraId="247924C0" wp14:textId="5329B412">
      <w:pPr>
        <w:pStyle w:val="Normal"/>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I acknowledge the use of</w:t>
      </w:r>
      <w:r w:rsidRPr="1BDB1543" w:rsidR="331069E1">
        <w:rPr>
          <w:rFonts w:ascii="Aptos" w:hAnsi="Aptos" w:eastAsia="Aptos" w:cs="Aptos"/>
          <w:b w:val="0"/>
          <w:bCs w:val="0"/>
          <w:i w:val="0"/>
          <w:iCs w:val="0"/>
          <w:caps w:val="0"/>
          <w:smallCaps w:val="0"/>
          <w:noProof w:val="0"/>
          <w:color w:val="000000" w:themeColor="text1" w:themeTint="FF" w:themeShade="FF"/>
          <w:sz w:val="24"/>
          <w:szCs w:val="24"/>
          <w:lang w:val="en-GB"/>
        </w:rPr>
        <w:t xml:space="preserve"> artificial intelligence to create images for my resources </w:t>
      </w:r>
      <w:r w:rsidRPr="1BDB1543" w:rsidR="331069E1">
        <w:rPr>
          <w:rFonts w:ascii="Aptos" w:hAnsi="Aptos" w:eastAsia="Aptos" w:cs="Aptos"/>
          <w:b w:val="0"/>
          <w:bCs w:val="0"/>
          <w:i w:val="0"/>
          <w:iCs w:val="0"/>
          <w:caps w:val="0"/>
          <w:smallCaps w:val="0"/>
          <w:noProof w:val="0"/>
          <w:color w:val="000000" w:themeColor="text1" w:themeTint="FF" w:themeShade="FF"/>
          <w:sz w:val="24"/>
          <w:szCs w:val="24"/>
          <w:lang w:val="en-GB"/>
        </w:rPr>
        <w:t>attached</w:t>
      </w:r>
      <w:r w:rsidRPr="1BDB1543" w:rsidR="331069E1">
        <w:rPr>
          <w:rFonts w:ascii="Aptos" w:hAnsi="Aptos" w:eastAsia="Aptos" w:cs="Aptos"/>
          <w:b w:val="0"/>
          <w:bCs w:val="0"/>
          <w:i w:val="0"/>
          <w:iCs w:val="0"/>
          <w:caps w:val="0"/>
          <w:smallCaps w:val="0"/>
          <w:noProof w:val="0"/>
          <w:color w:val="000000" w:themeColor="text1" w:themeTint="FF" w:themeShade="FF"/>
          <w:sz w:val="24"/>
          <w:szCs w:val="24"/>
          <w:lang w:val="en-GB"/>
        </w:rPr>
        <w:t xml:space="preserve"> in the appendix.</w:t>
      </w:r>
    </w:p>
    <w:p xmlns:wp14="http://schemas.microsoft.com/office/word/2010/wordml" w:rsidP="1BDB1543" wp14:paraId="08DCDBE3" wp14:textId="21F2ACD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1. </w:t>
      </w:r>
      <w:r w:rsidRPr="1BDB1543" w:rsidR="6FB543D8">
        <w:rPr>
          <w:rFonts w:ascii="Aptos" w:hAnsi="Aptos" w:eastAsia="Aptos" w:cs="Aptos"/>
          <w:b w:val="0"/>
          <w:bCs w:val="0"/>
          <w:i w:val="0"/>
          <w:iCs w:val="0"/>
          <w:caps w:val="0"/>
          <w:smallCaps w:val="0"/>
          <w:noProof w:val="0"/>
          <w:color w:val="000000" w:themeColor="text1" w:themeTint="FF" w:themeShade="FF"/>
          <w:sz w:val="24"/>
          <w:szCs w:val="24"/>
          <w:lang w:val="en-GB"/>
        </w:rPr>
        <w:t>Create an image of a chocolate bar template.</w:t>
      </w:r>
    </w:p>
    <w:p xmlns:wp14="http://schemas.microsoft.com/office/word/2010/wordml" w:rsidP="1BDB1543" wp14:paraId="7FE4A62E" wp14:textId="2EE8AED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xmlns:wp14="http://schemas.microsoft.com/office/word/2010/wordml" w:rsidP="1BDB1543" wp14:paraId="01BB889E" wp14:textId="13BCE06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copies of my drafts, notes, and other resources I used before and after the use of AI tools which I may be asked to provide in evidence. </w:t>
      </w:r>
    </w:p>
    <w:p xmlns:wp14="http://schemas.microsoft.com/office/word/2010/wordml" w:rsidP="1BDB1543" wp14:paraId="6C2DF2A0" wp14:textId="5331A65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I acknowledge the use of thesaurus.</w:t>
      </w:r>
    </w:p>
    <w:p xmlns:wp14="http://schemas.microsoft.com/office/word/2010/wordml" w:rsidP="1BDB1543" wp14:paraId="31961400" wp14:textId="04FA52A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w:t>
      </w:r>
      <w:hyperlink r:id="R7aa00e9445004db2">
        <w:r w:rsidRPr="1BDB1543" w:rsidR="005AF673">
          <w:rPr>
            <w:rStyle w:val="Hyperlink"/>
            <w:rFonts w:ascii="Aptos" w:hAnsi="Aptos" w:eastAsia="Aptos" w:cs="Aptos"/>
            <w:b w:val="0"/>
            <w:bCs w:val="0"/>
            <w:i w:val="0"/>
            <w:iCs w:val="0"/>
            <w:caps w:val="0"/>
            <w:smallCaps w:val="0"/>
            <w:strike w:val="0"/>
            <w:dstrike w:val="0"/>
            <w:noProof w:val="0"/>
            <w:sz w:val="24"/>
            <w:szCs w:val="24"/>
            <w:lang w:val="en-GB"/>
          </w:rPr>
          <w:t>https://www.thesaurus.com/</w:t>
        </w:r>
      </w:hyperlink>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 on </w:t>
      </w:r>
      <w:r w:rsidRPr="1BDB1543" w:rsidR="0EA67757">
        <w:rPr>
          <w:rFonts w:ascii="Aptos" w:hAnsi="Aptos" w:eastAsia="Aptos" w:cs="Aptos"/>
          <w:b w:val="0"/>
          <w:bCs w:val="0"/>
          <w:i w:val="0"/>
          <w:iCs w:val="0"/>
          <w:caps w:val="0"/>
          <w:smallCaps w:val="0"/>
          <w:noProof w:val="0"/>
          <w:color w:val="000000" w:themeColor="text1" w:themeTint="FF" w:themeShade="FF"/>
          <w:sz w:val="24"/>
          <w:szCs w:val="24"/>
          <w:lang w:val="en-GB"/>
        </w:rPr>
        <w:t>23</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/02/2025 </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identify</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 synonyms. I used the prompt(s): </w:t>
      </w:r>
    </w:p>
    <w:p xmlns:wp14="http://schemas.microsoft.com/office/word/2010/wordml" w:rsidP="1BDB1543" wp14:paraId="4E48BDD4" wp14:textId="02E5128F">
      <w:pPr>
        <w:pStyle w:val="ListParagraph"/>
        <w:numPr>
          <w:ilvl w:val="0"/>
          <w:numId w:val="1"/>
        </w:numPr>
        <w:spacing w:after="0"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Synonyms </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for </w:t>
      </w:r>
      <w:r w:rsidRPr="1BDB1543" w:rsidR="0A3FA412">
        <w:rPr>
          <w:rFonts w:ascii="Aptos" w:hAnsi="Aptos" w:eastAsia="Aptos" w:cs="Aptos"/>
          <w:b w:val="0"/>
          <w:bCs w:val="0"/>
          <w:i w:val="0"/>
          <w:iCs w:val="0"/>
          <w:caps w:val="0"/>
          <w:smallCaps w:val="0"/>
          <w:noProof w:val="0"/>
          <w:color w:val="000000" w:themeColor="text1" w:themeTint="FF" w:themeShade="FF"/>
          <w:sz w:val="24"/>
          <w:szCs w:val="24"/>
          <w:lang w:val="en-GB"/>
        </w:rPr>
        <w:t>generally</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BDB1543" wp14:paraId="2E963590" wp14:textId="49F2424C">
      <w:pPr>
        <w:pStyle w:val="ListParagraph"/>
        <w:numPr>
          <w:ilvl w:val="0"/>
          <w:numId w:val="1"/>
        </w:numPr>
        <w:spacing w:after="0"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Synonyms for </w:t>
      </w:r>
      <w:r w:rsidRPr="1BDB1543" w:rsidR="60C81CD3">
        <w:rPr>
          <w:rFonts w:ascii="Aptos" w:hAnsi="Aptos" w:eastAsia="Aptos" w:cs="Aptos"/>
          <w:b w:val="0"/>
          <w:bCs w:val="0"/>
          <w:i w:val="0"/>
          <w:iCs w:val="0"/>
          <w:caps w:val="0"/>
          <w:smallCaps w:val="0"/>
          <w:noProof w:val="0"/>
          <w:color w:val="000000" w:themeColor="text1" w:themeTint="FF" w:themeShade="FF"/>
          <w:sz w:val="24"/>
          <w:szCs w:val="24"/>
          <w:lang w:val="en-GB"/>
        </w:rPr>
        <w:t>digitally</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BDB1543" wp14:paraId="6A224885" wp14:textId="2B2FC0C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xmlns:wp14="http://schemas.microsoft.com/office/word/2010/wordml" w:rsidP="1BDB1543" wp14:paraId="3D7AD491" wp14:textId="4505AA3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copies of my drafts, notes, and other resources I used before and after the use of AI tools which I may be asked to provide in evidence. </w:t>
      </w:r>
    </w:p>
    <w:p xmlns:wp14="http://schemas.microsoft.com/office/word/2010/wordml" w:rsidP="1BDB1543" wp14:paraId="603AE12F" wp14:textId="4776C35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acknowledge the use of </w:t>
      </w:r>
      <w:r w:rsidRPr="1BDB1543" w:rsidR="4D1BBD9D">
        <w:rPr>
          <w:rFonts w:ascii="Aptos" w:hAnsi="Aptos" w:eastAsia="Aptos" w:cs="Aptos"/>
          <w:b w:val="0"/>
          <w:bCs w:val="0"/>
          <w:i w:val="0"/>
          <w:iCs w:val="0"/>
          <w:caps w:val="0"/>
          <w:smallCaps w:val="0"/>
          <w:noProof w:val="0"/>
          <w:color w:val="000000" w:themeColor="text1" w:themeTint="FF" w:themeShade="FF"/>
          <w:sz w:val="24"/>
          <w:szCs w:val="24"/>
          <w:lang w:val="en-GB"/>
        </w:rPr>
        <w:t xml:space="preserve">Google </w:t>
      </w:r>
      <w:r w:rsidRPr="1BDB1543" w:rsidR="19EB1837">
        <w:rPr>
          <w:rFonts w:ascii="Aptos" w:hAnsi="Aptos" w:eastAsia="Aptos" w:cs="Aptos"/>
          <w:b w:val="0"/>
          <w:bCs w:val="0"/>
          <w:i w:val="0"/>
          <w:iCs w:val="0"/>
          <w:caps w:val="0"/>
          <w:smallCaps w:val="0"/>
          <w:noProof w:val="0"/>
          <w:color w:val="000000" w:themeColor="text1" w:themeTint="FF" w:themeShade="FF"/>
          <w:sz w:val="24"/>
          <w:szCs w:val="24"/>
          <w:lang w:val="en-GB"/>
        </w:rPr>
        <w:t>which provided me with an AI generated answer</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BDB1543" wp14:paraId="1D681822" wp14:textId="69F49A8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On 01/0</w:t>
      </w:r>
      <w:r w:rsidRPr="1BDB1543" w:rsidR="5F58A03D">
        <w:rPr>
          <w:rFonts w:ascii="Aptos" w:hAnsi="Aptos" w:eastAsia="Aptos" w:cs="Aptos"/>
          <w:b w:val="0"/>
          <w:bCs w:val="0"/>
          <w:i w:val="0"/>
          <w:iCs w:val="0"/>
          <w:caps w:val="0"/>
          <w:smallCaps w:val="0"/>
          <w:noProof w:val="0"/>
          <w:color w:val="000000" w:themeColor="text1" w:themeTint="FF" w:themeShade="FF"/>
          <w:sz w:val="24"/>
          <w:szCs w:val="24"/>
          <w:lang w:val="en-GB"/>
        </w:rPr>
        <w:t>3</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/2025 identified </w:t>
      </w:r>
      <w:r w:rsidRPr="1BDB1543" w:rsidR="7A7143E6">
        <w:rPr>
          <w:rFonts w:ascii="Aptos" w:hAnsi="Aptos" w:eastAsia="Aptos" w:cs="Aptos"/>
          <w:b w:val="0"/>
          <w:bCs w:val="0"/>
          <w:i w:val="0"/>
          <w:iCs w:val="0"/>
          <w:caps w:val="0"/>
          <w:smallCaps w:val="0"/>
          <w:noProof w:val="0"/>
          <w:color w:val="000000" w:themeColor="text1" w:themeTint="FF" w:themeShade="FF"/>
          <w:sz w:val="24"/>
          <w:szCs w:val="24"/>
          <w:lang w:val="en-GB"/>
        </w:rPr>
        <w:t>arguments</w:t>
      </w:r>
      <w:r w:rsidRPr="1BDB1543" w:rsidR="7A7143E6">
        <w:rPr>
          <w:rFonts w:ascii="Aptos" w:hAnsi="Aptos" w:eastAsia="Aptos" w:cs="Aptos"/>
          <w:b w:val="0"/>
          <w:bCs w:val="0"/>
          <w:i w:val="0"/>
          <w:iCs w:val="0"/>
          <w:caps w:val="0"/>
          <w:smallCaps w:val="0"/>
          <w:noProof w:val="0"/>
          <w:color w:val="000000" w:themeColor="text1" w:themeTint="FF" w:themeShade="FF"/>
          <w:sz w:val="24"/>
          <w:szCs w:val="24"/>
          <w:lang w:val="en-GB"/>
        </w:rPr>
        <w:t xml:space="preserve"> for budget</w:t>
      </w: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 I used the prompt(s): </w:t>
      </w:r>
    </w:p>
    <w:p xmlns:wp14="http://schemas.microsoft.com/office/word/2010/wordml" w:rsidP="1BDB1543" wp14:paraId="2209AA7B" wp14:textId="50EB0C80">
      <w:pPr>
        <w:pStyle w:val="ListParagraph"/>
        <w:numPr>
          <w:ilvl w:val="0"/>
          <w:numId w:val="2"/>
        </w:numPr>
        <w:suppressLineNumbers w:val="0"/>
        <w:bidi w:val="0"/>
        <w:spacing w:before="0" w:beforeAutospacing="off" w:after="0" w:afterAutospacing="off" w:line="360" w:lineRule="auto"/>
        <w:ind w:left="72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69C1115A">
        <w:rPr>
          <w:rFonts w:ascii="Aptos" w:hAnsi="Aptos" w:eastAsia="Aptos" w:cs="Aptos"/>
          <w:b w:val="0"/>
          <w:bCs w:val="0"/>
          <w:i w:val="0"/>
          <w:iCs w:val="0"/>
          <w:caps w:val="0"/>
          <w:smallCaps w:val="0"/>
          <w:noProof w:val="0"/>
          <w:color w:val="000000" w:themeColor="text1" w:themeTint="FF" w:themeShade="FF"/>
          <w:sz w:val="24"/>
          <w:szCs w:val="24"/>
          <w:lang w:val="en-GB"/>
        </w:rPr>
        <w:t xml:space="preserve">Why can budget be </w:t>
      </w:r>
      <w:r w:rsidRPr="1BDB1543" w:rsidR="69C1115A">
        <w:rPr>
          <w:rFonts w:ascii="Aptos" w:hAnsi="Aptos" w:eastAsia="Aptos" w:cs="Aptos"/>
          <w:b w:val="0"/>
          <w:bCs w:val="0"/>
          <w:i w:val="0"/>
          <w:iCs w:val="0"/>
          <w:caps w:val="0"/>
          <w:smallCaps w:val="0"/>
          <w:noProof w:val="0"/>
          <w:color w:val="000000" w:themeColor="text1" w:themeTint="FF" w:themeShade="FF"/>
          <w:sz w:val="24"/>
          <w:szCs w:val="24"/>
          <w:lang w:val="en-GB"/>
        </w:rPr>
        <w:t>affected</w:t>
      </w:r>
      <w:r w:rsidRPr="1BDB1543" w:rsidR="69C1115A">
        <w:rPr>
          <w:rFonts w:ascii="Aptos" w:hAnsi="Aptos" w:eastAsia="Aptos" w:cs="Aptos"/>
          <w:b w:val="0"/>
          <w:bCs w:val="0"/>
          <w:i w:val="0"/>
          <w:iCs w:val="0"/>
          <w:caps w:val="0"/>
          <w:smallCaps w:val="0"/>
          <w:noProof w:val="0"/>
          <w:color w:val="000000" w:themeColor="text1" w:themeTint="FF" w:themeShade="FF"/>
          <w:sz w:val="24"/>
          <w:szCs w:val="24"/>
          <w:lang w:val="en-GB"/>
        </w:rPr>
        <w:t xml:space="preserve"> from school to school?</w:t>
      </w:r>
    </w:p>
    <w:p xmlns:wp14="http://schemas.microsoft.com/office/word/2010/wordml" w:rsidP="1BDB1543" wp14:paraId="3F28C364" wp14:textId="2181A56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xmlns:wp14="http://schemas.microsoft.com/office/word/2010/wordml" w:rsidP="1BDB1543" wp14:paraId="1F990CCD" wp14:textId="460CD3D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copies of my drafts, notes, and other resources I used before and after the use of AI tools which I may be asked to provide in evidence. </w:t>
      </w:r>
    </w:p>
    <w:p xmlns:wp14="http://schemas.microsoft.com/office/word/2010/wordml" w:rsidP="1BDB1543" wp14:paraId="4B33232F" wp14:textId="1463441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1"/>
          <w:bCs w:val="1"/>
          <w:i w:val="0"/>
          <w:iCs w:val="0"/>
          <w:caps w:val="0"/>
          <w:smallCaps w:val="0"/>
          <w:noProof w:val="0"/>
          <w:color w:val="000000" w:themeColor="text1" w:themeTint="FF" w:themeShade="FF"/>
          <w:sz w:val="24"/>
          <w:szCs w:val="24"/>
          <w:lang w:val="en-GB"/>
        </w:rPr>
        <w:t xml:space="preserve">Targets from my </w:t>
      </w:r>
      <w:r w:rsidRPr="1BDB1543" w:rsidR="005AF673">
        <w:rPr>
          <w:rFonts w:ascii="Aptos" w:hAnsi="Aptos" w:eastAsia="Aptos" w:cs="Aptos"/>
          <w:b w:val="1"/>
          <w:bCs w:val="1"/>
          <w:i w:val="0"/>
          <w:iCs w:val="0"/>
          <w:caps w:val="0"/>
          <w:smallCaps w:val="0"/>
          <w:noProof w:val="0"/>
          <w:color w:val="000000" w:themeColor="text1" w:themeTint="FF" w:themeShade="FF"/>
          <w:sz w:val="24"/>
          <w:szCs w:val="24"/>
          <w:lang w:val="en-GB"/>
        </w:rPr>
        <w:t>previous</w:t>
      </w:r>
      <w:r w:rsidRPr="1BDB1543" w:rsidR="005AF673">
        <w:rPr>
          <w:rFonts w:ascii="Aptos" w:hAnsi="Aptos" w:eastAsia="Aptos" w:cs="Aptos"/>
          <w:b w:val="1"/>
          <w:bCs w:val="1"/>
          <w:i w:val="0"/>
          <w:iCs w:val="0"/>
          <w:caps w:val="0"/>
          <w:smallCaps w:val="0"/>
          <w:noProof w:val="0"/>
          <w:color w:val="000000" w:themeColor="text1" w:themeTint="FF" w:themeShade="FF"/>
          <w:sz w:val="24"/>
          <w:szCs w:val="24"/>
          <w:lang w:val="en-GB"/>
        </w:rPr>
        <w:t xml:space="preserve"> assignment</w:t>
      </w:r>
    </w:p>
    <w:p xmlns:wp14="http://schemas.microsoft.com/office/word/2010/wordml" w:rsidP="1BDB1543" wp14:paraId="57A2A681" wp14:textId="5FF33F5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BDB1543" w:rsidR="005AF673">
        <w:rPr>
          <w:rFonts w:ascii="Aptos" w:hAnsi="Aptos" w:eastAsia="Aptos" w:cs="Aptos"/>
          <w:b w:val="1"/>
          <w:bCs w:val="1"/>
          <w:i w:val="0"/>
          <w:iCs w:val="0"/>
          <w:caps w:val="0"/>
          <w:smallCaps w:val="0"/>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0"/>
        <w:gridCol w:w="4500"/>
      </w:tblGrid>
      <w:tr w:rsidR="1BDB1543" w:rsidTr="1BDB1543" w14:paraId="75F45FB7">
        <w:trPr>
          <w:trHeight w:val="300"/>
        </w:trPr>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3C1D584A" w14:textId="0C4A4083">
            <w:pPr>
              <w:spacing w:line="360" w:lineRule="auto"/>
              <w:rPr>
                <w:rFonts w:ascii="Aptos" w:hAnsi="Aptos" w:eastAsia="Aptos" w:cs="Aptos"/>
                <w:b w:val="0"/>
                <w:bCs w:val="0"/>
                <w:i w:val="0"/>
                <w:iCs w:val="0"/>
                <w:sz w:val="24"/>
                <w:szCs w:val="24"/>
              </w:rPr>
            </w:pPr>
            <w:r w:rsidRPr="1BDB1543" w:rsidR="1BDB1543">
              <w:rPr>
                <w:rFonts w:ascii="Aptos" w:hAnsi="Aptos" w:eastAsia="Aptos" w:cs="Aptos"/>
                <w:b w:val="1"/>
                <w:bCs w:val="1"/>
                <w:i w:val="0"/>
                <w:iCs w:val="0"/>
                <w:sz w:val="24"/>
                <w:szCs w:val="24"/>
                <w:lang w:val="en-GB"/>
              </w:rPr>
              <w:t>Target</w:t>
            </w:r>
          </w:p>
        </w:tc>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63E0F84B" w14:textId="6B3F7B92">
            <w:pPr>
              <w:spacing w:line="360" w:lineRule="auto"/>
              <w:rPr>
                <w:rFonts w:ascii="Aptos" w:hAnsi="Aptos" w:eastAsia="Aptos" w:cs="Aptos"/>
                <w:b w:val="0"/>
                <w:bCs w:val="0"/>
                <w:i w:val="0"/>
                <w:iCs w:val="0"/>
                <w:sz w:val="24"/>
                <w:szCs w:val="24"/>
              </w:rPr>
            </w:pPr>
            <w:r w:rsidRPr="1BDB1543" w:rsidR="1BDB1543">
              <w:rPr>
                <w:rFonts w:ascii="Aptos" w:hAnsi="Aptos" w:eastAsia="Aptos" w:cs="Aptos"/>
                <w:b w:val="1"/>
                <w:bCs w:val="1"/>
                <w:i w:val="0"/>
                <w:iCs w:val="0"/>
                <w:sz w:val="24"/>
                <w:szCs w:val="24"/>
                <w:lang w:val="en-GB"/>
              </w:rPr>
              <w:t>How I have addressed it in this work</w:t>
            </w:r>
          </w:p>
        </w:tc>
      </w:tr>
      <w:tr w:rsidR="1BDB1543" w:rsidTr="1BDB1543" w14:paraId="4B790FC3">
        <w:trPr>
          <w:trHeight w:val="300"/>
        </w:trPr>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6985C720" w14:textId="32F1D7A4">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 </w:t>
            </w:r>
          </w:p>
          <w:p w:rsidR="1BDB1543" w:rsidP="1BDB1543" w:rsidRDefault="1BDB1543" w14:paraId="5C431CF7" w14:textId="3742D8FA">
            <w:pPr>
              <w:spacing w:line="360" w:lineRule="auto"/>
              <w:rPr>
                <w:rFonts w:ascii="Aptos" w:hAnsi="Aptos" w:eastAsia="Aptos" w:cs="Aptos"/>
                <w:b w:val="0"/>
                <w:bCs w:val="0"/>
                <w:i w:val="0"/>
                <w:iCs w:val="0"/>
                <w:color w:val="283041"/>
                <w:sz w:val="18"/>
                <w:szCs w:val="18"/>
              </w:rPr>
            </w:pPr>
            <w:r w:rsidRPr="1BDB1543" w:rsidR="1BDB1543">
              <w:rPr>
                <w:rFonts w:ascii="Aptos" w:hAnsi="Aptos" w:eastAsia="Aptos" w:cs="Aptos"/>
                <w:b w:val="0"/>
                <w:bCs w:val="0"/>
                <w:i w:val="0"/>
                <w:iCs w:val="0"/>
                <w:color w:val="283041"/>
                <w:sz w:val="18"/>
                <w:szCs w:val="18"/>
                <w:lang w:val="en-GB"/>
              </w:rPr>
              <w:t xml:space="preserve">Read even more relevant and peer reviewed books and journal articles and consider the inclusion of case studies to widen the background reading. </w:t>
            </w:r>
          </w:p>
          <w:p w:rsidR="1BDB1543" w:rsidP="1BDB1543" w:rsidRDefault="1BDB1543" w14:paraId="6A995A1B" w14:textId="62A580DB">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 </w:t>
            </w:r>
          </w:p>
        </w:tc>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168E3A2F" w14:textId="527CDCFD">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I ensured to use a variety of sources such as journals, books from the library, books online and websites.</w:t>
            </w:r>
          </w:p>
        </w:tc>
      </w:tr>
      <w:tr w:rsidR="1BDB1543" w:rsidTr="1BDB1543" w14:paraId="5A20DBC9">
        <w:trPr>
          <w:trHeight w:val="300"/>
        </w:trPr>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232268D3" w14:textId="540ABD3E">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 </w:t>
            </w:r>
          </w:p>
          <w:p w:rsidR="1BDB1543" w:rsidP="1BDB1543" w:rsidRDefault="1BDB1543" w14:paraId="2BAF526A" w14:textId="187622A9">
            <w:pPr>
              <w:spacing w:line="360" w:lineRule="auto"/>
              <w:rPr>
                <w:rFonts w:ascii="Aptos" w:hAnsi="Aptos" w:eastAsia="Aptos" w:cs="Aptos"/>
                <w:b w:val="0"/>
                <w:bCs w:val="0"/>
                <w:i w:val="0"/>
                <w:iCs w:val="0"/>
                <w:color w:val="283041"/>
                <w:sz w:val="18"/>
                <w:szCs w:val="18"/>
              </w:rPr>
            </w:pPr>
            <w:r w:rsidRPr="1BDB1543" w:rsidR="1BDB1543">
              <w:rPr>
                <w:rFonts w:ascii="Aptos" w:hAnsi="Aptos" w:eastAsia="Aptos" w:cs="Aptos"/>
                <w:b w:val="0"/>
                <w:bCs w:val="0"/>
                <w:i w:val="0"/>
                <w:iCs w:val="0"/>
                <w:color w:val="283041"/>
                <w:sz w:val="18"/>
                <w:szCs w:val="18"/>
                <w:lang w:val="en-GB"/>
              </w:rPr>
              <w:t>Begin to synthesise research into your writing to aid the support of your key points.</w:t>
            </w:r>
          </w:p>
          <w:p w:rsidR="1BDB1543" w:rsidP="1BDB1543" w:rsidRDefault="1BDB1543" w14:paraId="427C058A" w14:textId="4A5B654C">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 </w:t>
            </w:r>
          </w:p>
        </w:tc>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5E42FE69" w14:textId="35B25E5B">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In this assignment I </w:t>
            </w:r>
            <w:r w:rsidRPr="1BDB1543" w:rsidR="1BDB1543">
              <w:rPr>
                <w:rFonts w:ascii="Aptos" w:hAnsi="Aptos" w:eastAsia="Aptos" w:cs="Aptos"/>
                <w:b w:val="0"/>
                <w:bCs w:val="0"/>
                <w:i w:val="0"/>
                <w:iCs w:val="0"/>
                <w:sz w:val="18"/>
                <w:szCs w:val="18"/>
                <w:lang w:val="en-GB"/>
              </w:rPr>
              <w:t>attempted</w:t>
            </w:r>
            <w:r w:rsidRPr="1BDB1543" w:rsidR="1BDB1543">
              <w:rPr>
                <w:rFonts w:ascii="Aptos" w:hAnsi="Aptos" w:eastAsia="Aptos" w:cs="Aptos"/>
                <w:b w:val="0"/>
                <w:bCs w:val="0"/>
                <w:i w:val="0"/>
                <w:iCs w:val="0"/>
                <w:sz w:val="18"/>
                <w:szCs w:val="18"/>
                <w:lang w:val="en-GB"/>
              </w:rPr>
              <w:t xml:space="preserve"> to synthesise research and use key points from my collected information. </w:t>
            </w:r>
          </w:p>
        </w:tc>
      </w:tr>
      <w:tr w:rsidR="1BDB1543" w:rsidTr="1BDB1543" w14:paraId="235B2564">
        <w:trPr>
          <w:trHeight w:val="300"/>
        </w:trPr>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54D6C9EF" w14:textId="0D0D0FA3">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Personal target:</w:t>
            </w:r>
          </w:p>
          <w:p w:rsidR="1BDB1543" w:rsidP="1BDB1543" w:rsidRDefault="1BDB1543" w14:paraId="7E625658" w14:textId="334A3BB2">
            <w:pPr>
              <w:pStyle w:val="ListParagraph"/>
              <w:numPr>
                <w:ilvl w:val="0"/>
                <w:numId w:val="3"/>
              </w:num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Correct format of Harvard referencing</w:t>
            </w:r>
          </w:p>
          <w:p w:rsidR="1BDB1543" w:rsidP="1BDB1543" w:rsidRDefault="1BDB1543" w14:paraId="708CCE92" w14:textId="1E5544FF">
            <w:pPr>
              <w:spacing w:line="360" w:lineRule="auto"/>
              <w:ind w:left="720"/>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 xml:space="preserve"> </w:t>
            </w:r>
          </w:p>
        </w:tc>
        <w:tc>
          <w:tcPr>
            <w:tcW w:w="4500" w:type="dxa"/>
            <w:tcBorders>
              <w:top w:val="single" w:sz="6"/>
              <w:left w:val="single" w:sz="6"/>
              <w:bottom w:val="single" w:sz="6"/>
              <w:right w:val="single" w:sz="6"/>
            </w:tcBorders>
            <w:tcMar>
              <w:left w:w="105" w:type="dxa"/>
              <w:right w:w="105" w:type="dxa"/>
            </w:tcMar>
            <w:vAlign w:val="top"/>
          </w:tcPr>
          <w:p w:rsidR="1BDB1543" w:rsidP="1BDB1543" w:rsidRDefault="1BDB1543" w14:paraId="1BD97C6D" w14:textId="6AA0A7C6">
            <w:pPr>
              <w:spacing w:line="360" w:lineRule="auto"/>
              <w:rPr>
                <w:rFonts w:ascii="Aptos" w:hAnsi="Aptos" w:eastAsia="Aptos" w:cs="Aptos"/>
                <w:b w:val="0"/>
                <w:bCs w:val="0"/>
                <w:i w:val="0"/>
                <w:iCs w:val="0"/>
                <w:sz w:val="18"/>
                <w:szCs w:val="18"/>
              </w:rPr>
            </w:pPr>
            <w:r w:rsidRPr="1BDB1543" w:rsidR="1BDB1543">
              <w:rPr>
                <w:rFonts w:ascii="Aptos" w:hAnsi="Aptos" w:eastAsia="Aptos" w:cs="Aptos"/>
                <w:b w:val="0"/>
                <w:bCs w:val="0"/>
                <w:i w:val="0"/>
                <w:iCs w:val="0"/>
                <w:sz w:val="18"/>
                <w:szCs w:val="18"/>
                <w:lang w:val="en-GB"/>
              </w:rPr>
              <w:t>In this assignment I used the Harvard referencing guide provided by UWTSD.</w:t>
            </w:r>
          </w:p>
        </w:tc>
      </w:tr>
    </w:tbl>
    <w:p xmlns:wp14="http://schemas.microsoft.com/office/word/2010/wordml" w:rsidP="1BDB1543" wp14:paraId="5E5787A5" wp14:textId="3B257F52">
      <w:pPr>
        <w:spacing w:line="360" w:lineRule="auto"/>
      </w:pPr>
    </w:p>
    <w:p w:rsidR="1BDB1543" w:rsidP="1BDB1543" w:rsidRDefault="1BDB1543" w14:paraId="5438D050" w14:textId="5BAF3840">
      <w:pPr>
        <w:spacing w:line="360" w:lineRule="auto"/>
      </w:pPr>
    </w:p>
    <w:p w:rsidR="5C1D9837" w:rsidP="1BDB1543" w:rsidRDefault="5C1D9837" w14:paraId="62B0A099" w14:textId="2DD5CFE9">
      <w:pPr>
        <w:spacing w:line="360" w:lineRule="auto"/>
        <w:rPr>
          <w:b w:val="1"/>
          <w:bCs w:val="1"/>
        </w:rPr>
      </w:pPr>
      <w:r w:rsidRPr="1BDB1543" w:rsidR="5C1D9837">
        <w:rPr>
          <w:b w:val="1"/>
          <w:bCs w:val="1"/>
        </w:rPr>
        <w:t>‘</w:t>
      </w:r>
      <w:r w:rsidRPr="1BDB1543" w:rsidR="4400D07B">
        <w:rPr>
          <w:rFonts w:ascii="Aptos" w:hAnsi="Aptos" w:eastAsia="Aptos" w:cs="Aptos"/>
          <w:b w:val="1"/>
          <w:bCs w:val="1"/>
          <w:noProof w:val="0"/>
          <w:sz w:val="24"/>
          <w:szCs w:val="24"/>
          <w:lang w:val="en-GB"/>
        </w:rPr>
        <w:t>Demonstrate how cross-curricular teaching and learning can influence in-depth skills and understanding. Underpin this with reference to relevant research, a detailed lesson plan and an enhanced provision material.</w:t>
      </w:r>
      <w:r w:rsidRPr="1BDB1543" w:rsidR="368E52CA">
        <w:rPr>
          <w:b w:val="1"/>
          <w:bCs w:val="1"/>
        </w:rPr>
        <w:t xml:space="preserve">’ </w:t>
      </w:r>
    </w:p>
    <w:p w:rsidR="48776FAB" w:rsidP="1BDB1543" w:rsidRDefault="48776FAB" w14:paraId="28C4E5DB" w14:textId="1E2125DC">
      <w:pPr>
        <w:spacing w:line="360" w:lineRule="auto"/>
        <w:rPr>
          <w:i w:val="1"/>
          <w:iCs w:val="1"/>
        </w:rPr>
      </w:pPr>
      <w:r w:rsidRPr="1BDB1543" w:rsidR="48776FAB">
        <w:rPr>
          <w:i w:val="1"/>
          <w:iCs w:val="1"/>
        </w:rPr>
        <w:t>What is cross-curricular teaching and what are the opportunities and drawbacks that come with educational approach:</w:t>
      </w:r>
    </w:p>
    <w:p w:rsidR="3F2C762A" w:rsidP="1BDB1543" w:rsidRDefault="3F2C762A" w14:paraId="7D1794F2" w14:textId="68FB7656">
      <w:pPr>
        <w:pStyle w:val="Normal"/>
        <w:suppressLineNumbers w:val="0"/>
        <w:bidi w:val="0"/>
        <w:spacing w:before="0" w:beforeAutospacing="off" w:after="160" w:afterAutospacing="off" w:line="360" w:lineRule="auto"/>
        <w:ind w:left="0" w:right="0"/>
        <w:jc w:val="left"/>
      </w:pPr>
      <w:r w:rsidR="3F2C762A">
        <w:rPr/>
        <w:t xml:space="preserve">The cross curricular teaching and learning </w:t>
      </w:r>
      <w:r w:rsidR="798014A1">
        <w:rPr/>
        <w:t>experience</w:t>
      </w:r>
      <w:r w:rsidR="3F2C762A">
        <w:rPr/>
        <w:t xml:space="preserve"> enables learners to integrate content from all areas and subjects of provision into a co</w:t>
      </w:r>
      <w:r w:rsidR="4C6CDBC7">
        <w:rPr/>
        <w:t xml:space="preserve">herent balanced system which will test their knowledge in all areas simultaneously. </w:t>
      </w:r>
      <w:r w:rsidR="5BE48A7A">
        <w:rPr/>
        <w:t>This educational approach allows students to create bridges between the subjects</w:t>
      </w:r>
      <w:r w:rsidR="30C19900">
        <w:rPr/>
        <w:t xml:space="preserve">. This approach to </w:t>
      </w:r>
      <w:r w:rsidR="04EF2CC9">
        <w:rPr/>
        <w:t>teaching</w:t>
      </w:r>
      <w:r w:rsidR="30C19900">
        <w:rPr/>
        <w:t xml:space="preserve"> may be perceived as highly beneficial for prac</w:t>
      </w:r>
      <w:r w:rsidR="2B65B901">
        <w:rPr/>
        <w:t>ti</w:t>
      </w:r>
      <w:r w:rsidR="30C19900">
        <w:rPr/>
        <w:t>tioners</w:t>
      </w:r>
      <w:r w:rsidR="30C19900">
        <w:rPr/>
        <w:t xml:space="preserve"> as it is </w:t>
      </w:r>
      <w:r w:rsidR="30047B33">
        <w:rPr/>
        <w:t>challenging</w:t>
      </w:r>
      <w:r w:rsidR="30C19900">
        <w:rPr/>
        <w:t xml:space="preserve"> students in a variety of aspects </w:t>
      </w:r>
      <w:r w:rsidR="1D1CB440">
        <w:rPr/>
        <w:t xml:space="preserve">in contrast to focusing on one subject at a time which may limit tasks and resources that can be used to allow learners to progress. </w:t>
      </w:r>
      <w:r w:rsidR="3A27905C">
        <w:rPr/>
        <w:t>(Barnes, 2015)</w:t>
      </w:r>
    </w:p>
    <w:p w:rsidR="6A069072" w:rsidP="1BDB1543" w:rsidRDefault="6A069072" w14:paraId="4CEC9C80" w14:textId="0DDA7F3C">
      <w:pPr>
        <w:pStyle w:val="Normal"/>
        <w:suppressLineNumbers w:val="0"/>
        <w:bidi w:val="0"/>
        <w:spacing w:before="0" w:beforeAutospacing="off" w:after="160" w:afterAutospacing="off" w:line="360" w:lineRule="auto"/>
        <w:ind w:left="0" w:right="0"/>
        <w:jc w:val="left"/>
      </w:pPr>
      <w:r w:rsidR="6A069072">
        <w:rPr/>
        <w:t xml:space="preserve">The cross-curricular framework is highlighted and provided under the provision of the Welsh Government and states that </w:t>
      </w:r>
      <w:r w:rsidR="18100942">
        <w:rPr/>
        <w:t xml:space="preserve">literacy, </w:t>
      </w:r>
      <w:r w:rsidR="18100942">
        <w:rPr/>
        <w:t>numeracy</w:t>
      </w:r>
      <w:r w:rsidR="18100942">
        <w:rPr/>
        <w:t xml:space="preserve"> and digital competence are imperative cross-curricular </w:t>
      </w:r>
      <w:r w:rsidR="63E327E4">
        <w:rPr/>
        <w:t>adroitness'</w:t>
      </w:r>
      <w:r w:rsidR="63E327E4">
        <w:rPr/>
        <w:t>s</w:t>
      </w:r>
      <w:r w:rsidR="34F45B39">
        <w:rPr/>
        <w:t xml:space="preserve"> </w:t>
      </w:r>
      <w:r w:rsidR="347EC020">
        <w:rPr/>
        <w:t xml:space="preserve">which should be provided by practitioners </w:t>
      </w:r>
      <w:r w:rsidR="18100942">
        <w:rPr/>
        <w:t>within</w:t>
      </w:r>
      <w:r w:rsidR="7486088B">
        <w:rPr/>
        <w:t xml:space="preserve"> the</w:t>
      </w:r>
      <w:r w:rsidR="18100942">
        <w:rPr/>
        <w:t xml:space="preserve"> </w:t>
      </w:r>
      <w:r w:rsidR="5F2F62B4">
        <w:rPr/>
        <w:t>cu</w:t>
      </w:r>
      <w:r w:rsidR="18100942">
        <w:rPr/>
        <w:t>rriculum for Wales.</w:t>
      </w:r>
      <w:r w:rsidR="1ADBE559">
        <w:rPr/>
        <w:t xml:space="preserve"> (Welsh Government</w:t>
      </w:r>
      <w:r w:rsidR="31779F28">
        <w:rPr/>
        <w:t>, 2022</w:t>
      </w:r>
      <w:r w:rsidR="7F4FB52D">
        <w:rPr/>
        <w:t xml:space="preserve">) It is the responsibility of </w:t>
      </w:r>
      <w:r w:rsidR="35AE82C7">
        <w:rPr/>
        <w:t>teachers and learning mentors to develop students' progression within all subjects but to also develop cross curricular skills. The Welsh Government</w:t>
      </w:r>
      <w:r w:rsidR="13AD8884">
        <w:rPr/>
        <w:t xml:space="preserve"> have provided the digital </w:t>
      </w:r>
      <w:r w:rsidR="5C832BDA">
        <w:rPr/>
        <w:t>competency</w:t>
      </w:r>
      <w:r w:rsidR="13AD8884">
        <w:rPr/>
        <w:t xml:space="preserve"> framework (DCF), and the literacy and numeracy framework (LNF) to provide gui</w:t>
      </w:r>
      <w:r w:rsidR="512134E1">
        <w:rPr/>
        <w:t xml:space="preserve">dance to practitioners on </w:t>
      </w:r>
      <w:r w:rsidR="1C1C45C3">
        <w:rPr/>
        <w:t>how</w:t>
      </w:r>
      <w:r w:rsidR="512134E1">
        <w:rPr/>
        <w:t xml:space="preserve"> to </w:t>
      </w:r>
      <w:r w:rsidR="31D439F4">
        <w:rPr/>
        <w:t>incorporate</w:t>
      </w:r>
      <w:r w:rsidR="512134E1">
        <w:rPr/>
        <w:t xml:space="preserve"> cross curricular educating within their lessons and resources in which they provide the students. </w:t>
      </w:r>
      <w:r w:rsidR="23FCC6A4">
        <w:rPr/>
        <w:t>(Welsh Government, “Literacy and Numeracy Framework - Hwb</w:t>
      </w:r>
      <w:r w:rsidR="23FCC6A4">
        <w:rPr/>
        <w:t>”</w:t>
      </w:r>
      <w:r w:rsidR="23FCC6A4">
        <w:rPr/>
        <w:t>,</w:t>
      </w:r>
      <w:r w:rsidR="23FCC6A4">
        <w:rPr/>
        <w:t xml:space="preserve"> </w:t>
      </w:r>
      <w:r w:rsidR="23FCC6A4">
        <w:rPr/>
        <w:t>2022)</w:t>
      </w:r>
      <w:r w:rsidR="0B1E979E">
        <w:rPr/>
        <w:t xml:space="preserve"> </w:t>
      </w:r>
    </w:p>
    <w:p w:rsidR="568B3280" w:rsidP="1BDB1543" w:rsidRDefault="568B3280" w14:paraId="479A1F7E" w14:textId="46538151">
      <w:pPr>
        <w:pStyle w:val="Normal"/>
        <w:suppressLineNumbers w:val="0"/>
        <w:bidi w:val="0"/>
        <w:spacing w:before="0" w:beforeAutospacing="off" w:after="160" w:afterAutospacing="off" w:line="360" w:lineRule="auto"/>
        <w:ind w:left="0" w:right="0"/>
        <w:jc w:val="left"/>
      </w:pPr>
      <w:r w:rsidR="568B3280">
        <w:rPr/>
        <w:t>The ‘Digital competency framework</w:t>
      </w:r>
      <w:r w:rsidR="568B3280">
        <w:rPr/>
        <w:t>’,</w:t>
      </w:r>
      <w:r w:rsidR="568B3280">
        <w:rPr/>
        <w:t xml:space="preserve"> also abbreviated to the DCF </w:t>
      </w:r>
      <w:r w:rsidR="283B61F7">
        <w:rPr/>
        <w:t xml:space="preserve">is a framework set out by the Welsh Government to improve the quality of the digital technology lessons provided to young people in Wales in an ever changing and heavily </w:t>
      </w:r>
      <w:r w:rsidR="2CA91290">
        <w:rPr/>
        <w:t>technologically influenced world. In the UK, 64% of schools use technology in their everyday teaching and learning</w:t>
      </w:r>
      <w:r w:rsidR="464598A7">
        <w:rPr/>
        <w:t xml:space="preserve"> (JISC, n.d.) therefore, it is integral to the curriculum and must hold achievable purposes and progression steps. The DC</w:t>
      </w:r>
      <w:r w:rsidR="7A47AC0D">
        <w:rPr/>
        <w:t>F holds a real-world relevance, there is a heavy focus on ensuring the safety of students while engaging w</w:t>
      </w:r>
      <w:r w:rsidR="66A39635">
        <w:rPr/>
        <w:t>ith the digital world. Progression step 1states ‘I can identify between someone I know and someone I have never met.’ This reinforces the statement which concludes:</w:t>
      </w:r>
      <w:r w:rsidR="17BD6084">
        <w:rPr/>
        <w:t xml:space="preserve"> </w:t>
      </w:r>
      <w:r w:rsidR="7A47AC0D">
        <w:rPr/>
        <w:t xml:space="preserve">‘...engage with the digital world safely’ (Welsh Government, DCF 2018.)  </w:t>
      </w:r>
    </w:p>
    <w:p w:rsidR="3D7D90A9" w:rsidP="1BDB1543" w:rsidRDefault="3D7D90A9" w14:paraId="6A1ED564" w14:textId="176F37E2">
      <w:pPr>
        <w:pStyle w:val="Normal"/>
        <w:suppressLineNumbers w:val="0"/>
        <w:bidi w:val="0"/>
        <w:spacing w:before="0" w:beforeAutospacing="off" w:after="160" w:afterAutospacing="off" w:line="360" w:lineRule="auto"/>
        <w:ind w:left="0" w:right="0"/>
        <w:jc w:val="left"/>
      </w:pPr>
      <w:r w:rsidR="3D7D90A9">
        <w:rPr/>
        <w:t xml:space="preserve">The literacy and numeracy framework </w:t>
      </w:r>
      <w:bookmarkStart w:name="_Int_guaTUC60" w:id="1647163604"/>
      <w:r w:rsidR="3D7D90A9">
        <w:rPr/>
        <w:t>was</w:t>
      </w:r>
      <w:bookmarkEnd w:id="1647163604"/>
      <w:r w:rsidR="3D7D90A9">
        <w:rPr/>
        <w:t xml:space="preserve"> developed by the Welsh Government </w:t>
      </w:r>
      <w:r w:rsidR="5AF247EB">
        <w:rPr/>
        <w:t>to aid</w:t>
      </w:r>
      <w:r w:rsidR="3D7D90A9">
        <w:rPr/>
        <w:t xml:space="preserve"> teachers in </w:t>
      </w:r>
      <w:r w:rsidR="59B9CAAE">
        <w:rPr/>
        <w:t>identifying</w:t>
      </w:r>
      <w:r w:rsidR="59B9CAAE">
        <w:rPr/>
        <w:t xml:space="preserve"> diverse teaching and learning opportunities in which literacy and numeracy can be applied to</w:t>
      </w:r>
      <w:r w:rsidR="1B45F07D">
        <w:rPr/>
        <w:t xml:space="preserve"> over every subject within the curriculum, whether they be core subjects or further learning experiences</w:t>
      </w:r>
      <w:r w:rsidR="59B9CAAE">
        <w:rPr/>
        <w:t>.</w:t>
      </w:r>
      <w:r w:rsidR="3D7D90A9">
        <w:rPr/>
        <w:t xml:space="preserve"> </w:t>
      </w:r>
      <w:r w:rsidR="73AE8BF2">
        <w:rPr/>
        <w:t>The LNF helps ensure that literacy and numeracy skills are integrated across the curriculum. (Welsh Government, 2013)</w:t>
      </w:r>
    </w:p>
    <w:p w:rsidR="357528AE" w:rsidP="1BDB1543" w:rsidRDefault="357528AE" w14:paraId="668E7A56" w14:textId="6D503A75">
      <w:pPr>
        <w:pStyle w:val="Normal"/>
        <w:suppressLineNumbers w:val="0"/>
        <w:bidi w:val="0"/>
        <w:spacing w:before="0" w:beforeAutospacing="off" w:after="160" w:afterAutospacing="off" w:line="360" w:lineRule="auto"/>
        <w:ind w:left="0" w:right="0"/>
        <w:jc w:val="left"/>
      </w:pPr>
      <w:r w:rsidR="357528AE">
        <w:rPr/>
        <w:t xml:space="preserve">The cross-curricular framework for teaching provides many benefits for the students and teachers alike. One key benefit to cross-curricular teaching and learning </w:t>
      </w:r>
      <w:r w:rsidR="0558A863">
        <w:rPr/>
        <w:t xml:space="preserve">for the practitioner </w:t>
      </w:r>
      <w:r w:rsidR="357528AE">
        <w:rPr/>
        <w:t xml:space="preserve">is </w:t>
      </w:r>
      <w:r w:rsidR="2CDC5315">
        <w:rPr/>
        <w:t xml:space="preserve">the ability to collaborate with other </w:t>
      </w:r>
      <w:r w:rsidR="09E6830F">
        <w:rPr/>
        <w:t xml:space="preserve">educators </w:t>
      </w:r>
      <w:r w:rsidR="2CDC5315">
        <w:rPr/>
        <w:t xml:space="preserve">who have </w:t>
      </w:r>
      <w:r w:rsidR="2CDC5315">
        <w:rPr/>
        <w:t>expertise</w:t>
      </w:r>
      <w:r w:rsidR="2CDC5315">
        <w:rPr/>
        <w:t xml:space="preserve"> in </w:t>
      </w:r>
      <w:r w:rsidR="45B7DACC">
        <w:rPr/>
        <w:t>particular</w:t>
      </w:r>
      <w:r w:rsidR="2CDC5315">
        <w:rPr/>
        <w:t xml:space="preserve"> areas of learning. </w:t>
      </w:r>
      <w:r w:rsidR="6FBBFC18">
        <w:rPr/>
        <w:t xml:space="preserve">This would enable those who are leads in literacy to deeply engage with those who lead in geography, for example, creating a much more </w:t>
      </w:r>
      <w:r w:rsidR="42CF2979">
        <w:rPr/>
        <w:t>efficient</w:t>
      </w:r>
      <w:r w:rsidR="6FBBFC18">
        <w:rPr/>
        <w:t xml:space="preserve"> and co</w:t>
      </w:r>
      <w:r w:rsidR="234267A6">
        <w:rPr/>
        <w:t xml:space="preserve">ncerted </w:t>
      </w:r>
      <w:r w:rsidR="6FBBFC18">
        <w:rPr/>
        <w:t>working environment within schools.</w:t>
      </w:r>
      <w:r w:rsidR="3988FEC9">
        <w:rPr/>
        <w:t xml:space="preserve"> According to a journal report, teachers </w:t>
      </w:r>
      <w:r w:rsidR="3988FEC9">
        <w:rPr/>
        <w:t>stated</w:t>
      </w:r>
      <w:r w:rsidR="3988FEC9">
        <w:rPr/>
        <w:t xml:space="preserve"> that the nature of cross curricular learning </w:t>
      </w:r>
      <w:r w:rsidR="0E9FCCBB">
        <w:rPr/>
        <w:t>encouraged open communication and a supportive learning environment</w:t>
      </w:r>
      <w:r w:rsidR="6FBBFC18">
        <w:rPr/>
        <w:t xml:space="preserve"> </w:t>
      </w:r>
      <w:r w:rsidR="6D2CA686">
        <w:rPr/>
        <w:t xml:space="preserve">by staff. </w:t>
      </w:r>
      <w:r w:rsidR="5AAE7489">
        <w:rPr/>
        <w:t>(Holloway, 2023)</w:t>
      </w:r>
      <w:r w:rsidR="4FEBFA39">
        <w:rPr/>
        <w:t xml:space="preserve"> One drawback which may be presented is teacher bias to preference of subjects. Teachers may present </w:t>
      </w:r>
      <w:r w:rsidR="4CE54E4C">
        <w:rPr/>
        <w:t xml:space="preserve">bias to teaching as they may not feel confident enough to deliver lessons on subjects </w:t>
      </w:r>
      <w:r w:rsidR="531E4AE3">
        <w:rPr/>
        <w:t xml:space="preserve">for any reason. This may be combated by reinforcing the ideology behind the benefits and professional development which comes with cross-curricular teaching. </w:t>
      </w:r>
      <w:r w:rsidR="62F0EB6C">
        <w:rPr/>
        <w:t>Schools may create workshops for teachers to collaborate with staff with enhanced knowledge.</w:t>
      </w:r>
      <w:r w:rsidR="0B95ECCB">
        <w:rPr/>
        <w:t xml:space="preserve"> This</w:t>
      </w:r>
      <w:r w:rsidR="62F0EB6C">
        <w:rPr/>
        <w:t xml:space="preserve"> </w:t>
      </w:r>
      <w:r w:rsidR="0B95ECCB">
        <w:rPr/>
        <w:t xml:space="preserve">is reinforced by Vygotsky’s theory of more knowledgeable others (MKO’s). The use of MKO’s within adulthood, and particularly in the school setting is highly beneficial. </w:t>
      </w:r>
      <w:r w:rsidR="62F0EB6C">
        <w:rPr/>
        <w:t xml:space="preserve">This also enables teachers to reflect on their pedagogy </w:t>
      </w:r>
      <w:r w:rsidR="2AE09D6F">
        <w:rPr/>
        <w:t xml:space="preserve">and how they teach. </w:t>
      </w:r>
      <w:r w:rsidR="46E8B6FB">
        <w:rPr/>
        <w:t>(National STEM Learning Centre, n.d.)</w:t>
      </w:r>
    </w:p>
    <w:p w:rsidR="2EF7E07C" w:rsidP="1BDB1543" w:rsidRDefault="2EF7E07C" w14:paraId="1E507AAB" w14:textId="3F08C122">
      <w:pPr>
        <w:pStyle w:val="Normal"/>
        <w:suppressLineNumbers w:val="0"/>
        <w:bidi w:val="0"/>
        <w:spacing w:before="0" w:beforeAutospacing="off" w:after="160" w:afterAutospacing="off" w:line="360" w:lineRule="auto"/>
        <w:ind w:left="0" w:right="0"/>
        <w:jc w:val="left"/>
      </w:pPr>
      <w:r w:rsidR="2EF7E07C">
        <w:rPr/>
        <w:t xml:space="preserve">Holistically, children would </w:t>
      </w:r>
      <w:r w:rsidR="2EF7E07C">
        <w:rPr/>
        <w:t>benefit</w:t>
      </w:r>
      <w:r w:rsidR="2EF7E07C">
        <w:rPr/>
        <w:t xml:space="preserve"> from experiencing cross-curricular teaching as they would be enabled to perceive how all the subjects can or may connect, including in real world contexts. </w:t>
      </w:r>
      <w:r w:rsidR="30051C06">
        <w:rPr/>
        <w:t xml:space="preserve">The aspect of integrated subjects allows learning to be done in a smooth process. (Barnes, 2015b) </w:t>
      </w:r>
    </w:p>
    <w:p w:rsidR="30051C06" w:rsidP="1BDB1543" w:rsidRDefault="30051C06" w14:paraId="4A99F94D" w14:textId="7FA50668">
      <w:pPr>
        <w:pStyle w:val="Normal"/>
        <w:suppressLineNumbers w:val="0"/>
        <w:bidi w:val="0"/>
        <w:spacing w:before="0" w:beforeAutospacing="off" w:after="160" w:afterAutospacing="off" w:line="360" w:lineRule="auto"/>
        <w:ind w:left="0" w:right="0"/>
        <w:jc w:val="left"/>
      </w:pPr>
      <w:r w:rsidR="30051C06">
        <w:rPr/>
        <w:t xml:space="preserve">The engagement of the students may be </w:t>
      </w:r>
      <w:r w:rsidR="30051C06">
        <w:rPr/>
        <w:t>impacted</w:t>
      </w:r>
      <w:r w:rsidR="30051C06">
        <w:rPr/>
        <w:t xml:space="preserve"> by cross-curricular learning in a positive way as using the interests of the child motivates them to learn. This is reinforced by the child led learning approach we have in Wales with the </w:t>
      </w:r>
      <w:r w:rsidR="26BAAB33">
        <w:rPr/>
        <w:t>child</w:t>
      </w:r>
      <w:r w:rsidR="30051C06">
        <w:rPr/>
        <w:t xml:space="preserve"> as the </w:t>
      </w:r>
      <w:r w:rsidR="08F6A047">
        <w:rPr/>
        <w:t xml:space="preserve">centre of education. </w:t>
      </w:r>
      <w:r w:rsidR="29FCDBB1">
        <w:rPr/>
        <w:t>If a child enjoys football, linking physical education with mathematics may allow them to enjoy the subject more. In contrast to this, some children may potentially loose interest if they are not enjoying the su</w:t>
      </w:r>
      <w:r w:rsidR="7A0F7463">
        <w:rPr/>
        <w:t>bject in which is introduced. (Rowley and Cooper, 2009, p.2)</w:t>
      </w:r>
    </w:p>
    <w:p w:rsidR="70A3E6FC" w:rsidP="1BDB1543" w:rsidRDefault="70A3E6FC" w14:paraId="39217CD8" w14:textId="69B7E329">
      <w:pPr>
        <w:pStyle w:val="Normal"/>
        <w:suppressLineNumbers w:val="0"/>
        <w:bidi w:val="0"/>
        <w:spacing w:before="0" w:beforeAutospacing="off" w:after="160" w:afterAutospacing="off" w:line="360" w:lineRule="auto"/>
        <w:ind w:left="0" w:right="0"/>
        <w:jc w:val="left"/>
      </w:pPr>
      <w:r w:rsidR="70A3E6FC">
        <w:rPr/>
        <w:t>All types of learners are enabled to work effectively and develop their skills while working on a cross-curricular educational approach. Knowledge gets tested as critical thinking s</w:t>
      </w:r>
      <w:r w:rsidR="2D948FAA">
        <w:rPr/>
        <w:t xml:space="preserve">kills, problem solving and effective use of literacy are all worked together. This will challenge students beyond what they believe they excel in. If a student has a particular negative bias towards a subject, they will find </w:t>
      </w:r>
      <w:r w:rsidR="1FF0B524">
        <w:rPr/>
        <w:t xml:space="preserve">it harder motivationally to engage with it, therefore, the use of cross-curricular teaching is a great way to allow them to </w:t>
      </w:r>
      <w:r w:rsidR="4D003A0E">
        <w:rPr/>
        <w:t>be creative and utilise their previous skills in addition to enabling them to work on their personal targets.</w:t>
      </w:r>
      <w:r w:rsidR="333A2F8E">
        <w:rPr/>
        <w:t xml:space="preserve"> (Cotton, 1995)</w:t>
      </w:r>
    </w:p>
    <w:p w:rsidR="630F9244" w:rsidP="1BDB1543" w:rsidRDefault="630F9244" w14:paraId="391E0946" w14:textId="560A1B8D">
      <w:pPr>
        <w:pStyle w:val="Normal"/>
        <w:suppressLineNumbers w:val="0"/>
        <w:bidi w:val="0"/>
        <w:spacing w:before="0" w:beforeAutospacing="off" w:after="160" w:afterAutospacing="off" w:line="360" w:lineRule="auto"/>
        <w:ind w:left="0" w:right="0"/>
        <w:jc w:val="left"/>
      </w:pPr>
      <w:r w:rsidR="630F9244">
        <w:rPr/>
        <w:t>In Wales, foundation phase learners are expected to learn through play, and the m</w:t>
      </w:r>
      <w:r w:rsidR="0BC639F4">
        <w:rPr/>
        <w:t>o</w:t>
      </w:r>
      <w:r w:rsidR="630F9244">
        <w:rPr/>
        <w:t>st beneficial way to do this is to create games.</w:t>
      </w:r>
      <w:r w:rsidR="2091E1BA">
        <w:rPr/>
        <w:t xml:space="preserve"> Based on the SKIP training I took part in at University, I understand that </w:t>
      </w:r>
      <w:r w:rsidR="3D606BE3">
        <w:rPr/>
        <w:t xml:space="preserve">cross curricular integration can be done </w:t>
      </w:r>
      <w:r w:rsidR="3DD2FBA9">
        <w:rPr/>
        <w:t>using</w:t>
      </w:r>
      <w:r w:rsidR="3D606BE3">
        <w:rPr/>
        <w:t xml:space="preserve"> physical education. </w:t>
      </w:r>
      <w:r w:rsidR="080E71B3">
        <w:rPr/>
        <w:t>John et al. (2024)</w:t>
      </w:r>
      <w:r w:rsidR="57CBA5B4">
        <w:rPr/>
        <w:t xml:space="preserve"> Physical activity is extremely beneficial for young children as it encompasses most of the 5 senses and is virtually perceived as play. </w:t>
      </w:r>
      <w:r w:rsidR="22756E2A">
        <w:rPr/>
        <w:t>(Youtu.be, 2024</w:t>
      </w:r>
      <w:r w:rsidR="7E903668">
        <w:rPr/>
        <w:t xml:space="preserve">) Children can expect an enhanced learning experience while physical education is cross curricular. They may focus on the body’s reaction to physical education (cross curricular subjects science and physical education.) Or </w:t>
      </w:r>
      <w:r w:rsidR="698FC3EA">
        <w:rPr/>
        <w:t xml:space="preserve">using keywords such as taller, smaller, bigger, shorter </w:t>
      </w:r>
      <w:r w:rsidR="33BC7AA4">
        <w:rPr/>
        <w:t>incorporates</w:t>
      </w:r>
      <w:r w:rsidR="698FC3EA">
        <w:rPr/>
        <w:t xml:space="preserve"> mathematics with physical education. </w:t>
      </w:r>
      <w:r w:rsidR="6E27BB77">
        <w:rPr/>
        <w:t>(Durden-Myers, 2023)</w:t>
      </w:r>
    </w:p>
    <w:p w:rsidR="0B3BF594" w:rsidP="1BDB1543" w:rsidRDefault="0B3BF594" w14:paraId="64C4DD60" w14:textId="018B355E">
      <w:pPr>
        <w:spacing w:line="360" w:lineRule="auto"/>
      </w:pPr>
      <w:r w:rsidR="0B3BF594">
        <w:rPr/>
        <w:t xml:space="preserve">Teachers may face many challenges while </w:t>
      </w:r>
      <w:r w:rsidR="0B3BF594">
        <w:rPr/>
        <w:t>attempting</w:t>
      </w:r>
      <w:r w:rsidR="0B3BF594">
        <w:rPr/>
        <w:t xml:space="preserve"> to integrate cross curricular teaching into their pedagogy. One </w:t>
      </w:r>
      <w:r w:rsidR="0B3BF594">
        <w:rPr/>
        <w:t>evident</w:t>
      </w:r>
      <w:r w:rsidR="0B3BF594">
        <w:rPr/>
        <w:t xml:space="preserve"> challenge faced by </w:t>
      </w:r>
      <w:r w:rsidR="4830DFEE">
        <w:rPr/>
        <w:t>many schools in Wales is issues with school budgets and the detrimental and direct impact that it has on resources.</w:t>
      </w:r>
      <w:r w:rsidR="64EF6499">
        <w:rPr/>
        <w:t xml:space="preserve"> </w:t>
      </w:r>
      <w:r w:rsidR="38394473">
        <w:rPr/>
        <w:t xml:space="preserve">The budget that teachers are given is not proportionate to the number of resources that are </w:t>
      </w:r>
      <w:r w:rsidR="38394473">
        <w:rPr/>
        <w:t>required</w:t>
      </w:r>
      <w:r w:rsidR="38394473">
        <w:rPr/>
        <w:t xml:space="preserve"> for cross curricular activities. </w:t>
      </w:r>
      <w:r w:rsidR="7A08AA44">
        <w:rPr/>
        <w:t xml:space="preserve">Furthermore, the quality of cross-curricular learning may differ from school to school based on budget per pupil. The school I engage with for my PTE has a budget per pupil </w:t>
      </w:r>
      <w:r w:rsidR="0AEB5C2C">
        <w:rPr/>
        <w:t>of £4447. &lt;REDACTED&gt;</w:t>
      </w:r>
      <w:r w:rsidR="2276EAF2">
        <w:rPr/>
        <w:t xml:space="preserve"> Park</w:t>
      </w:r>
      <w:r w:rsidR="0AEB5C2C">
        <w:rPr/>
        <w:t xml:space="preserve"> Primary school is within the Merthyr Tydfil County </w:t>
      </w:r>
      <w:r w:rsidR="200363BD">
        <w:rPr/>
        <w:t>borough;</w:t>
      </w:r>
      <w:r w:rsidR="0AEB5C2C">
        <w:rPr/>
        <w:t xml:space="preserve"> this amount is extremely </w:t>
      </w:r>
      <w:r w:rsidR="50481FC1">
        <w:rPr/>
        <w:t xml:space="preserve">low </w:t>
      </w:r>
      <w:r w:rsidR="0AEB5C2C">
        <w:rPr/>
        <w:t>in comparison with &lt;REDACTE</w:t>
      </w:r>
      <w:r w:rsidR="0CD07FF1">
        <w:rPr/>
        <w:t xml:space="preserve">D&gt; </w:t>
      </w:r>
      <w:r w:rsidR="5076FD8E">
        <w:rPr/>
        <w:t xml:space="preserve">Primary school’s budget per child of </w:t>
      </w:r>
      <w:r w:rsidR="3BE1D000">
        <w:rPr/>
        <w:t xml:space="preserve">£6522. </w:t>
      </w:r>
      <w:r w:rsidR="1783BF39">
        <w:rPr/>
        <w:t xml:space="preserve">These schools may be within the same provision but have extremely different budgets. The question </w:t>
      </w:r>
      <w:r w:rsidR="38BE470E">
        <w:rPr/>
        <w:t>arises</w:t>
      </w:r>
      <w:r w:rsidR="1783BF39">
        <w:rPr/>
        <w:t xml:space="preserve"> of the morality behind putting </w:t>
      </w:r>
      <w:r w:rsidR="03E6E36E">
        <w:rPr/>
        <w:t>pressure</w:t>
      </w:r>
      <w:r w:rsidR="1783BF39">
        <w:rPr/>
        <w:t xml:space="preserve"> onto </w:t>
      </w:r>
      <w:r w:rsidR="77F4C33A">
        <w:rPr/>
        <w:t xml:space="preserve">practitioners </w:t>
      </w:r>
      <w:r w:rsidR="6926BC3A">
        <w:rPr/>
        <w:t>t</w:t>
      </w:r>
      <w:r w:rsidR="023F5CCC">
        <w:rPr/>
        <w:t>o</w:t>
      </w:r>
      <w:r w:rsidR="6926BC3A">
        <w:rPr/>
        <w:t xml:space="preserve"> create cross-curricular resources when they have little to no financial aid. </w:t>
      </w:r>
      <w:r w:rsidR="1783BF39">
        <w:rPr/>
        <w:t>Budgets within schools is an ongoing issue in Wales.</w:t>
      </w:r>
      <w:r w:rsidR="27C7CC1C">
        <w:rPr/>
        <w:t xml:space="preserve"> (</w:t>
      </w:r>
      <w:r w:rsidR="27C7CC1C">
        <w:rPr/>
        <w:t>Gov.wales</w:t>
      </w:r>
      <w:r w:rsidR="27C7CC1C">
        <w:rPr/>
        <w:t xml:space="preserve">, 2022) </w:t>
      </w:r>
      <w:r w:rsidR="44033EB0">
        <w:rPr/>
        <w:t xml:space="preserve">The budget may differ from school to school due to factors such as geographical location, the number of pupils enrolled, and the </w:t>
      </w:r>
      <w:r w:rsidR="40A9E0BB">
        <w:rPr/>
        <w:t>number</w:t>
      </w:r>
      <w:r w:rsidR="44033EB0">
        <w:rPr/>
        <w:t xml:space="preserve"> of children with ALN, as schools with higher percentages of ALN may </w:t>
      </w:r>
      <w:r w:rsidR="6F1FF098">
        <w:rPr/>
        <w:t>receive</w:t>
      </w:r>
      <w:r w:rsidR="44033EB0">
        <w:rPr/>
        <w:t xml:space="preserve"> more fu</w:t>
      </w:r>
      <w:r w:rsidR="7F1268F1">
        <w:rPr/>
        <w:t xml:space="preserve">nding to </w:t>
      </w:r>
      <w:r w:rsidR="5361A093">
        <w:rPr/>
        <w:t>accommodate</w:t>
      </w:r>
      <w:r w:rsidR="7F1268F1">
        <w:rPr/>
        <w:t xml:space="preserve"> the needs of these children. </w:t>
      </w:r>
    </w:p>
    <w:p w:rsidR="6FBF2FF2" w:rsidP="1BDB1543" w:rsidRDefault="6FBF2FF2" w14:paraId="497BBB4E" w14:textId="1FE5CC92">
      <w:pPr>
        <w:spacing w:line="360" w:lineRule="auto"/>
      </w:pPr>
      <w:r w:rsidR="6FBF2FF2">
        <w:rPr/>
        <w:t>One opportunity teacher is faced with when delivering cross curricular learning is the ability to make reasonable and alternativ</w:t>
      </w:r>
      <w:r w:rsidR="2668A02A">
        <w:rPr/>
        <w:t xml:space="preserve">e </w:t>
      </w:r>
      <w:r w:rsidR="7A64BA66">
        <w:rPr/>
        <w:t xml:space="preserve">trajectories </w:t>
      </w:r>
      <w:r w:rsidR="2668A02A">
        <w:rPr/>
        <w:t xml:space="preserve">for learners with </w:t>
      </w:r>
      <w:r w:rsidR="2668A02A">
        <w:rPr/>
        <w:t>additional</w:t>
      </w:r>
      <w:r w:rsidR="2668A02A">
        <w:rPr/>
        <w:t xml:space="preserve"> learning needs </w:t>
      </w:r>
      <w:r w:rsidR="76344510">
        <w:rPr/>
        <w:t xml:space="preserve">which will ensure they feel valued within the learning community, as there are many forms of learning while delivering cross curricular pedagogy. </w:t>
      </w:r>
      <w:r w:rsidR="66DD5E41">
        <w:rPr/>
        <w:t>Cross-curricular learning is dubbed as the best practice for ALN students. (Miteva, 2024)</w:t>
      </w:r>
    </w:p>
    <w:p w:rsidR="6C112313" w:rsidP="1BDB1543" w:rsidRDefault="6C112313" w14:paraId="6812567F" w14:textId="70F62343">
      <w:pPr>
        <w:spacing w:line="360" w:lineRule="auto"/>
      </w:pPr>
      <w:r w:rsidR="6C112313">
        <w:rPr/>
        <w:t xml:space="preserve">Another opportunity teachers are faced with is flexibility in assessing the progress of their students. The traditional route of standardised testing within schools may be </w:t>
      </w:r>
      <w:r w:rsidR="5CA377C4">
        <w:rPr/>
        <w:t>perceived</w:t>
      </w:r>
      <w:r w:rsidR="6C112313">
        <w:rPr/>
        <w:t xml:space="preserve"> as </w:t>
      </w:r>
      <w:r w:rsidR="68EC937F">
        <w:rPr/>
        <w:t>outdated.</w:t>
      </w:r>
      <w:r w:rsidR="523B0634">
        <w:rPr/>
        <w:t xml:space="preserve"> (Durham E-Theses, n.d.) therefore, the ability to view the skills that children are presenting in their work all in one task is extremely beneficial. This also aids teacher wellbeing, as</w:t>
      </w:r>
      <w:r w:rsidR="764E98F3">
        <w:rPr/>
        <w:t xml:space="preserve"> Times Education Commission founded that 70% of teachers believe that there is too much emphasis on marking, removing the traditional assessment per subject will </w:t>
      </w:r>
      <w:r w:rsidR="6CBA3513">
        <w:rPr/>
        <w:t>alleviate</w:t>
      </w:r>
      <w:r w:rsidR="764E98F3">
        <w:rPr/>
        <w:t xml:space="preserve"> this issue. </w:t>
      </w:r>
      <w:r w:rsidR="41690D71">
        <w:rPr/>
        <w:t>(Woolcock, Sylvester and Watts, 2021)</w:t>
      </w:r>
    </w:p>
    <w:p w:rsidR="18D9B4BC" w:rsidP="1BDB1543" w:rsidRDefault="18D9B4BC" w14:paraId="64461BAE" w14:textId="6BEE414A">
      <w:pPr>
        <w:spacing w:line="360" w:lineRule="auto"/>
      </w:pPr>
      <w:r w:rsidR="18D9B4BC">
        <w:rPr/>
        <w:t>Another challenge faced by teachers may be issues with not focussing enough or focussing too much on subjects due to the collaborative nature of cross-curricular activities.</w:t>
      </w:r>
      <w:r w:rsidR="46DC05C5">
        <w:rPr/>
        <w:t xml:space="preserve"> Teachers may find it difficult to incorporate some subjects into the learning experience which would negatively </w:t>
      </w:r>
      <w:r w:rsidR="46DC05C5">
        <w:rPr/>
        <w:t>impact</w:t>
      </w:r>
      <w:r w:rsidR="46DC05C5">
        <w:rPr/>
        <w:t xml:space="preserve"> the student's progression. </w:t>
      </w:r>
      <w:r w:rsidR="1CE9D825">
        <w:rPr/>
        <w:t>(Holistic Pedagogical Approaches, n.d.)</w:t>
      </w:r>
    </w:p>
    <w:p w:rsidR="377A82AA" w:rsidP="1BDB1543" w:rsidRDefault="377A82AA" w14:paraId="78618382" w14:textId="690650D9">
      <w:pPr>
        <w:spacing w:line="360" w:lineRule="auto"/>
        <w:rPr>
          <w:i w:val="1"/>
          <w:iCs w:val="1"/>
        </w:rPr>
      </w:pPr>
      <w:r w:rsidRPr="1BDB1543" w:rsidR="377A82AA">
        <w:rPr>
          <w:i w:val="1"/>
          <w:iCs w:val="1"/>
        </w:rPr>
        <w:t>How I included cross-curricular ideas in my resource and my personal targets for my PTE:</w:t>
      </w:r>
    </w:p>
    <w:p w:rsidR="3C19CA46" w:rsidP="1BDB1543" w:rsidRDefault="3C19CA46" w14:paraId="5186FC32" w14:textId="61AE6072">
      <w:pPr>
        <w:spacing w:before="0" w:beforeAutospacing="off" w:after="160" w:afterAutospacing="off" w:line="360" w:lineRule="auto"/>
        <w:ind w:left="0" w:right="0"/>
        <w:jc w:val="left"/>
      </w:pPr>
      <w:r w:rsidR="3C19CA46">
        <w:rPr/>
        <w:t xml:space="preserve">In my professional teaching experience, I would like to focus on implementing cross-curricular learning into most of my teaching as </w:t>
      </w:r>
      <w:r w:rsidR="3C19CA46">
        <w:rPr/>
        <w:t xml:space="preserve">I believe </w:t>
      </w:r>
      <w:r w:rsidR="6FE4FF7C">
        <w:rPr/>
        <w:t>that</w:t>
      </w:r>
      <w:r w:rsidR="3C19CA46">
        <w:rPr/>
        <w:t xml:space="preserve"> the positives</w:t>
      </w:r>
      <w:r w:rsidR="3C19CA46">
        <w:rPr/>
        <w:t xml:space="preserve"> outweigh the </w:t>
      </w:r>
      <w:r w:rsidR="0949D31C">
        <w:rPr/>
        <w:t xml:space="preserve">negatives </w:t>
      </w:r>
      <w:r w:rsidR="5E64143C">
        <w:rPr/>
        <w:t xml:space="preserve">and believe that students deserve a diverse, </w:t>
      </w:r>
      <w:r w:rsidR="5E64143C">
        <w:rPr/>
        <w:t>interesting</w:t>
      </w:r>
      <w:r w:rsidR="5E64143C">
        <w:rPr/>
        <w:t xml:space="preserve"> and informative learning experience.</w:t>
      </w:r>
      <w:r w:rsidR="4BEBF9C6">
        <w:rPr/>
        <w:t xml:space="preserve"> I believe that cross-curricular learning and teaching will not only challenge students but also challenge myself to become more aware of all areas of learning including the areas in which </w:t>
      </w:r>
      <w:r w:rsidR="3897D34C">
        <w:rPr/>
        <w:t>I'm</w:t>
      </w:r>
      <w:r w:rsidR="4BEBF9C6">
        <w:rPr/>
        <w:t xml:space="preserve"> not </w:t>
      </w:r>
      <w:r w:rsidR="4BEBF9C6">
        <w:rPr/>
        <w:t>very confident</w:t>
      </w:r>
      <w:r w:rsidR="4BEBF9C6">
        <w:rPr/>
        <w:t xml:space="preserve">. </w:t>
      </w:r>
      <w:r w:rsidR="4C82A340">
        <w:rPr/>
        <w:t xml:space="preserve">I would like to give myself </w:t>
      </w:r>
      <w:r w:rsidR="05356A08">
        <w:rPr/>
        <w:t>achievable</w:t>
      </w:r>
      <w:r w:rsidR="4C82A340">
        <w:rPr/>
        <w:t xml:space="preserve"> targets for my future lessons and lesson plans. </w:t>
      </w:r>
      <w:r w:rsidR="7CC45F23">
        <w:rPr/>
        <w:t>Many children and young people present negative attitudes towards mathematics. In one survey conducted by ‘The Paper</w:t>
      </w:r>
      <w:r w:rsidR="7CC45F23">
        <w:rPr/>
        <w:t>’,</w:t>
      </w:r>
      <w:r w:rsidR="7CC45F23">
        <w:rPr/>
        <w:t xml:space="preserve"> 20% of students said they were anxious about math. (Wood, 2023) Cross-curricular teaching may </w:t>
      </w:r>
      <w:r w:rsidR="7CC45F23">
        <w:rPr/>
        <w:t>benefit</w:t>
      </w:r>
      <w:r w:rsidR="7CC45F23">
        <w:rPr/>
        <w:t xml:space="preserve"> mathematics by linking challenges to real-world situations. This may make mathematics more relatable and less daunting to children. (First Tutors, n.d.) For example, I integrated mathematics into my resource (attached in appendix 2) by linking a mathematics task to the popular children's book ‘Charlie and the chocolate factory’ by Roald Dahl. Initially, I used a letter from the character as a hook. This </w:t>
      </w:r>
      <w:r w:rsidR="7CC45F23">
        <w:rPr/>
        <w:t>requested</w:t>
      </w:r>
      <w:r w:rsidR="7CC45F23">
        <w:rPr/>
        <w:t xml:space="preserve"> that the children create a new chocolate bar. The mathematical aspect was </w:t>
      </w:r>
      <w:r w:rsidR="7CC45F23">
        <w:rPr/>
        <w:t>identifying</w:t>
      </w:r>
      <w:r w:rsidR="7CC45F23">
        <w:rPr/>
        <w:t xml:space="preserve"> cost.</w:t>
      </w:r>
      <w:r w:rsidR="45A99636">
        <w:rPr/>
        <w:t xml:space="preserve"> Each flavour had a cost, and the children got to choose the flavours </w:t>
      </w:r>
      <w:r w:rsidR="45A99636">
        <w:rPr/>
        <w:t>they’d</w:t>
      </w:r>
      <w:r w:rsidR="45A99636">
        <w:rPr/>
        <w:t xml:space="preserve"> like to use.</w:t>
      </w:r>
      <w:r w:rsidR="7CC45F23">
        <w:rPr/>
        <w:t xml:space="preserve"> </w:t>
      </w:r>
      <w:r w:rsidR="7CC45F23">
        <w:rPr/>
        <w:t xml:space="preserve">This links the real-world use of mathematics as it deals with money and values. </w:t>
      </w:r>
      <w:r w:rsidR="01CE0B14">
        <w:rPr/>
        <w:t xml:space="preserve">The progression statement the mathematics </w:t>
      </w:r>
      <w:r w:rsidR="01CE0B14">
        <w:rPr/>
        <w:t>portion</w:t>
      </w:r>
      <w:r w:rsidR="01CE0B14">
        <w:rPr/>
        <w:t xml:space="preserve"> of my resource relates to is progression step 2, ‘I can notice, recognise and write numbers in a range of media, through a multisensory approach, from 0 to 10 and beyond.’ (Welsh Gov, 2022)</w:t>
      </w:r>
    </w:p>
    <w:p w:rsidR="4C82A340" w:rsidP="1BDB1543" w:rsidRDefault="4C82A340" w14:paraId="4DEFA81E" w14:textId="11A331FB">
      <w:pPr>
        <w:spacing w:before="0" w:beforeAutospacing="off" w:after="160" w:afterAutospacing="off" w:line="360" w:lineRule="auto"/>
        <w:ind w:left="0" w:right="0"/>
        <w:jc w:val="left"/>
      </w:pPr>
      <w:r w:rsidR="4C82A340">
        <w:rPr/>
        <w:t xml:space="preserve">Ideally, </w:t>
      </w:r>
      <w:r w:rsidR="4C82A340">
        <w:rPr/>
        <w:t>I'd</w:t>
      </w:r>
      <w:r w:rsidR="4C82A340">
        <w:rPr/>
        <w:t xml:space="preserve"> like to </w:t>
      </w:r>
      <w:r w:rsidR="51850EEB">
        <w:rPr/>
        <w:t>incorporate</w:t>
      </w:r>
      <w:r w:rsidR="4C82A340">
        <w:rPr/>
        <w:t xml:space="preserve"> the Welsh language into most of my lessons. I am engaging with </w:t>
      </w:r>
      <w:r w:rsidR="27D72ACD">
        <w:rPr/>
        <w:t xml:space="preserve">a nursery class for my </w:t>
      </w:r>
      <w:r w:rsidR="27D72ACD">
        <w:rPr/>
        <w:t>initial</w:t>
      </w:r>
      <w:r w:rsidR="27D72ACD">
        <w:rPr/>
        <w:t xml:space="preserve"> professional teaching experience, they are very impressionable and are at an important stage of their development for learning, particularly for literacy.</w:t>
      </w:r>
      <w:r w:rsidR="4FF722EF">
        <w:rPr/>
        <w:t xml:space="preserve"> The resource I created was intended for a year two class. Within my resource I achieved this through </w:t>
      </w:r>
      <w:r w:rsidR="69698B5B">
        <w:rPr/>
        <w:t xml:space="preserve">using a reading comprehension, and by </w:t>
      </w:r>
      <w:r w:rsidR="4FF722EF">
        <w:rPr/>
        <w:t xml:space="preserve">using keywords and asking questions referring to </w:t>
      </w:r>
      <w:r w:rsidR="51CC9750">
        <w:rPr/>
        <w:t xml:space="preserve">the keywords provided. </w:t>
      </w:r>
      <w:r w:rsidR="51CC9750">
        <w:rPr/>
        <w:t>I believe this</w:t>
      </w:r>
      <w:r w:rsidR="51CC9750">
        <w:rPr/>
        <w:t xml:space="preserve"> is effective and is links to the </w:t>
      </w:r>
      <w:r w:rsidR="51CC9750">
        <w:rPr/>
        <w:t>previous</w:t>
      </w:r>
      <w:r w:rsidR="51CC9750">
        <w:rPr/>
        <w:t xml:space="preserve"> mathematics task as the keywords were the </w:t>
      </w:r>
      <w:r w:rsidR="21422C61">
        <w:rPr/>
        <w:t xml:space="preserve">flavours provided in the </w:t>
      </w:r>
      <w:r w:rsidR="21422C61">
        <w:rPr/>
        <w:t>previous</w:t>
      </w:r>
      <w:r w:rsidR="21422C61">
        <w:rPr/>
        <w:t xml:space="preserve"> task. The Welsh question referred to </w:t>
      </w:r>
      <w:r w:rsidR="21422C61">
        <w:rPr/>
        <w:t>identifying</w:t>
      </w:r>
      <w:r w:rsidR="21422C61">
        <w:rPr/>
        <w:t xml:space="preserve"> the Welsh word for chocolate.</w:t>
      </w:r>
      <w:r w:rsidR="6315E806">
        <w:rPr/>
        <w:t xml:space="preserve"> </w:t>
      </w:r>
      <w:r w:rsidR="6315E806">
        <w:rPr/>
        <w:t>I believe that this</w:t>
      </w:r>
      <w:r w:rsidR="6315E806">
        <w:rPr/>
        <w:t xml:space="preserve"> is </w:t>
      </w:r>
      <w:r w:rsidR="6315E806">
        <w:rPr/>
        <w:t>an appropriate form</w:t>
      </w:r>
      <w:r w:rsidR="6315E806">
        <w:rPr/>
        <w:t xml:space="preserve"> of integrating Welsh into tasks for foundation phase learning as it tests their problem-solving skills.</w:t>
      </w:r>
      <w:r w:rsidR="7F18B41C">
        <w:rPr/>
        <w:t xml:space="preserve"> Progression step 2, ‘I can recognise that there is a relationship between languages, culture and my own sense of Welsh’ identity.’</w:t>
      </w:r>
      <w:r w:rsidR="6315E806">
        <w:rPr/>
        <w:t xml:space="preserve"> </w:t>
      </w:r>
      <w:r w:rsidR="155B5732">
        <w:rPr/>
        <w:t xml:space="preserve"> (Welsh Gov, 2022) </w:t>
      </w:r>
      <w:r w:rsidR="1D76B322">
        <w:rPr/>
        <w:t xml:space="preserve">Additionally, </w:t>
      </w:r>
      <w:r w:rsidR="22701104">
        <w:rPr/>
        <w:t xml:space="preserve">I used a response letter as my integration of literacy. </w:t>
      </w:r>
      <w:r w:rsidR="67C1AB29">
        <w:rPr/>
        <w:t xml:space="preserve">I used this as the bigger task at the end of the resources. My idea was that each task relates to a different </w:t>
      </w:r>
      <w:r w:rsidR="52C03983">
        <w:rPr/>
        <w:t>subject,</w:t>
      </w:r>
      <w:r w:rsidR="67C1AB29">
        <w:rPr/>
        <w:t xml:space="preserve"> but all collaborate in the final task</w:t>
      </w:r>
      <w:r w:rsidR="44FB5F0F">
        <w:rPr/>
        <w:t xml:space="preserve">, so each task completed would be used to complete the letter. The progression statements I relate to this task are </w:t>
      </w:r>
    </w:p>
    <w:p w:rsidR="39C7EA50" w:rsidP="1BDB1543" w:rsidRDefault="39C7EA50" w14:paraId="7036C1F1" w14:textId="48DE685D">
      <w:pPr>
        <w:spacing w:before="0" w:beforeAutospacing="off" w:after="160" w:afterAutospacing="off" w:line="360" w:lineRule="auto"/>
        <w:ind w:left="0" w:right="0"/>
        <w:jc w:val="left"/>
      </w:pPr>
      <w:r w:rsidR="39C7EA50">
        <w:rPr/>
        <w:t xml:space="preserve">‘I can listen to, understand and later recall what I have seen. to talk about them. </w:t>
      </w:r>
      <w:r w:rsidR="39C7EA50">
        <w:rPr/>
        <w:t xml:space="preserve">I can consider the plot, character, </w:t>
      </w:r>
      <w:r w:rsidR="39C7EA50">
        <w:rPr/>
        <w:t>theme</w:t>
      </w:r>
      <w:r w:rsidR="39C7EA50">
        <w:rPr/>
        <w:t xml:space="preserve"> and context of literature I experience supporting my ideas and opinions with evidence from the literature. I can make connections between what I hear, </w:t>
      </w:r>
      <w:r w:rsidR="39C7EA50">
        <w:rPr/>
        <w:t>read</w:t>
      </w:r>
      <w:r w:rsidR="39C7EA50">
        <w:rPr/>
        <w:t xml:space="preserve"> and view.’ (Welsh Gov, 2022) </w:t>
      </w:r>
    </w:p>
    <w:p w:rsidR="58775ECB" w:rsidP="1BDB1543" w:rsidRDefault="58775ECB" w14:paraId="6EB56E9E" w14:textId="0E49225E">
      <w:pPr>
        <w:spacing w:before="0" w:beforeAutospacing="off" w:after="160" w:afterAutospacing="off" w:line="360" w:lineRule="auto"/>
        <w:ind w:left="0" w:right="0"/>
        <w:jc w:val="left"/>
      </w:pPr>
      <w:r w:rsidR="58775ECB">
        <w:rPr/>
        <w:t xml:space="preserve">I included an art task and effectively linked this to the maths task by providing a question “Which flavours did you use?” enabling the students to use their recalling skills to </w:t>
      </w:r>
      <w:r w:rsidR="58775ECB">
        <w:rPr/>
        <w:t>identify</w:t>
      </w:r>
      <w:r w:rsidR="58775ECB">
        <w:rPr/>
        <w:t xml:space="preserve"> the answer. </w:t>
      </w:r>
      <w:r w:rsidR="4248A563">
        <w:rPr/>
        <w:t xml:space="preserve">The art task incorporated mathematics and recalling skills for the more academic learners with the ability to </w:t>
      </w:r>
      <w:r w:rsidR="4248A563">
        <w:rPr/>
        <w:t>demonstrate</w:t>
      </w:r>
      <w:r w:rsidR="4248A563">
        <w:rPr/>
        <w:t xml:space="preserve"> creative skills for students who prefer expressive arts. The progression statement</w:t>
      </w:r>
      <w:r w:rsidR="2FC9243A">
        <w:rPr/>
        <w:t>s are ‘</w:t>
      </w:r>
      <w:r w:rsidR="2FC9243A">
        <w:rPr/>
        <w:t xml:space="preserve">I can communicate my ideas, feelings and memories in my creative work.’ And ‘I am beginning to design my own creative work.’ (Welsh Gov, 2022) </w:t>
      </w:r>
    </w:p>
    <w:p w:rsidR="0E30F9C3" w:rsidP="1BDB1543" w:rsidRDefault="0E30F9C3" w14:paraId="54EA67BD" w14:textId="2E89B80D">
      <w:pPr>
        <w:spacing w:before="0" w:beforeAutospacing="off" w:after="160" w:afterAutospacing="off" w:line="360" w:lineRule="auto"/>
        <w:ind w:left="0" w:right="0"/>
        <w:jc w:val="left"/>
      </w:pPr>
      <w:r w:rsidR="0E30F9C3">
        <w:rPr/>
        <w:t xml:space="preserve">Overall, </w:t>
      </w:r>
      <w:r w:rsidR="0E30F9C3">
        <w:rPr/>
        <w:t>I believe that</w:t>
      </w:r>
      <w:r w:rsidR="0E30F9C3">
        <w:rPr/>
        <w:t xml:space="preserve"> based on </w:t>
      </w:r>
      <w:bookmarkStart w:name="_Int_ImhgUcLk" w:id="1304321084"/>
      <w:r w:rsidR="0E30F9C3">
        <w:rPr/>
        <w:t>the what</w:t>
      </w:r>
      <w:bookmarkEnd w:id="1304321084"/>
      <w:r w:rsidR="0E30F9C3">
        <w:rPr/>
        <w:t xml:space="preserve"> matters statements and </w:t>
      </w:r>
      <w:r w:rsidR="14539A86">
        <w:rPr/>
        <w:t>progression</w:t>
      </w:r>
      <w:r w:rsidR="0E30F9C3">
        <w:rPr/>
        <w:t xml:space="preserve"> steps and </w:t>
      </w:r>
      <w:r w:rsidR="5BC11A56">
        <w:rPr/>
        <w:t>based</w:t>
      </w:r>
      <w:r w:rsidR="0E30F9C3">
        <w:rPr/>
        <w:t xml:space="preserve"> on the DCF and LNF it is extremely important to integrate subjects, </w:t>
      </w:r>
      <w:r w:rsidR="458BD94F">
        <w:rPr/>
        <w:t>especially</w:t>
      </w:r>
      <w:r w:rsidR="0E30F9C3">
        <w:rPr/>
        <w:t xml:space="preserve"> for younger learners to enhance their understanding.</w:t>
      </w:r>
      <w:r w:rsidR="21A86449">
        <w:rPr/>
        <w:t xml:space="preserve"> </w:t>
      </w:r>
    </w:p>
    <w:p w:rsidR="21A86449" w:rsidP="1BDB1543" w:rsidRDefault="21A86449" w14:paraId="478B0BB6" w14:textId="7CF8B64A">
      <w:pPr>
        <w:spacing w:before="0" w:beforeAutospacing="off" w:after="160" w:afterAutospacing="off" w:line="360" w:lineRule="auto"/>
        <w:ind w:left="0" w:right="0"/>
        <w:jc w:val="left"/>
        <w:rPr>
          <w:b w:val="1"/>
          <w:bCs w:val="1"/>
          <w:i w:val="1"/>
          <w:iCs w:val="1"/>
        </w:rPr>
      </w:pPr>
      <w:r w:rsidRPr="1BDB1543" w:rsidR="21A86449">
        <w:rPr>
          <w:b w:val="1"/>
          <w:bCs w:val="1"/>
          <w:i w:val="1"/>
          <w:iCs w:val="1"/>
        </w:rPr>
        <w:t>Reference list:</w:t>
      </w:r>
    </w:p>
    <w:p w:rsidR="21A86449" w:rsidP="1BDB1543" w:rsidRDefault="21A86449" w14:paraId="3B335781" w14:textId="3EE6707C">
      <w:pPr>
        <w:spacing w:before="240" w:beforeAutospacing="off" w:after="240" w:afterAutospacing="off" w:line="360" w:lineRule="auto"/>
        <w:jc w:val="left"/>
      </w:pPr>
      <w:r w:rsidRPr="1BDB1543" w:rsidR="21A86449">
        <w:rPr>
          <w:rFonts w:ascii="Aptos" w:hAnsi="Aptos" w:eastAsia="Aptos" w:cs="Aptos"/>
          <w:noProof w:val="0"/>
          <w:sz w:val="24"/>
          <w:szCs w:val="24"/>
          <w:lang w:val="en-GB"/>
        </w:rPr>
        <w:t xml:space="preserve">Barnes, J. (2015a). An Introduction to Cross-Curricular Learning. [online] ResearchGate. Available at: </w:t>
      </w:r>
      <w:hyperlink r:id="R36d34411e8e9497c">
        <w:r w:rsidRPr="1BDB1543" w:rsidR="21A86449">
          <w:rPr>
            <w:rStyle w:val="Hyperlink"/>
            <w:rFonts w:ascii="Aptos" w:hAnsi="Aptos" w:eastAsia="Aptos" w:cs="Aptos"/>
            <w:noProof w:val="0"/>
            <w:sz w:val="24"/>
            <w:szCs w:val="24"/>
            <w:lang w:val="en-GB"/>
          </w:rPr>
          <w:t>https://www.researchgate.net/publication/274313611_An_Introduction_to_Cross-Curricular_Learning</w:t>
        </w:r>
      </w:hyperlink>
      <w:r w:rsidRPr="1BDB1543" w:rsidR="21A86449">
        <w:rPr>
          <w:rFonts w:ascii="Aptos" w:hAnsi="Aptos" w:eastAsia="Aptos" w:cs="Aptos"/>
          <w:noProof w:val="0"/>
          <w:sz w:val="24"/>
          <w:szCs w:val="24"/>
          <w:lang w:val="en-GB"/>
        </w:rPr>
        <w:t>.</w:t>
      </w:r>
    </w:p>
    <w:p w:rsidR="21A86449" w:rsidP="1BDB1543" w:rsidRDefault="21A86449" w14:paraId="244CA58C" w14:textId="401249AF">
      <w:pPr>
        <w:spacing w:before="240" w:beforeAutospacing="off" w:after="240" w:afterAutospacing="off"/>
        <w:jc w:val="left"/>
      </w:pPr>
      <w:r w:rsidRPr="1BDB1543" w:rsidR="21A86449">
        <w:rPr>
          <w:rFonts w:ascii="Aptos" w:hAnsi="Aptos" w:eastAsia="Aptos" w:cs="Aptos"/>
          <w:noProof w:val="0"/>
          <w:sz w:val="24"/>
          <w:szCs w:val="24"/>
          <w:lang w:val="en-GB"/>
        </w:rPr>
        <w:t>Barnes, J. (2015b). Cross-Curricular Learning 3-14. 3rd ed. SAGE.</w:t>
      </w:r>
    </w:p>
    <w:p w:rsidR="21A86449" w:rsidP="1BDB1543" w:rsidRDefault="21A86449" w14:paraId="4EB9A6BB" w14:textId="293D9BC4">
      <w:pPr>
        <w:spacing w:before="240" w:beforeAutospacing="off" w:after="240" w:afterAutospacing="off"/>
        <w:jc w:val="left"/>
      </w:pPr>
      <w:r w:rsidRPr="1BDB1543" w:rsidR="21A86449">
        <w:rPr>
          <w:rFonts w:ascii="Aptos" w:hAnsi="Aptos" w:eastAsia="Aptos" w:cs="Aptos"/>
          <w:noProof w:val="0"/>
          <w:sz w:val="24"/>
          <w:szCs w:val="24"/>
          <w:lang w:val="en-GB"/>
        </w:rPr>
        <w:t>Cotton, J. (1995). The theory of learners : an introduction. London ; Philadelphia: Kogan Page.</w:t>
      </w:r>
    </w:p>
    <w:p w:rsidR="21A86449" w:rsidP="1BDB1543" w:rsidRDefault="21A86449" w14:paraId="7784C975" w14:textId="0654B158">
      <w:pPr>
        <w:spacing w:before="240" w:beforeAutospacing="off" w:after="240" w:afterAutospacing="off"/>
        <w:jc w:val="left"/>
      </w:pPr>
      <w:r w:rsidRPr="1BDB1543" w:rsidR="21A86449">
        <w:rPr>
          <w:rFonts w:ascii="Aptos" w:hAnsi="Aptos" w:eastAsia="Aptos" w:cs="Aptos"/>
          <w:noProof w:val="0"/>
          <w:sz w:val="24"/>
          <w:szCs w:val="24"/>
          <w:lang w:val="en-GB"/>
        </w:rPr>
        <w:t>Drake, S.M. and Burns, R.C. (2004). Meeting standards through integrated curriculum. Alexandria, Va.: Association for Supervision and Curriculum Development.</w:t>
      </w:r>
    </w:p>
    <w:p w:rsidR="21A86449" w:rsidP="1BDB1543" w:rsidRDefault="21A86449" w14:paraId="02165A1F" w14:textId="6A93D347">
      <w:pPr>
        <w:spacing w:before="240" w:beforeAutospacing="off" w:after="240" w:afterAutospacing="off"/>
        <w:jc w:val="left"/>
      </w:pPr>
      <w:r w:rsidRPr="1BDB1543" w:rsidR="21A86449">
        <w:rPr>
          <w:rFonts w:ascii="Aptos" w:hAnsi="Aptos" w:eastAsia="Aptos" w:cs="Aptos"/>
          <w:noProof w:val="0"/>
          <w:sz w:val="24"/>
          <w:szCs w:val="24"/>
          <w:lang w:val="en-GB"/>
        </w:rPr>
        <w:t xml:space="preserve">Durden-Myers, L. (2023). Supercharged PE: Embedding Cross-Curricular Links. [online] PE Scholar. Available at: </w:t>
      </w:r>
      <w:hyperlink r:id="R7fc108cdb03643e1">
        <w:r w:rsidRPr="1BDB1543" w:rsidR="21A86449">
          <w:rPr>
            <w:rStyle w:val="Hyperlink"/>
            <w:rFonts w:ascii="Aptos" w:hAnsi="Aptos" w:eastAsia="Aptos" w:cs="Aptos"/>
            <w:noProof w:val="0"/>
            <w:sz w:val="24"/>
            <w:szCs w:val="24"/>
            <w:lang w:val="en-GB"/>
          </w:rPr>
          <w:t>https://www.pescholar.com/insight/supercharged-pe-embedding-cross-curricular-links/</w:t>
        </w:r>
      </w:hyperlink>
      <w:r w:rsidRPr="1BDB1543" w:rsidR="21A86449">
        <w:rPr>
          <w:rFonts w:ascii="Aptos" w:hAnsi="Aptos" w:eastAsia="Aptos" w:cs="Aptos"/>
          <w:noProof w:val="0"/>
          <w:sz w:val="24"/>
          <w:szCs w:val="24"/>
          <w:lang w:val="en-GB"/>
        </w:rPr>
        <w:t>.</w:t>
      </w:r>
    </w:p>
    <w:p w:rsidR="21A86449" w:rsidP="1BDB1543" w:rsidRDefault="21A86449" w14:paraId="6FD29946" w14:textId="2B2A34A0">
      <w:pPr>
        <w:spacing w:before="240" w:beforeAutospacing="off" w:after="240" w:afterAutospacing="off"/>
        <w:jc w:val="left"/>
      </w:pPr>
      <w:r w:rsidRPr="1BDB1543" w:rsidR="21A86449">
        <w:rPr>
          <w:rFonts w:ascii="Aptos" w:hAnsi="Aptos" w:eastAsia="Aptos" w:cs="Aptos"/>
          <w:noProof w:val="0"/>
          <w:sz w:val="24"/>
          <w:szCs w:val="24"/>
          <w:lang w:val="en-GB"/>
        </w:rPr>
        <w:t xml:space="preserve">Durham E-Theses. (n.d.). Available at: </w:t>
      </w:r>
      <w:hyperlink r:id="R1b8ab2154afb4d3e">
        <w:r w:rsidRPr="1BDB1543" w:rsidR="21A86449">
          <w:rPr>
            <w:rStyle w:val="Hyperlink"/>
            <w:rFonts w:ascii="Aptos" w:hAnsi="Aptos" w:eastAsia="Aptos" w:cs="Aptos"/>
            <w:noProof w:val="0"/>
            <w:sz w:val="24"/>
            <w:szCs w:val="24"/>
            <w:lang w:val="en-GB"/>
          </w:rPr>
          <w:t>https://etheses.dur.ac.uk/13800/1/POMROY000180156_-_corrected_version.pdf</w:t>
        </w:r>
      </w:hyperlink>
      <w:r w:rsidRPr="1BDB1543" w:rsidR="21A86449">
        <w:rPr>
          <w:rFonts w:ascii="Aptos" w:hAnsi="Aptos" w:eastAsia="Aptos" w:cs="Aptos"/>
          <w:noProof w:val="0"/>
          <w:sz w:val="24"/>
          <w:szCs w:val="24"/>
          <w:lang w:val="en-GB"/>
        </w:rPr>
        <w:t xml:space="preserve"> </w:t>
      </w:r>
    </w:p>
    <w:p w:rsidR="21A86449" w:rsidP="1BDB1543" w:rsidRDefault="21A86449" w14:paraId="612421B8" w14:textId="3AB16144">
      <w:pPr>
        <w:spacing w:before="240" w:beforeAutospacing="off" w:after="240" w:afterAutospacing="off"/>
        <w:jc w:val="left"/>
      </w:pPr>
      <w:r w:rsidRPr="1BDB1543" w:rsidR="21A86449">
        <w:rPr>
          <w:rFonts w:ascii="Aptos" w:hAnsi="Aptos" w:eastAsia="Aptos" w:cs="Aptos"/>
          <w:noProof w:val="0"/>
          <w:sz w:val="24"/>
          <w:szCs w:val="24"/>
          <w:lang w:val="en-GB"/>
        </w:rPr>
        <w:t xml:space="preserve">E M E R A L D PUBLISHERS Holistic Pedagogical Approaches RESEARCH AND DEVELOPMENT CELL INTERNAL QUALITY ASSURANCE CELL of WOMEN’S CHRISTIAN COLLEGE, CHENNAI. (n.d.). Available at: </w:t>
      </w:r>
      <w:hyperlink w:anchor="page=174" r:id="R44e0b744e1414e3f">
        <w:r w:rsidRPr="1BDB1543" w:rsidR="21A86449">
          <w:rPr>
            <w:rStyle w:val="Hyperlink"/>
            <w:rFonts w:ascii="Aptos" w:hAnsi="Aptos" w:eastAsia="Aptos" w:cs="Aptos"/>
            <w:noProof w:val="0"/>
            <w:sz w:val="24"/>
            <w:szCs w:val="24"/>
            <w:lang w:val="en-GB"/>
          </w:rPr>
          <w:t>https://wcc.edu.in/wp-content/uploads/Reseacrh/Holistic-Pedagogical-Approaches.pdf#page=174</w:t>
        </w:r>
      </w:hyperlink>
      <w:r w:rsidRPr="1BDB1543" w:rsidR="21A86449">
        <w:rPr>
          <w:rFonts w:ascii="Aptos" w:hAnsi="Aptos" w:eastAsia="Aptos" w:cs="Aptos"/>
          <w:noProof w:val="0"/>
          <w:sz w:val="24"/>
          <w:szCs w:val="24"/>
          <w:lang w:val="en-GB"/>
        </w:rPr>
        <w:t xml:space="preserve"> </w:t>
      </w:r>
    </w:p>
    <w:p w:rsidR="21A86449" w:rsidP="1BDB1543" w:rsidRDefault="21A86449" w14:paraId="75E95D46" w14:textId="41447D74">
      <w:pPr>
        <w:spacing w:before="240" w:beforeAutospacing="off" w:after="240" w:afterAutospacing="off" w:line="360" w:lineRule="auto"/>
        <w:jc w:val="left"/>
      </w:pPr>
      <w:r w:rsidRPr="1BDB1543" w:rsidR="21A86449">
        <w:rPr>
          <w:rFonts w:ascii="Aptos" w:hAnsi="Aptos" w:eastAsia="Aptos" w:cs="Aptos"/>
          <w:noProof w:val="0"/>
          <w:sz w:val="24"/>
          <w:szCs w:val="24"/>
          <w:lang w:val="en-GB"/>
        </w:rPr>
        <w:t xml:space="preserve">First Tutors. (n.d.). 4 Benefits of a Cross-Curricular Math Environment. [online] Available at: </w:t>
      </w:r>
      <w:hyperlink r:id="Rf7782834f59b47c0">
        <w:r w:rsidRPr="1BDB1543" w:rsidR="21A86449">
          <w:rPr>
            <w:rStyle w:val="Hyperlink"/>
            <w:rFonts w:ascii="Aptos" w:hAnsi="Aptos" w:eastAsia="Aptos" w:cs="Aptos"/>
            <w:noProof w:val="0"/>
            <w:sz w:val="24"/>
            <w:szCs w:val="24"/>
            <w:lang w:val="en-GB"/>
          </w:rPr>
          <w:t>https://www.firsttutors.com/uk/blog/2018/04/4-benefits-of-a-cross-curricular-math-environment/</w:t>
        </w:r>
      </w:hyperlink>
      <w:r w:rsidRPr="1BDB1543" w:rsidR="21A86449">
        <w:rPr>
          <w:rFonts w:ascii="Aptos" w:hAnsi="Aptos" w:eastAsia="Aptos" w:cs="Aptos"/>
          <w:noProof w:val="0"/>
          <w:sz w:val="24"/>
          <w:szCs w:val="24"/>
          <w:lang w:val="en-GB"/>
        </w:rPr>
        <w:t>.</w:t>
      </w:r>
    </w:p>
    <w:p w:rsidR="21A86449" w:rsidP="1BDB1543" w:rsidRDefault="21A86449" w14:paraId="426D55C1" w14:textId="774E4620">
      <w:pPr>
        <w:spacing w:before="240" w:beforeAutospacing="off" w:after="240" w:afterAutospacing="off"/>
        <w:jc w:val="left"/>
      </w:pPr>
      <w:r w:rsidRPr="1BDB1543" w:rsidR="21A86449">
        <w:rPr>
          <w:rFonts w:ascii="Aptos" w:hAnsi="Aptos" w:eastAsia="Aptos" w:cs="Aptos"/>
          <w:noProof w:val="0"/>
          <w:sz w:val="24"/>
          <w:szCs w:val="24"/>
          <w:lang w:val="en-GB"/>
        </w:rPr>
        <w:t>Gov.wales</w:t>
      </w:r>
      <w:r w:rsidRPr="1BDB1543" w:rsidR="21A86449">
        <w:rPr>
          <w:rFonts w:ascii="Aptos" w:hAnsi="Aptos" w:eastAsia="Aptos" w:cs="Aptos"/>
          <w:noProof w:val="0"/>
          <w:sz w:val="24"/>
          <w:szCs w:val="24"/>
          <w:lang w:val="en-GB"/>
        </w:rPr>
        <w:t xml:space="preserve">. (2022). REDACTED Primary School. [online] Available at: </w:t>
      </w:r>
      <w:hyperlink r:id="R9ea45c20f9b04ac0">
        <w:r w:rsidRPr="1BDB1543" w:rsidR="21A86449">
          <w:rPr>
            <w:rStyle w:val="Hyperlink"/>
            <w:rFonts w:ascii="Aptos" w:hAnsi="Aptos" w:eastAsia="Aptos" w:cs="Aptos"/>
            <w:noProof w:val="0"/>
            <w:sz w:val="24"/>
            <w:szCs w:val="24"/>
            <w:lang w:val="en-GB"/>
          </w:rPr>
          <w:t>https://mylocalschool.gov.wales/School/6752355?lang=en</w:t>
        </w:r>
      </w:hyperlink>
      <w:r w:rsidRPr="1BDB1543" w:rsidR="21A86449">
        <w:rPr>
          <w:rFonts w:ascii="Aptos" w:hAnsi="Aptos" w:eastAsia="Aptos" w:cs="Aptos"/>
          <w:noProof w:val="0"/>
          <w:sz w:val="24"/>
          <w:szCs w:val="24"/>
          <w:lang w:val="en-GB"/>
        </w:rPr>
        <w:t xml:space="preserve"> [</w:t>
      </w:r>
      <w:r w:rsidRPr="1BDB1543" w:rsidR="21A86449">
        <w:rPr>
          <w:rFonts w:ascii="Aptos" w:hAnsi="Aptos" w:eastAsia="Aptos" w:cs="Aptos"/>
          <w:noProof w:val="0"/>
          <w:sz w:val="24"/>
          <w:szCs w:val="24"/>
          <w:lang w:val="en-GB"/>
        </w:rPr>
        <w:t>Accessed</w:t>
      </w:r>
      <w:r w:rsidRPr="1BDB1543" w:rsidR="21A86449">
        <w:rPr>
          <w:rFonts w:ascii="Aptos" w:hAnsi="Aptos" w:eastAsia="Aptos" w:cs="Aptos"/>
          <w:noProof w:val="0"/>
          <w:sz w:val="24"/>
          <w:szCs w:val="24"/>
          <w:lang w:val="en-GB"/>
        </w:rPr>
        <w:t xml:space="preserve"> 1 Mar. 2025].</w:t>
      </w:r>
    </w:p>
    <w:p w:rsidR="21A86449" w:rsidP="1BDB1543" w:rsidRDefault="21A86449" w14:paraId="7B1531C3" w14:textId="76F303CD">
      <w:pPr>
        <w:spacing w:before="240" w:beforeAutospacing="off" w:after="240" w:afterAutospacing="off"/>
        <w:jc w:val="left"/>
      </w:pPr>
      <w:r w:rsidRPr="1BDB1543" w:rsidR="21A86449">
        <w:rPr>
          <w:rFonts w:ascii="Aptos" w:hAnsi="Aptos" w:eastAsia="Aptos" w:cs="Aptos"/>
          <w:noProof w:val="0"/>
          <w:sz w:val="24"/>
          <w:szCs w:val="24"/>
          <w:lang w:val="en-GB"/>
        </w:rPr>
        <w:t xml:space="preserve">Holloway, E.R. (2023). A Phenomenological Study of Middle School Teachers’ Experiences with Cross-Curricular Learning. [online] Scholars Crossing. Available at: </w:t>
      </w:r>
      <w:hyperlink r:id="R6b435bd039304ee4">
        <w:r w:rsidRPr="1BDB1543" w:rsidR="21A86449">
          <w:rPr>
            <w:rStyle w:val="Hyperlink"/>
            <w:rFonts w:ascii="Aptos" w:hAnsi="Aptos" w:eastAsia="Aptos" w:cs="Aptos"/>
            <w:noProof w:val="0"/>
            <w:sz w:val="24"/>
            <w:szCs w:val="24"/>
            <w:lang w:val="en-GB"/>
          </w:rPr>
          <w:t>https://digitalcommons.liberty.edu/doctoral/4944/</w:t>
        </w:r>
      </w:hyperlink>
      <w:r w:rsidRPr="1BDB1543" w:rsidR="21A86449">
        <w:rPr>
          <w:rFonts w:ascii="Aptos" w:hAnsi="Aptos" w:eastAsia="Aptos" w:cs="Aptos"/>
          <w:noProof w:val="0"/>
          <w:sz w:val="24"/>
          <w:szCs w:val="24"/>
          <w:lang w:val="en-GB"/>
        </w:rPr>
        <w:t>.</w:t>
      </w:r>
    </w:p>
    <w:p w:rsidR="21A86449" w:rsidP="1BDB1543" w:rsidRDefault="21A86449" w14:paraId="538AFC20" w14:textId="363A060D">
      <w:pPr>
        <w:spacing w:before="240" w:beforeAutospacing="off" w:after="240" w:afterAutospacing="off"/>
        <w:jc w:val="left"/>
      </w:pPr>
      <w:r w:rsidRPr="1BDB1543" w:rsidR="21A86449">
        <w:rPr>
          <w:rFonts w:ascii="Aptos" w:hAnsi="Aptos" w:eastAsia="Aptos" w:cs="Aptos"/>
          <w:noProof w:val="0"/>
          <w:sz w:val="24"/>
          <w:szCs w:val="24"/>
          <w:lang w:val="en-GB"/>
        </w:rPr>
        <w:t xml:space="preserve">JISC. (n.d.). 2022/23 UK higher education students digital experience insights survey findings. [online] Available at: </w:t>
      </w:r>
      <w:hyperlink r:id="R21d3be154a8048f8">
        <w:r w:rsidRPr="1BDB1543" w:rsidR="21A86449">
          <w:rPr>
            <w:rStyle w:val="Hyperlink"/>
            <w:rFonts w:ascii="Aptos" w:hAnsi="Aptos" w:eastAsia="Aptos" w:cs="Aptos"/>
            <w:noProof w:val="0"/>
            <w:sz w:val="24"/>
            <w:szCs w:val="24"/>
            <w:lang w:val="en-GB"/>
          </w:rPr>
          <w:t>https://digitalinsights.jisc.ac.uk/reports-and-briefings/our-reports/2022-23-uk-higher-education-students-digital-experience-insights-survey-findings/</w:t>
        </w:r>
      </w:hyperlink>
      <w:r w:rsidRPr="1BDB1543" w:rsidR="21A86449">
        <w:rPr>
          <w:rFonts w:ascii="Aptos" w:hAnsi="Aptos" w:eastAsia="Aptos" w:cs="Aptos"/>
          <w:noProof w:val="0"/>
          <w:sz w:val="24"/>
          <w:szCs w:val="24"/>
          <w:lang w:val="en-GB"/>
        </w:rPr>
        <w:t>.</w:t>
      </w:r>
    </w:p>
    <w:p w:rsidR="21A86449" w:rsidP="1BDB1543" w:rsidRDefault="21A86449" w14:paraId="1235D93D" w14:textId="47881846">
      <w:pPr>
        <w:spacing w:before="240" w:beforeAutospacing="off" w:after="240" w:afterAutospacing="off"/>
        <w:jc w:val="left"/>
      </w:pPr>
      <w:r w:rsidRPr="1BDB1543" w:rsidR="21A86449">
        <w:rPr>
          <w:rFonts w:ascii="Aptos" w:hAnsi="Aptos" w:eastAsia="Aptos" w:cs="Aptos"/>
          <w:noProof w:val="0"/>
          <w:sz w:val="24"/>
          <w:szCs w:val="24"/>
          <w:lang w:val="en-GB"/>
        </w:rPr>
        <w:t>John, A., Wainwright, N., Goodway, J.D. and Williams, A. (2024). Examining the fidelity of implementation of SKIP Cymru (Successful kinaesthetic instruction for pre-schoolers- Wales) by early childhood teachers in Wales following a programme of professional development. Physical Education and Sport Pedagogy, pp.1–18. doi:</w:t>
      </w:r>
      <w:hyperlink r:id="R3875c5548d474fb1">
        <w:r w:rsidRPr="1BDB1543" w:rsidR="21A86449">
          <w:rPr>
            <w:rStyle w:val="Hyperlink"/>
            <w:rFonts w:ascii="Aptos" w:hAnsi="Aptos" w:eastAsia="Aptos" w:cs="Aptos"/>
            <w:noProof w:val="0"/>
            <w:sz w:val="24"/>
            <w:szCs w:val="24"/>
            <w:lang w:val="en-GB"/>
          </w:rPr>
          <w:t>https://doi.org/10.1080/17408989.2024.2400054</w:t>
        </w:r>
      </w:hyperlink>
      <w:r w:rsidRPr="1BDB1543" w:rsidR="21A86449">
        <w:rPr>
          <w:rFonts w:ascii="Aptos" w:hAnsi="Aptos" w:eastAsia="Aptos" w:cs="Aptos"/>
          <w:noProof w:val="0"/>
          <w:sz w:val="24"/>
          <w:szCs w:val="24"/>
          <w:lang w:val="en-GB"/>
        </w:rPr>
        <w:t>.</w:t>
      </w:r>
    </w:p>
    <w:p w:rsidR="21A86449" w:rsidP="1BDB1543" w:rsidRDefault="21A86449" w14:paraId="27C3F0A1" w14:textId="39B90A76">
      <w:pPr>
        <w:spacing w:before="240" w:beforeAutospacing="off" w:after="240" w:afterAutospacing="off"/>
        <w:jc w:val="left"/>
      </w:pPr>
      <w:r w:rsidRPr="1BDB1543" w:rsidR="21A86449">
        <w:rPr>
          <w:rFonts w:ascii="Aptos" w:hAnsi="Aptos" w:eastAsia="Aptos" w:cs="Aptos"/>
          <w:noProof w:val="0"/>
          <w:sz w:val="24"/>
          <w:szCs w:val="24"/>
          <w:lang w:val="en-GB"/>
        </w:rPr>
        <w:t xml:space="preserve">Miteva, I. (2024). Cross-curricular Teaching - Best Practice for EAL Learners. [online] Learning Village. Available at: </w:t>
      </w:r>
      <w:hyperlink r:id="R8fafeac9869c42b2">
        <w:r w:rsidRPr="1BDB1543" w:rsidR="21A86449">
          <w:rPr>
            <w:rStyle w:val="Hyperlink"/>
            <w:rFonts w:ascii="Aptos" w:hAnsi="Aptos" w:eastAsia="Aptos" w:cs="Aptos"/>
            <w:noProof w:val="0"/>
            <w:sz w:val="24"/>
            <w:szCs w:val="24"/>
            <w:lang w:val="en-GB"/>
          </w:rPr>
          <w:t>https://www.learningvillage.net/article/cross-curricular-best-practice</w:t>
        </w:r>
      </w:hyperlink>
      <w:r w:rsidRPr="1BDB1543" w:rsidR="21A86449">
        <w:rPr>
          <w:rFonts w:ascii="Aptos" w:hAnsi="Aptos" w:eastAsia="Aptos" w:cs="Aptos"/>
          <w:noProof w:val="0"/>
          <w:sz w:val="24"/>
          <w:szCs w:val="24"/>
          <w:lang w:val="en-GB"/>
        </w:rPr>
        <w:t>.</w:t>
      </w:r>
    </w:p>
    <w:p w:rsidR="21A86449" w:rsidP="1BDB1543" w:rsidRDefault="21A86449" w14:paraId="2D7E365F" w14:textId="27F8A39E">
      <w:pPr>
        <w:spacing w:before="240" w:beforeAutospacing="off" w:after="240" w:afterAutospacing="off"/>
        <w:jc w:val="left"/>
      </w:pPr>
      <w:r w:rsidRPr="1BDB1543" w:rsidR="21A86449">
        <w:rPr>
          <w:rFonts w:ascii="Aptos" w:hAnsi="Aptos" w:eastAsia="Aptos" w:cs="Aptos"/>
          <w:noProof w:val="0"/>
          <w:sz w:val="24"/>
          <w:szCs w:val="24"/>
          <w:lang w:val="en-GB"/>
        </w:rPr>
        <w:t xml:space="preserve">National STEM Learning Centre (n.d.). Vygotsky’s concept of the ‘Zone of Proximal Development’. [online] FutureLearn. Available at: </w:t>
      </w:r>
      <w:hyperlink r:id="R07582bd59cf24afc">
        <w:r w:rsidRPr="1BDB1543" w:rsidR="21A86449">
          <w:rPr>
            <w:rStyle w:val="Hyperlink"/>
            <w:rFonts w:ascii="Aptos" w:hAnsi="Aptos" w:eastAsia="Aptos" w:cs="Aptos"/>
            <w:noProof w:val="0"/>
            <w:sz w:val="24"/>
            <w:szCs w:val="24"/>
            <w:lang w:val="en-GB"/>
          </w:rPr>
          <w:t>https://www.futurelearn.com/info/courses/differentiating-for-learning-stem/0/steps/15505</w:t>
        </w:r>
      </w:hyperlink>
      <w:r w:rsidRPr="1BDB1543" w:rsidR="21A86449">
        <w:rPr>
          <w:rFonts w:ascii="Aptos" w:hAnsi="Aptos" w:eastAsia="Aptos" w:cs="Aptos"/>
          <w:noProof w:val="0"/>
          <w:sz w:val="24"/>
          <w:szCs w:val="24"/>
          <w:lang w:val="en-GB"/>
        </w:rPr>
        <w:t>.</w:t>
      </w:r>
    </w:p>
    <w:p w:rsidR="21A86449" w:rsidP="1BDB1543" w:rsidRDefault="21A86449" w14:paraId="09D8BBBC" w14:textId="7200B78B">
      <w:pPr>
        <w:spacing w:before="240" w:beforeAutospacing="off" w:after="240" w:afterAutospacing="off"/>
        <w:jc w:val="left"/>
      </w:pPr>
      <w:r w:rsidRPr="1BDB1543" w:rsidR="21A86449">
        <w:rPr>
          <w:rFonts w:ascii="Aptos" w:hAnsi="Aptos" w:eastAsia="Aptos" w:cs="Aptos"/>
          <w:noProof w:val="0"/>
          <w:sz w:val="24"/>
          <w:szCs w:val="24"/>
          <w:lang w:val="en-GB"/>
        </w:rPr>
        <w:t>Rowley, C. and Cooper, H. (2009). Cross-curricular approaches to teaching and learning. Los Angeles: Sage, p.2.</w:t>
      </w:r>
    </w:p>
    <w:p w:rsidR="21A86449" w:rsidP="1BDB1543" w:rsidRDefault="21A86449" w14:paraId="219C97D8" w14:textId="30CE39DB">
      <w:pPr>
        <w:spacing w:before="240" w:beforeAutospacing="off" w:after="240" w:afterAutospacing="off"/>
        <w:jc w:val="left"/>
      </w:pPr>
      <w:r w:rsidRPr="1BDB1543" w:rsidR="21A86449">
        <w:rPr>
          <w:rFonts w:ascii="Aptos" w:hAnsi="Aptos" w:eastAsia="Aptos" w:cs="Aptos"/>
          <w:noProof w:val="0"/>
          <w:sz w:val="24"/>
          <w:szCs w:val="24"/>
          <w:lang w:val="en-GB"/>
        </w:rPr>
        <w:t xml:space="preserve">Welsh Government (2013). Assessment for learning and the National Literacy and Numeracy Framework Guidance. [online] Available at: </w:t>
      </w:r>
      <w:hyperlink r:id="R745895e7bb724bac">
        <w:r w:rsidRPr="1BDB1543" w:rsidR="21A86449">
          <w:rPr>
            <w:rStyle w:val="Hyperlink"/>
            <w:rFonts w:ascii="Aptos" w:hAnsi="Aptos" w:eastAsia="Aptos" w:cs="Aptos"/>
            <w:noProof w:val="0"/>
            <w:sz w:val="24"/>
            <w:szCs w:val="24"/>
            <w:lang w:val="en-GB"/>
          </w:rPr>
          <w:t>https://hwb.gov.wales/api/storage/b447d1fe-5463-4382-9726-e68623a05dd2/assessment-for-learning-and-the-national-literacy-and-numeracy-framework.pdf</w:t>
        </w:r>
      </w:hyperlink>
      <w:r w:rsidRPr="1BDB1543" w:rsidR="21A86449">
        <w:rPr>
          <w:rFonts w:ascii="Aptos" w:hAnsi="Aptos" w:eastAsia="Aptos" w:cs="Aptos"/>
          <w:noProof w:val="0"/>
          <w:sz w:val="24"/>
          <w:szCs w:val="24"/>
          <w:lang w:val="en-GB"/>
        </w:rPr>
        <w:t>.</w:t>
      </w:r>
    </w:p>
    <w:p w:rsidR="21A86449" w:rsidP="1BDB1543" w:rsidRDefault="21A86449" w14:paraId="437369CC" w14:textId="74234B1A">
      <w:pPr>
        <w:spacing w:before="240" w:beforeAutospacing="off" w:after="240" w:afterAutospacing="off"/>
        <w:jc w:val="left"/>
      </w:pPr>
      <w:r w:rsidRPr="1BDB1543" w:rsidR="21A86449">
        <w:rPr>
          <w:rFonts w:ascii="Aptos" w:hAnsi="Aptos" w:eastAsia="Aptos" w:cs="Aptos"/>
          <w:noProof w:val="0"/>
          <w:sz w:val="24"/>
          <w:szCs w:val="24"/>
          <w:lang w:val="en-GB"/>
        </w:rPr>
        <w:t xml:space="preserve">Welsh Government (2020). Literacy and Numeracy Framework - Hwb. [online] hwb.gov.wales. Available at: </w:t>
      </w:r>
      <w:hyperlink r:id="R01a264acc8564313">
        <w:r w:rsidRPr="1BDB1543" w:rsidR="21A86449">
          <w:rPr>
            <w:rStyle w:val="Hyperlink"/>
            <w:rFonts w:ascii="Aptos" w:hAnsi="Aptos" w:eastAsia="Aptos" w:cs="Aptos"/>
            <w:noProof w:val="0"/>
            <w:sz w:val="24"/>
            <w:szCs w:val="24"/>
            <w:lang w:val="en-GB"/>
          </w:rPr>
          <w:t>https://hwb.gov.wales/curriculum-for-wales/cross-curricular-skills-frameworks/literacy-and-numeracy-framework/</w:t>
        </w:r>
      </w:hyperlink>
      <w:r w:rsidRPr="1BDB1543" w:rsidR="21A86449">
        <w:rPr>
          <w:rFonts w:ascii="Aptos" w:hAnsi="Aptos" w:eastAsia="Aptos" w:cs="Aptos"/>
          <w:noProof w:val="0"/>
          <w:sz w:val="24"/>
          <w:szCs w:val="24"/>
          <w:lang w:val="en-GB"/>
        </w:rPr>
        <w:t>.</w:t>
      </w:r>
    </w:p>
    <w:p w:rsidR="21A86449" w:rsidP="1BDB1543" w:rsidRDefault="21A86449" w14:paraId="5FD6CFDC" w14:textId="06B06E6E">
      <w:pPr>
        <w:spacing w:before="240" w:beforeAutospacing="off" w:after="240" w:afterAutospacing="off"/>
        <w:jc w:val="left"/>
      </w:pPr>
      <w:r w:rsidRPr="1BDB1543" w:rsidR="21A86449">
        <w:rPr>
          <w:rFonts w:ascii="Aptos" w:hAnsi="Aptos" w:eastAsia="Aptos" w:cs="Aptos"/>
          <w:noProof w:val="0"/>
          <w:sz w:val="24"/>
          <w:szCs w:val="24"/>
          <w:lang w:val="en-GB"/>
        </w:rPr>
        <w:t xml:space="preserve">Welsh Government (2022). Cross-curricular skills frameworks - Hwb. [online] hwb.gov.wales. Available at: </w:t>
      </w:r>
      <w:hyperlink r:id="Rb4cd760653614aa1">
        <w:r w:rsidRPr="1BDB1543" w:rsidR="21A86449">
          <w:rPr>
            <w:rStyle w:val="Hyperlink"/>
            <w:rFonts w:ascii="Aptos" w:hAnsi="Aptos" w:eastAsia="Aptos" w:cs="Aptos"/>
            <w:noProof w:val="0"/>
            <w:sz w:val="24"/>
            <w:szCs w:val="24"/>
            <w:lang w:val="en-GB"/>
          </w:rPr>
          <w:t>https://hwb.gov.wales/curriculum-for-wales/cross-curricular-skills-frameworks</w:t>
        </w:r>
      </w:hyperlink>
      <w:r w:rsidRPr="1BDB1543" w:rsidR="21A86449">
        <w:rPr>
          <w:rFonts w:ascii="Aptos" w:hAnsi="Aptos" w:eastAsia="Aptos" w:cs="Aptos"/>
          <w:noProof w:val="0"/>
          <w:sz w:val="24"/>
          <w:szCs w:val="24"/>
          <w:lang w:val="en-GB"/>
        </w:rPr>
        <w:t>.</w:t>
      </w:r>
    </w:p>
    <w:p w:rsidR="21A86449" w:rsidP="1BDB1543" w:rsidRDefault="21A86449" w14:paraId="1F3F9DC3" w14:textId="50E271CB">
      <w:pPr>
        <w:spacing w:before="240" w:beforeAutospacing="off" w:after="240" w:afterAutospacing="off"/>
        <w:jc w:val="left"/>
      </w:pPr>
      <w:r w:rsidRPr="1BDB1543" w:rsidR="21A86449">
        <w:rPr>
          <w:rFonts w:ascii="Aptos" w:hAnsi="Aptos" w:eastAsia="Aptos" w:cs="Aptos"/>
          <w:noProof w:val="0"/>
          <w:sz w:val="24"/>
          <w:szCs w:val="24"/>
          <w:lang w:val="en-GB"/>
        </w:rPr>
        <w:t xml:space="preserve">Wood, P. (2023). Sunak’s maths plan will be hated by students and worsen teacher recruitment crisis, experts say. [online] inews.co.uk. Available at: </w:t>
      </w:r>
      <w:hyperlink r:id="Raa5723cee05843e7">
        <w:r w:rsidRPr="1BDB1543" w:rsidR="21A86449">
          <w:rPr>
            <w:rStyle w:val="Hyperlink"/>
            <w:rFonts w:ascii="Aptos" w:hAnsi="Aptos" w:eastAsia="Aptos" w:cs="Aptos"/>
            <w:noProof w:val="0"/>
            <w:sz w:val="24"/>
            <w:szCs w:val="24"/>
            <w:lang w:val="en-GB"/>
          </w:rPr>
          <w:t>https://inews.co.uk/news/education/maths-until-18-hate-subject-rishi-sunak-lessons-2134051</w:t>
        </w:r>
      </w:hyperlink>
      <w:r w:rsidRPr="1BDB1543" w:rsidR="21A86449">
        <w:rPr>
          <w:rFonts w:ascii="Aptos" w:hAnsi="Aptos" w:eastAsia="Aptos" w:cs="Aptos"/>
          <w:noProof w:val="0"/>
          <w:sz w:val="24"/>
          <w:szCs w:val="24"/>
          <w:lang w:val="en-GB"/>
        </w:rPr>
        <w:t>.</w:t>
      </w:r>
    </w:p>
    <w:p w:rsidR="21A86449" w:rsidP="1BDB1543" w:rsidRDefault="21A86449" w14:paraId="726AF1EA" w14:textId="4B7BCD11">
      <w:pPr>
        <w:spacing w:before="240" w:beforeAutospacing="off" w:after="240" w:afterAutospacing="off"/>
        <w:jc w:val="left"/>
        <w:rPr>
          <w:rFonts w:ascii="Aptos" w:hAnsi="Aptos" w:eastAsia="Aptos" w:cs="Aptos"/>
          <w:noProof w:val="0"/>
          <w:sz w:val="24"/>
          <w:szCs w:val="24"/>
          <w:lang w:val="en-GB"/>
        </w:rPr>
      </w:pPr>
      <w:r w:rsidRPr="1BDB1543" w:rsidR="21A86449">
        <w:rPr>
          <w:rFonts w:ascii="Aptos" w:hAnsi="Aptos" w:eastAsia="Aptos" w:cs="Aptos"/>
          <w:noProof w:val="0"/>
          <w:sz w:val="24"/>
          <w:szCs w:val="24"/>
          <w:lang w:val="en-GB"/>
        </w:rPr>
        <w:t xml:space="preserve">Woolcock, N., Sylvester, R. and Watts, R. (2021). Teachers want less homework, less </w:t>
      </w:r>
      <w:r w:rsidRPr="1BDB1543" w:rsidR="21A86449">
        <w:rPr>
          <w:rFonts w:ascii="Aptos" w:hAnsi="Aptos" w:eastAsia="Aptos" w:cs="Aptos"/>
          <w:noProof w:val="0"/>
          <w:sz w:val="24"/>
          <w:szCs w:val="24"/>
          <w:lang w:val="en-GB"/>
        </w:rPr>
        <w:t>marking</w:t>
      </w:r>
      <w:r w:rsidRPr="1BDB1543" w:rsidR="21A86449">
        <w:rPr>
          <w:rFonts w:ascii="Aptos" w:hAnsi="Aptos" w:eastAsia="Aptos" w:cs="Aptos"/>
          <w:noProof w:val="0"/>
          <w:sz w:val="24"/>
          <w:szCs w:val="24"/>
          <w:lang w:val="en-GB"/>
        </w:rPr>
        <w:t xml:space="preserve"> and a different job. [online] Thetimes.com. Available at: </w:t>
      </w:r>
      <w:hyperlink r:id="R6e91ac9d77d84df1">
        <w:r w:rsidRPr="1BDB1543" w:rsidR="21A86449">
          <w:rPr>
            <w:rStyle w:val="Hyperlink"/>
            <w:rFonts w:ascii="Aptos" w:hAnsi="Aptos" w:eastAsia="Aptos" w:cs="Aptos"/>
            <w:noProof w:val="0"/>
            <w:sz w:val="24"/>
            <w:szCs w:val="24"/>
            <w:lang w:val="en-GB"/>
          </w:rPr>
          <w:t>https://www.thetimes.com/article/teachers-want-less-homework-less-marking-and-a-different-job-8rgf8pp92</w:t>
        </w:r>
      </w:hyperlink>
    </w:p>
    <w:p w:rsidR="21A86449" w:rsidP="1BDB1543" w:rsidRDefault="21A86449" w14:paraId="7F974CF3" w14:textId="616187F6">
      <w:pPr>
        <w:spacing w:before="240" w:beforeAutospacing="off" w:after="240" w:afterAutospacing="off"/>
        <w:jc w:val="left"/>
      </w:pPr>
      <w:r w:rsidRPr="1BDB1543" w:rsidR="21A86449">
        <w:rPr>
          <w:rFonts w:ascii="Aptos" w:hAnsi="Aptos" w:eastAsia="Aptos" w:cs="Aptos"/>
          <w:noProof w:val="0"/>
          <w:sz w:val="24"/>
          <w:szCs w:val="24"/>
          <w:lang w:val="en-GB"/>
        </w:rPr>
        <w:t xml:space="preserve">Youtu.be. (2024). Available at: </w:t>
      </w:r>
      <w:hyperlink r:id="R62e6400a67de4796">
        <w:r w:rsidRPr="1BDB1543" w:rsidR="21A86449">
          <w:rPr>
            <w:rStyle w:val="Hyperlink"/>
            <w:rFonts w:ascii="Aptos" w:hAnsi="Aptos" w:eastAsia="Aptos" w:cs="Aptos"/>
            <w:noProof w:val="0"/>
            <w:sz w:val="24"/>
            <w:szCs w:val="24"/>
            <w:lang w:val="en-GB"/>
          </w:rPr>
          <w:t>https://youtu.be/9lOIw-0MC-E?si=skEWmk7DR_F6sZMn</w:t>
        </w:r>
      </w:hyperlink>
      <w:r w:rsidRPr="1BDB1543" w:rsidR="21A86449">
        <w:rPr>
          <w:rFonts w:ascii="Aptos" w:hAnsi="Aptos" w:eastAsia="Aptos" w:cs="Aptos"/>
          <w:noProof w:val="0"/>
          <w:sz w:val="24"/>
          <w:szCs w:val="24"/>
          <w:lang w:val="en-GB"/>
        </w:rPr>
        <w:t xml:space="preserve"> </w:t>
      </w:r>
    </w:p>
    <w:p w:rsidR="538C6A78" w:rsidP="1BDB1543" w:rsidRDefault="538C6A78" w14:paraId="1738E2B5" w14:textId="36E55C2B">
      <w:pPr>
        <w:pStyle w:val="Normal"/>
        <w:rPr>
          <w:b w:val="1"/>
          <w:bCs w:val="1"/>
          <w:i w:val="1"/>
          <w:iCs w:val="1"/>
        </w:rPr>
      </w:pPr>
      <w:r w:rsidRPr="1BDB1543" w:rsidR="538C6A78">
        <w:rPr>
          <w:b w:val="1"/>
          <w:bCs w:val="1"/>
          <w:i w:val="1"/>
          <w:iCs w:val="1"/>
        </w:rPr>
        <w:t xml:space="preserve">Appendix </w:t>
      </w:r>
      <w:r w:rsidRPr="1BDB1543" w:rsidR="32E0FE30">
        <w:rPr>
          <w:b w:val="1"/>
          <w:bCs w:val="1"/>
          <w:i w:val="1"/>
          <w:iCs w:val="1"/>
        </w:rPr>
        <w:t xml:space="preserve">1 </w:t>
      </w:r>
      <w:r w:rsidRPr="1BDB1543" w:rsidR="538C6A78">
        <w:rPr>
          <w:b w:val="1"/>
          <w:bCs w:val="1"/>
          <w:i w:val="1"/>
          <w:iCs w:val="1"/>
        </w:rPr>
        <w:t>(LESSON PLAN AND RESOURCES)</w:t>
      </w:r>
    </w:p>
    <w:tbl>
      <w:tblPr>
        <w:tblStyle w:val="TableGrid"/>
        <w:tblW w:w="0" w:type="auto"/>
        <w:tblInd w:w="135" w:type="dxa"/>
        <w:tblLayout w:type="fixed"/>
        <w:tblLook w:val="04A0" w:firstRow="1" w:lastRow="0" w:firstColumn="1" w:lastColumn="0" w:noHBand="0" w:noVBand="1"/>
      </w:tblPr>
      <w:tblGrid>
        <w:gridCol w:w="2253"/>
        <w:gridCol w:w="3557"/>
        <w:gridCol w:w="950"/>
        <w:gridCol w:w="2255"/>
      </w:tblGrid>
      <w:tr w:rsidR="1BDB1543" w:rsidTr="1BDB1543" w14:paraId="4EC450DB">
        <w:trPr>
          <w:trHeight w:val="225"/>
        </w:trPr>
        <w:tc>
          <w:tcPr>
            <w:tcW w:w="2253" w:type="dxa"/>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2F1F6AE5" w14:textId="1953B66B">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Student-teacher:</w:t>
            </w:r>
          </w:p>
        </w:tc>
        <w:tc>
          <w:tcPr>
            <w:tcW w:w="3557" w:type="dxa"/>
            <w:tcBorders>
              <w:top w:val="single" w:sz="8"/>
              <w:left w:val="single" w:sz="8"/>
              <w:bottom w:val="single" w:sz="8"/>
              <w:right w:val="single" w:sz="8"/>
            </w:tcBorders>
            <w:tcMar>
              <w:left w:w="108" w:type="dxa"/>
              <w:right w:w="108" w:type="dxa"/>
            </w:tcMar>
            <w:vAlign w:val="top"/>
          </w:tcPr>
          <w:p w:rsidR="1BDB1543" w:rsidP="1BDB1543" w:rsidRDefault="1BDB1543" w14:paraId="1C25F3A0" w14:textId="25884D31">
            <w:pPr>
              <w:spacing w:before="0" w:beforeAutospacing="off" w:after="0" w:afterAutospacing="off"/>
            </w:pPr>
            <w:r w:rsidRPr="1BDB1543" w:rsidR="1BDB1543">
              <w:rPr>
                <w:rFonts w:ascii="Calibri" w:hAnsi="Calibri" w:eastAsia="Calibri" w:cs="Calibri"/>
                <w:sz w:val="28"/>
                <w:szCs w:val="28"/>
              </w:rPr>
              <w:t>Mollie Thomas</w:t>
            </w:r>
          </w:p>
        </w:tc>
        <w:tc>
          <w:tcPr>
            <w:tcW w:w="950" w:type="dxa"/>
            <w:tcBorders>
              <w:top w:val="single" w:sz="8"/>
              <w:left w:val="single" w:sz="8"/>
              <w:bottom w:val="single" w:sz="8"/>
              <w:right w:val="single" w:sz="8"/>
            </w:tcBorders>
            <w:tcMar>
              <w:left w:w="108" w:type="dxa"/>
              <w:right w:w="108" w:type="dxa"/>
            </w:tcMar>
            <w:vAlign w:val="top"/>
          </w:tcPr>
          <w:p w:rsidR="1BDB1543" w:rsidP="1BDB1543" w:rsidRDefault="1BDB1543" w14:paraId="5D52038B" w14:textId="21BD5E3F">
            <w:pPr>
              <w:spacing w:before="0" w:beforeAutospacing="off" w:after="0" w:afterAutospacing="off"/>
            </w:pPr>
            <w:r w:rsidRPr="1BDB1543" w:rsidR="1BDB1543">
              <w:rPr>
                <w:rFonts w:ascii="Calibri" w:hAnsi="Calibri" w:eastAsia="Calibri" w:cs="Calibri"/>
                <w:b w:val="1"/>
                <w:bCs w:val="1"/>
                <w:sz w:val="24"/>
                <w:szCs w:val="24"/>
              </w:rPr>
              <w:t>Class / Group:</w:t>
            </w:r>
          </w:p>
        </w:tc>
        <w:tc>
          <w:tcPr>
            <w:tcW w:w="2255" w:type="dxa"/>
            <w:tcBorders>
              <w:top w:val="single" w:sz="8"/>
              <w:left w:val="single" w:sz="8"/>
              <w:bottom w:val="single" w:sz="8"/>
              <w:right w:val="single" w:sz="8"/>
            </w:tcBorders>
            <w:tcMar>
              <w:left w:w="108" w:type="dxa"/>
              <w:right w:w="108" w:type="dxa"/>
            </w:tcMar>
            <w:vAlign w:val="top"/>
          </w:tcPr>
          <w:p w:rsidR="1BDB1543" w:rsidP="1BDB1543" w:rsidRDefault="1BDB1543" w14:paraId="063E46DF" w14:textId="6F6A701E">
            <w:pPr>
              <w:spacing w:before="0" w:beforeAutospacing="off" w:after="0" w:afterAutospacing="off"/>
            </w:pPr>
            <w:r w:rsidRPr="1BDB1543" w:rsidR="1BDB1543">
              <w:rPr>
                <w:rFonts w:ascii="Calibri" w:hAnsi="Calibri" w:eastAsia="Calibri" w:cs="Calibri"/>
                <w:sz w:val="28"/>
                <w:szCs w:val="28"/>
              </w:rPr>
              <w:t>Year 2</w:t>
            </w:r>
          </w:p>
        </w:tc>
      </w:tr>
      <w:tr w:rsidR="1BDB1543" w:rsidTr="1BDB1543" w14:paraId="284B7770">
        <w:trPr>
          <w:trHeight w:val="225"/>
        </w:trPr>
        <w:tc>
          <w:tcPr>
            <w:tcW w:w="2253" w:type="dxa"/>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312B6F56" w14:textId="6A67ABD1">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AoLE or Subject:</w:t>
            </w:r>
          </w:p>
        </w:tc>
        <w:tc>
          <w:tcPr>
            <w:tcW w:w="3557" w:type="dxa"/>
            <w:tcBorders>
              <w:top w:val="single" w:sz="8"/>
              <w:left w:val="single" w:sz="8"/>
              <w:bottom w:val="single" w:sz="8"/>
              <w:right w:val="single" w:sz="8"/>
            </w:tcBorders>
            <w:tcMar>
              <w:left w:w="108" w:type="dxa"/>
              <w:right w:w="108" w:type="dxa"/>
            </w:tcMar>
            <w:vAlign w:val="top"/>
          </w:tcPr>
          <w:p w:rsidR="1BDB1543" w:rsidP="1BDB1543" w:rsidRDefault="1BDB1543" w14:paraId="4F54E5C7" w14:textId="25F23274">
            <w:pPr>
              <w:spacing w:before="0" w:beforeAutospacing="off" w:after="0" w:afterAutospacing="off"/>
            </w:pPr>
            <w:r w:rsidRPr="1BDB1543" w:rsidR="1BDB1543">
              <w:rPr>
                <w:rFonts w:ascii="Calibri" w:hAnsi="Calibri" w:eastAsia="Calibri" w:cs="Calibri"/>
                <w:sz w:val="22"/>
                <w:szCs w:val="22"/>
              </w:rPr>
              <w:t xml:space="preserve">Links to the assignment titled ‘Demonstrate how cross-curricular teaching and learning can influence in-depth skills and understanding. Underpin this with reference to relevant research, a detailed lesson plan and an enhanced provision material.’  </w:t>
            </w:r>
          </w:p>
          <w:p w:rsidR="1BDB1543" w:rsidP="1BDB1543" w:rsidRDefault="1BDB1543" w14:paraId="0EB02700" w14:textId="1070B653">
            <w:pPr>
              <w:spacing w:before="0" w:beforeAutospacing="off" w:after="0" w:afterAutospacing="off"/>
            </w:pPr>
            <w:r w:rsidRPr="1BDB1543" w:rsidR="1BDB1543">
              <w:rPr>
                <w:rFonts w:ascii="Calibri" w:hAnsi="Calibri" w:eastAsia="Calibri" w:cs="Calibri"/>
                <w:sz w:val="22"/>
                <w:szCs w:val="22"/>
              </w:rPr>
              <w:t>Subjects covered</w:t>
            </w:r>
          </w:p>
          <w:p w:rsidR="1BDB1543" w:rsidP="1BDB1543" w:rsidRDefault="1BDB1543" w14:paraId="63117701" w14:textId="16C5919A">
            <w:pPr>
              <w:pStyle w:val="ListParagraph"/>
              <w:numPr>
                <w:ilvl w:val="0"/>
                <w:numId w:val="5"/>
              </w:numPr>
              <w:spacing w:before="0" w:beforeAutospacing="off" w:after="0" w:afterAutospacing="off"/>
              <w:ind w:left="720" w:right="0" w:hanging="360"/>
              <w:rPr>
                <w:rFonts w:ascii="Calibri" w:hAnsi="Calibri" w:eastAsia="Calibri" w:cs="Calibri"/>
                <w:sz w:val="22"/>
                <w:szCs w:val="22"/>
              </w:rPr>
            </w:pPr>
            <w:r w:rsidRPr="1BDB1543" w:rsidR="1BDB1543">
              <w:rPr>
                <w:rFonts w:ascii="Calibri" w:hAnsi="Calibri" w:eastAsia="Calibri" w:cs="Calibri"/>
                <w:sz w:val="22"/>
                <w:szCs w:val="22"/>
              </w:rPr>
              <w:t>Mathematics</w:t>
            </w:r>
          </w:p>
          <w:p w:rsidR="1BDB1543" w:rsidP="1BDB1543" w:rsidRDefault="1BDB1543" w14:paraId="5A25E038" w14:textId="006417B3">
            <w:pPr>
              <w:spacing w:before="0" w:beforeAutospacing="off" w:after="0" w:afterAutospacing="off"/>
            </w:pPr>
            <w:r w:rsidRPr="1BDB1543" w:rsidR="1BDB1543">
              <w:rPr>
                <w:rFonts w:ascii="Calibri" w:hAnsi="Calibri" w:eastAsia="Calibri" w:cs="Calibri"/>
                <w:sz w:val="22"/>
                <w:szCs w:val="22"/>
              </w:rPr>
              <w:t>Asks children to identify the amount their chocolate bar will cost to make while presented with a variety of ‘flavours and their prices.</w:t>
            </w:r>
          </w:p>
          <w:p w:rsidR="1BDB1543" w:rsidP="1BDB1543" w:rsidRDefault="1BDB1543" w14:paraId="73F23AB7" w14:textId="6CC4FE81">
            <w:pPr>
              <w:pStyle w:val="ListParagraph"/>
              <w:numPr>
                <w:ilvl w:val="0"/>
                <w:numId w:val="5"/>
              </w:numPr>
              <w:spacing w:before="0" w:beforeAutospacing="off" w:after="0" w:afterAutospacing="off"/>
              <w:ind w:left="720" w:right="0" w:hanging="360"/>
              <w:rPr>
                <w:rFonts w:ascii="Calibri" w:hAnsi="Calibri" w:eastAsia="Calibri" w:cs="Calibri"/>
                <w:sz w:val="22"/>
                <w:szCs w:val="22"/>
              </w:rPr>
            </w:pPr>
            <w:r w:rsidRPr="1BDB1543" w:rsidR="1BDB1543">
              <w:rPr>
                <w:rFonts w:ascii="Calibri" w:hAnsi="Calibri" w:eastAsia="Calibri" w:cs="Calibri"/>
                <w:sz w:val="22"/>
                <w:szCs w:val="22"/>
              </w:rPr>
              <w:t>Literacy</w:t>
            </w:r>
          </w:p>
          <w:p w:rsidR="1BDB1543" w:rsidP="1BDB1543" w:rsidRDefault="1BDB1543" w14:paraId="732FF2F4" w14:textId="187F8B21">
            <w:pPr>
              <w:spacing w:before="0" w:beforeAutospacing="off" w:after="0" w:afterAutospacing="off"/>
            </w:pPr>
            <w:r w:rsidRPr="1BDB1543" w:rsidR="1BDB1543">
              <w:rPr>
                <w:rFonts w:ascii="Calibri" w:hAnsi="Calibri" w:eastAsia="Calibri" w:cs="Calibri"/>
                <w:sz w:val="22"/>
                <w:szCs w:val="22"/>
              </w:rPr>
              <w:t xml:space="preserve">Asks children to fill in the gaps of a letter responding to an initial resource/hook of Willy Wonka asking the children to design a new chocolate bar. The children are required to use information they collated in previous tasks to complete this letter. This is age appropriate but older students may write an entire letter independently. </w:t>
            </w:r>
          </w:p>
          <w:p w:rsidR="1BDB1543" w:rsidP="1BDB1543" w:rsidRDefault="1BDB1543" w14:paraId="05EA8FF3" w14:textId="68BC65ED">
            <w:pPr>
              <w:pStyle w:val="ListParagraph"/>
              <w:numPr>
                <w:ilvl w:val="0"/>
                <w:numId w:val="5"/>
              </w:numPr>
              <w:spacing w:before="0" w:beforeAutospacing="off" w:after="0" w:afterAutospacing="off"/>
              <w:ind w:left="720" w:right="0" w:hanging="360"/>
              <w:rPr>
                <w:rFonts w:ascii="Calibri" w:hAnsi="Calibri" w:eastAsia="Calibri" w:cs="Calibri"/>
                <w:sz w:val="22"/>
                <w:szCs w:val="22"/>
              </w:rPr>
            </w:pPr>
            <w:r w:rsidRPr="1BDB1543" w:rsidR="1BDB1543">
              <w:rPr>
                <w:rFonts w:ascii="Calibri" w:hAnsi="Calibri" w:eastAsia="Calibri" w:cs="Calibri"/>
                <w:sz w:val="22"/>
                <w:szCs w:val="22"/>
              </w:rPr>
              <w:t>Research task</w:t>
            </w:r>
          </w:p>
          <w:p w:rsidR="1BDB1543" w:rsidP="1BDB1543" w:rsidRDefault="1BDB1543" w14:paraId="7D8270F5" w14:textId="2E987C66">
            <w:pPr>
              <w:spacing w:before="0" w:beforeAutospacing="off" w:after="0" w:afterAutospacing="off"/>
            </w:pPr>
            <w:r w:rsidRPr="1BDB1543" w:rsidR="1BDB1543">
              <w:rPr>
                <w:rFonts w:ascii="Calibri" w:hAnsi="Calibri" w:eastAsia="Calibri" w:cs="Calibri"/>
                <w:sz w:val="22"/>
                <w:szCs w:val="22"/>
              </w:rPr>
              <w:t>Provides children with a reading comprehension discussing basic facts about chocolate. Children will then fill in the next page which has questions relating to the reading task.</w:t>
            </w:r>
          </w:p>
          <w:p w:rsidR="1BDB1543" w:rsidP="1BDB1543" w:rsidRDefault="1BDB1543" w14:paraId="2C71183A" w14:textId="7FB44A8D">
            <w:pPr>
              <w:pStyle w:val="ListParagraph"/>
              <w:numPr>
                <w:ilvl w:val="0"/>
                <w:numId w:val="5"/>
              </w:numPr>
              <w:spacing w:before="0" w:beforeAutospacing="off" w:after="0" w:afterAutospacing="off"/>
              <w:ind w:left="720" w:right="0" w:hanging="360"/>
              <w:rPr>
                <w:rFonts w:ascii="Calibri" w:hAnsi="Calibri" w:eastAsia="Calibri" w:cs="Calibri"/>
                <w:sz w:val="22"/>
                <w:szCs w:val="22"/>
              </w:rPr>
            </w:pPr>
            <w:r w:rsidRPr="1BDB1543" w:rsidR="1BDB1543">
              <w:rPr>
                <w:rFonts w:ascii="Calibri" w:hAnsi="Calibri" w:eastAsia="Calibri" w:cs="Calibri"/>
                <w:sz w:val="22"/>
                <w:szCs w:val="22"/>
              </w:rPr>
              <w:t>Creative and expressive arts particularly art</w:t>
            </w:r>
          </w:p>
          <w:p w:rsidR="1BDB1543" w:rsidP="1BDB1543" w:rsidRDefault="1BDB1543" w14:paraId="12939B0E" w14:textId="3AA18FE3">
            <w:pPr>
              <w:spacing w:before="0" w:beforeAutospacing="off" w:after="0" w:afterAutospacing="off"/>
            </w:pPr>
            <w:r w:rsidRPr="1BDB1543" w:rsidR="1BDB1543">
              <w:rPr>
                <w:rFonts w:ascii="Calibri" w:hAnsi="Calibri" w:eastAsia="Calibri" w:cs="Calibri"/>
                <w:sz w:val="22"/>
                <w:szCs w:val="22"/>
              </w:rPr>
              <w:t>Children are given a template of a chocolate bar and must design the packaging and write which flavours they used. They must also come up with an appropriate name for the chocolate bar.</w:t>
            </w:r>
          </w:p>
          <w:p w:rsidR="1BDB1543" w:rsidP="1BDB1543" w:rsidRDefault="1BDB1543" w14:paraId="5389CB06" w14:textId="1D26140C">
            <w:pPr>
              <w:pStyle w:val="ListParagraph"/>
              <w:numPr>
                <w:ilvl w:val="0"/>
                <w:numId w:val="5"/>
              </w:numPr>
              <w:spacing w:before="0" w:beforeAutospacing="off" w:after="0" w:afterAutospacing="off"/>
              <w:ind w:left="720" w:right="0" w:hanging="360"/>
              <w:rPr>
                <w:rFonts w:ascii="Calibri" w:hAnsi="Calibri" w:eastAsia="Calibri" w:cs="Calibri"/>
                <w:sz w:val="22"/>
                <w:szCs w:val="22"/>
              </w:rPr>
            </w:pPr>
            <w:r w:rsidRPr="1BDB1543" w:rsidR="1BDB1543">
              <w:rPr>
                <w:rFonts w:ascii="Calibri" w:hAnsi="Calibri" w:eastAsia="Calibri" w:cs="Calibri"/>
                <w:sz w:val="22"/>
                <w:szCs w:val="22"/>
              </w:rPr>
              <w:t>Use of Welsh</w:t>
            </w:r>
          </w:p>
          <w:p w:rsidR="1BDB1543" w:rsidP="1BDB1543" w:rsidRDefault="1BDB1543" w14:paraId="70CBBD15" w14:textId="5B1CA95A">
            <w:pPr>
              <w:spacing w:before="0" w:beforeAutospacing="off" w:after="0" w:afterAutospacing="off"/>
            </w:pPr>
            <w:r w:rsidRPr="1BDB1543" w:rsidR="1BDB1543">
              <w:rPr>
                <w:rFonts w:ascii="Calibri" w:hAnsi="Calibri" w:eastAsia="Calibri" w:cs="Calibri"/>
                <w:sz w:val="22"/>
                <w:szCs w:val="22"/>
              </w:rPr>
              <w:t>In the research task there are keywords given to the children in Welsh. They are asked in the answering task to rewrite which flavours they used using the Welsh keywords</w:t>
            </w:r>
          </w:p>
          <w:p w:rsidR="1BDB1543" w:rsidP="1BDB1543" w:rsidRDefault="1BDB1543" w14:paraId="7B8E704F" w14:textId="241A8956">
            <w:pPr>
              <w:spacing w:before="0" w:beforeAutospacing="off" w:after="0" w:afterAutospacing="off"/>
            </w:pPr>
            <w:r w:rsidRPr="1BDB1543" w:rsidR="1BDB1543">
              <w:rPr>
                <w:rFonts w:ascii="Calibri" w:hAnsi="Calibri" w:eastAsia="Calibri" w:cs="Calibri"/>
                <w:sz w:val="22"/>
                <w:szCs w:val="22"/>
              </w:rPr>
              <w:t xml:space="preserve"> </w:t>
            </w:r>
          </w:p>
        </w:tc>
        <w:tc>
          <w:tcPr>
            <w:tcW w:w="950" w:type="dxa"/>
            <w:tcBorders>
              <w:top w:val="single" w:sz="8"/>
              <w:left w:val="single" w:sz="8"/>
              <w:bottom w:val="single" w:sz="8"/>
              <w:right w:val="single" w:sz="8"/>
            </w:tcBorders>
            <w:tcMar>
              <w:left w:w="108" w:type="dxa"/>
              <w:right w:w="108" w:type="dxa"/>
            </w:tcMar>
            <w:vAlign w:val="top"/>
          </w:tcPr>
          <w:p w:rsidR="1BDB1543" w:rsidP="1BDB1543" w:rsidRDefault="1BDB1543" w14:paraId="30B893F7" w14:textId="14B2944A">
            <w:pPr>
              <w:spacing w:before="0" w:beforeAutospacing="off" w:after="0" w:afterAutospacing="off"/>
            </w:pPr>
            <w:r w:rsidRPr="1BDB1543" w:rsidR="1BDB1543">
              <w:rPr>
                <w:rFonts w:ascii="Calibri" w:hAnsi="Calibri" w:eastAsia="Calibri" w:cs="Calibri"/>
                <w:b w:val="1"/>
                <w:bCs w:val="1"/>
                <w:sz w:val="24"/>
                <w:szCs w:val="24"/>
              </w:rPr>
              <w:t xml:space="preserve">Date </w:t>
            </w:r>
            <w:r w:rsidRPr="1BDB1543" w:rsidR="1BDB1543">
              <w:rPr>
                <w:rFonts w:ascii="Calibri" w:hAnsi="Calibri" w:eastAsia="Calibri" w:cs="Calibri"/>
                <w:i w:val="1"/>
                <w:iCs w:val="1"/>
                <w:sz w:val="20"/>
                <w:szCs w:val="20"/>
              </w:rPr>
              <w:t>(please note that this may be a continuous session)</w:t>
            </w:r>
            <w:r w:rsidRPr="1BDB1543" w:rsidR="1BDB1543">
              <w:rPr>
                <w:rFonts w:ascii="Calibri" w:hAnsi="Calibri" w:eastAsia="Calibri" w:cs="Calibri"/>
                <w:b w:val="1"/>
                <w:bCs w:val="1"/>
                <w:sz w:val="24"/>
                <w:szCs w:val="24"/>
              </w:rPr>
              <w:t>: There are many task templates included therefore this could be completed over a few days.</w:t>
            </w:r>
          </w:p>
        </w:tc>
        <w:tc>
          <w:tcPr>
            <w:tcW w:w="2255" w:type="dxa"/>
            <w:tcBorders>
              <w:top w:val="single" w:sz="8"/>
              <w:left w:val="single" w:sz="8"/>
              <w:bottom w:val="single" w:sz="8"/>
              <w:right w:val="single" w:sz="8"/>
            </w:tcBorders>
            <w:tcMar>
              <w:left w:w="108" w:type="dxa"/>
              <w:right w:w="108" w:type="dxa"/>
            </w:tcMar>
            <w:vAlign w:val="top"/>
          </w:tcPr>
          <w:p w:rsidR="1BDB1543" w:rsidP="1BDB1543" w:rsidRDefault="1BDB1543" w14:paraId="44A10AF3" w14:textId="2FD6BBBA">
            <w:pPr>
              <w:spacing w:before="0" w:beforeAutospacing="off" w:after="0" w:afterAutospacing="off"/>
            </w:pPr>
            <w:r w:rsidRPr="1BDB1543" w:rsidR="1BDB1543">
              <w:rPr>
                <w:rFonts w:ascii="Calibri" w:hAnsi="Calibri" w:eastAsia="Calibri" w:cs="Calibri"/>
                <w:sz w:val="28"/>
                <w:szCs w:val="28"/>
              </w:rPr>
              <w:t xml:space="preserve"> </w:t>
            </w:r>
          </w:p>
        </w:tc>
      </w:tr>
      <w:tr w:rsidR="1BDB1543" w:rsidTr="1BDB1543" w14:paraId="422BAE49">
        <w:trPr>
          <w:trHeight w:val="885"/>
        </w:trPr>
        <w:tc>
          <w:tcPr>
            <w:tcW w:w="2253" w:type="dxa"/>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47904652" w14:textId="5AB461B3">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Meaningful links to</w:t>
            </w:r>
            <w:r w:rsidRPr="1BDB1543" w:rsidR="1BDB1543">
              <w:rPr>
                <w:rFonts w:ascii="Calibri" w:hAnsi="Calibri" w:eastAsia="Calibri" w:cs="Calibri"/>
                <w:color w:val="000000" w:themeColor="text1" w:themeTint="FF" w:themeShade="FF"/>
                <w:sz w:val="24"/>
                <w:szCs w:val="24"/>
              </w:rPr>
              <w:t xml:space="preserve"> </w:t>
            </w:r>
            <w:r w:rsidRPr="1BDB1543" w:rsidR="1BDB1543">
              <w:rPr>
                <w:rFonts w:ascii="Calibri" w:hAnsi="Calibri" w:eastAsia="Calibri" w:cs="Calibri"/>
                <w:b w:val="1"/>
                <w:bCs w:val="1"/>
                <w:color w:val="000000" w:themeColor="text1" w:themeTint="FF" w:themeShade="FF"/>
                <w:sz w:val="24"/>
                <w:szCs w:val="24"/>
              </w:rPr>
              <w:t>Curriculum</w:t>
            </w:r>
            <w:r w:rsidRPr="1BDB1543" w:rsidR="1BDB1543">
              <w:rPr>
                <w:rFonts w:ascii="Calibri" w:hAnsi="Calibri" w:eastAsia="Calibri" w:cs="Calibri"/>
                <w:color w:val="000000" w:themeColor="text1" w:themeTint="FF" w:themeShade="FF"/>
                <w:sz w:val="24"/>
                <w:szCs w:val="24"/>
              </w:rPr>
              <w:t xml:space="preserve"> </w:t>
            </w:r>
            <w:r w:rsidRPr="1BDB1543" w:rsidR="1BDB1543">
              <w:rPr>
                <w:rFonts w:ascii="Calibri" w:hAnsi="Calibri" w:eastAsia="Calibri" w:cs="Calibri"/>
                <w:color w:val="000000" w:themeColor="text1" w:themeTint="FF" w:themeShade="FF"/>
                <w:sz w:val="20"/>
                <w:szCs w:val="20"/>
              </w:rPr>
              <w:t>(What Matters Statements, Descriptions of learning, ‘previous’ curriculum...)</w:t>
            </w:r>
          </w:p>
        </w:tc>
        <w:tc>
          <w:tcPr>
            <w:tcW w:w="6762" w:type="dxa"/>
            <w:gridSpan w:val="3"/>
            <w:tcBorders>
              <w:top w:val="single" w:sz="8"/>
              <w:left w:val="single" w:sz="8"/>
              <w:bottom w:val="single" w:sz="8"/>
              <w:right w:val="single" w:sz="8"/>
            </w:tcBorders>
            <w:tcMar>
              <w:left w:w="108" w:type="dxa"/>
              <w:right w:w="108" w:type="dxa"/>
            </w:tcMar>
            <w:vAlign w:val="top"/>
          </w:tcPr>
          <w:p w:rsidR="1BDB1543" w:rsidP="1BDB1543" w:rsidRDefault="1BDB1543" w14:paraId="2EAB47AD" w14:textId="01232B1D">
            <w:pPr>
              <w:spacing w:before="0" w:beforeAutospacing="off" w:after="0" w:afterAutospacing="off"/>
            </w:pPr>
            <w:r w:rsidRPr="1BDB1543" w:rsidR="1BDB1543">
              <w:rPr>
                <w:rFonts w:ascii="Calibri" w:hAnsi="Calibri" w:eastAsia="Calibri" w:cs="Calibri"/>
                <w:color w:val="1F1F1F"/>
                <w:sz w:val="20"/>
                <w:szCs w:val="20"/>
              </w:rPr>
              <w:t>Literacy</w:t>
            </w:r>
          </w:p>
          <w:p w:rsidR="1BDB1543" w:rsidP="1BDB1543" w:rsidRDefault="1BDB1543" w14:paraId="3D792096" w14:textId="39594EC4">
            <w:pPr>
              <w:spacing w:before="0" w:beforeAutospacing="off" w:after="0" w:afterAutospacing="off"/>
            </w:pPr>
            <w:r w:rsidRPr="1BDB1543" w:rsidR="1BDB1543">
              <w:rPr>
                <w:rFonts w:ascii="Calibri" w:hAnsi="Calibri" w:eastAsia="Calibri" w:cs="Calibri"/>
                <w:color w:val="1F1F1F"/>
                <w:sz w:val="20"/>
                <w:szCs w:val="20"/>
              </w:rPr>
              <w:t xml:space="preserve">I can recognise that there is a relationship between languages, </w:t>
            </w:r>
            <w:r w:rsidRPr="1BDB1543" w:rsidR="1BDB1543">
              <w:rPr>
                <w:rFonts w:ascii="Calibri" w:hAnsi="Calibri" w:eastAsia="Calibri" w:cs="Calibri"/>
                <w:color w:val="1F1F1F"/>
                <w:sz w:val="20"/>
                <w:szCs w:val="20"/>
              </w:rPr>
              <w:t>culture</w:t>
            </w:r>
            <w:r w:rsidRPr="1BDB1543" w:rsidR="1BDB1543">
              <w:rPr>
                <w:rFonts w:ascii="Calibri" w:hAnsi="Calibri" w:eastAsia="Calibri" w:cs="Calibri"/>
                <w:color w:val="1F1F1F"/>
                <w:sz w:val="20"/>
                <w:szCs w:val="20"/>
              </w:rPr>
              <w:t xml:space="preserve"> and my own sense of Welsh’ identity.</w:t>
            </w:r>
          </w:p>
          <w:p w:rsidR="1BDB1543" w:rsidP="1BDB1543" w:rsidRDefault="1BDB1543" w14:paraId="26946702" w14:textId="0905AFA4">
            <w:pPr>
              <w:spacing w:before="0" w:beforeAutospacing="off" w:after="0" w:afterAutospacing="off"/>
              <w:rPr>
                <w:rFonts w:ascii="Calibri" w:hAnsi="Calibri" w:eastAsia="Calibri" w:cs="Calibri"/>
                <w:color w:val="1F1F1F"/>
                <w:sz w:val="20"/>
                <w:szCs w:val="20"/>
              </w:rPr>
            </w:pPr>
          </w:p>
          <w:p w:rsidR="1BDB1543" w:rsidP="1BDB1543" w:rsidRDefault="1BDB1543" w14:paraId="6CC725E4" w14:textId="65409D30">
            <w:pPr>
              <w:spacing w:before="0" w:beforeAutospacing="off" w:after="0" w:afterAutospacing="off"/>
            </w:pPr>
            <w:r w:rsidRPr="1BDB1543" w:rsidR="1BDB1543">
              <w:rPr>
                <w:rFonts w:ascii="Calibri" w:hAnsi="Calibri" w:eastAsia="Calibri" w:cs="Calibri"/>
                <w:color w:val="1F1F1F"/>
                <w:sz w:val="20"/>
                <w:szCs w:val="20"/>
              </w:rPr>
              <w:t>Understanding language is key to understanding the world around us: I can listen to, understand and later recall what I have seen.</w:t>
            </w:r>
          </w:p>
          <w:p w:rsidR="1BDB1543" w:rsidP="1BDB1543" w:rsidRDefault="1BDB1543" w14:paraId="0BA1F397" w14:textId="3A8D3DB2">
            <w:pPr>
              <w:spacing w:before="0" w:beforeAutospacing="off" w:after="0" w:afterAutospacing="off"/>
            </w:pPr>
            <w:r w:rsidRPr="1BDB1543" w:rsidR="1BDB1543">
              <w:rPr>
                <w:rFonts w:ascii="Calibri" w:hAnsi="Calibri" w:eastAsia="Calibri" w:cs="Calibri"/>
                <w:color w:val="1F1F1F"/>
                <w:sz w:val="20"/>
                <w:szCs w:val="20"/>
              </w:rPr>
              <w:t>to talk about them.</w:t>
            </w:r>
          </w:p>
          <w:p w:rsidR="1BDB1543" w:rsidP="1BDB1543" w:rsidRDefault="1BDB1543" w14:paraId="5D8522AA" w14:textId="7047DC3E">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42240226" w14:textId="04342ACA">
            <w:pPr>
              <w:spacing w:before="0" w:beforeAutospacing="off" w:after="0" w:afterAutospacing="off"/>
            </w:pPr>
            <w:r w:rsidRPr="1BDB1543" w:rsidR="1BDB1543">
              <w:rPr>
                <w:rFonts w:ascii="Calibri" w:hAnsi="Calibri" w:eastAsia="Calibri" w:cs="Calibri"/>
                <w:color w:val="1F1F1F"/>
                <w:sz w:val="20"/>
                <w:szCs w:val="20"/>
              </w:rPr>
              <w:t>I can consider the plot, character, theme and context of literature I experience supporting my ideas and opinions with evidence from the literature.</w:t>
            </w:r>
          </w:p>
          <w:p w:rsidR="1BDB1543" w:rsidP="1BDB1543" w:rsidRDefault="1BDB1543" w14:paraId="597EF56B" w14:textId="738E0DF0">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175B1FB2" w14:textId="5E6DA7C7">
            <w:pPr>
              <w:spacing w:before="0" w:beforeAutospacing="off" w:after="0" w:afterAutospacing="off"/>
            </w:pPr>
            <w:r w:rsidRPr="1BDB1543" w:rsidR="1BDB1543">
              <w:rPr>
                <w:rFonts w:ascii="Calibri" w:hAnsi="Calibri" w:eastAsia="Calibri" w:cs="Calibri"/>
                <w:color w:val="1F1F1F"/>
                <w:sz w:val="20"/>
                <w:szCs w:val="20"/>
              </w:rPr>
              <w:t>I can make connections between what I hear, read and view.</w:t>
            </w:r>
          </w:p>
          <w:p w:rsidR="1BDB1543" w:rsidP="1BDB1543" w:rsidRDefault="1BDB1543" w14:paraId="2BBA184E" w14:textId="06C5E9FF">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7A5B3679" w14:textId="6077BAC5">
            <w:pPr>
              <w:spacing w:before="0" w:beforeAutospacing="off" w:after="0" w:afterAutospacing="off"/>
            </w:pPr>
            <w:r w:rsidRPr="1BDB1543" w:rsidR="1BDB1543">
              <w:rPr>
                <w:rFonts w:ascii="Calibri" w:hAnsi="Calibri" w:eastAsia="Calibri" w:cs="Calibri"/>
                <w:color w:val="1F1F1F"/>
                <w:sz w:val="20"/>
                <w:szCs w:val="20"/>
              </w:rPr>
              <w:t>Mathematics</w:t>
            </w:r>
          </w:p>
          <w:p w:rsidR="1BDB1543" w:rsidP="1BDB1543" w:rsidRDefault="1BDB1543" w14:paraId="3C0BFC9C" w14:textId="3E7E13FC">
            <w:pPr>
              <w:spacing w:before="0" w:beforeAutospacing="off" w:after="0" w:afterAutospacing="off"/>
            </w:pPr>
            <w:r w:rsidRPr="1BDB1543" w:rsidR="1BDB1543">
              <w:rPr>
                <w:rFonts w:ascii="Calibri" w:hAnsi="Calibri" w:eastAsia="Calibri" w:cs="Calibri"/>
                <w:color w:val="1F1F1F"/>
                <w:sz w:val="20"/>
                <w:szCs w:val="20"/>
              </w:rPr>
              <w:t>I can notice, recognise and write numbers in a range of media, through a multisensory approach, from 0 to 10 and beyond.</w:t>
            </w:r>
          </w:p>
          <w:p w:rsidR="1BDB1543" w:rsidP="1BDB1543" w:rsidRDefault="1BDB1543" w14:paraId="09F89081" w14:textId="79FEAC17">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03D98A1A" w14:textId="742C5B71">
            <w:pPr>
              <w:spacing w:before="0" w:beforeAutospacing="off" w:after="0" w:afterAutospacing="off"/>
            </w:pPr>
            <w:r w:rsidRPr="1BDB1543" w:rsidR="1BDB1543">
              <w:rPr>
                <w:rFonts w:ascii="Calibri" w:hAnsi="Calibri" w:eastAsia="Calibri" w:cs="Calibri"/>
                <w:color w:val="1F1F1F"/>
                <w:sz w:val="20"/>
                <w:szCs w:val="20"/>
              </w:rPr>
              <w:t>I have explored measuring, using counting, measuring equipment and calculating, and I can choose the most appropriate method to measure.</w:t>
            </w:r>
          </w:p>
          <w:p w:rsidR="1BDB1543" w:rsidP="1BDB1543" w:rsidRDefault="1BDB1543" w14:paraId="28DD812A" w14:textId="1ACBB3A1">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2A9B7053" w14:textId="51782684">
            <w:pPr>
              <w:spacing w:before="0" w:beforeAutospacing="off" w:after="0" w:afterAutospacing="off"/>
            </w:pPr>
            <w:r w:rsidRPr="1BDB1543" w:rsidR="1BDB1543">
              <w:rPr>
                <w:rFonts w:ascii="Calibri" w:hAnsi="Calibri" w:eastAsia="Calibri" w:cs="Calibri"/>
                <w:color w:val="1F1F1F"/>
                <w:sz w:val="20"/>
                <w:szCs w:val="20"/>
              </w:rPr>
              <w:t>Art</w:t>
            </w:r>
          </w:p>
          <w:p w:rsidR="1BDB1543" w:rsidP="1BDB1543" w:rsidRDefault="1BDB1543" w14:paraId="7B510B19" w14:textId="02EDFBAD">
            <w:pPr>
              <w:spacing w:before="0" w:beforeAutospacing="off" w:after="0" w:afterAutospacing="off"/>
            </w:pPr>
            <w:r w:rsidRPr="1BDB1543" w:rsidR="1BDB1543">
              <w:rPr>
                <w:rFonts w:ascii="Calibri" w:hAnsi="Calibri" w:eastAsia="Calibri" w:cs="Calibri"/>
                <w:color w:val="1F1F1F"/>
                <w:sz w:val="20"/>
                <w:szCs w:val="20"/>
              </w:rPr>
              <w:t>I can communicate my ideas, feelings and memories in my creative work.</w:t>
            </w:r>
          </w:p>
          <w:p w:rsidR="1BDB1543" w:rsidP="1BDB1543" w:rsidRDefault="1BDB1543" w14:paraId="5D1A1A3E" w14:textId="7D25884D">
            <w:pPr>
              <w:spacing w:before="0" w:beforeAutospacing="off" w:after="0" w:afterAutospacing="off"/>
            </w:pPr>
            <w:r w:rsidRPr="1BDB1543" w:rsidR="1BDB1543">
              <w:rPr>
                <w:rFonts w:ascii="Calibri" w:hAnsi="Calibri" w:eastAsia="Calibri" w:cs="Calibri"/>
                <w:color w:val="1F1F1F"/>
                <w:sz w:val="20"/>
                <w:szCs w:val="20"/>
              </w:rPr>
              <w:t xml:space="preserve"> </w:t>
            </w:r>
          </w:p>
          <w:p w:rsidR="1BDB1543" w:rsidP="1BDB1543" w:rsidRDefault="1BDB1543" w14:paraId="7BE296BD" w14:textId="7EB5C1D6">
            <w:pPr>
              <w:spacing w:before="0" w:beforeAutospacing="off" w:after="0" w:afterAutospacing="off"/>
            </w:pPr>
            <w:r w:rsidRPr="1BDB1543" w:rsidR="1BDB1543">
              <w:rPr>
                <w:rFonts w:ascii="Calibri" w:hAnsi="Calibri" w:eastAsia="Calibri" w:cs="Calibri"/>
                <w:color w:val="1F1F1F"/>
                <w:sz w:val="20"/>
                <w:szCs w:val="20"/>
              </w:rPr>
              <w:t>I am beginning to design my own creative work.</w:t>
            </w:r>
          </w:p>
          <w:p w:rsidR="1BDB1543" w:rsidP="1BDB1543" w:rsidRDefault="1BDB1543" w14:paraId="6BA20F64" w14:textId="33C30675">
            <w:pPr>
              <w:spacing w:before="0" w:beforeAutospacing="off" w:after="0" w:afterAutospacing="off"/>
            </w:pPr>
            <w:r w:rsidRPr="1BDB1543" w:rsidR="1BDB1543">
              <w:rPr>
                <w:rFonts w:ascii="Calibri" w:hAnsi="Calibri" w:eastAsia="Calibri" w:cs="Calibri"/>
                <w:color w:val="1F1F1F"/>
                <w:sz w:val="20"/>
                <w:szCs w:val="20"/>
              </w:rPr>
              <w:t xml:space="preserve"> </w:t>
            </w:r>
          </w:p>
        </w:tc>
      </w:tr>
      <w:tr w:rsidR="1BDB1543" w:rsidTr="1BDB1543" w14:paraId="16CEB5FA">
        <w:trPr>
          <w:trHeight w:val="885"/>
        </w:trPr>
        <w:tc>
          <w:tcPr>
            <w:tcW w:w="2253" w:type="dxa"/>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002D2A43" w14:textId="3278A108">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 xml:space="preserve">Meaningful links across the curriculum </w:t>
            </w:r>
            <w:r>
              <w:br/>
            </w:r>
            <w:r w:rsidRPr="1BDB1543" w:rsidR="1BDB1543">
              <w:rPr>
                <w:rFonts w:ascii="Calibri" w:hAnsi="Calibri" w:eastAsia="Calibri" w:cs="Calibri"/>
                <w:i w:val="1"/>
                <w:iCs w:val="1"/>
                <w:color w:val="000000" w:themeColor="text1" w:themeTint="FF" w:themeShade="FF"/>
                <w:sz w:val="20"/>
                <w:szCs w:val="20"/>
              </w:rPr>
              <w:t xml:space="preserve">Links to other AoLEs or the  </w:t>
            </w:r>
            <w:hyperlink w:anchor="overview" r:id="R280dd9fdd17949c8">
              <w:r w:rsidRPr="1BDB1543" w:rsidR="1BDB1543">
                <w:rPr>
                  <w:rStyle w:val="Hyperlink"/>
                  <w:rFonts w:ascii="Calibri" w:hAnsi="Calibri" w:eastAsia="Calibri" w:cs="Calibri"/>
                  <w:strike w:val="0"/>
                  <w:dstrike w:val="0"/>
                  <w:color w:val="0563C1"/>
                  <w:sz w:val="20"/>
                  <w:szCs w:val="20"/>
                  <w:u w:val="single"/>
                </w:rPr>
                <w:t>Cross-curricular skills frameworks)</w:t>
              </w:r>
            </w:hyperlink>
          </w:p>
        </w:tc>
        <w:tc>
          <w:tcPr>
            <w:tcW w:w="6762" w:type="dxa"/>
            <w:gridSpan w:val="3"/>
            <w:tcBorders>
              <w:top w:val="single" w:sz="8"/>
              <w:left w:val="single" w:sz="8"/>
              <w:bottom w:val="single" w:sz="8"/>
              <w:right w:val="single" w:sz="8"/>
            </w:tcBorders>
            <w:tcMar>
              <w:left w:w="108" w:type="dxa"/>
              <w:right w:w="108" w:type="dxa"/>
            </w:tcMar>
            <w:vAlign w:val="top"/>
          </w:tcPr>
          <w:p w:rsidR="1BDB1543" w:rsidP="1BDB1543" w:rsidRDefault="1BDB1543" w14:paraId="33CB4F90" w14:textId="494D62F5">
            <w:pPr>
              <w:spacing w:before="0" w:beforeAutospacing="off" w:after="0" w:afterAutospacing="off"/>
            </w:pPr>
            <w:r w:rsidRPr="1BDB1543" w:rsidR="1BDB1543">
              <w:rPr>
                <w:rFonts w:ascii="Calibri" w:hAnsi="Calibri" w:eastAsia="Calibri" w:cs="Calibri"/>
                <w:color w:val="1F1F1F"/>
                <w:sz w:val="22"/>
                <w:szCs w:val="22"/>
              </w:rPr>
              <w:t xml:space="preserve">Links to: </w:t>
            </w:r>
          </w:p>
          <w:p w:rsidR="1BDB1543" w:rsidP="1BDB1543" w:rsidRDefault="1BDB1543" w14:paraId="45FB4788" w14:textId="534663E8">
            <w:pPr>
              <w:pStyle w:val="ListParagraph"/>
              <w:numPr>
                <w:ilvl w:val="0"/>
                <w:numId w:val="5"/>
              </w:numPr>
              <w:spacing w:before="0" w:beforeAutospacing="off" w:after="0" w:afterAutospacing="off"/>
              <w:ind w:left="720" w:right="0" w:hanging="360"/>
              <w:rPr>
                <w:rFonts w:ascii="Calibri" w:hAnsi="Calibri" w:eastAsia="Calibri" w:cs="Calibri"/>
                <w:color w:val="1F1F1F"/>
                <w:sz w:val="22"/>
                <w:szCs w:val="22"/>
              </w:rPr>
            </w:pPr>
            <w:r w:rsidRPr="1BDB1543" w:rsidR="1BDB1543">
              <w:rPr>
                <w:rFonts w:ascii="Calibri" w:hAnsi="Calibri" w:eastAsia="Calibri" w:cs="Calibri"/>
                <w:color w:val="1F1F1F"/>
                <w:sz w:val="22"/>
                <w:szCs w:val="22"/>
              </w:rPr>
              <w:t>Mathematics</w:t>
            </w:r>
          </w:p>
          <w:p w:rsidR="1BDB1543" w:rsidP="1BDB1543" w:rsidRDefault="1BDB1543" w14:paraId="44DB9803" w14:textId="016F272E">
            <w:pPr>
              <w:pStyle w:val="ListParagraph"/>
              <w:numPr>
                <w:ilvl w:val="0"/>
                <w:numId w:val="5"/>
              </w:numPr>
              <w:spacing w:before="0" w:beforeAutospacing="off" w:after="0" w:afterAutospacing="off"/>
              <w:ind w:left="720" w:right="0" w:hanging="360"/>
              <w:rPr>
                <w:rFonts w:ascii="Calibri" w:hAnsi="Calibri" w:eastAsia="Calibri" w:cs="Calibri"/>
                <w:color w:val="1F1F1F"/>
                <w:sz w:val="22"/>
                <w:szCs w:val="22"/>
              </w:rPr>
            </w:pPr>
            <w:r w:rsidRPr="1BDB1543" w:rsidR="1BDB1543">
              <w:rPr>
                <w:rFonts w:ascii="Calibri" w:hAnsi="Calibri" w:eastAsia="Calibri" w:cs="Calibri"/>
                <w:color w:val="1F1F1F"/>
                <w:sz w:val="22"/>
                <w:szCs w:val="22"/>
              </w:rPr>
              <w:t>Literacy</w:t>
            </w:r>
          </w:p>
          <w:p w:rsidR="1BDB1543" w:rsidP="1BDB1543" w:rsidRDefault="1BDB1543" w14:paraId="7F369C9C" w14:textId="585911B5">
            <w:pPr>
              <w:pStyle w:val="ListParagraph"/>
              <w:numPr>
                <w:ilvl w:val="0"/>
                <w:numId w:val="5"/>
              </w:numPr>
              <w:spacing w:before="0" w:beforeAutospacing="off" w:after="0" w:afterAutospacing="off"/>
              <w:ind w:left="720" w:right="0" w:hanging="360"/>
              <w:rPr>
                <w:rFonts w:ascii="Calibri" w:hAnsi="Calibri" w:eastAsia="Calibri" w:cs="Calibri"/>
                <w:color w:val="1F1F1F"/>
                <w:sz w:val="22"/>
                <w:szCs w:val="22"/>
              </w:rPr>
            </w:pPr>
            <w:r w:rsidRPr="1BDB1543" w:rsidR="1BDB1543">
              <w:rPr>
                <w:rFonts w:ascii="Calibri" w:hAnsi="Calibri" w:eastAsia="Calibri" w:cs="Calibri"/>
                <w:color w:val="1F1F1F"/>
                <w:sz w:val="22"/>
                <w:szCs w:val="22"/>
              </w:rPr>
              <w:t>Research</w:t>
            </w:r>
          </w:p>
          <w:p w:rsidR="1BDB1543" w:rsidP="1BDB1543" w:rsidRDefault="1BDB1543" w14:paraId="671B1089" w14:textId="4FAC2C26">
            <w:pPr>
              <w:pStyle w:val="ListParagraph"/>
              <w:numPr>
                <w:ilvl w:val="0"/>
                <w:numId w:val="5"/>
              </w:numPr>
              <w:spacing w:before="0" w:beforeAutospacing="off" w:after="0" w:afterAutospacing="off"/>
              <w:ind w:left="720" w:right="0" w:hanging="360"/>
              <w:rPr>
                <w:rFonts w:ascii="Calibri" w:hAnsi="Calibri" w:eastAsia="Calibri" w:cs="Calibri"/>
                <w:color w:val="1F1F1F"/>
                <w:sz w:val="22"/>
                <w:szCs w:val="22"/>
              </w:rPr>
            </w:pPr>
            <w:r w:rsidRPr="1BDB1543" w:rsidR="1BDB1543">
              <w:rPr>
                <w:rFonts w:ascii="Calibri" w:hAnsi="Calibri" w:eastAsia="Calibri" w:cs="Calibri"/>
                <w:color w:val="1F1F1F"/>
                <w:sz w:val="22"/>
                <w:szCs w:val="22"/>
              </w:rPr>
              <w:t>Art</w:t>
            </w:r>
          </w:p>
          <w:p w:rsidR="1BDB1543" w:rsidP="1BDB1543" w:rsidRDefault="1BDB1543" w14:paraId="6D323F09" w14:textId="73F2535B">
            <w:pPr>
              <w:pStyle w:val="ListParagraph"/>
              <w:numPr>
                <w:ilvl w:val="0"/>
                <w:numId w:val="5"/>
              </w:numPr>
              <w:spacing w:before="0" w:beforeAutospacing="off" w:after="0" w:afterAutospacing="off"/>
              <w:ind w:left="720" w:right="0" w:hanging="360"/>
              <w:rPr>
                <w:rFonts w:ascii="Calibri" w:hAnsi="Calibri" w:eastAsia="Calibri" w:cs="Calibri"/>
                <w:color w:val="1F1F1F"/>
                <w:sz w:val="22"/>
                <w:szCs w:val="22"/>
              </w:rPr>
            </w:pPr>
            <w:r w:rsidRPr="1BDB1543" w:rsidR="1BDB1543">
              <w:rPr>
                <w:rFonts w:ascii="Calibri" w:hAnsi="Calibri" w:eastAsia="Calibri" w:cs="Calibri"/>
                <w:color w:val="1F1F1F"/>
                <w:sz w:val="22"/>
                <w:szCs w:val="22"/>
              </w:rPr>
              <w:t>Welsh</w:t>
            </w:r>
          </w:p>
        </w:tc>
      </w:tr>
      <w:tr w:rsidR="1BDB1543" w:rsidTr="1BDB1543" w14:paraId="285AD5FA">
        <w:trPr>
          <w:trHeight w:val="795"/>
        </w:trPr>
        <w:tc>
          <w:tcPr>
            <w:tcW w:w="9015" w:type="dxa"/>
            <w:gridSpan w:val="4"/>
            <w:tcBorders>
              <w:top w:val="single" w:sz="8"/>
              <w:left w:val="single" w:sz="8"/>
              <w:bottom w:val="single" w:sz="8"/>
              <w:right w:val="single" w:sz="8"/>
            </w:tcBorders>
            <w:tcMar>
              <w:left w:w="108" w:type="dxa"/>
              <w:right w:w="108" w:type="dxa"/>
            </w:tcMar>
            <w:vAlign w:val="top"/>
          </w:tcPr>
          <w:p w:rsidR="1BDB1543" w:rsidP="1BDB1543" w:rsidRDefault="1BDB1543" w14:paraId="131E5A68" w14:textId="04AB645E">
            <w:pPr>
              <w:spacing w:before="0" w:beforeAutospacing="off" w:after="0" w:afterAutospacing="off"/>
            </w:pPr>
            <w:r w:rsidRPr="1BDB1543" w:rsidR="1BDB1543">
              <w:rPr>
                <w:rFonts w:ascii="Calibri" w:hAnsi="Calibri" w:eastAsia="Calibri" w:cs="Calibri"/>
                <w:b w:val="1"/>
                <w:bCs w:val="1"/>
                <w:sz w:val="24"/>
                <w:szCs w:val="24"/>
              </w:rPr>
              <w:t>Personal Targets</w:t>
            </w:r>
            <w:r w:rsidRPr="1BDB1543" w:rsidR="1BDB1543">
              <w:rPr>
                <w:rFonts w:ascii="Calibri" w:hAnsi="Calibri" w:eastAsia="Calibri" w:cs="Calibri"/>
                <w:sz w:val="24"/>
                <w:szCs w:val="24"/>
              </w:rPr>
              <w:t xml:space="preserve"> </w:t>
            </w:r>
            <w:r w:rsidRPr="1BDB1543" w:rsidR="1BDB1543">
              <w:rPr>
                <w:rFonts w:ascii="Calibri" w:hAnsi="Calibri" w:eastAsia="Calibri" w:cs="Calibri"/>
                <w:sz w:val="20"/>
                <w:szCs w:val="20"/>
              </w:rPr>
              <w:t>(</w:t>
            </w:r>
            <w:r w:rsidRPr="1BDB1543" w:rsidR="1BDB1543">
              <w:rPr>
                <w:rFonts w:ascii="Calibri" w:hAnsi="Calibri" w:eastAsia="Calibri" w:cs="Calibri"/>
                <w:color w:val="333333"/>
                <w:sz w:val="20"/>
                <w:szCs w:val="20"/>
              </w:rPr>
              <w:t xml:space="preserve">targets and consequent impact on learning - refer to any targets that have been identified in learning journal or weekly reflection meeting and describe the desired impact on learning) </w:t>
            </w:r>
          </w:p>
          <w:p w:rsidR="1BDB1543" w:rsidP="1BDB1543" w:rsidRDefault="1BDB1543" w14:paraId="3812E2CE" w14:textId="59721D09">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 xml:space="preserve">I would like to engage the children in the story initially and use this to introduce the letter as the hook. </w:t>
            </w:r>
          </w:p>
          <w:p w:rsidR="1BDB1543" w:rsidP="1BDB1543" w:rsidRDefault="1BDB1543" w14:paraId="37883C43" w14:textId="1DB389B5">
            <w:pPr>
              <w:spacing w:before="0" w:beforeAutospacing="off" w:after="0" w:afterAutospacing="off"/>
              <w:ind w:left="720" w:right="0"/>
            </w:pPr>
            <w:r w:rsidRPr="1BDB1543" w:rsidR="1BDB1543">
              <w:rPr>
                <w:rFonts w:ascii="Segoe UI" w:hAnsi="Segoe UI" w:eastAsia="Segoe UI" w:cs="Segoe UI"/>
                <w:color w:val="333333"/>
                <w:sz w:val="18"/>
                <w:szCs w:val="18"/>
              </w:rPr>
              <w:t xml:space="preserve"> </w:t>
            </w:r>
          </w:p>
        </w:tc>
      </w:tr>
      <w:tr w:rsidR="1BDB1543" w:rsidTr="1BDB1543" w14:paraId="20CE083D">
        <w:trPr>
          <w:trHeight w:val="300"/>
        </w:trPr>
        <w:tc>
          <w:tcPr>
            <w:tcW w:w="9015" w:type="dxa"/>
            <w:gridSpan w:val="4"/>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37003AEA" w14:textId="1995896C">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Learning Intention</w:t>
            </w:r>
          </w:p>
          <w:p w:rsidR="1BDB1543" w:rsidP="1BDB1543" w:rsidRDefault="1BDB1543" w14:paraId="05D3042C" w14:textId="42509E32">
            <w:pPr>
              <w:spacing w:before="0" w:beforeAutospacing="off" w:after="0" w:afterAutospacing="off"/>
            </w:pPr>
            <w:r w:rsidRPr="1BDB1543" w:rsidR="1BDB1543">
              <w:rPr>
                <w:rFonts w:ascii="Calibri" w:hAnsi="Calibri" w:eastAsia="Calibri" w:cs="Calibri"/>
                <w:i w:val="1"/>
                <w:iCs w:val="1"/>
                <w:color w:val="000000" w:themeColor="text1" w:themeTint="FF" w:themeShade="FF"/>
                <w:sz w:val="20"/>
                <w:szCs w:val="20"/>
              </w:rPr>
              <w:t>‘This should focus on the pupils’ learning during the lesson, rather than what they will be doing, and should be short, achievable and measurable.’ (</w:t>
            </w:r>
            <w:r w:rsidRPr="1BDB1543" w:rsidR="1BDB1543">
              <w:rPr>
                <w:rFonts w:ascii="Calibri" w:hAnsi="Calibri" w:eastAsia="Calibri" w:cs="Calibri"/>
                <w:color w:val="000000" w:themeColor="text1" w:themeTint="FF" w:themeShade="FF"/>
                <w:sz w:val="20"/>
                <w:szCs w:val="20"/>
              </w:rPr>
              <w:t>Crichton, H., and Mcdaid, A. 2016 p. 196)</w:t>
            </w:r>
          </w:p>
        </w:tc>
      </w:tr>
      <w:tr w:rsidR="1BDB1543" w:rsidTr="1BDB1543" w14:paraId="1B66AA28">
        <w:trPr>
          <w:trHeight w:val="300"/>
        </w:trPr>
        <w:tc>
          <w:tcPr>
            <w:tcW w:w="9015" w:type="dxa"/>
            <w:gridSpan w:val="4"/>
            <w:tcBorders>
              <w:top w:val="single" w:sz="8"/>
              <w:left w:val="single" w:sz="8"/>
              <w:bottom w:val="single" w:sz="8"/>
              <w:right w:val="single" w:sz="8"/>
            </w:tcBorders>
            <w:tcMar>
              <w:left w:w="108" w:type="dxa"/>
              <w:right w:w="108" w:type="dxa"/>
            </w:tcMar>
            <w:vAlign w:val="top"/>
          </w:tcPr>
          <w:p w:rsidR="1BDB1543" w:rsidP="1BDB1543" w:rsidRDefault="1BDB1543" w14:paraId="7526A2F1" w14:textId="6D89D372">
            <w:pPr>
              <w:spacing w:before="0" w:beforeAutospacing="off" w:after="0" w:afterAutospacing="off"/>
            </w:pPr>
            <w:r w:rsidRPr="1BDB1543" w:rsidR="1BDB1543">
              <w:rPr>
                <w:rFonts w:ascii="Calibri" w:hAnsi="Calibri" w:eastAsia="Calibri" w:cs="Calibri"/>
                <w:sz w:val="24"/>
                <w:szCs w:val="24"/>
              </w:rPr>
              <w:t>Children will be expected to create a brand-new chocolate for Roald Dahl’s Willy Wonka. This will be done using a cross-curricular approach.</w:t>
            </w:r>
          </w:p>
          <w:p w:rsidR="1BDB1543" w:rsidP="1BDB1543" w:rsidRDefault="1BDB1543" w14:paraId="7B167D6C" w14:textId="3A6E2B69">
            <w:pPr>
              <w:spacing w:before="0" w:beforeAutospacing="off" w:after="0" w:afterAutospacing="off"/>
            </w:pPr>
            <w:r w:rsidRPr="1BDB1543" w:rsidR="1BDB1543">
              <w:rPr>
                <w:rFonts w:ascii="Calibri" w:hAnsi="Calibri" w:eastAsia="Calibri" w:cs="Calibri"/>
                <w:sz w:val="24"/>
                <w:szCs w:val="24"/>
              </w:rPr>
              <w:t xml:space="preserve"> </w:t>
            </w:r>
          </w:p>
        </w:tc>
      </w:tr>
      <w:tr w:rsidR="1BDB1543" w:rsidTr="1BDB1543" w14:paraId="29923C25">
        <w:trPr>
          <w:trHeight w:val="555"/>
        </w:trPr>
        <w:tc>
          <w:tcPr>
            <w:tcW w:w="9015" w:type="dxa"/>
            <w:gridSpan w:val="4"/>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0CEB1C4D" w14:textId="144FB954">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 xml:space="preserve">Success Criteria </w:t>
            </w:r>
          </w:p>
          <w:p w:rsidR="1BDB1543" w:rsidP="1BDB1543" w:rsidRDefault="1BDB1543" w14:paraId="52AF5009" w14:textId="21E9EF19">
            <w:pPr>
              <w:spacing w:before="0" w:beforeAutospacing="off" w:after="0" w:afterAutospacing="off"/>
            </w:pPr>
            <w:r w:rsidRPr="1BDB1543" w:rsidR="1BDB1543">
              <w:rPr>
                <w:rFonts w:ascii="Calibri" w:hAnsi="Calibri" w:eastAsia="Calibri" w:cs="Calibri"/>
                <w:i w:val="1"/>
                <w:iCs w:val="1"/>
                <w:color w:val="000000" w:themeColor="text1" w:themeTint="FF" w:themeShade="FF"/>
                <w:sz w:val="20"/>
                <w:szCs w:val="20"/>
              </w:rPr>
              <w:t>What the pupils need to demonstrate to successfully meet the Learning Intention.</w:t>
            </w:r>
          </w:p>
        </w:tc>
      </w:tr>
      <w:tr w:rsidR="1BDB1543" w:rsidTr="1BDB1543" w14:paraId="19D98457">
        <w:trPr>
          <w:trHeight w:val="705"/>
        </w:trPr>
        <w:tc>
          <w:tcPr>
            <w:tcW w:w="9015" w:type="dxa"/>
            <w:gridSpan w:val="4"/>
            <w:tcBorders>
              <w:top w:val="single" w:sz="8"/>
              <w:left w:val="single" w:sz="8"/>
              <w:bottom w:val="single" w:sz="8"/>
              <w:right w:val="single" w:sz="8"/>
            </w:tcBorders>
            <w:tcMar>
              <w:left w:w="108" w:type="dxa"/>
              <w:right w:w="108" w:type="dxa"/>
            </w:tcMar>
            <w:vAlign w:val="top"/>
          </w:tcPr>
          <w:p w:rsidR="1BDB1543" w:rsidP="1BDB1543" w:rsidRDefault="1BDB1543" w14:paraId="5423ADCE" w14:textId="7A706356">
            <w:pPr>
              <w:spacing w:before="0" w:beforeAutospacing="off" w:after="0" w:afterAutospacing="off"/>
            </w:pPr>
            <w:r w:rsidRPr="1BDB1543" w:rsidR="1BDB1543">
              <w:rPr>
                <w:rFonts w:ascii="Calibri" w:hAnsi="Calibri" w:eastAsia="Calibri" w:cs="Calibri"/>
                <w:sz w:val="24"/>
                <w:szCs w:val="24"/>
              </w:rPr>
              <w:t>The hook for the students is a letter from Willy Wonka asking the children of class 7 (YEAR 2) to create a new concept for him/chocolate for him. He includes ‘rules’ which discuss expectations.</w:t>
            </w:r>
          </w:p>
          <w:p w:rsidR="1BDB1543" w:rsidP="1BDB1543" w:rsidRDefault="1BDB1543" w14:paraId="707C851B" w14:textId="6E22F6AD">
            <w:pPr>
              <w:spacing w:before="0" w:beforeAutospacing="off" w:after="0" w:afterAutospacing="off"/>
            </w:pPr>
            <w:r w:rsidRPr="1BDB1543" w:rsidR="1BDB1543">
              <w:rPr>
                <w:rFonts w:ascii="Calibri" w:hAnsi="Calibri" w:eastAsia="Calibri" w:cs="Calibri"/>
                <w:sz w:val="24"/>
                <w:szCs w:val="24"/>
              </w:rPr>
              <w:t xml:space="preserve">All students must: </w:t>
            </w:r>
          </w:p>
          <w:p w:rsidR="1BDB1543" w:rsidP="1BDB1543" w:rsidRDefault="1BDB1543" w14:paraId="3632D7FF" w14:textId="0B9EC6BE">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Identify the cost of their chocolate using the flavour shop (RESOURCE CREATED).</w:t>
            </w:r>
          </w:p>
          <w:p w:rsidR="1BDB1543" w:rsidP="1BDB1543" w:rsidRDefault="1BDB1543" w14:paraId="527FFFAE" w14:textId="1EC45C2C">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Create a packaging for their chocolate and create a creative name for the product.</w:t>
            </w:r>
          </w:p>
          <w:p w:rsidR="1BDB1543" w:rsidP="1BDB1543" w:rsidRDefault="1BDB1543" w14:paraId="466BBABB" w14:textId="4321B63A">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Children must use their knowledge from previous task given in this activity to discuss which flavours they will be using.</w:t>
            </w:r>
          </w:p>
          <w:p w:rsidR="1BDB1543" w:rsidP="1BDB1543" w:rsidRDefault="1BDB1543" w14:paraId="0CD20204" w14:textId="049FF675">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 xml:space="preserve">Children must use the research sheet which provides information to effectively answer the question sheet given. </w:t>
            </w:r>
          </w:p>
          <w:p w:rsidR="1BDB1543" w:rsidP="1BDB1543" w:rsidRDefault="1BDB1543" w14:paraId="76B3B2C1" w14:textId="49F4A091">
            <w:pPr>
              <w:pStyle w:val="ListParagraph"/>
              <w:numPr>
                <w:ilvl w:val="0"/>
                <w:numId w:val="5"/>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 xml:space="preserve">Children will need to use all previous tasks to create their letter in response to the initial hook. </w:t>
            </w:r>
          </w:p>
        </w:tc>
      </w:tr>
      <w:tr w:rsidR="1BDB1543" w:rsidTr="1BDB1543" w14:paraId="08E46C72">
        <w:trPr>
          <w:trHeight w:val="555"/>
        </w:trPr>
        <w:tc>
          <w:tcPr>
            <w:tcW w:w="9015" w:type="dxa"/>
            <w:gridSpan w:val="4"/>
            <w:tcBorders>
              <w:top w:val="single" w:sz="8"/>
              <w:left w:val="single" w:sz="8"/>
              <w:bottom w:val="single" w:sz="8"/>
              <w:right w:val="single" w:sz="8"/>
            </w:tcBorders>
            <w:shd w:val="clear" w:color="auto" w:fill="94BAD6"/>
            <w:tcMar>
              <w:left w:w="108" w:type="dxa"/>
              <w:right w:w="108" w:type="dxa"/>
            </w:tcMar>
            <w:vAlign w:val="top"/>
          </w:tcPr>
          <w:p w:rsidR="1BDB1543" w:rsidP="1BDB1543" w:rsidRDefault="1BDB1543" w14:paraId="4843A307" w14:textId="1E1FE8A6">
            <w:pPr>
              <w:spacing w:before="0" w:beforeAutospacing="off" w:after="0" w:afterAutospacing="off"/>
            </w:pPr>
            <w:r w:rsidRPr="1BDB1543" w:rsidR="1BDB1543">
              <w:rPr>
                <w:rFonts w:ascii="Calibri" w:hAnsi="Calibri" w:eastAsia="Calibri" w:cs="Calibri"/>
                <w:b w:val="1"/>
                <w:bCs w:val="1"/>
                <w:color w:val="000000" w:themeColor="text1" w:themeTint="FF" w:themeShade="FF"/>
                <w:sz w:val="24"/>
                <w:szCs w:val="24"/>
              </w:rPr>
              <w:t>Planning for misconceptions:</w:t>
            </w:r>
          </w:p>
          <w:p w:rsidR="1BDB1543" w:rsidP="1BDB1543" w:rsidRDefault="1BDB1543" w14:paraId="728A43E1" w14:textId="67DF6DA8">
            <w:pPr>
              <w:spacing w:before="0" w:beforeAutospacing="off" w:after="0" w:afterAutospacing="off"/>
            </w:pPr>
            <w:r w:rsidRPr="1BDB1543" w:rsidR="1BDB1543">
              <w:rPr>
                <w:rFonts w:ascii="Calibri" w:hAnsi="Calibri" w:eastAsia="Calibri" w:cs="Calibri"/>
                <w:i w:val="1"/>
                <w:iCs w:val="1"/>
                <w:color w:val="000000" w:themeColor="text1" w:themeTint="FF" w:themeShade="FF"/>
                <w:sz w:val="20"/>
                <w:szCs w:val="20"/>
              </w:rPr>
              <w:t>Use this section to anticipate pupil errors and misunderstandings and your planned responses to them.</w:t>
            </w:r>
          </w:p>
        </w:tc>
      </w:tr>
      <w:tr w:rsidR="1BDB1543" w:rsidTr="1BDB1543" w14:paraId="70C864C4">
        <w:trPr>
          <w:trHeight w:val="705"/>
        </w:trPr>
        <w:tc>
          <w:tcPr>
            <w:tcW w:w="9015" w:type="dxa"/>
            <w:gridSpan w:val="4"/>
            <w:tcBorders>
              <w:top w:val="single" w:sz="8"/>
              <w:left w:val="single" w:sz="8"/>
              <w:bottom w:val="single" w:sz="8"/>
              <w:right w:val="single" w:sz="8"/>
            </w:tcBorders>
            <w:tcMar>
              <w:left w:w="108" w:type="dxa"/>
              <w:right w:w="108" w:type="dxa"/>
            </w:tcMar>
            <w:vAlign w:val="top"/>
          </w:tcPr>
          <w:p w:rsidR="1BDB1543" w:rsidP="1BDB1543" w:rsidRDefault="1BDB1543" w14:paraId="18266ABD" w14:textId="758B2EC5">
            <w:pPr>
              <w:spacing w:before="0" w:beforeAutospacing="off" w:after="0" w:afterAutospacing="off"/>
            </w:pPr>
            <w:r w:rsidRPr="1BDB1543" w:rsidR="1BDB1543">
              <w:rPr>
                <w:rFonts w:ascii="Calibri" w:hAnsi="Calibri" w:eastAsia="Calibri" w:cs="Calibri"/>
                <w:sz w:val="24"/>
                <w:szCs w:val="24"/>
              </w:rPr>
              <w:t>Children may not be engaged with the book.</w:t>
            </w:r>
          </w:p>
          <w:p w:rsidR="1BDB1543" w:rsidP="1BDB1543" w:rsidRDefault="1BDB1543" w14:paraId="2A0497DF" w14:textId="5F33D2A2">
            <w:pPr>
              <w:spacing w:before="0" w:beforeAutospacing="off" w:after="0" w:afterAutospacing="off"/>
            </w:pPr>
            <w:r w:rsidRPr="1BDB1543" w:rsidR="1BDB1543">
              <w:rPr>
                <w:rFonts w:ascii="Calibri" w:hAnsi="Calibri" w:eastAsia="Calibri" w:cs="Calibri"/>
                <w:sz w:val="24"/>
                <w:szCs w:val="24"/>
              </w:rPr>
              <w:t>How I can adapt the learning environment: Use clips of the storytelling with visual aid instead for visual learners</w:t>
            </w:r>
          </w:p>
        </w:tc>
      </w:tr>
    </w:tbl>
    <w:p w:rsidR="0E2C5B58" w:rsidP="1BDB1543" w:rsidRDefault="0E2C5B58" w14:paraId="527985AD" w14:textId="07CFD578">
      <w:pPr>
        <w:pStyle w:val="Normal"/>
      </w:pPr>
      <w:r w:rsidR="0E2C5B58">
        <w:rPr/>
        <w:t xml:space="preserve"> </w:t>
      </w:r>
    </w:p>
    <w:tbl>
      <w:tblPr>
        <w:tblStyle w:val="TableGrid"/>
        <w:tblW w:w="0" w:type="auto"/>
        <w:tblInd w:w="135" w:type="dxa"/>
        <w:tblLayout w:type="fixed"/>
        <w:tblLook w:val="04A0" w:firstRow="1" w:lastRow="0" w:firstColumn="1" w:lastColumn="0" w:noHBand="0" w:noVBand="1"/>
      </w:tblPr>
      <w:tblGrid>
        <w:gridCol w:w="866"/>
        <w:gridCol w:w="2643"/>
        <w:gridCol w:w="2527"/>
        <w:gridCol w:w="1470"/>
        <w:gridCol w:w="1509"/>
      </w:tblGrid>
      <w:tr w:rsidR="1BDB1543" w:rsidTr="1BDB1543" w14:paraId="383A5B22">
        <w:trPr>
          <w:trHeight w:val="2280"/>
        </w:trPr>
        <w:tc>
          <w:tcPr>
            <w:tcW w:w="866" w:type="dxa"/>
            <w:tcBorders>
              <w:top w:val="single" w:sz="8"/>
              <w:left w:val="single" w:sz="8"/>
              <w:bottom w:val="single" w:sz="8"/>
              <w:right w:val="single" w:sz="8"/>
            </w:tcBorders>
            <w:tcMar>
              <w:left w:w="108" w:type="dxa"/>
              <w:right w:w="108" w:type="dxa"/>
            </w:tcMar>
            <w:vAlign w:val="top"/>
          </w:tcPr>
          <w:p w:rsidR="1BDB1543" w:rsidP="1BDB1543" w:rsidRDefault="1BDB1543" w14:paraId="4B295D7C" w14:textId="37817919">
            <w:pPr>
              <w:spacing w:before="0" w:beforeAutospacing="off" w:after="0" w:afterAutospacing="off"/>
              <w:jc w:val="center"/>
              <w:rPr>
                <w:rFonts w:ascii="Calibri" w:hAnsi="Calibri" w:eastAsia="Calibri" w:cs="Calibri"/>
                <w:b w:val="1"/>
                <w:bCs w:val="1"/>
                <w:color w:val="000000" w:themeColor="text1" w:themeTint="FF" w:themeShade="FF"/>
                <w:sz w:val="22"/>
                <w:szCs w:val="22"/>
              </w:rPr>
            </w:pPr>
          </w:p>
          <w:p w:rsidR="1BDB1543" w:rsidP="1BDB1543" w:rsidRDefault="1BDB1543" w14:paraId="1934FF50" w14:textId="797F98F0">
            <w:pPr>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Timing:</w:t>
            </w:r>
          </w:p>
          <w:p w:rsidR="1BDB1543" w:rsidP="1BDB1543" w:rsidRDefault="1BDB1543" w14:paraId="56216A47" w14:textId="524B45D4">
            <w:pPr>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6"/>
                <w:szCs w:val="16"/>
              </w:rPr>
              <w:t>Break down timings into groups if appropriate. ensure pupils are ‘doing’ quickly and that transitions are taken into account</w:t>
            </w:r>
          </w:p>
          <w:p w:rsidR="1BDB1543" w:rsidP="1BDB1543" w:rsidRDefault="1BDB1543" w14:paraId="6C0D35A2" w14:textId="53B5D217">
            <w:pPr>
              <w:spacing w:before="0" w:beforeAutospacing="off" w:after="0" w:afterAutospacing="off"/>
              <w:jc w:val="center"/>
            </w:pPr>
            <w:r w:rsidRPr="1BDB1543" w:rsidR="1BDB1543">
              <w:rPr>
                <w:rFonts w:ascii="Calibri" w:hAnsi="Calibri" w:eastAsia="Calibri" w:cs="Calibri"/>
                <w:color w:val="000000" w:themeColor="text1" w:themeTint="FF" w:themeShade="FF"/>
                <w:sz w:val="24"/>
                <w:szCs w:val="24"/>
              </w:rPr>
              <w:t xml:space="preserve"> </w:t>
            </w:r>
          </w:p>
        </w:tc>
        <w:tc>
          <w:tcPr>
            <w:tcW w:w="2643" w:type="dxa"/>
            <w:tcBorders>
              <w:top w:val="single" w:sz="8"/>
              <w:left w:val="single" w:sz="8"/>
              <w:bottom w:val="single" w:sz="8"/>
              <w:right w:val="single" w:sz="8"/>
            </w:tcBorders>
            <w:tcMar>
              <w:left w:w="108" w:type="dxa"/>
              <w:right w:w="108" w:type="dxa"/>
            </w:tcMar>
            <w:vAlign w:val="top"/>
          </w:tcPr>
          <w:p w:rsidR="1BDB1543" w:rsidP="1BDB1543" w:rsidRDefault="1BDB1543" w14:paraId="79FB8F11" w14:textId="7DC2F259">
            <w:pPr>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 xml:space="preserve"> </w:t>
            </w:r>
          </w:p>
          <w:p w:rsidR="1BDB1543" w:rsidP="1BDB1543" w:rsidRDefault="1BDB1543" w14:paraId="673141EB" w14:textId="0B23FB4A">
            <w:pPr>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Role of the teacher &amp; support staff:</w:t>
            </w:r>
          </w:p>
          <w:p w:rsidR="1BDB1543" w:rsidP="1BDB1543" w:rsidRDefault="1BDB1543" w14:paraId="237CEF70" w14:textId="6F4A97DF">
            <w:pPr>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 xml:space="preserve">e.g., key questions, retrieval of prior learning, modelling and explanations, checking understanding, planned use of additional adults. </w:t>
            </w:r>
          </w:p>
          <w:p w:rsidR="1BDB1543" w:rsidP="1BDB1543" w:rsidRDefault="1BDB1543" w14:paraId="3FD0D4DB" w14:textId="53944463">
            <w:pPr>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 xml:space="preserve"> </w:t>
            </w:r>
          </w:p>
          <w:p w:rsidR="1BDB1543" w:rsidP="1BDB1543" w:rsidRDefault="1BDB1543" w14:paraId="0B2F3311" w14:textId="600223E0">
            <w:pPr>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Choice of pedagogical model or of the 12 pedagogical principles</w:t>
            </w:r>
          </w:p>
        </w:tc>
        <w:tc>
          <w:tcPr>
            <w:tcW w:w="2527" w:type="dxa"/>
            <w:tcBorders>
              <w:top w:val="single" w:sz="8"/>
              <w:left w:val="single" w:sz="8"/>
              <w:bottom w:val="single" w:sz="8"/>
              <w:right w:val="single" w:sz="8"/>
            </w:tcBorders>
            <w:tcMar>
              <w:left w:w="108" w:type="dxa"/>
              <w:right w:w="108" w:type="dxa"/>
            </w:tcMar>
            <w:vAlign w:val="top"/>
          </w:tcPr>
          <w:p w:rsidR="1BDB1543" w:rsidP="1BDB1543" w:rsidRDefault="1BDB1543" w14:paraId="77A42DA0" w14:textId="5C07E57E">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 xml:space="preserve"> </w:t>
            </w:r>
          </w:p>
          <w:p w:rsidR="1BDB1543" w:rsidP="1BDB1543" w:rsidRDefault="1BDB1543" w14:paraId="160BB19B" w14:textId="6842BA6C">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Pupils’ learning and activities:</w:t>
            </w:r>
          </w:p>
          <w:p w:rsidR="1BDB1543" w:rsidP="1BDB1543" w:rsidRDefault="1BDB1543" w14:paraId="5D810A13" w14:textId="42ACD849">
            <w:pPr>
              <w:pStyle w:val="NoSpacing"/>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What will the pupils be learning to do and what activities / resources will facilitate this?</w:t>
            </w:r>
          </w:p>
          <w:p w:rsidR="1BDB1543" w:rsidP="1BDB1543" w:rsidRDefault="1BDB1543" w14:paraId="43623D76" w14:textId="70603631">
            <w:pPr>
              <w:pStyle w:val="NoSpacing"/>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 xml:space="preserve"> </w:t>
            </w:r>
          </w:p>
          <w:p w:rsidR="1BDB1543" w:rsidP="1BDB1543" w:rsidRDefault="1BDB1543" w14:paraId="7A7B9914" w14:textId="73AB220D">
            <w:pPr>
              <w:pStyle w:val="NoSpacing"/>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Please refer to Foundation Learning planning document for details of continuous provision.</w:t>
            </w:r>
          </w:p>
        </w:tc>
        <w:tc>
          <w:tcPr>
            <w:tcW w:w="1470" w:type="dxa"/>
            <w:tcBorders>
              <w:top w:val="single" w:sz="8"/>
              <w:left w:val="single" w:sz="8"/>
              <w:bottom w:val="single" w:sz="8"/>
              <w:right w:val="single" w:sz="8"/>
            </w:tcBorders>
            <w:tcMar>
              <w:left w:w="108" w:type="dxa"/>
              <w:right w:w="108" w:type="dxa"/>
            </w:tcMar>
            <w:vAlign w:val="top"/>
          </w:tcPr>
          <w:p w:rsidR="1BDB1543" w:rsidP="1BDB1543" w:rsidRDefault="1BDB1543" w14:paraId="5AB2107F" w14:textId="65BF7DC1">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 xml:space="preserve"> </w:t>
            </w:r>
          </w:p>
          <w:p w:rsidR="1BDB1543" w:rsidP="1BDB1543" w:rsidRDefault="1BDB1543" w14:paraId="742C638B" w14:textId="57D790CD">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Inclusive Strategies (including differentiation):</w:t>
            </w:r>
          </w:p>
          <w:p w:rsidR="1BDB1543" w:rsidP="1BDB1543" w:rsidRDefault="1BDB1543" w14:paraId="06DBA960" w14:textId="4A5B5A1A">
            <w:pPr>
              <w:shd w:val="clear" w:color="auto" w:fill="FFFFFF" w:themeFill="background1"/>
              <w:spacing w:before="0" w:beforeAutospacing="off" w:after="0" w:afterAutospacing="off"/>
              <w:jc w:val="center"/>
            </w:pPr>
            <w:r w:rsidRPr="1BDB1543" w:rsidR="1BDB1543">
              <w:rPr>
                <w:rFonts w:ascii="Calibri" w:hAnsi="Calibri" w:eastAsia="Calibri" w:cs="Calibri"/>
                <w:i w:val="1"/>
                <w:iCs w:val="1"/>
                <w:sz w:val="18"/>
                <w:szCs w:val="18"/>
              </w:rPr>
              <w:t xml:space="preserve"> </w:t>
            </w:r>
          </w:p>
          <w:p w:rsidR="1BDB1543" w:rsidP="1BDB1543" w:rsidRDefault="1BDB1543" w14:paraId="685434D5" w14:textId="69FAFBA3">
            <w:pPr>
              <w:shd w:val="clear" w:color="auto" w:fill="FFFFFF" w:themeFill="background1"/>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Reasons for and details of scaffolding.</w:t>
            </w:r>
          </w:p>
          <w:p w:rsidR="1BDB1543" w:rsidP="1BDB1543" w:rsidRDefault="1BDB1543" w14:paraId="1C95F394" w14:textId="64E6A491">
            <w:pPr>
              <w:shd w:val="clear" w:color="auto" w:fill="FFFFFF" w:themeFill="background1"/>
              <w:spacing w:before="0" w:beforeAutospacing="off" w:after="0" w:afterAutospacing="off"/>
              <w:jc w:val="center"/>
            </w:pPr>
            <w:r w:rsidRPr="1BDB1543" w:rsidR="1BDB1543">
              <w:rPr>
                <w:rFonts w:ascii="Calibri" w:hAnsi="Calibri" w:eastAsia="Calibri" w:cs="Calibri"/>
                <w:i w:val="1"/>
                <w:iCs w:val="1"/>
                <w:sz w:val="18"/>
                <w:szCs w:val="18"/>
              </w:rPr>
              <w:t xml:space="preserve"> </w:t>
            </w:r>
          </w:p>
          <w:p w:rsidR="1BDB1543" w:rsidP="1BDB1543" w:rsidRDefault="1BDB1543" w14:paraId="1703B9F5" w14:textId="6CBCF590">
            <w:pPr>
              <w:shd w:val="clear" w:color="auto" w:fill="FFFFFF" w:themeFill="background1"/>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Types of representation in tasks.</w:t>
            </w:r>
          </w:p>
        </w:tc>
        <w:tc>
          <w:tcPr>
            <w:tcW w:w="1509" w:type="dxa"/>
            <w:tcBorders>
              <w:top w:val="single" w:sz="8"/>
              <w:left w:val="single" w:sz="8"/>
              <w:bottom w:val="single" w:sz="8"/>
              <w:right w:val="single" w:sz="8"/>
            </w:tcBorders>
            <w:tcMar>
              <w:left w:w="108" w:type="dxa"/>
              <w:right w:w="108" w:type="dxa"/>
            </w:tcMar>
            <w:vAlign w:val="top"/>
          </w:tcPr>
          <w:p w:rsidR="1BDB1543" w:rsidP="1BDB1543" w:rsidRDefault="1BDB1543" w14:paraId="2E703FF0" w14:textId="47707259">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highlight w:val="yellow"/>
              </w:rPr>
              <w:t xml:space="preserve"> </w:t>
            </w:r>
          </w:p>
          <w:p w:rsidR="1BDB1543" w:rsidP="1BDB1543" w:rsidRDefault="1BDB1543" w14:paraId="28E70144" w14:textId="0356B248">
            <w:pPr>
              <w:shd w:val="clear" w:color="auto" w:fill="FFFFFF" w:themeFill="background1"/>
              <w:spacing w:before="0" w:beforeAutospacing="off" w:after="0" w:afterAutospacing="off"/>
              <w:jc w:val="center"/>
            </w:pPr>
            <w:r w:rsidRPr="1BDB1543" w:rsidR="1BDB1543">
              <w:rPr>
                <w:rFonts w:ascii="Calibri" w:hAnsi="Calibri" w:eastAsia="Calibri" w:cs="Calibri"/>
                <w:b w:val="1"/>
                <w:bCs w:val="1"/>
                <w:color w:val="000000" w:themeColor="text1" w:themeTint="FF" w:themeShade="FF"/>
                <w:sz w:val="22"/>
                <w:szCs w:val="22"/>
              </w:rPr>
              <w:t>Check what pupils know, understand, and can do:</w:t>
            </w:r>
          </w:p>
          <w:p w:rsidR="1BDB1543" w:rsidP="1BDB1543" w:rsidRDefault="1BDB1543" w14:paraId="7387E8AE" w14:textId="44452B10">
            <w:pPr>
              <w:pStyle w:val="NoSpacing"/>
              <w:shd w:val="clear" w:color="auto" w:fill="FFFFFF" w:themeFill="background1"/>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Key questions, types of retrieval practices, self and peer assessment opportunities, purposeful AfL strategies, live marking opportunities, planned feedback.</w:t>
            </w:r>
          </w:p>
          <w:p w:rsidR="1BDB1543" w:rsidP="1BDB1543" w:rsidRDefault="1BDB1543" w14:paraId="493016FE" w14:textId="23B56E5B">
            <w:pPr>
              <w:shd w:val="clear" w:color="auto" w:fill="FFFFFF" w:themeFill="background1"/>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8"/>
                <w:szCs w:val="18"/>
              </w:rPr>
              <w:t xml:space="preserve"> </w:t>
            </w:r>
          </w:p>
          <w:p w:rsidR="1BDB1543" w:rsidP="1BDB1543" w:rsidRDefault="1BDB1543" w14:paraId="32D3635D" w14:textId="3E651D8D">
            <w:pPr>
              <w:spacing w:before="0" w:beforeAutospacing="off" w:after="0" w:afterAutospacing="off"/>
              <w:jc w:val="center"/>
            </w:pPr>
            <w:r w:rsidRPr="1BDB1543" w:rsidR="1BDB1543">
              <w:rPr>
                <w:rFonts w:ascii="Calibri" w:hAnsi="Calibri" w:eastAsia="Calibri" w:cs="Calibri"/>
                <w:i w:val="1"/>
                <w:iCs w:val="1"/>
                <w:color w:val="000000" w:themeColor="text1" w:themeTint="FF" w:themeShade="FF"/>
                <w:sz w:val="16"/>
                <w:szCs w:val="16"/>
                <w:highlight w:val="yellow"/>
              </w:rPr>
              <w:t xml:space="preserve"> </w:t>
            </w:r>
          </w:p>
        </w:tc>
      </w:tr>
      <w:tr w:rsidR="1BDB1543" w:rsidTr="1BDB1543" w14:paraId="7C8FD0F4">
        <w:trPr>
          <w:trHeight w:val="1035"/>
        </w:trPr>
        <w:tc>
          <w:tcPr>
            <w:tcW w:w="866" w:type="dxa"/>
            <w:tcBorders>
              <w:top w:val="single" w:sz="8"/>
              <w:left w:val="single" w:sz="8"/>
              <w:bottom w:val="single" w:sz="8"/>
              <w:right w:val="single" w:sz="8"/>
            </w:tcBorders>
            <w:tcMar>
              <w:left w:w="108" w:type="dxa"/>
              <w:right w:w="108" w:type="dxa"/>
            </w:tcMar>
            <w:vAlign w:val="top"/>
          </w:tcPr>
          <w:p w:rsidR="1BDB1543" w:rsidP="1BDB1543" w:rsidRDefault="1BDB1543" w14:paraId="19FDDB34" w14:textId="22E273C7">
            <w:pPr>
              <w:pStyle w:val="NoSpacing"/>
              <w:spacing w:before="0" w:beforeAutospacing="off" w:after="0" w:afterAutospacing="off"/>
            </w:pPr>
            <w:r w:rsidRPr="1BDB1543" w:rsidR="1BDB1543">
              <w:rPr>
                <w:rFonts w:ascii="Arial" w:hAnsi="Arial" w:eastAsia="Arial" w:cs="Arial"/>
                <w:sz w:val="24"/>
                <w:szCs w:val="24"/>
              </w:rPr>
              <w:t xml:space="preserve"> </w:t>
            </w:r>
          </w:p>
          <w:p w:rsidR="1BDB1543" w:rsidP="1BDB1543" w:rsidRDefault="1BDB1543" w14:paraId="2A79A81B" w14:textId="28958E32">
            <w:pPr>
              <w:pStyle w:val="NoSpacing"/>
              <w:spacing w:before="0" w:beforeAutospacing="off" w:after="0" w:afterAutospacing="off"/>
            </w:pPr>
            <w:r w:rsidRPr="1BDB1543" w:rsidR="1BDB1543">
              <w:rPr>
                <w:rFonts w:ascii="Arial" w:hAnsi="Arial" w:eastAsia="Arial" w:cs="Arial"/>
                <w:sz w:val="24"/>
                <w:szCs w:val="24"/>
              </w:rPr>
              <w:t xml:space="preserve">Mathematics </w:t>
            </w:r>
          </w:p>
        </w:tc>
        <w:tc>
          <w:tcPr>
            <w:tcW w:w="2643" w:type="dxa"/>
            <w:tcBorders>
              <w:top w:val="single" w:sz="8"/>
              <w:left w:val="single" w:sz="8"/>
              <w:bottom w:val="single" w:sz="8"/>
              <w:right w:val="single" w:sz="8"/>
            </w:tcBorders>
            <w:tcMar>
              <w:left w:w="108" w:type="dxa"/>
              <w:right w:w="108" w:type="dxa"/>
            </w:tcMar>
            <w:vAlign w:val="top"/>
          </w:tcPr>
          <w:p w:rsidR="1BDB1543" w:rsidP="1BDB1543" w:rsidRDefault="1BDB1543" w14:paraId="5979EA4C" w14:textId="7E2F7EE4">
            <w:pPr>
              <w:pStyle w:val="NoSpacing"/>
              <w:spacing w:before="0" w:beforeAutospacing="off" w:after="0" w:afterAutospacing="off"/>
            </w:pPr>
            <w:r w:rsidRPr="1BDB1543" w:rsidR="1BDB1543">
              <w:rPr>
                <w:rFonts w:ascii="Calibri" w:hAnsi="Calibri" w:eastAsia="Calibri" w:cs="Calibri"/>
                <w:sz w:val="24"/>
                <w:szCs w:val="24"/>
              </w:rPr>
              <w:t xml:space="preserve">Discuss the following points with students: </w:t>
            </w:r>
          </w:p>
          <w:p w:rsidR="1BDB1543" w:rsidP="1BDB1543" w:rsidRDefault="1BDB1543" w14:paraId="5A76D800" w14:textId="6E8A7D48">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What is your favourite flavour?</w:t>
            </w:r>
          </w:p>
          <w:p w:rsidR="1BDB1543" w:rsidP="1BDB1543" w:rsidRDefault="1BDB1543" w14:paraId="0CA7D024" w14:textId="464C51B3">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How much money do we have?</w:t>
            </w:r>
          </w:p>
          <w:p w:rsidR="1BDB1543" w:rsidP="1BDB1543" w:rsidRDefault="1BDB1543" w14:paraId="66AA50B1" w14:textId="1F8A1947">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Discuss pennies, 2p, 5p, 10p.</w:t>
            </w:r>
          </w:p>
          <w:p w:rsidR="1BDB1543" w:rsidP="1BDB1543" w:rsidRDefault="1BDB1543" w14:paraId="2693B039" w14:textId="46F7FCAB">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 xml:space="preserve">Discuss the idea that we cannot spend more than we have. </w:t>
            </w:r>
          </w:p>
        </w:tc>
        <w:tc>
          <w:tcPr>
            <w:tcW w:w="2527" w:type="dxa"/>
            <w:tcBorders>
              <w:top w:val="single" w:sz="8"/>
              <w:left w:val="single" w:sz="8"/>
              <w:bottom w:val="single" w:sz="8"/>
              <w:right w:val="single" w:sz="8"/>
            </w:tcBorders>
            <w:tcMar>
              <w:left w:w="108" w:type="dxa"/>
              <w:right w:w="108" w:type="dxa"/>
            </w:tcMar>
            <w:vAlign w:val="top"/>
          </w:tcPr>
          <w:p w:rsidR="1BDB1543" w:rsidP="1BDB1543" w:rsidRDefault="1BDB1543" w14:paraId="5D3E1509" w14:textId="701102FA">
            <w:pPr>
              <w:pStyle w:val="NoSpacing"/>
              <w:spacing w:before="0" w:beforeAutospacing="off" w:after="0" w:afterAutospacing="off"/>
            </w:pPr>
            <w:r w:rsidRPr="1BDB1543" w:rsidR="1BDB1543">
              <w:rPr>
                <w:rFonts w:ascii="Arial" w:hAnsi="Arial" w:eastAsia="Arial" w:cs="Arial"/>
                <w:sz w:val="24"/>
                <w:szCs w:val="24"/>
              </w:rPr>
              <w:t xml:space="preserve">Pupils will use resource 2 labelled in appendix to learn how to appropriately understand money and value. </w:t>
            </w:r>
          </w:p>
        </w:tc>
        <w:tc>
          <w:tcPr>
            <w:tcW w:w="1470" w:type="dxa"/>
            <w:tcBorders>
              <w:top w:val="single" w:sz="8"/>
              <w:left w:val="single" w:sz="8"/>
              <w:bottom w:val="single" w:sz="8"/>
              <w:right w:val="single" w:sz="8"/>
            </w:tcBorders>
            <w:tcMar>
              <w:left w:w="108" w:type="dxa"/>
              <w:right w:w="108" w:type="dxa"/>
            </w:tcMar>
            <w:vAlign w:val="top"/>
          </w:tcPr>
          <w:p w:rsidR="1BDB1543" w:rsidP="1BDB1543" w:rsidRDefault="1BDB1543" w14:paraId="70B57EA3" w14:textId="3BC02172">
            <w:pPr>
              <w:pStyle w:val="NoSpacing"/>
              <w:spacing w:before="0" w:beforeAutospacing="off" w:after="0" w:afterAutospacing="off"/>
            </w:pPr>
            <w:r w:rsidRPr="1BDB1543" w:rsidR="1BDB1543">
              <w:rPr>
                <w:rFonts w:ascii="Arial" w:hAnsi="Arial" w:eastAsia="Arial" w:cs="Arial"/>
                <w:sz w:val="24"/>
                <w:szCs w:val="24"/>
              </w:rPr>
              <w:t xml:space="preserve">One inclusive strategy for pupils who need additional support may be to use physical coins as an oppose to allowing them to circle the coins they’d need on the worksheet. </w:t>
            </w:r>
          </w:p>
          <w:p w:rsidR="1BDB1543" w:rsidP="1BDB1543" w:rsidRDefault="1BDB1543" w14:paraId="4D0E02DB" w14:textId="6B962F8B">
            <w:pPr>
              <w:pStyle w:val="NoSpacing"/>
              <w:spacing w:before="0" w:beforeAutospacing="off" w:after="0" w:afterAutospacing="off"/>
            </w:pPr>
            <w:r w:rsidRPr="1BDB1543" w:rsidR="1BDB1543">
              <w:rPr>
                <w:rFonts w:ascii="Arial" w:hAnsi="Arial" w:eastAsia="Arial" w:cs="Arial"/>
                <w:sz w:val="24"/>
                <w:szCs w:val="24"/>
              </w:rPr>
              <w:t>We can further challenge the MAT students by asking further questions such as ‘How much would it cost if I wanted to use flavour a and flavour b’.</w:t>
            </w:r>
          </w:p>
        </w:tc>
        <w:tc>
          <w:tcPr>
            <w:tcW w:w="1509" w:type="dxa"/>
            <w:tcBorders>
              <w:top w:val="single" w:sz="8"/>
              <w:left w:val="single" w:sz="8"/>
              <w:bottom w:val="single" w:sz="8"/>
              <w:right w:val="single" w:sz="8"/>
            </w:tcBorders>
            <w:tcMar>
              <w:left w:w="108" w:type="dxa"/>
              <w:right w:w="108" w:type="dxa"/>
            </w:tcMar>
            <w:vAlign w:val="top"/>
          </w:tcPr>
          <w:p w:rsidR="1BDB1543" w:rsidP="1BDB1543" w:rsidRDefault="1BDB1543" w14:paraId="63E8D5B3" w14:textId="01B54CA3">
            <w:pPr>
              <w:pStyle w:val="NoSpacing"/>
              <w:spacing w:before="0" w:beforeAutospacing="off" w:after="0" w:afterAutospacing="off"/>
            </w:pPr>
            <w:r w:rsidRPr="1BDB1543" w:rsidR="1BDB1543">
              <w:rPr>
                <w:rFonts w:ascii="Arial" w:hAnsi="Arial" w:eastAsia="Arial" w:cs="Arial"/>
                <w:sz w:val="24"/>
                <w:szCs w:val="24"/>
              </w:rPr>
              <w:t>In order to progress to the next task this task must be completed as it is a progression task.</w:t>
            </w:r>
          </w:p>
        </w:tc>
      </w:tr>
      <w:tr w:rsidR="1BDB1543" w:rsidTr="1BDB1543" w14:paraId="382714F9">
        <w:trPr>
          <w:trHeight w:val="1035"/>
        </w:trPr>
        <w:tc>
          <w:tcPr>
            <w:tcW w:w="866" w:type="dxa"/>
            <w:tcBorders>
              <w:top w:val="single" w:sz="8"/>
              <w:left w:val="single" w:sz="8"/>
              <w:bottom w:val="single" w:sz="8"/>
              <w:right w:val="single" w:sz="8"/>
            </w:tcBorders>
            <w:tcMar>
              <w:left w:w="108" w:type="dxa"/>
              <w:right w:w="108" w:type="dxa"/>
            </w:tcMar>
            <w:vAlign w:val="top"/>
          </w:tcPr>
          <w:p w:rsidR="1BDB1543" w:rsidP="1BDB1543" w:rsidRDefault="1BDB1543" w14:paraId="0CEFB773" w14:textId="27E721B4">
            <w:pPr>
              <w:pStyle w:val="NoSpacing"/>
              <w:spacing w:before="0" w:beforeAutospacing="off" w:after="0" w:afterAutospacing="off"/>
            </w:pPr>
            <w:r w:rsidRPr="1BDB1543" w:rsidR="1BDB1543">
              <w:rPr>
                <w:rFonts w:ascii="Arial" w:hAnsi="Arial" w:eastAsia="Arial" w:cs="Arial"/>
                <w:sz w:val="24"/>
                <w:szCs w:val="24"/>
              </w:rPr>
              <w:t xml:space="preserve"> </w:t>
            </w:r>
          </w:p>
          <w:p w:rsidR="1BDB1543" w:rsidP="1BDB1543" w:rsidRDefault="1BDB1543" w14:paraId="78A13B52" w14:textId="4D371138">
            <w:pPr>
              <w:pStyle w:val="NoSpacing"/>
              <w:spacing w:before="0" w:beforeAutospacing="off" w:after="0" w:afterAutospacing="off"/>
            </w:pPr>
            <w:r w:rsidRPr="1BDB1543" w:rsidR="1BDB1543">
              <w:rPr>
                <w:rFonts w:ascii="Arial" w:hAnsi="Arial" w:eastAsia="Arial" w:cs="Arial"/>
                <w:sz w:val="24"/>
                <w:szCs w:val="24"/>
              </w:rPr>
              <w:t>Creative arts</w:t>
            </w:r>
          </w:p>
          <w:p w:rsidR="1BDB1543" w:rsidP="1BDB1543" w:rsidRDefault="1BDB1543" w14:paraId="76BEBDFE" w14:textId="629E4C9A">
            <w:pPr>
              <w:pStyle w:val="NoSpacing"/>
              <w:spacing w:before="0" w:beforeAutospacing="off" w:after="0" w:afterAutospacing="off"/>
            </w:pPr>
            <w:r w:rsidRPr="1BDB1543" w:rsidR="1BDB1543">
              <w:rPr>
                <w:rFonts w:ascii="Arial" w:hAnsi="Arial" w:eastAsia="Arial" w:cs="Arial"/>
                <w:sz w:val="24"/>
                <w:szCs w:val="24"/>
              </w:rPr>
              <w:t xml:space="preserve"> </w:t>
            </w:r>
          </w:p>
        </w:tc>
        <w:tc>
          <w:tcPr>
            <w:tcW w:w="2643" w:type="dxa"/>
            <w:tcBorders>
              <w:top w:val="single" w:sz="8"/>
              <w:left w:val="single" w:sz="8"/>
              <w:bottom w:val="single" w:sz="8"/>
              <w:right w:val="single" w:sz="8"/>
            </w:tcBorders>
            <w:tcMar>
              <w:left w:w="108" w:type="dxa"/>
              <w:right w:w="108" w:type="dxa"/>
            </w:tcMar>
            <w:vAlign w:val="top"/>
          </w:tcPr>
          <w:p w:rsidR="1BDB1543" w:rsidP="1BDB1543" w:rsidRDefault="1BDB1543" w14:paraId="29CDBFEF" w14:textId="015FAD14">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Do you remember which flavours you used?</w:t>
            </w:r>
          </w:p>
          <w:p w:rsidR="1BDB1543" w:rsidP="1BDB1543" w:rsidRDefault="1BDB1543" w14:paraId="2347BB10" w14:textId="72CE9C6F">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 xml:space="preserve">Can you remember how much it cost? </w:t>
            </w:r>
          </w:p>
          <w:p w:rsidR="1BDB1543" w:rsidP="1BDB1543" w:rsidRDefault="1BDB1543" w14:paraId="54790208" w14:textId="1E7AF054">
            <w:pPr>
              <w:pStyle w:val="ListParagraph"/>
              <w:numPr>
                <w:ilvl w:val="0"/>
                <w:numId w:val="6"/>
              </w:numPr>
              <w:spacing w:before="0" w:beforeAutospacing="off" w:after="0" w:afterAutospacing="off"/>
              <w:ind w:left="720" w:right="0" w:hanging="360"/>
              <w:rPr>
                <w:rFonts w:ascii="Calibri" w:hAnsi="Calibri" w:eastAsia="Calibri" w:cs="Calibri"/>
                <w:sz w:val="24"/>
                <w:szCs w:val="24"/>
              </w:rPr>
            </w:pPr>
            <w:r w:rsidRPr="1BDB1543" w:rsidR="1BDB1543">
              <w:rPr>
                <w:rFonts w:ascii="Calibri" w:hAnsi="Calibri" w:eastAsia="Calibri" w:cs="Calibri"/>
                <w:sz w:val="24"/>
                <w:szCs w:val="24"/>
              </w:rPr>
              <w:t>Can you use different utensils (PAINT/PENCILS/COLLAGING) to create your chocolate bar?</w:t>
            </w:r>
          </w:p>
        </w:tc>
        <w:tc>
          <w:tcPr>
            <w:tcW w:w="2527" w:type="dxa"/>
            <w:tcBorders>
              <w:top w:val="single" w:sz="8"/>
              <w:left w:val="single" w:sz="8"/>
              <w:bottom w:val="single" w:sz="8"/>
              <w:right w:val="single" w:sz="8"/>
            </w:tcBorders>
            <w:tcMar>
              <w:left w:w="108" w:type="dxa"/>
              <w:right w:w="108" w:type="dxa"/>
            </w:tcMar>
            <w:vAlign w:val="top"/>
          </w:tcPr>
          <w:p w:rsidR="1BDB1543" w:rsidP="1BDB1543" w:rsidRDefault="1BDB1543" w14:paraId="55B658A7" w14:textId="37CA4F78">
            <w:pPr>
              <w:pStyle w:val="NoSpacing"/>
              <w:spacing w:before="0" w:beforeAutospacing="off" w:after="0" w:afterAutospacing="off"/>
            </w:pPr>
            <w:r w:rsidRPr="1BDB1543" w:rsidR="1BDB1543">
              <w:rPr>
                <w:rFonts w:ascii="Arial" w:hAnsi="Arial" w:eastAsia="Arial" w:cs="Arial"/>
                <w:sz w:val="24"/>
                <w:szCs w:val="24"/>
              </w:rPr>
              <w:t xml:space="preserve">Pupils will use resource 3 labelled in appendix to create their chocolate bar design </w:t>
            </w:r>
          </w:p>
          <w:p w:rsidR="1BDB1543" w:rsidP="1BDB1543" w:rsidRDefault="1BDB1543" w14:paraId="23212223" w14:textId="08390A4D">
            <w:pPr>
              <w:pStyle w:val="NoSpacing"/>
              <w:spacing w:before="0" w:beforeAutospacing="off" w:after="0" w:afterAutospacing="off"/>
            </w:pPr>
            <w:r w:rsidRPr="1BDB1543" w:rsidR="1BDB1543">
              <w:rPr>
                <w:rFonts w:ascii="Arial" w:hAnsi="Arial" w:eastAsia="Arial" w:cs="Arial"/>
                <w:sz w:val="24"/>
                <w:szCs w:val="24"/>
              </w:rPr>
              <w:t>CROSS CURRICULAR: using the previous maths task children will have to state which flavours they used.</w:t>
            </w:r>
          </w:p>
        </w:tc>
        <w:tc>
          <w:tcPr>
            <w:tcW w:w="1470" w:type="dxa"/>
            <w:tcBorders>
              <w:top w:val="single" w:sz="8"/>
              <w:left w:val="single" w:sz="8"/>
              <w:bottom w:val="single" w:sz="8"/>
              <w:right w:val="single" w:sz="8"/>
            </w:tcBorders>
            <w:tcMar>
              <w:left w:w="108" w:type="dxa"/>
              <w:right w:w="108" w:type="dxa"/>
            </w:tcMar>
            <w:vAlign w:val="top"/>
          </w:tcPr>
          <w:p w:rsidR="1BDB1543" w:rsidP="1BDB1543" w:rsidRDefault="1BDB1543" w14:paraId="54E2FE22" w14:textId="5EAEEAF4">
            <w:pPr>
              <w:pStyle w:val="NoSpacing"/>
              <w:spacing w:before="0" w:beforeAutospacing="off" w:after="0" w:afterAutospacing="off"/>
            </w:pPr>
            <w:r w:rsidRPr="1BDB1543" w:rsidR="1BDB1543">
              <w:rPr>
                <w:rFonts w:ascii="Arial" w:hAnsi="Arial" w:eastAsia="Arial" w:cs="Arial"/>
                <w:sz w:val="24"/>
                <w:szCs w:val="24"/>
              </w:rPr>
              <w:t xml:space="preserve">One inclusive strategy is to provide a variety of utensils such as paint, glue, paper, glitter, leaves, pens, pencils to allow children to express themselves creatively. </w:t>
            </w:r>
          </w:p>
          <w:p w:rsidR="1BDB1543" w:rsidP="1BDB1543" w:rsidRDefault="1BDB1543" w14:paraId="77E095F6" w14:textId="11BF5FB4">
            <w:pPr>
              <w:pStyle w:val="NoSpacing"/>
              <w:spacing w:before="0" w:beforeAutospacing="off" w:after="0" w:afterAutospacing="off"/>
            </w:pPr>
            <w:r w:rsidRPr="1BDB1543" w:rsidR="1BDB1543">
              <w:rPr>
                <w:rFonts w:ascii="Arial" w:hAnsi="Arial" w:eastAsia="Arial" w:cs="Arial"/>
                <w:sz w:val="24"/>
                <w:szCs w:val="24"/>
              </w:rPr>
              <w:t xml:space="preserve">ALN students may require support. This can be achieved through copying from reference images. </w:t>
            </w:r>
          </w:p>
          <w:p w:rsidR="1BDB1543" w:rsidP="1BDB1543" w:rsidRDefault="1BDB1543" w14:paraId="592C2465" w14:textId="0AB40277">
            <w:pPr>
              <w:pStyle w:val="NoSpacing"/>
              <w:spacing w:before="0" w:beforeAutospacing="off" w:after="0" w:afterAutospacing="off"/>
            </w:pPr>
            <w:r w:rsidRPr="1BDB1543" w:rsidR="1BDB1543">
              <w:rPr>
                <w:rFonts w:ascii="Arial" w:hAnsi="Arial" w:eastAsia="Arial" w:cs="Arial"/>
                <w:sz w:val="24"/>
                <w:szCs w:val="24"/>
              </w:rPr>
              <w:t>MAT students can be pushed by given specific tasks such as ‘Can you include the flavours on your packaging in a creative way?’</w:t>
            </w:r>
          </w:p>
        </w:tc>
        <w:tc>
          <w:tcPr>
            <w:tcW w:w="1509" w:type="dxa"/>
            <w:tcBorders>
              <w:top w:val="single" w:sz="8"/>
              <w:left w:val="single" w:sz="8"/>
              <w:bottom w:val="single" w:sz="8"/>
              <w:right w:val="single" w:sz="8"/>
            </w:tcBorders>
            <w:tcMar>
              <w:left w:w="108" w:type="dxa"/>
              <w:right w:w="108" w:type="dxa"/>
            </w:tcMar>
            <w:vAlign w:val="top"/>
          </w:tcPr>
          <w:p w:rsidR="1BDB1543" w:rsidP="1BDB1543" w:rsidRDefault="1BDB1543" w14:paraId="316BD32D" w14:textId="605ABE1B">
            <w:pPr>
              <w:pStyle w:val="NoSpacing"/>
              <w:spacing w:before="0" w:beforeAutospacing="off" w:after="0" w:afterAutospacing="off"/>
            </w:pPr>
            <w:r w:rsidRPr="1BDB1543" w:rsidR="1BDB1543">
              <w:rPr>
                <w:rFonts w:ascii="Arial" w:hAnsi="Arial" w:eastAsia="Arial" w:cs="Arial"/>
                <w:sz w:val="24"/>
                <w:szCs w:val="24"/>
              </w:rPr>
              <w:t>In order to progress to the next task this task must be completed as it is a progression task.</w:t>
            </w:r>
          </w:p>
        </w:tc>
      </w:tr>
      <w:tr w:rsidR="1BDB1543" w:rsidTr="1BDB1543" w14:paraId="7F3A8C77">
        <w:trPr>
          <w:trHeight w:val="1035"/>
        </w:trPr>
        <w:tc>
          <w:tcPr>
            <w:tcW w:w="866" w:type="dxa"/>
            <w:tcBorders>
              <w:top w:val="single" w:sz="8"/>
              <w:left w:val="single" w:sz="8"/>
              <w:bottom w:val="single" w:sz="8"/>
              <w:right w:val="single" w:sz="8"/>
            </w:tcBorders>
            <w:tcMar>
              <w:left w:w="108" w:type="dxa"/>
              <w:right w:w="108" w:type="dxa"/>
            </w:tcMar>
            <w:vAlign w:val="top"/>
          </w:tcPr>
          <w:p w:rsidR="1BDB1543" w:rsidP="1BDB1543" w:rsidRDefault="1BDB1543" w14:paraId="729EA2D9" w14:textId="4747449C">
            <w:pPr>
              <w:pStyle w:val="NoSpacing"/>
              <w:spacing w:before="0" w:beforeAutospacing="off" w:after="0" w:afterAutospacing="off"/>
            </w:pPr>
            <w:r w:rsidRPr="1BDB1543" w:rsidR="1BDB1543">
              <w:rPr>
                <w:rFonts w:ascii="Arial" w:hAnsi="Arial" w:eastAsia="Arial" w:cs="Arial"/>
                <w:sz w:val="24"/>
                <w:szCs w:val="24"/>
              </w:rPr>
              <w:t xml:space="preserve"> </w:t>
            </w:r>
          </w:p>
          <w:p w:rsidR="1BDB1543" w:rsidP="1BDB1543" w:rsidRDefault="1BDB1543" w14:paraId="1D9F4424" w14:textId="7D875164">
            <w:pPr>
              <w:pStyle w:val="NoSpacing"/>
              <w:spacing w:before="0" w:beforeAutospacing="off" w:after="0" w:afterAutospacing="off"/>
            </w:pPr>
            <w:r w:rsidRPr="1BDB1543" w:rsidR="1BDB1543">
              <w:rPr>
                <w:rFonts w:ascii="Arial" w:hAnsi="Arial" w:eastAsia="Arial" w:cs="Arial"/>
                <w:sz w:val="24"/>
                <w:szCs w:val="24"/>
              </w:rPr>
              <w:t>Reading and literacy</w:t>
            </w:r>
          </w:p>
          <w:p w:rsidR="1BDB1543" w:rsidP="1BDB1543" w:rsidRDefault="1BDB1543" w14:paraId="7E2AA84C" w14:textId="57F678FE">
            <w:pPr>
              <w:pStyle w:val="NoSpacing"/>
              <w:spacing w:before="0" w:beforeAutospacing="off" w:after="0" w:afterAutospacing="off"/>
            </w:pPr>
            <w:r w:rsidRPr="1BDB1543" w:rsidR="1BDB1543">
              <w:rPr>
                <w:rFonts w:ascii="Arial" w:hAnsi="Arial" w:eastAsia="Arial" w:cs="Arial"/>
                <w:sz w:val="24"/>
                <w:szCs w:val="24"/>
              </w:rPr>
              <w:t xml:space="preserve"> </w:t>
            </w:r>
          </w:p>
          <w:p w:rsidR="1BDB1543" w:rsidP="1BDB1543" w:rsidRDefault="1BDB1543" w14:paraId="2593AFEB" w14:textId="62975BA3">
            <w:pPr>
              <w:pStyle w:val="NoSpacing"/>
              <w:spacing w:before="0" w:beforeAutospacing="off" w:after="0" w:afterAutospacing="off"/>
            </w:pPr>
            <w:r w:rsidRPr="1BDB1543" w:rsidR="1BDB1543">
              <w:rPr>
                <w:rFonts w:ascii="Arial" w:hAnsi="Arial" w:eastAsia="Arial" w:cs="Arial"/>
                <w:sz w:val="24"/>
                <w:szCs w:val="24"/>
              </w:rPr>
              <w:t xml:space="preserve"> </w:t>
            </w:r>
          </w:p>
        </w:tc>
        <w:tc>
          <w:tcPr>
            <w:tcW w:w="2643" w:type="dxa"/>
            <w:tcBorders>
              <w:top w:val="single" w:sz="8"/>
              <w:left w:val="single" w:sz="8"/>
              <w:bottom w:val="single" w:sz="8"/>
              <w:right w:val="single" w:sz="8"/>
            </w:tcBorders>
            <w:tcMar>
              <w:left w:w="108" w:type="dxa"/>
              <w:right w:w="108" w:type="dxa"/>
            </w:tcMar>
            <w:vAlign w:val="top"/>
          </w:tcPr>
          <w:p w:rsidR="1BDB1543" w:rsidP="1BDB1543" w:rsidRDefault="1BDB1543" w14:paraId="4D638C7F" w14:textId="762AE736">
            <w:pPr>
              <w:pStyle w:val="NoSpacing"/>
              <w:spacing w:before="0" w:beforeAutospacing="off" w:after="0" w:afterAutospacing="off"/>
            </w:pPr>
            <w:r w:rsidRPr="1BDB1543" w:rsidR="1BDB1543">
              <w:rPr>
                <w:rFonts w:ascii="Arial" w:hAnsi="Arial" w:eastAsia="Arial" w:cs="Arial"/>
                <w:sz w:val="24"/>
                <w:szCs w:val="24"/>
              </w:rPr>
              <w:t xml:space="preserve"> </w:t>
            </w:r>
          </w:p>
        </w:tc>
        <w:tc>
          <w:tcPr>
            <w:tcW w:w="2527" w:type="dxa"/>
            <w:tcBorders>
              <w:top w:val="single" w:sz="8"/>
              <w:left w:val="single" w:sz="8"/>
              <w:bottom w:val="single" w:sz="8"/>
              <w:right w:val="single" w:sz="8"/>
            </w:tcBorders>
            <w:tcMar>
              <w:left w:w="108" w:type="dxa"/>
              <w:right w:w="108" w:type="dxa"/>
            </w:tcMar>
            <w:vAlign w:val="top"/>
          </w:tcPr>
          <w:p w:rsidR="1BDB1543" w:rsidP="1BDB1543" w:rsidRDefault="1BDB1543" w14:paraId="7607D24B" w14:textId="33AA4AFB">
            <w:pPr>
              <w:pStyle w:val="NoSpacing"/>
              <w:spacing w:before="0" w:beforeAutospacing="off" w:after="0" w:afterAutospacing="off"/>
            </w:pPr>
            <w:r w:rsidRPr="1BDB1543" w:rsidR="1BDB1543">
              <w:rPr>
                <w:rFonts w:ascii="Arial" w:hAnsi="Arial" w:eastAsia="Arial" w:cs="Arial"/>
                <w:sz w:val="24"/>
                <w:szCs w:val="24"/>
              </w:rPr>
              <w:t>Pupils will use resources 4, 5 and 6 to complete a reading comprehension and will then use the knowledge gained from this to complete the literacy task of filling in the gaps with information collected during the activities to create a letter.</w:t>
            </w:r>
          </w:p>
        </w:tc>
        <w:tc>
          <w:tcPr>
            <w:tcW w:w="1470" w:type="dxa"/>
            <w:tcBorders>
              <w:top w:val="single" w:sz="8"/>
              <w:left w:val="single" w:sz="8"/>
              <w:bottom w:val="single" w:sz="8"/>
              <w:right w:val="single" w:sz="8"/>
            </w:tcBorders>
            <w:tcMar>
              <w:left w:w="108" w:type="dxa"/>
              <w:right w:w="108" w:type="dxa"/>
            </w:tcMar>
            <w:vAlign w:val="top"/>
          </w:tcPr>
          <w:p w:rsidR="1BDB1543" w:rsidP="1BDB1543" w:rsidRDefault="1BDB1543" w14:paraId="1B8BC0B4" w14:textId="270C73E8">
            <w:pPr>
              <w:pStyle w:val="NoSpacing"/>
              <w:spacing w:before="0" w:beforeAutospacing="off" w:after="0" w:afterAutospacing="off"/>
            </w:pPr>
            <w:r w:rsidRPr="1BDB1543" w:rsidR="1BDB1543">
              <w:rPr>
                <w:rFonts w:ascii="Arial" w:hAnsi="Arial" w:eastAsia="Arial" w:cs="Arial"/>
                <w:sz w:val="24"/>
                <w:szCs w:val="24"/>
              </w:rPr>
              <w:t xml:space="preserve">One inclusive strategy for these tasks is allowing children to work 1-1 with a teacher or learning support assistant to complete the reading comprehension task. </w:t>
            </w:r>
          </w:p>
          <w:p w:rsidR="1BDB1543" w:rsidP="1BDB1543" w:rsidRDefault="1BDB1543" w14:paraId="69614B6B" w14:textId="3681BCDC">
            <w:pPr>
              <w:pStyle w:val="NoSpacing"/>
              <w:spacing w:before="0" w:beforeAutospacing="off" w:after="0" w:afterAutospacing="off"/>
            </w:pPr>
            <w:r w:rsidRPr="1BDB1543" w:rsidR="1BDB1543">
              <w:rPr>
                <w:rFonts w:ascii="Arial" w:hAnsi="Arial" w:eastAsia="Arial" w:cs="Arial"/>
                <w:sz w:val="24"/>
                <w:szCs w:val="24"/>
              </w:rPr>
              <w:t>ALN students may require the words to be given to them for the literacy task and they can complete this as a process of elimination ‘game’.</w:t>
            </w:r>
          </w:p>
          <w:p w:rsidR="1BDB1543" w:rsidP="1BDB1543" w:rsidRDefault="1BDB1543" w14:paraId="5037775B" w14:textId="2A133450">
            <w:pPr>
              <w:pStyle w:val="NoSpacing"/>
              <w:spacing w:before="0" w:beforeAutospacing="off" w:after="0" w:afterAutospacing="off"/>
            </w:pPr>
            <w:r w:rsidRPr="1BDB1543" w:rsidR="1BDB1543">
              <w:rPr>
                <w:rFonts w:ascii="Arial" w:hAnsi="Arial" w:eastAsia="Arial" w:cs="Arial"/>
                <w:sz w:val="24"/>
                <w:szCs w:val="24"/>
              </w:rPr>
              <w:t>MAT students may not need the sentence starters and may be able to independently write a letter.</w:t>
            </w:r>
          </w:p>
        </w:tc>
        <w:tc>
          <w:tcPr>
            <w:tcW w:w="1509" w:type="dxa"/>
            <w:tcBorders>
              <w:top w:val="single" w:sz="8"/>
              <w:left w:val="single" w:sz="8"/>
              <w:bottom w:val="single" w:sz="8"/>
              <w:right w:val="single" w:sz="8"/>
            </w:tcBorders>
            <w:tcMar>
              <w:left w:w="108" w:type="dxa"/>
              <w:right w:w="108" w:type="dxa"/>
            </w:tcMar>
            <w:vAlign w:val="top"/>
          </w:tcPr>
          <w:p w:rsidR="1BDB1543" w:rsidP="1BDB1543" w:rsidRDefault="1BDB1543" w14:paraId="314AEABA" w14:textId="4ECC5B3B">
            <w:pPr>
              <w:pStyle w:val="NoSpacing"/>
              <w:spacing w:before="0" w:beforeAutospacing="off" w:after="0" w:afterAutospacing="off"/>
            </w:pPr>
            <w:r w:rsidRPr="1BDB1543" w:rsidR="1BDB1543">
              <w:rPr>
                <w:rFonts w:ascii="Arial" w:hAnsi="Arial" w:eastAsia="Arial" w:cs="Arial"/>
                <w:sz w:val="24"/>
                <w:szCs w:val="24"/>
              </w:rPr>
              <w:t>This task can only be completed after all others are as it uses all of the information collected.</w:t>
            </w:r>
          </w:p>
        </w:tc>
      </w:tr>
    </w:tbl>
    <w:p w:rsidR="1BDB1543" w:rsidP="1BDB1543" w:rsidRDefault="1BDB1543" w14:paraId="0B4386AF" w14:textId="231F442A">
      <w:pPr>
        <w:pStyle w:val="Normal"/>
      </w:pPr>
    </w:p>
    <w:p w:rsidR="1BDB1543" w:rsidP="1BDB1543" w:rsidRDefault="1BDB1543" w14:paraId="6AACFE0B" w14:textId="3F2BB848">
      <w:pPr>
        <w:pStyle w:val="Normal"/>
      </w:pPr>
    </w:p>
    <w:p w:rsidR="1BDB1543" w:rsidP="1BDB1543" w:rsidRDefault="1BDB1543" w14:paraId="3373CA4D" w14:textId="53D63C6B">
      <w:pPr>
        <w:pStyle w:val="Normal"/>
      </w:pPr>
    </w:p>
    <w:p w:rsidR="1BDB1543" w:rsidP="1BDB1543" w:rsidRDefault="1BDB1543" w14:paraId="2AC188DE" w14:textId="42205145">
      <w:pPr>
        <w:pStyle w:val="Normal"/>
      </w:pPr>
    </w:p>
    <w:p w:rsidR="1BDB1543" w:rsidP="1BDB1543" w:rsidRDefault="1BDB1543" w14:paraId="40CA6A24" w14:textId="2441E1EB">
      <w:pPr>
        <w:pStyle w:val="Normal"/>
      </w:pPr>
    </w:p>
    <w:p w:rsidR="1BDB1543" w:rsidP="1BDB1543" w:rsidRDefault="1BDB1543" w14:paraId="28351866" w14:textId="21C0FF5A">
      <w:pPr>
        <w:pStyle w:val="Normal"/>
      </w:pPr>
    </w:p>
    <w:p w:rsidR="1BDB1543" w:rsidP="1BDB1543" w:rsidRDefault="1BDB1543" w14:paraId="355ACB3B" w14:textId="01832CD8">
      <w:pPr>
        <w:pStyle w:val="Normal"/>
      </w:pPr>
    </w:p>
    <w:p w:rsidR="1BDB1543" w:rsidP="1BDB1543" w:rsidRDefault="1BDB1543" w14:paraId="10F975BB" w14:textId="2C91D367">
      <w:pPr>
        <w:pStyle w:val="Normal"/>
      </w:pPr>
    </w:p>
    <w:p w:rsidR="1BDB1543" w:rsidP="1BDB1543" w:rsidRDefault="1BDB1543" w14:paraId="3D4368E0" w14:textId="14290D5F">
      <w:pPr>
        <w:pStyle w:val="Normal"/>
      </w:pPr>
    </w:p>
    <w:p w:rsidR="1BDB1543" w:rsidP="1BDB1543" w:rsidRDefault="1BDB1543" w14:paraId="2AB88770" w14:textId="5F868F1A">
      <w:pPr>
        <w:pStyle w:val="Normal"/>
      </w:pPr>
    </w:p>
    <w:p w:rsidR="1BDB1543" w:rsidP="1BDB1543" w:rsidRDefault="1BDB1543" w14:paraId="504747F0" w14:textId="1B6AE34A">
      <w:pPr>
        <w:pStyle w:val="Normal"/>
      </w:pPr>
    </w:p>
    <w:p w:rsidR="1BDB1543" w:rsidP="1BDB1543" w:rsidRDefault="1BDB1543" w14:paraId="32502CFE" w14:textId="17F9CB10">
      <w:pPr>
        <w:pStyle w:val="Normal"/>
      </w:pPr>
    </w:p>
    <w:p w:rsidR="1BDB1543" w:rsidP="1BDB1543" w:rsidRDefault="1BDB1543" w14:paraId="14999F7F" w14:textId="002465C1">
      <w:pPr>
        <w:pStyle w:val="Normal"/>
      </w:pPr>
    </w:p>
    <w:p w:rsidR="1BDB1543" w:rsidP="1BDB1543" w:rsidRDefault="1BDB1543" w14:paraId="48721F6E" w14:textId="58221F85">
      <w:pPr>
        <w:pStyle w:val="Normal"/>
      </w:pPr>
    </w:p>
    <w:p w:rsidR="1BDB1543" w:rsidP="1BDB1543" w:rsidRDefault="1BDB1543" w14:paraId="4D77E0AD" w14:textId="6905BD14">
      <w:pPr>
        <w:pStyle w:val="Normal"/>
      </w:pPr>
    </w:p>
    <w:p w:rsidR="1BDB1543" w:rsidP="1BDB1543" w:rsidRDefault="1BDB1543" w14:paraId="33798BF7" w14:textId="7F028EBC">
      <w:pPr>
        <w:pStyle w:val="Normal"/>
      </w:pPr>
    </w:p>
    <w:p w:rsidR="1BDB1543" w:rsidP="1BDB1543" w:rsidRDefault="1BDB1543" w14:paraId="79027527" w14:textId="3D917F96">
      <w:pPr>
        <w:pStyle w:val="Normal"/>
      </w:pPr>
    </w:p>
    <w:p w:rsidR="1BDB1543" w:rsidP="1BDB1543" w:rsidRDefault="1BDB1543" w14:paraId="65AA3B14" w14:textId="1BAEFE84">
      <w:pPr>
        <w:pStyle w:val="Normal"/>
      </w:pPr>
    </w:p>
    <w:p w:rsidR="7ED1323A" w:rsidP="1BDB1543" w:rsidRDefault="7ED1323A" w14:paraId="79ED453F" w14:textId="611F536A">
      <w:pPr>
        <w:pStyle w:val="Normal"/>
      </w:pPr>
      <w:r w:rsidR="7ED1323A">
        <w:rPr/>
        <w:t>Resource 1</w:t>
      </w:r>
      <w:r w:rsidR="0E2C5B58">
        <w:rPr/>
        <w:t xml:space="preserve">: </w:t>
      </w:r>
      <w:r w:rsidR="6214DE9D">
        <w:rPr/>
        <w:t xml:space="preserve">The </w:t>
      </w:r>
      <w:r w:rsidR="0E2C5B58">
        <w:rPr/>
        <w:t>hook.</w:t>
      </w:r>
    </w:p>
    <w:p w:rsidR="33AE40FA" w:rsidRDefault="33AE40FA" w14:paraId="139A8883" w14:textId="00E289C6">
      <w:r w:rsidR="33AE40FA">
        <w:drawing>
          <wp:inline wp14:editId="1CDE06D1" wp14:anchorId="3248C9EC">
            <wp:extent cx="4010025" cy="5724524"/>
            <wp:effectExtent l="0" t="0" r="0" b="0"/>
            <wp:docPr id="1085510565" name="" title=""/>
            <wp:cNvGraphicFramePr>
              <a:graphicFrameLocks noChangeAspect="1"/>
            </wp:cNvGraphicFramePr>
            <a:graphic>
              <a:graphicData uri="http://schemas.openxmlformats.org/drawingml/2006/picture">
                <pic:pic>
                  <pic:nvPicPr>
                    <pic:cNvPr id="0" name=""/>
                    <pic:cNvPicPr/>
                  </pic:nvPicPr>
                  <pic:blipFill>
                    <a:blip r:embed="Raecb5c51c3b044c9">
                      <a:extLst>
                        <a:ext xmlns:a="http://schemas.openxmlformats.org/drawingml/2006/main" uri="{28A0092B-C50C-407E-A947-70E740481C1C}">
                          <a14:useLocalDpi val="0"/>
                        </a:ext>
                      </a:extLst>
                    </a:blip>
                    <a:stretch>
                      <a:fillRect/>
                    </a:stretch>
                  </pic:blipFill>
                  <pic:spPr>
                    <a:xfrm>
                      <a:off x="0" y="0"/>
                      <a:ext cx="4010025" cy="5724524"/>
                    </a:xfrm>
                    <a:prstGeom prst="rect">
                      <a:avLst/>
                    </a:prstGeom>
                  </pic:spPr>
                </pic:pic>
              </a:graphicData>
            </a:graphic>
          </wp:inline>
        </w:drawing>
      </w:r>
    </w:p>
    <w:p w:rsidR="1BDB1543" w:rsidRDefault="1BDB1543" w14:paraId="1FDB4459" w14:textId="1386DF53"/>
    <w:p w:rsidR="1BDB1543" w:rsidRDefault="1BDB1543" w14:paraId="6AC009F4" w14:textId="67CCA073"/>
    <w:p w:rsidR="1BDB1543" w:rsidP="1BDB1543" w:rsidRDefault="1BDB1543" w14:paraId="2C939B49" w14:textId="037E00C0">
      <w:pPr>
        <w:pStyle w:val="Normal"/>
      </w:pPr>
    </w:p>
    <w:p w:rsidR="1BDB1543" w:rsidP="1BDB1543" w:rsidRDefault="1BDB1543" w14:paraId="7963667C" w14:textId="3B32B13C">
      <w:pPr>
        <w:pStyle w:val="Normal"/>
      </w:pPr>
    </w:p>
    <w:p w:rsidR="1BDB1543" w:rsidP="1BDB1543" w:rsidRDefault="1BDB1543" w14:paraId="26784D30" w14:textId="1986397C">
      <w:pPr>
        <w:pStyle w:val="Normal"/>
      </w:pPr>
    </w:p>
    <w:p w:rsidR="1BDB1543" w:rsidP="1BDB1543" w:rsidRDefault="1BDB1543" w14:paraId="6CCEA9A1" w14:textId="4E5F3A92">
      <w:pPr>
        <w:pStyle w:val="Normal"/>
      </w:pPr>
    </w:p>
    <w:p w:rsidR="1BDB1543" w:rsidP="1BDB1543" w:rsidRDefault="1BDB1543" w14:paraId="52BD3318" w14:textId="5EADE11C">
      <w:pPr>
        <w:pStyle w:val="Normal"/>
      </w:pPr>
    </w:p>
    <w:p w:rsidR="1BDB1543" w:rsidP="1BDB1543" w:rsidRDefault="1BDB1543" w14:paraId="44808309" w14:textId="39C69A45">
      <w:pPr>
        <w:pStyle w:val="Normal"/>
      </w:pPr>
    </w:p>
    <w:p w:rsidR="7E552823" w:rsidP="1BDB1543" w:rsidRDefault="7E552823" w14:paraId="5888D78A" w14:textId="2F8A76C6">
      <w:pPr>
        <w:pStyle w:val="Normal"/>
      </w:pPr>
      <w:r w:rsidR="7E552823">
        <w:rPr/>
        <w:t>Resource 2: Mathematics.</w:t>
      </w:r>
    </w:p>
    <w:p w:rsidR="33AE40FA" w:rsidRDefault="33AE40FA" w14:paraId="06C0F705" w14:textId="5235DA23">
      <w:r w:rsidR="33AE40FA">
        <w:drawing>
          <wp:inline wp14:editId="235CE7F0" wp14:anchorId="527BD58A">
            <wp:extent cx="4086225" cy="5724524"/>
            <wp:effectExtent l="0" t="0" r="0" b="0"/>
            <wp:docPr id="1816523802" name="" title=""/>
            <wp:cNvGraphicFramePr>
              <a:graphicFrameLocks noChangeAspect="1"/>
            </wp:cNvGraphicFramePr>
            <a:graphic>
              <a:graphicData uri="http://schemas.openxmlformats.org/drawingml/2006/picture">
                <pic:pic>
                  <pic:nvPicPr>
                    <pic:cNvPr id="0" name=""/>
                    <pic:cNvPicPr/>
                  </pic:nvPicPr>
                  <pic:blipFill>
                    <a:blip r:embed="R47f1743ed91e4bb3">
                      <a:extLst>
                        <a:ext xmlns:a="http://schemas.openxmlformats.org/drawingml/2006/main" uri="{28A0092B-C50C-407E-A947-70E740481C1C}">
                          <a14:useLocalDpi val="0"/>
                        </a:ext>
                      </a:extLst>
                    </a:blip>
                    <a:stretch>
                      <a:fillRect/>
                    </a:stretch>
                  </pic:blipFill>
                  <pic:spPr>
                    <a:xfrm>
                      <a:off x="0" y="0"/>
                      <a:ext cx="4086225" cy="5724524"/>
                    </a:xfrm>
                    <a:prstGeom prst="rect">
                      <a:avLst/>
                    </a:prstGeom>
                  </pic:spPr>
                </pic:pic>
              </a:graphicData>
            </a:graphic>
          </wp:inline>
        </w:drawing>
      </w:r>
    </w:p>
    <w:p w:rsidR="1BDB1543" w:rsidRDefault="1BDB1543" w14:paraId="00523340" w14:textId="1DB4C1CE"/>
    <w:p w:rsidR="1BDB1543" w:rsidRDefault="1BDB1543" w14:paraId="1905E1FA" w14:textId="1E324B38"/>
    <w:p w:rsidR="1BDB1543" w:rsidRDefault="1BDB1543" w14:paraId="39747029" w14:textId="272007B4"/>
    <w:p w:rsidR="1BDB1543" w:rsidRDefault="1BDB1543" w14:paraId="2F935CF8" w14:textId="534F3CEB"/>
    <w:p w:rsidR="1BDB1543" w:rsidRDefault="1BDB1543" w14:paraId="52D94117" w14:textId="0975E4DC"/>
    <w:p w:rsidR="1BDB1543" w:rsidRDefault="1BDB1543" w14:paraId="5EFEEE80" w14:textId="7DA7AC29"/>
    <w:p w:rsidR="1BDB1543" w:rsidRDefault="1BDB1543" w14:paraId="1165C996" w14:textId="5996734F"/>
    <w:p w:rsidR="1BDB1543" w:rsidP="1BDB1543" w:rsidRDefault="1BDB1543" w14:paraId="4AD1C5BC" w14:textId="191DC8E4">
      <w:pPr>
        <w:pStyle w:val="Normal"/>
      </w:pPr>
    </w:p>
    <w:p w:rsidR="3FA83F18" w:rsidP="1BDB1543" w:rsidRDefault="3FA83F18" w14:paraId="19816A64" w14:textId="33983B22">
      <w:pPr>
        <w:pStyle w:val="Normal"/>
      </w:pPr>
      <w:r w:rsidR="3FA83F18">
        <w:rPr/>
        <w:t xml:space="preserve">Resource 3: Creative arts links with literacy and the use of information from </w:t>
      </w:r>
      <w:r w:rsidR="3FA83F18">
        <w:rPr/>
        <w:t>previous</w:t>
      </w:r>
      <w:r w:rsidR="3FA83F18">
        <w:rPr/>
        <w:t xml:space="preserve"> mathematics task.</w:t>
      </w:r>
    </w:p>
    <w:p w:rsidR="33AE40FA" w:rsidRDefault="33AE40FA" w14:paraId="33ED297C" w14:textId="590A5A98">
      <w:r w:rsidR="33AE40FA">
        <w:drawing>
          <wp:inline wp14:editId="1E0898A2" wp14:anchorId="57B14ECA">
            <wp:extent cx="4048125" cy="5724524"/>
            <wp:effectExtent l="0" t="0" r="0" b="0"/>
            <wp:docPr id="1907383893" name="" title=""/>
            <wp:cNvGraphicFramePr>
              <a:graphicFrameLocks noChangeAspect="1"/>
            </wp:cNvGraphicFramePr>
            <a:graphic>
              <a:graphicData uri="http://schemas.openxmlformats.org/drawingml/2006/picture">
                <pic:pic>
                  <pic:nvPicPr>
                    <pic:cNvPr id="0" name=""/>
                    <pic:cNvPicPr/>
                  </pic:nvPicPr>
                  <pic:blipFill>
                    <a:blip r:embed="Ra41e905c386c4a97">
                      <a:extLst>
                        <a:ext xmlns:a="http://schemas.openxmlformats.org/drawingml/2006/main" uri="{28A0092B-C50C-407E-A947-70E740481C1C}">
                          <a14:useLocalDpi val="0"/>
                        </a:ext>
                      </a:extLst>
                    </a:blip>
                    <a:stretch>
                      <a:fillRect/>
                    </a:stretch>
                  </pic:blipFill>
                  <pic:spPr>
                    <a:xfrm>
                      <a:off x="0" y="0"/>
                      <a:ext cx="4048125" cy="5724524"/>
                    </a:xfrm>
                    <a:prstGeom prst="rect">
                      <a:avLst/>
                    </a:prstGeom>
                  </pic:spPr>
                </pic:pic>
              </a:graphicData>
            </a:graphic>
          </wp:inline>
        </w:drawing>
      </w:r>
    </w:p>
    <w:p w:rsidR="1BDB1543" w:rsidRDefault="1BDB1543" w14:paraId="422A93A6" w14:textId="631E7A7A"/>
    <w:p w:rsidR="1BDB1543" w:rsidRDefault="1BDB1543" w14:paraId="0BB7F17E" w14:textId="7C288C4D"/>
    <w:p w:rsidR="1BDB1543" w:rsidRDefault="1BDB1543" w14:paraId="61F965FF" w14:textId="267C1D95"/>
    <w:p w:rsidR="1BDB1543" w:rsidRDefault="1BDB1543" w14:paraId="1E7F9169" w14:textId="19990E8F"/>
    <w:p w:rsidR="1BDB1543" w:rsidRDefault="1BDB1543" w14:paraId="3944CE0F" w14:textId="6E4009D5"/>
    <w:p w:rsidR="1BDB1543" w:rsidRDefault="1BDB1543" w14:paraId="65F05836" w14:textId="22874E17"/>
    <w:p w:rsidR="1BDB1543" w:rsidRDefault="1BDB1543" w14:paraId="0736E686" w14:textId="0E180FE3"/>
    <w:p w:rsidR="1BDB1543" w:rsidRDefault="1BDB1543" w14:paraId="4050594E" w14:textId="6C89B740"/>
    <w:p w:rsidR="23F2E432" w:rsidRDefault="23F2E432" w14:paraId="1DC7A632" w14:textId="49ECA988">
      <w:r w:rsidR="23F2E432">
        <w:rPr/>
        <w:t xml:space="preserve">Resource 4: This is the reading section of a reading comprehension. Welsh is </w:t>
      </w:r>
      <w:r w:rsidR="23F2E432">
        <w:rPr/>
        <w:t>incorporated</w:t>
      </w:r>
      <w:r w:rsidR="23F2E432">
        <w:rPr/>
        <w:t xml:space="preserve">. </w:t>
      </w:r>
    </w:p>
    <w:p w:rsidR="33AE40FA" w:rsidRDefault="33AE40FA" w14:paraId="74EB08E0" w14:textId="50EBCBFA">
      <w:r w:rsidR="33AE40FA">
        <w:drawing>
          <wp:inline wp14:editId="5DFDAA14" wp14:anchorId="04EAE505">
            <wp:extent cx="4029075" cy="5724524"/>
            <wp:effectExtent l="0" t="0" r="0" b="0"/>
            <wp:docPr id="498582444" name="" title=""/>
            <wp:cNvGraphicFramePr>
              <a:graphicFrameLocks noChangeAspect="1"/>
            </wp:cNvGraphicFramePr>
            <a:graphic>
              <a:graphicData uri="http://schemas.openxmlformats.org/drawingml/2006/picture">
                <pic:pic>
                  <pic:nvPicPr>
                    <pic:cNvPr id="0" name=""/>
                    <pic:cNvPicPr/>
                  </pic:nvPicPr>
                  <pic:blipFill>
                    <a:blip r:embed="R34e3a6c422864b39">
                      <a:extLst>
                        <a:ext xmlns:a="http://schemas.openxmlformats.org/drawingml/2006/main" uri="{28A0092B-C50C-407E-A947-70E740481C1C}">
                          <a14:useLocalDpi val="0"/>
                        </a:ext>
                      </a:extLst>
                    </a:blip>
                    <a:stretch>
                      <a:fillRect/>
                    </a:stretch>
                  </pic:blipFill>
                  <pic:spPr>
                    <a:xfrm>
                      <a:off x="0" y="0"/>
                      <a:ext cx="4029075" cy="5724524"/>
                    </a:xfrm>
                    <a:prstGeom prst="rect">
                      <a:avLst/>
                    </a:prstGeom>
                  </pic:spPr>
                </pic:pic>
              </a:graphicData>
            </a:graphic>
          </wp:inline>
        </w:drawing>
      </w:r>
    </w:p>
    <w:p w:rsidR="1BDB1543" w:rsidRDefault="1BDB1543" w14:paraId="707A7F1A" w14:textId="46BD6785"/>
    <w:p w:rsidR="1BDB1543" w:rsidRDefault="1BDB1543" w14:paraId="605E02D4" w14:textId="525BFD6A"/>
    <w:p w:rsidR="1BDB1543" w:rsidRDefault="1BDB1543" w14:paraId="3F0373C6" w14:textId="7AE5C1E0"/>
    <w:p w:rsidR="1BDB1543" w:rsidRDefault="1BDB1543" w14:paraId="3612F67C" w14:textId="3D1F7B6B"/>
    <w:p w:rsidR="1BDB1543" w:rsidRDefault="1BDB1543" w14:paraId="5683C283" w14:textId="1AF0E982"/>
    <w:p w:rsidR="1BDB1543" w:rsidRDefault="1BDB1543" w14:paraId="4F8D9CC7" w14:textId="01E4EBD8"/>
    <w:p w:rsidR="1BDB1543" w:rsidRDefault="1BDB1543" w14:paraId="0D50C194" w14:textId="696494EB"/>
    <w:p w:rsidR="1BDB1543" w:rsidP="1BDB1543" w:rsidRDefault="1BDB1543" w14:paraId="4D4C7C27" w14:textId="7359874E">
      <w:pPr>
        <w:pStyle w:val="Normal"/>
      </w:pPr>
    </w:p>
    <w:p w:rsidR="22826FAC" w:rsidP="1BDB1543" w:rsidRDefault="22826FAC" w14:paraId="0D4A29EB" w14:textId="40F9C672">
      <w:pPr>
        <w:pStyle w:val="Normal"/>
      </w:pPr>
      <w:r w:rsidR="22826FAC">
        <w:rPr/>
        <w:t>Resource 5: The research and answering section of the reading comprehension uses previous tasks.</w:t>
      </w:r>
    </w:p>
    <w:p w:rsidR="33AE40FA" w:rsidRDefault="33AE40FA" w14:paraId="06BECCB1" w14:textId="3A7DF42B">
      <w:r w:rsidR="33AE40FA">
        <w:drawing>
          <wp:inline wp14:editId="46D38BC8" wp14:anchorId="37C7CFA8">
            <wp:extent cx="4048125" cy="5724524"/>
            <wp:effectExtent l="0" t="0" r="0" b="0"/>
            <wp:docPr id="1370286404" name="" title=""/>
            <wp:cNvGraphicFramePr>
              <a:graphicFrameLocks noChangeAspect="1"/>
            </wp:cNvGraphicFramePr>
            <a:graphic>
              <a:graphicData uri="http://schemas.openxmlformats.org/drawingml/2006/picture">
                <pic:pic>
                  <pic:nvPicPr>
                    <pic:cNvPr id="0" name=""/>
                    <pic:cNvPicPr/>
                  </pic:nvPicPr>
                  <pic:blipFill>
                    <a:blip r:embed="Rd945d9a53c3342d3">
                      <a:extLst>
                        <a:ext xmlns:a="http://schemas.openxmlformats.org/drawingml/2006/main" uri="{28A0092B-C50C-407E-A947-70E740481C1C}">
                          <a14:useLocalDpi val="0"/>
                        </a:ext>
                      </a:extLst>
                    </a:blip>
                    <a:stretch>
                      <a:fillRect/>
                    </a:stretch>
                  </pic:blipFill>
                  <pic:spPr>
                    <a:xfrm>
                      <a:off x="0" y="0"/>
                      <a:ext cx="4048125" cy="5724524"/>
                    </a:xfrm>
                    <a:prstGeom prst="rect">
                      <a:avLst/>
                    </a:prstGeom>
                  </pic:spPr>
                </pic:pic>
              </a:graphicData>
            </a:graphic>
          </wp:inline>
        </w:drawing>
      </w:r>
    </w:p>
    <w:p w:rsidR="1BDB1543" w:rsidRDefault="1BDB1543" w14:paraId="04B7EB87" w14:textId="6907747E"/>
    <w:p w:rsidR="1BDB1543" w:rsidRDefault="1BDB1543" w14:paraId="077D11E4" w14:textId="22165AED"/>
    <w:p w:rsidR="1BDB1543" w:rsidRDefault="1BDB1543" w14:paraId="46BA335C" w14:textId="7FDCFA5B"/>
    <w:p w:rsidR="1BDB1543" w:rsidRDefault="1BDB1543" w14:paraId="02DF40EA" w14:textId="17AC0CF2"/>
    <w:p w:rsidR="1BDB1543" w:rsidRDefault="1BDB1543" w14:paraId="246E7AC6" w14:textId="6F4B5EEB"/>
    <w:p w:rsidR="1BDB1543" w:rsidRDefault="1BDB1543" w14:paraId="7D482AB3" w14:textId="023346EB"/>
    <w:p w:rsidR="1BDB1543" w:rsidRDefault="1BDB1543" w14:paraId="52727D60" w14:textId="41F31C2D"/>
    <w:p w:rsidR="1BDB1543" w:rsidP="1BDB1543" w:rsidRDefault="1BDB1543" w14:paraId="6DBAC672" w14:textId="23B73347">
      <w:pPr>
        <w:pStyle w:val="Normal"/>
      </w:pPr>
    </w:p>
    <w:p w:rsidR="748395BF" w:rsidP="1BDB1543" w:rsidRDefault="748395BF" w14:paraId="0E7FD03E" w14:textId="78458CEA">
      <w:pPr>
        <w:pStyle w:val="Normal"/>
      </w:pPr>
      <w:r w:rsidR="748395BF">
        <w:rPr/>
        <w:t xml:space="preserve">Resource 6: The final task is </w:t>
      </w:r>
      <w:r w:rsidR="748395BF">
        <w:rPr/>
        <w:t>essentially a</w:t>
      </w:r>
      <w:r w:rsidR="748395BF">
        <w:rPr/>
        <w:t xml:space="preserve"> literacy task but brings in all </w:t>
      </w:r>
      <w:r w:rsidR="748395BF">
        <w:rPr/>
        <w:t>previous</w:t>
      </w:r>
      <w:r w:rsidR="748395BF">
        <w:rPr/>
        <w:t xml:space="preserve"> tasks to answer the gaps. </w:t>
      </w:r>
    </w:p>
    <w:p w:rsidR="33AE40FA" w:rsidRDefault="33AE40FA" w14:paraId="710B7AE2" w14:textId="4CEF74BB">
      <w:r w:rsidR="33AE40FA">
        <w:drawing>
          <wp:inline wp14:editId="396253AC" wp14:anchorId="67893093">
            <wp:extent cx="4057650" cy="5724524"/>
            <wp:effectExtent l="0" t="0" r="0" b="0"/>
            <wp:docPr id="1378794150" name="" title=""/>
            <wp:cNvGraphicFramePr>
              <a:graphicFrameLocks noChangeAspect="1"/>
            </wp:cNvGraphicFramePr>
            <a:graphic>
              <a:graphicData uri="http://schemas.openxmlformats.org/drawingml/2006/picture">
                <pic:pic>
                  <pic:nvPicPr>
                    <pic:cNvPr id="0" name=""/>
                    <pic:cNvPicPr/>
                  </pic:nvPicPr>
                  <pic:blipFill>
                    <a:blip r:embed="R3a18b015775c4cfa">
                      <a:extLst>
                        <a:ext xmlns:a="http://schemas.openxmlformats.org/drawingml/2006/main" uri="{28A0092B-C50C-407E-A947-70E740481C1C}">
                          <a14:useLocalDpi val="0"/>
                        </a:ext>
                      </a:extLst>
                    </a:blip>
                    <a:stretch>
                      <a:fillRect/>
                    </a:stretch>
                  </pic:blipFill>
                  <pic:spPr>
                    <a:xfrm>
                      <a:off x="0" y="0"/>
                      <a:ext cx="4057650" cy="5724524"/>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f7ff5fbfa15a418e"/>
      <w:footerReference w:type="default" r:id="R8c0d756add864f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DB1543" w:rsidTr="1BDB1543" w14:paraId="067B0587">
      <w:trPr>
        <w:trHeight w:val="300"/>
      </w:trPr>
      <w:tc>
        <w:tcPr>
          <w:tcW w:w="3005" w:type="dxa"/>
          <w:tcMar/>
        </w:tcPr>
        <w:p w:rsidR="1BDB1543" w:rsidP="1BDB1543" w:rsidRDefault="1BDB1543" w14:paraId="7B917C8D" w14:textId="7BA3740C">
          <w:pPr>
            <w:pStyle w:val="Header"/>
            <w:bidi w:val="0"/>
            <w:ind w:left="-115"/>
            <w:jc w:val="left"/>
          </w:pPr>
        </w:p>
      </w:tc>
      <w:tc>
        <w:tcPr>
          <w:tcW w:w="3005" w:type="dxa"/>
          <w:tcMar/>
        </w:tcPr>
        <w:p w:rsidR="1BDB1543" w:rsidP="1BDB1543" w:rsidRDefault="1BDB1543" w14:paraId="4EF1B68B" w14:textId="2600D331">
          <w:pPr>
            <w:pStyle w:val="Header"/>
            <w:bidi w:val="0"/>
            <w:jc w:val="center"/>
          </w:pPr>
        </w:p>
      </w:tc>
      <w:tc>
        <w:tcPr>
          <w:tcW w:w="3005" w:type="dxa"/>
          <w:tcMar/>
        </w:tcPr>
        <w:p w:rsidR="1BDB1543" w:rsidP="1BDB1543" w:rsidRDefault="1BDB1543" w14:paraId="34687858" w14:textId="4784FE9B">
          <w:pPr>
            <w:pStyle w:val="Header"/>
            <w:bidi w:val="0"/>
            <w:ind w:right="-115"/>
            <w:jc w:val="right"/>
          </w:pPr>
        </w:p>
      </w:tc>
    </w:tr>
  </w:tbl>
  <w:p w:rsidR="1BDB1543" w:rsidP="1BDB1543" w:rsidRDefault="1BDB1543" w14:paraId="23D3A068" w14:textId="69E533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DB1543" w:rsidTr="1BDB1543" w14:paraId="61611B8A">
      <w:trPr>
        <w:trHeight w:val="300"/>
      </w:trPr>
      <w:tc>
        <w:tcPr>
          <w:tcW w:w="3005" w:type="dxa"/>
          <w:tcMar/>
        </w:tcPr>
        <w:p w:rsidR="1BDB1543" w:rsidP="1BDB1543" w:rsidRDefault="1BDB1543" w14:paraId="5054FDAC" w14:textId="31969A01">
          <w:pPr>
            <w:pStyle w:val="Header"/>
            <w:bidi w:val="0"/>
            <w:ind w:left="-115"/>
            <w:jc w:val="left"/>
          </w:pPr>
        </w:p>
      </w:tc>
      <w:tc>
        <w:tcPr>
          <w:tcW w:w="3005" w:type="dxa"/>
          <w:tcMar/>
        </w:tcPr>
        <w:p w:rsidR="1BDB1543" w:rsidP="1BDB1543" w:rsidRDefault="1BDB1543" w14:paraId="06F15D2D" w14:textId="536094EA">
          <w:pPr>
            <w:pStyle w:val="Header"/>
            <w:bidi w:val="0"/>
            <w:jc w:val="center"/>
          </w:pPr>
        </w:p>
      </w:tc>
      <w:tc>
        <w:tcPr>
          <w:tcW w:w="3005" w:type="dxa"/>
          <w:tcMar/>
        </w:tcPr>
        <w:p w:rsidR="1BDB1543" w:rsidP="1BDB1543" w:rsidRDefault="1BDB1543" w14:paraId="46337127" w14:textId="62902780">
          <w:pPr>
            <w:pStyle w:val="Header"/>
            <w:bidi w:val="0"/>
            <w:ind w:right="-115"/>
            <w:jc w:val="right"/>
          </w:pPr>
        </w:p>
      </w:tc>
    </w:tr>
  </w:tbl>
  <w:p w:rsidR="1BDB1543" w:rsidP="1BDB1543" w:rsidRDefault="1BDB1543" w14:paraId="4E9AF5C3" w14:textId="7E4364FB">
    <w:pPr>
      <w:pStyle w:val="Header"/>
      <w:bidi w:val="0"/>
    </w:pPr>
  </w:p>
</w:hdr>
</file>

<file path=word/intelligence2.xml><?xml version="1.0" encoding="utf-8"?>
<int2:intelligence xmlns:int2="http://schemas.microsoft.com/office/intelligence/2020/intelligence">
  <int2:observations>
    <int2:bookmark int2:bookmarkName="_Int_ImhgUcLk" int2:invalidationBookmarkName="" int2:hashCode="LMnuONylcPcTbS" int2:id="yQjoOFUf">
      <int2:state int2:type="AugLoop_Text_Critique" int2:value="Rejected"/>
    </int2:bookmark>
    <int2:bookmark int2:bookmarkName="_Int_guaTUC60" int2:invalidationBookmarkName="" int2:hashCode="PeUh02GRVekij4" int2:id="spR87wg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3d75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quot;,sans-serif" w:hAnsi="&quot;Calibri&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d43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dfb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7bf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9d824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aa3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66C7A"/>
    <w:rsid w:val="005AF673"/>
    <w:rsid w:val="00859763"/>
    <w:rsid w:val="01CE0B14"/>
    <w:rsid w:val="01DF4BA7"/>
    <w:rsid w:val="02213D08"/>
    <w:rsid w:val="023F5CCC"/>
    <w:rsid w:val="0249AD29"/>
    <w:rsid w:val="0249AD29"/>
    <w:rsid w:val="03CF3935"/>
    <w:rsid w:val="03E6E36E"/>
    <w:rsid w:val="047626FF"/>
    <w:rsid w:val="047626FF"/>
    <w:rsid w:val="04A37529"/>
    <w:rsid w:val="04A37529"/>
    <w:rsid w:val="04E49223"/>
    <w:rsid w:val="04EF2CC9"/>
    <w:rsid w:val="05356A08"/>
    <w:rsid w:val="0558A863"/>
    <w:rsid w:val="0589E315"/>
    <w:rsid w:val="05C405FB"/>
    <w:rsid w:val="05C405FB"/>
    <w:rsid w:val="05D4544B"/>
    <w:rsid w:val="05DAB39F"/>
    <w:rsid w:val="05DAB39F"/>
    <w:rsid w:val="0694A4D6"/>
    <w:rsid w:val="0694A4D6"/>
    <w:rsid w:val="0748399D"/>
    <w:rsid w:val="080E71B3"/>
    <w:rsid w:val="08EF17A6"/>
    <w:rsid w:val="08F6A047"/>
    <w:rsid w:val="0949D31C"/>
    <w:rsid w:val="09599B3E"/>
    <w:rsid w:val="09599B3E"/>
    <w:rsid w:val="09C38437"/>
    <w:rsid w:val="09E6830F"/>
    <w:rsid w:val="0A0505CB"/>
    <w:rsid w:val="0A0505CB"/>
    <w:rsid w:val="0A2C2831"/>
    <w:rsid w:val="0A3FA412"/>
    <w:rsid w:val="0A41B8A3"/>
    <w:rsid w:val="0A657507"/>
    <w:rsid w:val="0A657507"/>
    <w:rsid w:val="0A77E7D5"/>
    <w:rsid w:val="0AB9088D"/>
    <w:rsid w:val="0ADABAC4"/>
    <w:rsid w:val="0AEB5C2C"/>
    <w:rsid w:val="0B0DED68"/>
    <w:rsid w:val="0B1E979E"/>
    <w:rsid w:val="0B3BF594"/>
    <w:rsid w:val="0B95ECCB"/>
    <w:rsid w:val="0BC639F4"/>
    <w:rsid w:val="0C5F1C44"/>
    <w:rsid w:val="0C7443DA"/>
    <w:rsid w:val="0CD07FF1"/>
    <w:rsid w:val="0D18B504"/>
    <w:rsid w:val="0D34CC00"/>
    <w:rsid w:val="0D34CC00"/>
    <w:rsid w:val="0D52756D"/>
    <w:rsid w:val="0D52756D"/>
    <w:rsid w:val="0DAEC256"/>
    <w:rsid w:val="0DAEC256"/>
    <w:rsid w:val="0E194FB3"/>
    <w:rsid w:val="0E2C5B58"/>
    <w:rsid w:val="0E30F9C3"/>
    <w:rsid w:val="0E9FCCBB"/>
    <w:rsid w:val="0EA67757"/>
    <w:rsid w:val="0ED9E301"/>
    <w:rsid w:val="0FABF56F"/>
    <w:rsid w:val="11580957"/>
    <w:rsid w:val="11AE21FC"/>
    <w:rsid w:val="11E6CCF6"/>
    <w:rsid w:val="11E80B70"/>
    <w:rsid w:val="11E80B70"/>
    <w:rsid w:val="128831A5"/>
    <w:rsid w:val="137E0F02"/>
    <w:rsid w:val="13AC4432"/>
    <w:rsid w:val="13AD8884"/>
    <w:rsid w:val="141ECEB5"/>
    <w:rsid w:val="14539A86"/>
    <w:rsid w:val="155B5732"/>
    <w:rsid w:val="155D8161"/>
    <w:rsid w:val="160337AD"/>
    <w:rsid w:val="163316F2"/>
    <w:rsid w:val="163316F2"/>
    <w:rsid w:val="1783BF39"/>
    <w:rsid w:val="1790088F"/>
    <w:rsid w:val="1790088F"/>
    <w:rsid w:val="17BD6084"/>
    <w:rsid w:val="17E95A3A"/>
    <w:rsid w:val="17E95A3A"/>
    <w:rsid w:val="18100942"/>
    <w:rsid w:val="18218A55"/>
    <w:rsid w:val="18D9B4BC"/>
    <w:rsid w:val="19720266"/>
    <w:rsid w:val="19720266"/>
    <w:rsid w:val="19EB1837"/>
    <w:rsid w:val="1A8516DB"/>
    <w:rsid w:val="1ADBE559"/>
    <w:rsid w:val="1B45F07D"/>
    <w:rsid w:val="1BDB1543"/>
    <w:rsid w:val="1C1C45C3"/>
    <w:rsid w:val="1CE7CAD9"/>
    <w:rsid w:val="1CE9D825"/>
    <w:rsid w:val="1D1CB440"/>
    <w:rsid w:val="1D2D0D54"/>
    <w:rsid w:val="1D2D0D54"/>
    <w:rsid w:val="1D76B322"/>
    <w:rsid w:val="1DA5C52F"/>
    <w:rsid w:val="1F480A9E"/>
    <w:rsid w:val="1F8063DF"/>
    <w:rsid w:val="1F8063DF"/>
    <w:rsid w:val="1F89F577"/>
    <w:rsid w:val="1FF0B524"/>
    <w:rsid w:val="200363BD"/>
    <w:rsid w:val="2091E1BA"/>
    <w:rsid w:val="20FFD847"/>
    <w:rsid w:val="21422C61"/>
    <w:rsid w:val="21A86449"/>
    <w:rsid w:val="21D93930"/>
    <w:rsid w:val="21D93930"/>
    <w:rsid w:val="222C2ABA"/>
    <w:rsid w:val="225BBBB0"/>
    <w:rsid w:val="22701104"/>
    <w:rsid w:val="22756E2A"/>
    <w:rsid w:val="2276EAF2"/>
    <w:rsid w:val="22826FAC"/>
    <w:rsid w:val="22AF79C6"/>
    <w:rsid w:val="234267A6"/>
    <w:rsid w:val="23D2802B"/>
    <w:rsid w:val="23F2E432"/>
    <w:rsid w:val="23FCC6A4"/>
    <w:rsid w:val="2468E65F"/>
    <w:rsid w:val="24AF9836"/>
    <w:rsid w:val="2561D5B7"/>
    <w:rsid w:val="25E59E17"/>
    <w:rsid w:val="260F0AA4"/>
    <w:rsid w:val="261E5F4A"/>
    <w:rsid w:val="26412917"/>
    <w:rsid w:val="2668A02A"/>
    <w:rsid w:val="26BAAB33"/>
    <w:rsid w:val="26C7DA32"/>
    <w:rsid w:val="27C7CC1C"/>
    <w:rsid w:val="27D72ACD"/>
    <w:rsid w:val="2838E8A2"/>
    <w:rsid w:val="2838E8A2"/>
    <w:rsid w:val="283B61F7"/>
    <w:rsid w:val="289B1A7B"/>
    <w:rsid w:val="291ECD9F"/>
    <w:rsid w:val="2980836D"/>
    <w:rsid w:val="2980836D"/>
    <w:rsid w:val="299E9BC1"/>
    <w:rsid w:val="29FCDBB1"/>
    <w:rsid w:val="2A9339E3"/>
    <w:rsid w:val="2AD4EF6C"/>
    <w:rsid w:val="2AE09D6F"/>
    <w:rsid w:val="2B65B901"/>
    <w:rsid w:val="2BE6074E"/>
    <w:rsid w:val="2CA91290"/>
    <w:rsid w:val="2CC3CE8F"/>
    <w:rsid w:val="2CCEE543"/>
    <w:rsid w:val="2CCEE543"/>
    <w:rsid w:val="2CDC5315"/>
    <w:rsid w:val="2D948FAA"/>
    <w:rsid w:val="2DCFC6F8"/>
    <w:rsid w:val="2E3808E1"/>
    <w:rsid w:val="2E3808E1"/>
    <w:rsid w:val="2EF7E07C"/>
    <w:rsid w:val="2FC9243A"/>
    <w:rsid w:val="30047B33"/>
    <w:rsid w:val="30051C06"/>
    <w:rsid w:val="30B162C8"/>
    <w:rsid w:val="30C19900"/>
    <w:rsid w:val="31649329"/>
    <w:rsid w:val="31649329"/>
    <w:rsid w:val="316EB6CD"/>
    <w:rsid w:val="31779F28"/>
    <w:rsid w:val="31D439F4"/>
    <w:rsid w:val="32227CC5"/>
    <w:rsid w:val="32621A9D"/>
    <w:rsid w:val="32E0FE30"/>
    <w:rsid w:val="331069E1"/>
    <w:rsid w:val="333A2F8E"/>
    <w:rsid w:val="33AE40FA"/>
    <w:rsid w:val="33B88A9E"/>
    <w:rsid w:val="33BC7AA4"/>
    <w:rsid w:val="347EC020"/>
    <w:rsid w:val="34C2A7D9"/>
    <w:rsid w:val="34F05A1D"/>
    <w:rsid w:val="34F45B39"/>
    <w:rsid w:val="355187DC"/>
    <w:rsid w:val="357528AE"/>
    <w:rsid w:val="35AE82C7"/>
    <w:rsid w:val="3640B68D"/>
    <w:rsid w:val="36671CEC"/>
    <w:rsid w:val="367A84C1"/>
    <w:rsid w:val="367A84C1"/>
    <w:rsid w:val="368E52CA"/>
    <w:rsid w:val="36E49BB3"/>
    <w:rsid w:val="3726E53B"/>
    <w:rsid w:val="373839E1"/>
    <w:rsid w:val="3755A505"/>
    <w:rsid w:val="375C9110"/>
    <w:rsid w:val="377A82AA"/>
    <w:rsid w:val="378A7213"/>
    <w:rsid w:val="38394473"/>
    <w:rsid w:val="38492E37"/>
    <w:rsid w:val="3897D34C"/>
    <w:rsid w:val="38BE470E"/>
    <w:rsid w:val="3988FEC9"/>
    <w:rsid w:val="39A7444D"/>
    <w:rsid w:val="39A7444D"/>
    <w:rsid w:val="39C7EA50"/>
    <w:rsid w:val="39FBB672"/>
    <w:rsid w:val="3A27905C"/>
    <w:rsid w:val="3A6F2326"/>
    <w:rsid w:val="3B5E4CD7"/>
    <w:rsid w:val="3B852A37"/>
    <w:rsid w:val="3BA4E04D"/>
    <w:rsid w:val="3BE1D000"/>
    <w:rsid w:val="3C19CA46"/>
    <w:rsid w:val="3D0BA5B5"/>
    <w:rsid w:val="3D10C57F"/>
    <w:rsid w:val="3D10C57F"/>
    <w:rsid w:val="3D3080C8"/>
    <w:rsid w:val="3D606BE3"/>
    <w:rsid w:val="3D727D12"/>
    <w:rsid w:val="3D7D90A9"/>
    <w:rsid w:val="3DD2FBA9"/>
    <w:rsid w:val="3DE97644"/>
    <w:rsid w:val="3DFA65C2"/>
    <w:rsid w:val="3E2C98EA"/>
    <w:rsid w:val="3F2C762A"/>
    <w:rsid w:val="3F3CAE8B"/>
    <w:rsid w:val="3F6F9725"/>
    <w:rsid w:val="3FA83F18"/>
    <w:rsid w:val="3FE5D5C5"/>
    <w:rsid w:val="3FE5D5C5"/>
    <w:rsid w:val="3FFFAC03"/>
    <w:rsid w:val="403BFA98"/>
    <w:rsid w:val="403BFA98"/>
    <w:rsid w:val="4066CBF7"/>
    <w:rsid w:val="40697DAC"/>
    <w:rsid w:val="40966C7A"/>
    <w:rsid w:val="40A4EC85"/>
    <w:rsid w:val="40A9E0BB"/>
    <w:rsid w:val="411CE0A7"/>
    <w:rsid w:val="415FB2A8"/>
    <w:rsid w:val="41690D71"/>
    <w:rsid w:val="4180DD35"/>
    <w:rsid w:val="4180DD35"/>
    <w:rsid w:val="4248A563"/>
    <w:rsid w:val="42577E76"/>
    <w:rsid w:val="42CF2979"/>
    <w:rsid w:val="438C3A02"/>
    <w:rsid w:val="438C3A02"/>
    <w:rsid w:val="4400D07B"/>
    <w:rsid w:val="44033EB0"/>
    <w:rsid w:val="44FB5F0F"/>
    <w:rsid w:val="44FBBCC9"/>
    <w:rsid w:val="451D5CB5"/>
    <w:rsid w:val="45622B20"/>
    <w:rsid w:val="456C45D8"/>
    <w:rsid w:val="456C45D8"/>
    <w:rsid w:val="4585052C"/>
    <w:rsid w:val="458BD94F"/>
    <w:rsid w:val="45A99636"/>
    <w:rsid w:val="45B7DACC"/>
    <w:rsid w:val="462C9E23"/>
    <w:rsid w:val="464598A7"/>
    <w:rsid w:val="46B28802"/>
    <w:rsid w:val="46DC05C5"/>
    <w:rsid w:val="46E8B6FB"/>
    <w:rsid w:val="470B00B2"/>
    <w:rsid w:val="471817DB"/>
    <w:rsid w:val="4720495D"/>
    <w:rsid w:val="4761DACD"/>
    <w:rsid w:val="48166634"/>
    <w:rsid w:val="4830DFEE"/>
    <w:rsid w:val="48776FAB"/>
    <w:rsid w:val="48D5E06C"/>
    <w:rsid w:val="493088CD"/>
    <w:rsid w:val="49CFC5DE"/>
    <w:rsid w:val="4B3E8B18"/>
    <w:rsid w:val="4BEBF9C6"/>
    <w:rsid w:val="4C557755"/>
    <w:rsid w:val="4C557755"/>
    <w:rsid w:val="4C61EFFF"/>
    <w:rsid w:val="4C61EFFF"/>
    <w:rsid w:val="4C6CDBC7"/>
    <w:rsid w:val="4C82A340"/>
    <w:rsid w:val="4CD5E7BE"/>
    <w:rsid w:val="4CE54E4C"/>
    <w:rsid w:val="4D003A0E"/>
    <w:rsid w:val="4D1046D9"/>
    <w:rsid w:val="4D1BBD9D"/>
    <w:rsid w:val="4D6DF571"/>
    <w:rsid w:val="4DA49692"/>
    <w:rsid w:val="4E01575C"/>
    <w:rsid w:val="4EB4291B"/>
    <w:rsid w:val="4EB4291B"/>
    <w:rsid w:val="4F2F75D5"/>
    <w:rsid w:val="4F78F4C9"/>
    <w:rsid w:val="4FEBFA39"/>
    <w:rsid w:val="4FF722EF"/>
    <w:rsid w:val="5006F63D"/>
    <w:rsid w:val="500F78D3"/>
    <w:rsid w:val="50350C6D"/>
    <w:rsid w:val="50350C6D"/>
    <w:rsid w:val="503EF262"/>
    <w:rsid w:val="50481FC1"/>
    <w:rsid w:val="5076FD8E"/>
    <w:rsid w:val="50CF2FA9"/>
    <w:rsid w:val="512134E1"/>
    <w:rsid w:val="51850EEB"/>
    <w:rsid w:val="51AF913C"/>
    <w:rsid w:val="51CC9750"/>
    <w:rsid w:val="523B0634"/>
    <w:rsid w:val="52C03983"/>
    <w:rsid w:val="52C763E0"/>
    <w:rsid w:val="52C763E0"/>
    <w:rsid w:val="531025B7"/>
    <w:rsid w:val="531025B7"/>
    <w:rsid w:val="531E4AE3"/>
    <w:rsid w:val="5361A093"/>
    <w:rsid w:val="538C6A78"/>
    <w:rsid w:val="539A75A0"/>
    <w:rsid w:val="539A75A0"/>
    <w:rsid w:val="548C7C5F"/>
    <w:rsid w:val="548C7C5F"/>
    <w:rsid w:val="55F4A80F"/>
    <w:rsid w:val="56036E28"/>
    <w:rsid w:val="568B3280"/>
    <w:rsid w:val="56EC4FAC"/>
    <w:rsid w:val="56EC4FAC"/>
    <w:rsid w:val="5740BD53"/>
    <w:rsid w:val="57B14338"/>
    <w:rsid w:val="57B14338"/>
    <w:rsid w:val="57CBA5B4"/>
    <w:rsid w:val="57FC2DD8"/>
    <w:rsid w:val="58775ECB"/>
    <w:rsid w:val="5919A3ED"/>
    <w:rsid w:val="593391AC"/>
    <w:rsid w:val="595FAF5F"/>
    <w:rsid w:val="59B9CAAE"/>
    <w:rsid w:val="5A3742F2"/>
    <w:rsid w:val="5A3742F2"/>
    <w:rsid w:val="5A8B7C3F"/>
    <w:rsid w:val="5AAE7489"/>
    <w:rsid w:val="5AF247EB"/>
    <w:rsid w:val="5B0E5484"/>
    <w:rsid w:val="5BC11A56"/>
    <w:rsid w:val="5BE48A7A"/>
    <w:rsid w:val="5C1D9837"/>
    <w:rsid w:val="5C832BDA"/>
    <w:rsid w:val="5CA377C4"/>
    <w:rsid w:val="5CC971C9"/>
    <w:rsid w:val="5D10D46C"/>
    <w:rsid w:val="5E64143C"/>
    <w:rsid w:val="5F2F62B4"/>
    <w:rsid w:val="5F58A03D"/>
    <w:rsid w:val="5FBFDA2E"/>
    <w:rsid w:val="60381992"/>
    <w:rsid w:val="6044B3DC"/>
    <w:rsid w:val="6066D053"/>
    <w:rsid w:val="60A63419"/>
    <w:rsid w:val="60C0761E"/>
    <w:rsid w:val="60C81CD3"/>
    <w:rsid w:val="60EE5307"/>
    <w:rsid w:val="6214DE9D"/>
    <w:rsid w:val="62C83A15"/>
    <w:rsid w:val="62F0EB6C"/>
    <w:rsid w:val="630F9244"/>
    <w:rsid w:val="6315E806"/>
    <w:rsid w:val="63200026"/>
    <w:rsid w:val="63751913"/>
    <w:rsid w:val="63751913"/>
    <w:rsid w:val="63E327E4"/>
    <w:rsid w:val="64EF6499"/>
    <w:rsid w:val="654142F4"/>
    <w:rsid w:val="657512EB"/>
    <w:rsid w:val="6592AC5C"/>
    <w:rsid w:val="6622B924"/>
    <w:rsid w:val="66A39635"/>
    <w:rsid w:val="66AA9E06"/>
    <w:rsid w:val="66CB39CB"/>
    <w:rsid w:val="66DD5E41"/>
    <w:rsid w:val="67C1AB29"/>
    <w:rsid w:val="67F160EB"/>
    <w:rsid w:val="67FBCF74"/>
    <w:rsid w:val="680DD35A"/>
    <w:rsid w:val="680DD35A"/>
    <w:rsid w:val="685FBA48"/>
    <w:rsid w:val="686F7C06"/>
    <w:rsid w:val="689D330A"/>
    <w:rsid w:val="68EC937F"/>
    <w:rsid w:val="68FB6A3D"/>
    <w:rsid w:val="692099EA"/>
    <w:rsid w:val="6926BC3A"/>
    <w:rsid w:val="693996AC"/>
    <w:rsid w:val="693996AC"/>
    <w:rsid w:val="69698B5B"/>
    <w:rsid w:val="698FC3EA"/>
    <w:rsid w:val="69C1115A"/>
    <w:rsid w:val="69E61306"/>
    <w:rsid w:val="6A069072"/>
    <w:rsid w:val="6A35F069"/>
    <w:rsid w:val="6B8F3824"/>
    <w:rsid w:val="6B8F3824"/>
    <w:rsid w:val="6B9D21EC"/>
    <w:rsid w:val="6BA664FA"/>
    <w:rsid w:val="6C112313"/>
    <w:rsid w:val="6C919A08"/>
    <w:rsid w:val="6CBA3513"/>
    <w:rsid w:val="6D2CA686"/>
    <w:rsid w:val="6D55FE7A"/>
    <w:rsid w:val="6D97F6FD"/>
    <w:rsid w:val="6D97F6FD"/>
    <w:rsid w:val="6E202E25"/>
    <w:rsid w:val="6E27BB77"/>
    <w:rsid w:val="6E83B5BD"/>
    <w:rsid w:val="6E9805B3"/>
    <w:rsid w:val="6E9A6409"/>
    <w:rsid w:val="6F1FF098"/>
    <w:rsid w:val="6F763B09"/>
    <w:rsid w:val="6F763B09"/>
    <w:rsid w:val="6FB543D8"/>
    <w:rsid w:val="6FBAD563"/>
    <w:rsid w:val="6FBBFC18"/>
    <w:rsid w:val="6FBF2FF2"/>
    <w:rsid w:val="6FE4FF7C"/>
    <w:rsid w:val="70A3E6FC"/>
    <w:rsid w:val="7108F0CB"/>
    <w:rsid w:val="7108F0CB"/>
    <w:rsid w:val="71522C42"/>
    <w:rsid w:val="71621D80"/>
    <w:rsid w:val="71D9A0E8"/>
    <w:rsid w:val="73AE8BF2"/>
    <w:rsid w:val="748395BF"/>
    <w:rsid w:val="7486088B"/>
    <w:rsid w:val="74E9297A"/>
    <w:rsid w:val="75D73960"/>
    <w:rsid w:val="76344510"/>
    <w:rsid w:val="764E98F3"/>
    <w:rsid w:val="766BD8AF"/>
    <w:rsid w:val="766BD8AF"/>
    <w:rsid w:val="77F4C33A"/>
    <w:rsid w:val="78927461"/>
    <w:rsid w:val="79221A31"/>
    <w:rsid w:val="79221A31"/>
    <w:rsid w:val="79433CE9"/>
    <w:rsid w:val="798014A1"/>
    <w:rsid w:val="7999E326"/>
    <w:rsid w:val="79B29B7A"/>
    <w:rsid w:val="79C62859"/>
    <w:rsid w:val="7A08AA44"/>
    <w:rsid w:val="7A0F7463"/>
    <w:rsid w:val="7A47AC0D"/>
    <w:rsid w:val="7A64BA66"/>
    <w:rsid w:val="7A7143E6"/>
    <w:rsid w:val="7AFDE3EA"/>
    <w:rsid w:val="7AFDE3EA"/>
    <w:rsid w:val="7B6C1504"/>
    <w:rsid w:val="7BDCDB0F"/>
    <w:rsid w:val="7BDCDB0F"/>
    <w:rsid w:val="7CC45F23"/>
    <w:rsid w:val="7D5C2EF0"/>
    <w:rsid w:val="7DAB1776"/>
    <w:rsid w:val="7E21A844"/>
    <w:rsid w:val="7E21A844"/>
    <w:rsid w:val="7E552823"/>
    <w:rsid w:val="7E903668"/>
    <w:rsid w:val="7ED1323A"/>
    <w:rsid w:val="7F1268F1"/>
    <w:rsid w:val="7F18B41C"/>
    <w:rsid w:val="7F4FB52D"/>
    <w:rsid w:val="7F803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EA07"/>
  <w15:chartTrackingRefBased/>
  <w15:docId w15:val="{00D313DE-8469-4E85-A5CB-246F02FCD6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BDB1543"/>
    <w:rPr>
      <w:color w:val="467886"/>
      <w:u w:val="single"/>
    </w:rPr>
  </w:style>
  <w:style w:type="paragraph" w:styleId="ListParagraph">
    <w:uiPriority w:val="34"/>
    <w:name w:val="List Paragraph"/>
    <w:basedOn w:val="Normal"/>
    <w:qFormat/>
    <w:rsid w:val="1BDB1543"/>
    <w:pPr>
      <w:spacing/>
      <w:ind w:left="720"/>
      <w:contextualSpacing/>
    </w:pPr>
  </w:style>
  <w:style w:type="paragraph" w:styleId="Header">
    <w:uiPriority w:val="99"/>
    <w:name w:val="header"/>
    <w:basedOn w:val="Normal"/>
    <w:unhideWhenUsed/>
    <w:rsid w:val="1BDB1543"/>
    <w:pPr>
      <w:tabs>
        <w:tab w:val="center" w:leader="none" w:pos="4680"/>
        <w:tab w:val="right" w:leader="none" w:pos="9360"/>
      </w:tabs>
      <w:spacing w:after="0" w:line="240" w:lineRule="auto"/>
    </w:pPr>
  </w:style>
  <w:style w:type="paragraph" w:styleId="Footer">
    <w:uiPriority w:val="99"/>
    <w:name w:val="footer"/>
    <w:basedOn w:val="Normal"/>
    <w:unhideWhenUsed/>
    <w:rsid w:val="1BDB1543"/>
    <w:pPr>
      <w:tabs>
        <w:tab w:val="center" w:leader="none" w:pos="4680"/>
        <w:tab w:val="right" w:leader="none" w:pos="9360"/>
      </w:tabs>
      <w:spacing w:after="0" w:line="240" w:lineRule="auto"/>
    </w:pPr>
  </w:style>
  <w:style w:type="paragraph" w:styleId="NoSpacing">
    <w:uiPriority w:val="1"/>
    <w:name w:val="No Spacing"/>
    <w:qFormat/>
    <w:rsid w:val="1BDB1543"/>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c9efb5eef1d46a3" /><Relationship Type="http://schemas.openxmlformats.org/officeDocument/2006/relationships/hyperlink" Target="https://www.thesaurus.com/" TargetMode="External" Id="R7aa00e9445004db2" /><Relationship Type="http://schemas.openxmlformats.org/officeDocument/2006/relationships/hyperlink" Target="https://www.researchgate.net/publication/274313611_An_Introduction_to_Cross-Curricular_Learning" TargetMode="External" Id="R36d34411e8e9497c" /><Relationship Type="http://schemas.openxmlformats.org/officeDocument/2006/relationships/hyperlink" Target="https://www.pescholar.com/insight/supercharged-pe-embedding-cross-curricular-links/" TargetMode="External" Id="R7fc108cdb03643e1" /><Relationship Type="http://schemas.openxmlformats.org/officeDocument/2006/relationships/hyperlink" Target="https://etheses.dur.ac.uk/13800/1/POMROY000180156_-_corrected_version.pdf" TargetMode="External" Id="R1b8ab2154afb4d3e" /><Relationship Type="http://schemas.openxmlformats.org/officeDocument/2006/relationships/hyperlink" Target="https://wcc.edu.in/wp-content/uploads/Reseacrh/Holistic-Pedagogical-Approaches.pdf" TargetMode="External" Id="R44e0b744e1414e3f" /><Relationship Type="http://schemas.openxmlformats.org/officeDocument/2006/relationships/hyperlink" Target="https://www.firsttutors.com/uk/blog/2018/04/4-benefits-of-a-cross-curricular-math-environment/" TargetMode="External" Id="Rf7782834f59b47c0" /><Relationship Type="http://schemas.openxmlformats.org/officeDocument/2006/relationships/hyperlink" Target="https://mylocalschool.gov.wales/School/6752355?lang=en" TargetMode="External" Id="R9ea45c20f9b04ac0" /><Relationship Type="http://schemas.openxmlformats.org/officeDocument/2006/relationships/hyperlink" Target="https://digitalcommons.liberty.edu/doctoral/4944/" TargetMode="External" Id="R6b435bd039304ee4" /><Relationship Type="http://schemas.openxmlformats.org/officeDocument/2006/relationships/hyperlink" Target="https://digitalinsights.jisc.ac.uk/reports-and-briefings/our-reports/2022-23-uk-higher-education-students-digital-experience-insights-survey-findings/" TargetMode="External" Id="R21d3be154a8048f8" /><Relationship Type="http://schemas.openxmlformats.org/officeDocument/2006/relationships/hyperlink" Target="https://doi.org/10.1080/17408989.2024.2400054" TargetMode="External" Id="R3875c5548d474fb1" /><Relationship Type="http://schemas.openxmlformats.org/officeDocument/2006/relationships/hyperlink" Target="https://www.learningvillage.net/article/cross-curricular-best-practice" TargetMode="External" Id="R8fafeac9869c42b2" /><Relationship Type="http://schemas.openxmlformats.org/officeDocument/2006/relationships/hyperlink" Target="https://www.futurelearn.com/info/courses/differentiating-for-learning-stem/0/steps/15505" TargetMode="External" Id="R07582bd59cf24afc" /><Relationship Type="http://schemas.openxmlformats.org/officeDocument/2006/relationships/hyperlink" Target="https://hwb.gov.wales/api/storage/b447d1fe-5463-4382-9726-e68623a05dd2/assessment-for-learning-and-the-national-literacy-and-numeracy-framework.pdf" TargetMode="External" Id="R745895e7bb724bac" /><Relationship Type="http://schemas.openxmlformats.org/officeDocument/2006/relationships/hyperlink" Target="https://hwb.gov.wales/curriculum-for-wales/cross-curricular-skills-frameworks/literacy-and-numeracy-framework/" TargetMode="External" Id="R01a264acc8564313" /><Relationship Type="http://schemas.openxmlformats.org/officeDocument/2006/relationships/hyperlink" Target="https://hwb.gov.wales/curriculum-for-wales/cross-curricular-skills-frameworks" TargetMode="External" Id="Rb4cd760653614aa1" /><Relationship Type="http://schemas.openxmlformats.org/officeDocument/2006/relationships/hyperlink" Target="https://inews.co.uk/news/education/maths-until-18-hate-subject-rishi-sunak-lessons-2134051" TargetMode="External" Id="Raa5723cee05843e7" /><Relationship Type="http://schemas.openxmlformats.org/officeDocument/2006/relationships/hyperlink" Target="https://www.thetimes.com/article/teachers-want-less-homework-less-marking-and-a-different-job-8rgf8pp92" TargetMode="External" Id="R6e91ac9d77d84df1" /><Relationship Type="http://schemas.openxmlformats.org/officeDocument/2006/relationships/hyperlink" Target="https://youtu.be/9lOIw-0MC-E?si=skEWmk7DR_F6sZMn" TargetMode="External" Id="R62e6400a67de4796" /><Relationship Type="http://schemas.openxmlformats.org/officeDocument/2006/relationships/hyperlink" Target="https://hwb.gov.wales/curriculum-for-wales/cross-curricular-skills-frameworks/" TargetMode="External" Id="R280dd9fdd17949c8" /><Relationship Type="http://schemas.openxmlformats.org/officeDocument/2006/relationships/image" Target="/media/image2.png" Id="Raecb5c51c3b044c9" /><Relationship Type="http://schemas.openxmlformats.org/officeDocument/2006/relationships/image" Target="/media/image3.png" Id="R47f1743ed91e4bb3" /><Relationship Type="http://schemas.openxmlformats.org/officeDocument/2006/relationships/image" Target="/media/image4.png" Id="Ra41e905c386c4a97" /><Relationship Type="http://schemas.openxmlformats.org/officeDocument/2006/relationships/image" Target="/media/image5.png" Id="R34e3a6c422864b39" /><Relationship Type="http://schemas.openxmlformats.org/officeDocument/2006/relationships/image" Target="/media/image6.png" Id="Rd945d9a53c3342d3" /><Relationship Type="http://schemas.openxmlformats.org/officeDocument/2006/relationships/image" Target="/media/image7.png" Id="R3a18b015775c4cfa" /><Relationship Type="http://schemas.openxmlformats.org/officeDocument/2006/relationships/header" Target="/word/header.xml" Id="Rf7ff5fbfa15a418e" /><Relationship Type="http://schemas.openxmlformats.org/officeDocument/2006/relationships/footer" Target="/word/footer.xml" Id="R8c0d756add864f8d" /><Relationship Type="http://schemas.microsoft.com/office/2020/10/relationships/intelligence" Target="/word/intelligence2.xml" Id="R2e2244cd92924abe" /><Relationship Type="http://schemas.openxmlformats.org/officeDocument/2006/relationships/numbering" Target="/word/numbering.xml" Id="R11010abd09864d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Mollie Thomas (2404011)</dc:creator>
  <keywords/>
  <dc:description/>
  <lastModifiedBy>Mollie Thomas (2404011)</lastModifiedBy>
  <revision>2</revision>
  <dcterms:created xsi:type="dcterms:W3CDTF">2025-03-03T10:31:46.9555296Z</dcterms:created>
  <dcterms:modified xsi:type="dcterms:W3CDTF">2025-03-03T22:00:20.0453113Z</dcterms:modified>
</coreProperties>
</file>