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84353" w14:textId="77777777" w:rsidR="004E65DD" w:rsidRDefault="004E65DD"/>
    <w:p w14:paraId="0C589F8C" w14:textId="77777777" w:rsidR="004E65DD" w:rsidRDefault="004E65DD"/>
    <w:p w14:paraId="03832C4D" w14:textId="0DFBB4ED" w:rsidR="00CF128E" w:rsidRDefault="004E65DD">
      <w:r w:rsidRPr="004E65DD">
        <w:rPr>
          <w:rFonts w:ascii="Times New Roman" w:eastAsia="Aptos" w:hAnsi="Times New Roman" w:cs="Times New Roman"/>
          <w:noProof/>
          <w:kern w:val="0"/>
          <w14:ligatures w14:val="none"/>
        </w:rPr>
        <w:drawing>
          <wp:anchor distT="0" distB="0" distL="114300" distR="114300" simplePos="0" relativeHeight="251659264" behindDoc="0" locked="0" layoutInCell="1" allowOverlap="1" wp14:anchorId="4DA09DA7" wp14:editId="25CCDEA5">
            <wp:simplePos x="0" y="0"/>
            <wp:positionH relativeFrom="margin">
              <wp:posOffset>0</wp:posOffset>
            </wp:positionH>
            <wp:positionV relativeFrom="paragraph">
              <wp:posOffset>320040</wp:posOffset>
            </wp:positionV>
            <wp:extent cx="2600325" cy="914400"/>
            <wp:effectExtent l="0" t="0" r="9525" b="0"/>
            <wp:wrapSquare wrapText="bothSides"/>
            <wp:docPr id="3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3267F" w14:textId="77777777" w:rsidR="004E65DD" w:rsidRPr="004E65DD" w:rsidRDefault="004E65DD" w:rsidP="004E65DD"/>
    <w:p w14:paraId="3E700D44" w14:textId="77777777" w:rsidR="004E65DD" w:rsidRPr="004E65DD" w:rsidRDefault="004E65DD" w:rsidP="004E65DD"/>
    <w:p w14:paraId="518C71C9" w14:textId="77777777" w:rsidR="004E65DD" w:rsidRPr="004E65DD" w:rsidRDefault="004E65DD" w:rsidP="004E65DD"/>
    <w:p w14:paraId="6364F6E6" w14:textId="77777777" w:rsidR="004E65DD" w:rsidRPr="004E65DD" w:rsidRDefault="004E65DD" w:rsidP="004E65DD"/>
    <w:p w14:paraId="2129B0DD" w14:textId="77777777" w:rsidR="004E65DD" w:rsidRPr="004E65DD" w:rsidRDefault="004E65DD" w:rsidP="004E65DD"/>
    <w:p w14:paraId="6A3513DA" w14:textId="77777777" w:rsidR="004E65DD" w:rsidRDefault="004E65DD" w:rsidP="004E65DD"/>
    <w:p w14:paraId="7FD3FB3A" w14:textId="77777777" w:rsidR="004E65DD" w:rsidRDefault="004E65DD" w:rsidP="004E65DD"/>
    <w:p w14:paraId="4B264463" w14:textId="77777777" w:rsidR="004E65DD" w:rsidRDefault="004E65DD" w:rsidP="004E65DD"/>
    <w:p w14:paraId="6DDD4F3F" w14:textId="784B7425" w:rsidR="004E65DD" w:rsidRDefault="004E65DD" w:rsidP="004E65D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447C27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447C27">
        <w:rPr>
          <w:rFonts w:ascii="Arial" w:hAnsi="Arial" w:cs="Arial"/>
          <w:sz w:val="28"/>
          <w:szCs w:val="28"/>
          <w:lang w:val="nl-NL"/>
        </w:rPr>
        <w:t>:</w:t>
      </w:r>
      <w:r w:rsidRPr="00447C27">
        <w:rPr>
          <w:rFonts w:ascii="Arial" w:hAnsi="Arial" w:cs="Arial"/>
          <w:sz w:val="28"/>
          <w:szCs w:val="28"/>
          <w:lang w:val="nl-NL"/>
        </w:rPr>
        <w:t xml:space="preserve"> Selma Pacheco</w:t>
      </w:r>
    </w:p>
    <w:p w14:paraId="53934E38" w14:textId="77777777" w:rsidR="00DB05F2" w:rsidRPr="00447C27" w:rsidRDefault="00DB05F2" w:rsidP="00DB05F2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447C27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447C27">
        <w:rPr>
          <w:rFonts w:ascii="Arial" w:hAnsi="Arial" w:cs="Arial"/>
          <w:sz w:val="28"/>
          <w:szCs w:val="28"/>
          <w:lang w:val="nl-NL"/>
        </w:rPr>
        <w:t>: 23094</w:t>
      </w:r>
      <w:r>
        <w:rPr>
          <w:rFonts w:ascii="Arial" w:hAnsi="Arial" w:cs="Arial"/>
          <w:sz w:val="28"/>
          <w:szCs w:val="28"/>
          <w:lang w:val="nl-NL"/>
        </w:rPr>
        <w:t>9</w:t>
      </w:r>
    </w:p>
    <w:p w14:paraId="20A91988" w14:textId="64208004" w:rsidR="00DB05F2" w:rsidRPr="00447C27" w:rsidRDefault="00DB05F2" w:rsidP="00DB05F2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447C27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447C27">
        <w:rPr>
          <w:rFonts w:ascii="Arial" w:hAnsi="Arial" w:cs="Arial"/>
          <w:sz w:val="28"/>
          <w:szCs w:val="28"/>
          <w:lang w:val="nl-NL"/>
        </w:rPr>
        <w:t xml:space="preserve">: </w:t>
      </w:r>
      <w:r w:rsidRPr="00447C27">
        <w:rPr>
          <w:rStyle w:val="Strong"/>
          <w:rFonts w:ascii="Arial" w:hAnsi="Arial" w:cs="Arial"/>
          <w:color w:val="1D2125"/>
          <w:sz w:val="28"/>
          <w:szCs w:val="28"/>
          <w:shd w:val="clear" w:color="auto" w:fill="FFFFFF"/>
        </w:rPr>
        <w:t>Empowering the Older Person</w:t>
      </w:r>
      <w:r w:rsidRPr="00447C27">
        <w:rPr>
          <w:rFonts w:ascii="Arial" w:hAnsi="Arial" w:cs="Arial"/>
          <w:color w:val="1D2125"/>
          <w:sz w:val="28"/>
          <w:szCs w:val="28"/>
          <w:shd w:val="clear" w:color="auto" w:fill="FFFFFF"/>
        </w:rPr>
        <w:t>.</w:t>
      </w:r>
    </w:p>
    <w:p w14:paraId="12453FFD" w14:textId="77777777" w:rsidR="00DB05F2" w:rsidRPr="00447C27" w:rsidRDefault="00DB05F2" w:rsidP="00DB05F2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US"/>
        </w:rPr>
      </w:pPr>
      <w:r w:rsidRPr="00447C27">
        <w:rPr>
          <w:rFonts w:ascii="Arial" w:hAnsi="Arial" w:cs="Arial"/>
          <w:b/>
          <w:bCs/>
          <w:sz w:val="28"/>
          <w:szCs w:val="28"/>
        </w:rPr>
        <w:t>Module code</w:t>
      </w:r>
      <w:r w:rsidRPr="00447C27">
        <w:rPr>
          <w:rFonts w:ascii="Arial" w:hAnsi="Arial" w:cs="Arial"/>
          <w:sz w:val="28"/>
          <w:szCs w:val="28"/>
        </w:rPr>
        <w:t>:</w:t>
      </w:r>
      <w:r w:rsidRPr="00447C27">
        <w:rPr>
          <w:rFonts w:ascii="Arial" w:hAnsi="Arial" w:cs="Arial"/>
          <w:color w:val="1D2125"/>
          <w:sz w:val="28"/>
          <w:szCs w:val="28"/>
          <w:shd w:val="clear" w:color="auto" w:fill="FFFFFF"/>
        </w:rPr>
        <w:t xml:space="preserve">  </w:t>
      </w:r>
      <w:r w:rsidRPr="00447C27">
        <w:rPr>
          <w:rStyle w:val="Strong"/>
          <w:rFonts w:ascii="Arial" w:hAnsi="Arial" w:cs="Arial"/>
          <w:color w:val="1D2125"/>
          <w:sz w:val="28"/>
          <w:szCs w:val="28"/>
          <w:shd w:val="clear" w:color="auto" w:fill="FFFFFF"/>
        </w:rPr>
        <w:t>BMHP6027</w:t>
      </w:r>
    </w:p>
    <w:p w14:paraId="05B48EA0" w14:textId="77777777" w:rsidR="00DB05F2" w:rsidRPr="00447C27" w:rsidRDefault="00DB05F2" w:rsidP="00DB05F2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447C27">
        <w:rPr>
          <w:rFonts w:ascii="Arial" w:hAnsi="Arial" w:cs="Arial"/>
          <w:b/>
          <w:bCs/>
          <w:sz w:val="28"/>
          <w:szCs w:val="28"/>
        </w:rPr>
        <w:t>Lecturer’s name</w:t>
      </w:r>
      <w:r w:rsidRPr="00447C27">
        <w:rPr>
          <w:rFonts w:ascii="Arial" w:hAnsi="Arial" w:cs="Arial"/>
          <w:sz w:val="28"/>
          <w:szCs w:val="28"/>
        </w:rPr>
        <w:t>:</w:t>
      </w:r>
      <w:r w:rsidRPr="00447C27">
        <w:rPr>
          <w:rStyle w:val="Heading1Char"/>
          <w:rFonts w:ascii="Arial" w:hAnsi="Arial" w:cs="Arial"/>
          <w:color w:val="1D2125"/>
          <w:sz w:val="28"/>
          <w:szCs w:val="28"/>
          <w:shd w:val="clear" w:color="auto" w:fill="FFFFFF"/>
        </w:rPr>
        <w:t xml:space="preserve"> </w:t>
      </w:r>
      <w:r w:rsidRPr="00447C27">
        <w:rPr>
          <w:rStyle w:val="Strong"/>
          <w:rFonts w:ascii="Arial" w:hAnsi="Arial" w:cs="Arial"/>
          <w:color w:val="1D2125"/>
          <w:sz w:val="28"/>
          <w:szCs w:val="28"/>
          <w:shd w:val="clear" w:color="auto" w:fill="FFFFFF"/>
        </w:rPr>
        <w:t>Laila Surani</w:t>
      </w:r>
    </w:p>
    <w:p w14:paraId="430CA16F" w14:textId="45876A21" w:rsidR="00447C27" w:rsidRPr="00DB05F2" w:rsidRDefault="00E6159D" w:rsidP="004E65D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E6159D">
        <w:rPr>
          <w:rFonts w:ascii="Arial" w:hAnsi="Arial" w:cs="Arial"/>
          <w:b/>
          <w:bCs/>
          <w:sz w:val="28"/>
          <w:szCs w:val="28"/>
        </w:rPr>
        <w:t>Topic for debate:</w:t>
      </w:r>
      <w:r>
        <w:rPr>
          <w:rFonts w:ascii="Arial" w:hAnsi="Arial" w:cs="Arial"/>
          <w:sz w:val="28"/>
          <w:szCs w:val="28"/>
        </w:rPr>
        <w:t xml:space="preserve"> </w:t>
      </w:r>
      <w:r w:rsidRPr="00E6159D">
        <w:rPr>
          <w:rFonts w:ascii="Arial" w:hAnsi="Arial" w:cs="Arial"/>
          <w:sz w:val="28"/>
          <w:szCs w:val="28"/>
        </w:rPr>
        <w:t>Digital Health Tools through apps and devices are a source of empowerment for older adults</w:t>
      </w:r>
    </w:p>
    <w:p w14:paraId="5E361939" w14:textId="4E0B6BC9" w:rsidR="004E65DD" w:rsidRPr="00447C27" w:rsidRDefault="004E65DD" w:rsidP="004E65D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5C729651" w14:textId="77777777" w:rsidR="004E65DD" w:rsidRPr="00447C27" w:rsidRDefault="004E65DD" w:rsidP="004E65D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443B4932" w14:textId="2616F550" w:rsidR="004E65DD" w:rsidRPr="00DB05F2" w:rsidRDefault="004E65DD" w:rsidP="00DB05F2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0C3A6C9C" w14:textId="77777777" w:rsidR="004E65DD" w:rsidRDefault="004E65DD" w:rsidP="004E65DD"/>
    <w:p w14:paraId="0C59BC5E" w14:textId="77777777" w:rsidR="004E65DD" w:rsidRDefault="004E65DD" w:rsidP="004E65DD"/>
    <w:p w14:paraId="21E58498" w14:textId="77777777" w:rsidR="004E65DD" w:rsidRDefault="004E65DD" w:rsidP="004E65DD"/>
    <w:p w14:paraId="4B25026A" w14:textId="77777777" w:rsidR="004E65DD" w:rsidRDefault="004E65DD" w:rsidP="004E65DD"/>
    <w:p w14:paraId="57AD3589" w14:textId="5C2A76E8" w:rsidR="004E65DD" w:rsidRDefault="004E65DD" w:rsidP="004E65DD">
      <w:pPr>
        <w:rPr>
          <w:rFonts w:ascii="Arial" w:hAnsi="Arial" w:cs="Arial"/>
          <w:b/>
          <w:bCs/>
          <w:sz w:val="32"/>
          <w:szCs w:val="32"/>
        </w:rPr>
      </w:pPr>
      <w:r w:rsidRPr="004E65DD">
        <w:rPr>
          <w:rFonts w:ascii="Arial" w:hAnsi="Arial" w:cs="Arial"/>
          <w:b/>
          <w:bCs/>
          <w:sz w:val="32"/>
          <w:szCs w:val="32"/>
        </w:rPr>
        <w:lastRenderedPageBreak/>
        <w:t>References</w:t>
      </w:r>
    </w:p>
    <w:p w14:paraId="302B456B" w14:textId="77777777" w:rsidR="004E65DD" w:rsidRDefault="004E65DD" w:rsidP="004E65DD">
      <w:pPr>
        <w:rPr>
          <w:rFonts w:ascii="Arial" w:hAnsi="Arial" w:cs="Arial"/>
          <w:b/>
          <w:bCs/>
          <w:sz w:val="32"/>
          <w:szCs w:val="32"/>
        </w:rPr>
      </w:pPr>
    </w:p>
    <w:p w14:paraId="17EF23B6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Pr="00BC59DB">
        <w:rPr>
          <w:rFonts w:cs="Times New Roman"/>
          <w:noProof/>
          <w:kern w:val="0"/>
        </w:rPr>
        <w:t xml:space="preserve">An, Jing, Zhu, X., Wan, K., Xiang, Z., Shi, Z., An, Jinlong and Huang, W. (2024) “Older adults’ self-perception, technology anxiety, and intention to use digital public services,” </w:t>
      </w:r>
      <w:r w:rsidRPr="00BC59DB">
        <w:rPr>
          <w:rFonts w:cs="Times New Roman"/>
          <w:i/>
          <w:iCs/>
          <w:noProof/>
          <w:kern w:val="0"/>
        </w:rPr>
        <w:t>BMC Public Health</w:t>
      </w:r>
      <w:r w:rsidRPr="00BC59DB">
        <w:rPr>
          <w:rFonts w:cs="Times New Roman"/>
          <w:noProof/>
          <w:kern w:val="0"/>
        </w:rPr>
        <w:t xml:space="preserve">, 24(1), p. 3533. Available at: </w:t>
      </w:r>
      <w:hyperlink r:id="rId6" w:history="1">
        <w:r w:rsidRPr="00204D07">
          <w:rPr>
            <w:rStyle w:val="Hyperlink"/>
            <w:rFonts w:cs="Times New Roman"/>
            <w:noProof/>
            <w:kern w:val="0"/>
          </w:rPr>
          <w:t>https://doi.org/10.1186/s12889-024-21088-2</w:t>
        </w:r>
      </w:hyperlink>
    </w:p>
    <w:p w14:paraId="4C39B011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Brandt, L., Liu, S., Heim, C. and Heinz, A. (2022) “The effects of social isolation stress and discrimination on mental health,” </w:t>
      </w:r>
      <w:r w:rsidRPr="00BC59DB">
        <w:rPr>
          <w:rFonts w:cs="Times New Roman"/>
          <w:i/>
          <w:iCs/>
          <w:noProof/>
          <w:kern w:val="0"/>
        </w:rPr>
        <w:t>Translational Psychiatry</w:t>
      </w:r>
      <w:r w:rsidRPr="00BC59DB">
        <w:rPr>
          <w:rFonts w:cs="Times New Roman"/>
          <w:noProof/>
          <w:kern w:val="0"/>
        </w:rPr>
        <w:t xml:space="preserve">, 12(1), p. 398. Available at: </w:t>
      </w:r>
      <w:hyperlink r:id="rId7" w:history="1">
        <w:r w:rsidRPr="00204D07">
          <w:rPr>
            <w:rStyle w:val="Hyperlink"/>
            <w:rFonts w:cs="Times New Roman"/>
            <w:noProof/>
            <w:kern w:val="0"/>
          </w:rPr>
          <w:t>https://doi.org/10.1038/s41398-022-02178-4</w:t>
        </w:r>
      </w:hyperlink>
    </w:p>
    <w:p w14:paraId="5C2469CB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Diana, M.G., Mascia, M.L., Tomczyk, Ł. and Penna, M.P. (2025) “The Digital Divide and the Elderly: How Urban and Rural Realities Shape Well-Being and Social Inclusion in the Sardinian Context.” Available at: </w:t>
      </w:r>
      <w:hyperlink r:id="rId8" w:history="1">
        <w:r w:rsidRPr="00204D07">
          <w:rPr>
            <w:rStyle w:val="Hyperlink"/>
            <w:rFonts w:cs="Times New Roman"/>
            <w:noProof/>
            <w:kern w:val="0"/>
          </w:rPr>
          <w:t>https://www.researchgate.net/publication/389135531_The_Digital_Divide_and_the_Elderly_How_Urban_and_Rural_Realities_Shape_Well-Being_and_Social_Inclusion_in_the_Sardinian_Context</w:t>
        </w:r>
      </w:hyperlink>
    </w:p>
    <w:p w14:paraId="7BFB86FB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Dias, I. and Fraga, S. (2024) “‘Older people are weak’: perceptions and meanings of ageing and abuse against older people,” </w:t>
      </w:r>
      <w:r w:rsidRPr="00BC59DB">
        <w:rPr>
          <w:rFonts w:cs="Times New Roman"/>
          <w:i/>
          <w:iCs/>
          <w:noProof/>
          <w:kern w:val="0"/>
        </w:rPr>
        <w:t>Frontiers in Sociology</w:t>
      </w:r>
      <w:r w:rsidRPr="00BC59DB">
        <w:rPr>
          <w:rFonts w:cs="Times New Roman"/>
          <w:noProof/>
          <w:kern w:val="0"/>
        </w:rPr>
        <w:t xml:space="preserve">, 8. Available at: </w:t>
      </w:r>
      <w:hyperlink r:id="rId9" w:history="1">
        <w:r w:rsidRPr="00204D07">
          <w:rPr>
            <w:rStyle w:val="Hyperlink"/>
            <w:rFonts w:cs="Times New Roman"/>
            <w:noProof/>
            <w:kern w:val="0"/>
          </w:rPr>
          <w:t>https://doi.org/10.3389/fsoc.2023.1329005</w:t>
        </w:r>
      </w:hyperlink>
    </w:p>
    <w:p w14:paraId="7B763D25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Dong, Y. and Dong, H. (2018) “Design Empowerment for Older Adults,” in, pp. 465–477. Available at: </w:t>
      </w:r>
      <w:hyperlink r:id="rId10" w:history="1">
        <w:r w:rsidRPr="00204D07">
          <w:rPr>
            <w:rStyle w:val="Hyperlink"/>
            <w:rFonts w:cs="Times New Roman"/>
            <w:noProof/>
            <w:kern w:val="0"/>
          </w:rPr>
          <w:t>https://doi.org/10.1007/978-3-319-92034-4_35</w:t>
        </w:r>
      </w:hyperlink>
    </w:p>
    <w:p w14:paraId="0214BF4A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Health and Care (2025) “How empowerment in health and social care builds independence and quality of care.” Available at: </w:t>
      </w:r>
      <w:hyperlink r:id="rId11" w:history="1">
        <w:r w:rsidRPr="00204D07">
          <w:rPr>
            <w:rStyle w:val="Hyperlink"/>
            <w:rFonts w:cs="Times New Roman"/>
            <w:noProof/>
            <w:kern w:val="0"/>
          </w:rPr>
          <w:t>https://www.oneadvanced.com/resources/how-empowerment-in-health-and-social-care-builds-independence-and-quality-of-care/</w:t>
        </w:r>
      </w:hyperlink>
    </w:p>
    <w:p w14:paraId="70FB1D52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Iliya, A.A. and Ononiwu, C. (2020) “Mechanisms for mobile phone use in empowerment: A critical realist study of people with disabilities in Nigeria,” </w:t>
      </w:r>
      <w:r w:rsidRPr="00BC59DB">
        <w:rPr>
          <w:rFonts w:cs="Times New Roman"/>
          <w:i/>
          <w:iCs/>
          <w:noProof/>
          <w:kern w:val="0"/>
        </w:rPr>
        <w:t>THE ELECTRONIC JOURNAL OF INFORMATION SYSTEMS IN DEVELOPING COUNTRIES</w:t>
      </w:r>
      <w:r w:rsidRPr="00BC59DB">
        <w:rPr>
          <w:rFonts w:cs="Times New Roman"/>
          <w:noProof/>
          <w:kern w:val="0"/>
        </w:rPr>
        <w:t xml:space="preserve">, 87(2). Available at: </w:t>
      </w:r>
      <w:hyperlink r:id="rId12" w:history="1">
        <w:r w:rsidRPr="00204D07">
          <w:rPr>
            <w:rStyle w:val="Hyperlink"/>
            <w:rFonts w:cs="Times New Roman"/>
            <w:noProof/>
            <w:kern w:val="0"/>
          </w:rPr>
          <w:t>https://doi.org/10.1002/isd2.12158</w:t>
        </w:r>
      </w:hyperlink>
    </w:p>
    <w:p w14:paraId="6CA0CFC5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JRF (2012) “IMPROVING DECISION MAKING IN THE CARE OF OLDER PEOPLE EXPLORING THE DECISION ECOLOGY,” (December 2012), p. 70. Available at: </w:t>
      </w:r>
      <w:hyperlink r:id="rId13" w:history="1">
        <w:r w:rsidRPr="00204D07">
          <w:rPr>
            <w:rStyle w:val="Hyperlink"/>
            <w:rFonts w:cs="Times New Roman"/>
            <w:noProof/>
            <w:kern w:val="0"/>
          </w:rPr>
          <w:t>https://hub.careinspectorate.com/media/1226/improving-decision-making-in-the-care-and-support-of-older-people.pdf</w:t>
        </w:r>
      </w:hyperlink>
    </w:p>
    <w:p w14:paraId="704FA895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Maresova, P., Krejcar, O., Maskuriy, R., Bakar, N.A.A., Selamat, A., Truhlarova, Z., Horak, J., Joukl, M. and Vítkova, L. (2023) “Challenges and opportunity in mobility among older adults – key determinant identification,” </w:t>
      </w:r>
      <w:r w:rsidRPr="00BC59DB">
        <w:rPr>
          <w:rFonts w:cs="Times New Roman"/>
          <w:i/>
          <w:iCs/>
          <w:noProof/>
          <w:kern w:val="0"/>
        </w:rPr>
        <w:t>BMC Geriatrics</w:t>
      </w:r>
      <w:r w:rsidRPr="00BC59DB">
        <w:rPr>
          <w:rFonts w:cs="Times New Roman"/>
          <w:noProof/>
          <w:kern w:val="0"/>
        </w:rPr>
        <w:t xml:space="preserve">, 23(1), p. 447. Available at: </w:t>
      </w:r>
      <w:hyperlink r:id="rId14" w:history="1">
        <w:r w:rsidRPr="00204D07">
          <w:rPr>
            <w:rStyle w:val="Hyperlink"/>
            <w:rFonts w:cs="Times New Roman"/>
            <w:noProof/>
            <w:kern w:val="0"/>
          </w:rPr>
          <w:t>https://doi.org/10.1186/s12877-023-04106-7</w:t>
        </w:r>
      </w:hyperlink>
    </w:p>
    <w:p w14:paraId="3B034B40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Mubarak, F. and Suomi, R. (2022a) “Elderly Forgotten? Digital Exclusion in the Information Age and the Rising Grey Digital Divide,” </w:t>
      </w:r>
      <w:r w:rsidRPr="00BC59DB">
        <w:rPr>
          <w:rFonts w:cs="Times New Roman"/>
          <w:i/>
          <w:iCs/>
          <w:noProof/>
          <w:kern w:val="0"/>
        </w:rPr>
        <w:t>INQUIRY: The Journal of Health Care Organization, Provision, and Financing</w:t>
      </w:r>
      <w:r w:rsidRPr="00BC59DB">
        <w:rPr>
          <w:rFonts w:cs="Times New Roman"/>
          <w:noProof/>
          <w:kern w:val="0"/>
        </w:rPr>
        <w:t xml:space="preserve">, 59. Available at: </w:t>
      </w:r>
      <w:hyperlink r:id="rId15" w:history="1">
        <w:r w:rsidRPr="00204D07">
          <w:rPr>
            <w:rStyle w:val="Hyperlink"/>
            <w:rFonts w:cs="Times New Roman"/>
            <w:noProof/>
            <w:kern w:val="0"/>
          </w:rPr>
          <w:t>https://doi.org/10.1177/00469580221096272</w:t>
        </w:r>
      </w:hyperlink>
    </w:p>
    <w:p w14:paraId="086A981E" w14:textId="77777777" w:rsidR="004E65DD" w:rsidRDefault="004E65DD" w:rsidP="004E65DD">
      <w:pPr>
        <w:widowControl w:val="0"/>
        <w:autoSpaceDE w:val="0"/>
        <w:autoSpaceDN w:val="0"/>
        <w:adjustRightInd w:val="0"/>
        <w:spacing w:line="240" w:lineRule="auto"/>
      </w:pPr>
      <w:r w:rsidRPr="00BC59DB">
        <w:rPr>
          <w:rFonts w:cs="Times New Roman"/>
          <w:noProof/>
          <w:kern w:val="0"/>
        </w:rPr>
        <w:lastRenderedPageBreak/>
        <w:t xml:space="preserve">Mubarak, F. and Suomi, R. (2022b) “Elderly Forgotten? Digital Exclusion in the Information Age and the Rising Grey Digital Divide.” Available at: </w:t>
      </w:r>
      <w:hyperlink r:id="rId16" w:history="1">
        <w:r w:rsidRPr="00204D07">
          <w:rPr>
            <w:rStyle w:val="Hyperlink"/>
            <w:rFonts w:cs="Times New Roman"/>
            <w:noProof/>
            <w:kern w:val="0"/>
          </w:rPr>
          <w:t>https://www.researchgate.net/publication/360224360_Elderly_Forgotten_Digital_Exclusion_in_the_Information_Age_and_the_Rising_Grey_Digital_Divide</w:t>
        </w:r>
      </w:hyperlink>
    </w:p>
    <w:p w14:paraId="7C5A5D69" w14:textId="77777777" w:rsidR="004E65DD" w:rsidRPr="000C5C8E" w:rsidRDefault="004E65DD" w:rsidP="004E65DD">
      <w:pPr>
        <w:widowControl w:val="0"/>
        <w:autoSpaceDE w:val="0"/>
        <w:autoSpaceDN w:val="0"/>
        <w:adjustRightInd w:val="0"/>
        <w:rPr>
          <w:rFonts w:cs="Times New Roman"/>
          <w:noProof/>
          <w:kern w:val="0"/>
        </w:rPr>
      </w:pPr>
      <w:r w:rsidRPr="000C5C8E">
        <w:rPr>
          <w:rFonts w:cs="Times New Roman"/>
          <w:noProof/>
          <w:kern w:val="0"/>
        </w:rPr>
        <w:t xml:space="preserve">NHS (2024) “Inclusive digital healthcare: a framework for NHS action on digital inclusion.” Available at: </w:t>
      </w:r>
      <w:hyperlink r:id="rId17" w:history="1">
        <w:r w:rsidRPr="000C5C8E">
          <w:rPr>
            <w:rStyle w:val="Hyperlink"/>
            <w:rFonts w:cs="Times New Roman"/>
            <w:noProof/>
            <w:kern w:val="0"/>
          </w:rPr>
          <w:t>https://www.england.nhs.uk/long-read/inclusive-digital-healthcare-a-framework-for-nhs-action-on-digital-inclusion/</w:t>
        </w:r>
      </w:hyperlink>
    </w:p>
    <w:p w14:paraId="31BE6CEC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Rasool, A., Abdullaeva, B., Nazarov, A., Kozokboeva, D., Abdullaev, R., Baydjanova, I. and Nuralieva, N. (2025) “RETRACTED ARTICLE: The Effect of Age Stereotype in Elderly Adults with the Mediation Role of Self-Esteem and Sense of Coherence.” Available at: </w:t>
      </w:r>
      <w:hyperlink r:id="rId18" w:history="1">
        <w:r w:rsidRPr="00204D07">
          <w:rPr>
            <w:rStyle w:val="Hyperlink"/>
            <w:rFonts w:cs="Times New Roman"/>
            <w:noProof/>
            <w:kern w:val="0"/>
          </w:rPr>
          <w:t>https://www.researchgate.net/publication/392738887_RETRACTED_ARTICLE_The_Effect_of_Age_Stereotype_in_Elderly_Adults_with_the_Mediation_Role_of_Self-Esteem_and_Sense_of_Coherence</w:t>
        </w:r>
      </w:hyperlink>
    </w:p>
    <w:p w14:paraId="7165633D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Shah, S.J. and Goldin., J. (2025) “Empowerment.” Available at: </w:t>
      </w:r>
      <w:hyperlink r:id="rId19" w:history="1">
        <w:r w:rsidRPr="00204D07">
          <w:rPr>
            <w:rStyle w:val="Hyperlink"/>
            <w:rFonts w:cs="Times New Roman"/>
            <w:noProof/>
            <w:kern w:val="0"/>
          </w:rPr>
          <w:t>https://www.ncbi.nlm.nih.gov/books/NBK430929/</w:t>
        </w:r>
      </w:hyperlink>
    </w:p>
    <w:p w14:paraId="599CFC44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Shearer, N.B.C., Fleury, J., Ward, K.A. and O’Brien, A.-M. (2012) “Empowerment Interventions for Older Adults,” </w:t>
      </w:r>
      <w:r w:rsidRPr="00BC59DB">
        <w:rPr>
          <w:rFonts w:cs="Times New Roman"/>
          <w:i/>
          <w:iCs/>
          <w:noProof/>
          <w:kern w:val="0"/>
        </w:rPr>
        <w:t>Western Journal of Nursing Research</w:t>
      </w:r>
      <w:r w:rsidRPr="00BC59DB">
        <w:rPr>
          <w:rFonts w:cs="Times New Roman"/>
          <w:noProof/>
          <w:kern w:val="0"/>
        </w:rPr>
        <w:t xml:space="preserve">, 34(1), pp. 24–51. Available at: </w:t>
      </w:r>
      <w:hyperlink r:id="rId20" w:history="1">
        <w:r w:rsidRPr="00204D07">
          <w:rPr>
            <w:rStyle w:val="Hyperlink"/>
            <w:rFonts w:cs="Times New Roman"/>
            <w:noProof/>
            <w:kern w:val="0"/>
          </w:rPr>
          <w:t>https://doi.org/10.1177/0193945910377887</w:t>
        </w:r>
      </w:hyperlink>
    </w:p>
    <w:p w14:paraId="7686A620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Sokratis, S., Giorgos, A., Rafailia, Z., Katerina, K., Elena, R. and Maria, K. (2025) “Knowledge, attitudes, and challenges related to technology among older adults living in older adult homes in Cyprus,” </w:t>
      </w:r>
      <w:r w:rsidRPr="00BC59DB">
        <w:rPr>
          <w:rFonts w:cs="Times New Roman"/>
          <w:i/>
          <w:iCs/>
          <w:noProof/>
          <w:kern w:val="0"/>
        </w:rPr>
        <w:t>Cogent Gerontology</w:t>
      </w:r>
      <w:r w:rsidRPr="00BC59DB">
        <w:rPr>
          <w:rFonts w:cs="Times New Roman"/>
          <w:noProof/>
          <w:kern w:val="0"/>
        </w:rPr>
        <w:t xml:space="preserve">, 4(1). Available at: </w:t>
      </w:r>
      <w:hyperlink r:id="rId21" w:history="1">
        <w:r w:rsidRPr="00204D07">
          <w:rPr>
            <w:rStyle w:val="Hyperlink"/>
            <w:rFonts w:cs="Times New Roman"/>
            <w:noProof/>
            <w:kern w:val="0"/>
          </w:rPr>
          <w:t>https://doi.org/10.1080/28324897.2025.2527784</w:t>
        </w:r>
      </w:hyperlink>
    </w:p>
    <w:p w14:paraId="26A00945" w14:textId="77777777" w:rsidR="004E65DD" w:rsidRDefault="004E65DD" w:rsidP="004E65DD">
      <w:pPr>
        <w:widowControl w:val="0"/>
        <w:autoSpaceDE w:val="0"/>
        <w:autoSpaceDN w:val="0"/>
        <w:adjustRightInd w:val="0"/>
        <w:spacing w:line="240" w:lineRule="auto"/>
      </w:pPr>
      <w:r w:rsidRPr="00BC59DB">
        <w:rPr>
          <w:rFonts w:cs="Times New Roman"/>
          <w:noProof/>
          <w:kern w:val="0"/>
        </w:rPr>
        <w:t>Takeuhi, M. and Katagiri, K. (2024) “Effects of workplace ageism on negative perception of aging and subjective &lt;scp&gt;well</w:t>
      </w:r>
      <w:r w:rsidRPr="00BC59DB">
        <w:rPr>
          <w:rFonts w:ascii="Cambria Math" w:hAnsi="Cambria Math" w:cs="Cambria Math"/>
          <w:noProof/>
          <w:kern w:val="0"/>
        </w:rPr>
        <w:t>‐</w:t>
      </w:r>
      <w:r w:rsidRPr="00BC59DB">
        <w:rPr>
          <w:rFonts w:cs="Times New Roman"/>
          <w:noProof/>
          <w:kern w:val="0"/>
        </w:rPr>
        <w:t>being&lt;/scp&gt; of older adults according to gender and employment status,</w:t>
      </w:r>
      <w:r w:rsidRPr="00BC59DB">
        <w:rPr>
          <w:rFonts w:ascii="Aptos" w:hAnsi="Aptos" w:cs="Aptos"/>
          <w:noProof/>
          <w:kern w:val="0"/>
        </w:rPr>
        <w:t>”</w:t>
      </w:r>
      <w:r w:rsidRPr="00BC59DB">
        <w:rPr>
          <w:rFonts w:cs="Times New Roman"/>
          <w:noProof/>
          <w:kern w:val="0"/>
        </w:rPr>
        <w:t xml:space="preserve"> </w:t>
      </w:r>
      <w:r w:rsidRPr="00BC59DB">
        <w:rPr>
          <w:rFonts w:cs="Times New Roman"/>
          <w:i/>
          <w:iCs/>
          <w:noProof/>
          <w:kern w:val="0"/>
        </w:rPr>
        <w:t>Geriatrics &amp; Gerontology International</w:t>
      </w:r>
      <w:r w:rsidRPr="00BC59DB">
        <w:rPr>
          <w:rFonts w:cs="Times New Roman"/>
          <w:noProof/>
          <w:kern w:val="0"/>
        </w:rPr>
        <w:t xml:space="preserve">, 24(S1), pp. 259–265. Available at: </w:t>
      </w:r>
      <w:hyperlink r:id="rId22" w:history="1">
        <w:r w:rsidRPr="00204D07">
          <w:rPr>
            <w:rStyle w:val="Hyperlink"/>
            <w:rFonts w:cs="Times New Roman"/>
            <w:noProof/>
            <w:kern w:val="0"/>
          </w:rPr>
          <w:t>https://doi.org/10.1111/ggi.14819</w:t>
        </w:r>
      </w:hyperlink>
    </w:p>
    <w:p w14:paraId="6490686B" w14:textId="77777777" w:rsidR="004E65DD" w:rsidRPr="000C5C8E" w:rsidRDefault="004E65DD" w:rsidP="004E65DD">
      <w:pPr>
        <w:widowControl w:val="0"/>
        <w:autoSpaceDE w:val="0"/>
        <w:autoSpaceDN w:val="0"/>
        <w:adjustRightInd w:val="0"/>
        <w:rPr>
          <w:rFonts w:cs="Times New Roman"/>
          <w:noProof/>
        </w:rPr>
      </w:pPr>
      <w:r w:rsidRPr="000C5C8E">
        <w:rPr>
          <w:rFonts w:cs="Times New Roman"/>
          <w:noProof/>
          <w:kern w:val="0"/>
        </w:rPr>
        <w:t xml:space="preserve">WHO (2022) “Global report on assistive technology.” Available at: </w:t>
      </w:r>
      <w:hyperlink r:id="rId23" w:history="1">
        <w:r w:rsidRPr="000C5C8E">
          <w:rPr>
            <w:rStyle w:val="Hyperlink"/>
            <w:rFonts w:cs="Times New Roman"/>
            <w:noProof/>
            <w:kern w:val="0"/>
          </w:rPr>
          <w:t>https://www.who.int/publications/i/item/9789240049451</w:t>
        </w:r>
      </w:hyperlink>
    </w:p>
    <w:p w14:paraId="1302AE3C" w14:textId="77777777" w:rsidR="004E65DD" w:rsidRDefault="004E65DD" w:rsidP="004E65DD">
      <w:pPr>
        <w:widowControl w:val="0"/>
        <w:autoSpaceDE w:val="0"/>
        <w:autoSpaceDN w:val="0"/>
        <w:adjustRightInd w:val="0"/>
        <w:spacing w:line="240" w:lineRule="auto"/>
      </w:pPr>
      <w:r w:rsidRPr="00BC59DB">
        <w:rPr>
          <w:rFonts w:cs="Times New Roman"/>
          <w:noProof/>
          <w:kern w:val="0"/>
        </w:rPr>
        <w:t xml:space="preserve">WHO (2025) “Ageing and health.” Available at: </w:t>
      </w:r>
      <w:hyperlink r:id="rId24" w:history="1">
        <w:r w:rsidRPr="00204D07">
          <w:rPr>
            <w:rStyle w:val="Hyperlink"/>
            <w:rFonts w:cs="Times New Roman"/>
            <w:noProof/>
            <w:kern w:val="0"/>
          </w:rPr>
          <w:t>https://www.who.int/news-room/fact-sheets/detail/ageing-and-health</w:t>
        </w:r>
      </w:hyperlink>
    </w:p>
    <w:p w14:paraId="68E2F3B5" w14:textId="77777777" w:rsidR="004E65DD" w:rsidRPr="00BC59DB" w:rsidRDefault="004E65DD" w:rsidP="004E65DD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noProof/>
          <w:kern w:val="0"/>
        </w:rPr>
      </w:pPr>
      <w:r w:rsidRPr="00BC59DB">
        <w:rPr>
          <w:rFonts w:cs="Times New Roman"/>
          <w:noProof/>
          <w:kern w:val="0"/>
        </w:rPr>
        <w:t xml:space="preserve">Windle, K., Francis, J. and Coomber, C. (2011) “Preventing loneliness and social isolation: interventions and outcomes.” Available at: </w:t>
      </w:r>
      <w:hyperlink r:id="rId25" w:history="1">
        <w:r w:rsidRPr="00204D07">
          <w:rPr>
            <w:rStyle w:val="Hyperlink"/>
            <w:rFonts w:cs="Times New Roman"/>
            <w:noProof/>
            <w:kern w:val="0"/>
          </w:rPr>
          <w:t>https://www.researchgate.net/publication/273445886_Preventing_loneliness_and_social_isolation_interventions_and_outcomes</w:t>
        </w:r>
      </w:hyperlink>
    </w:p>
    <w:p w14:paraId="65AC64A2" w14:textId="77777777" w:rsidR="004E65DD" w:rsidRDefault="004E65DD" w:rsidP="004E65DD">
      <w:r>
        <w:fldChar w:fldCharType="end"/>
      </w:r>
    </w:p>
    <w:p w14:paraId="7B1F95AD" w14:textId="77777777" w:rsidR="004E65DD" w:rsidRPr="004E65DD" w:rsidRDefault="004E65DD" w:rsidP="004E65DD">
      <w:pPr>
        <w:rPr>
          <w:rFonts w:ascii="Arial" w:hAnsi="Arial" w:cs="Arial"/>
          <w:b/>
          <w:bCs/>
          <w:sz w:val="32"/>
          <w:szCs w:val="32"/>
        </w:rPr>
      </w:pPr>
    </w:p>
    <w:sectPr w:rsidR="004E65DD" w:rsidRPr="004E65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5DD"/>
    <w:rsid w:val="000B1EA0"/>
    <w:rsid w:val="00447C27"/>
    <w:rsid w:val="004E65DD"/>
    <w:rsid w:val="00713D90"/>
    <w:rsid w:val="0076265C"/>
    <w:rsid w:val="009629D8"/>
    <w:rsid w:val="00CF128E"/>
    <w:rsid w:val="00DB05F2"/>
    <w:rsid w:val="00DE41F0"/>
    <w:rsid w:val="00E3108D"/>
    <w:rsid w:val="00E52907"/>
    <w:rsid w:val="00E6159D"/>
    <w:rsid w:val="00F472B7"/>
    <w:rsid w:val="00F9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37BE2"/>
  <w15:chartTrackingRefBased/>
  <w15:docId w15:val="{F223197E-6816-4F75-A9BC-D9B3F0EA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5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5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5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5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5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5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5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5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5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5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5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5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5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5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5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5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5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5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5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5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5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5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5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5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65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5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5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5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5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65D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F472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89135531_The_Digital_Divide_and_the_Elderly_How_Urban_and_Rural_Realities_Shape_Well-Being_and_Social_Inclusion_in_the_Sardinian_Context" TargetMode="External"/><Relationship Id="rId13" Type="http://schemas.openxmlformats.org/officeDocument/2006/relationships/hyperlink" Target="https://hub.careinspectorate.com/media/1226/improving-decision-making-in-the-care-and-support-of-older-people.pdf" TargetMode="External"/><Relationship Id="rId18" Type="http://schemas.openxmlformats.org/officeDocument/2006/relationships/hyperlink" Target="https://www.researchgate.net/publication/392738887_RETRACTED_ARTICLE_The_Effect_of_Age_Stereotype_in_Elderly_Adults_with_the_Mediation_Role_of_Self-Esteem_and_Sense_of_Coherence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doi.org/10.1080/28324897.2025.2527784" TargetMode="External"/><Relationship Id="rId7" Type="http://schemas.openxmlformats.org/officeDocument/2006/relationships/hyperlink" Target="https://doi.org/10.1038/s41398-022-02178-4" TargetMode="External"/><Relationship Id="rId12" Type="http://schemas.openxmlformats.org/officeDocument/2006/relationships/hyperlink" Target="https://doi.org/10.1002/isd2.12158" TargetMode="External"/><Relationship Id="rId17" Type="http://schemas.openxmlformats.org/officeDocument/2006/relationships/hyperlink" Target="https://www.england.nhs.uk/long-read/inclusive-digital-healthcare-a-framework-for-nhs-action-on-digital-inclusion/" TargetMode="External"/><Relationship Id="rId25" Type="http://schemas.openxmlformats.org/officeDocument/2006/relationships/hyperlink" Target="https://www.researchgate.net/publication/273445886_Preventing_loneliness_and_social_isolation_interventions_and_outcom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researchgate.net/publication/360224360_Elderly_Forgotten_Digital_Exclusion_in_the_Information_Age_and_the_Rising_Grey_Digital_Divide" TargetMode="External"/><Relationship Id="rId20" Type="http://schemas.openxmlformats.org/officeDocument/2006/relationships/hyperlink" Target="https://doi.org/10.1177/0193945910377887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186/s12889-024-21088-2" TargetMode="External"/><Relationship Id="rId11" Type="http://schemas.openxmlformats.org/officeDocument/2006/relationships/hyperlink" Target="https://www.oneadvanced.com/resources/how-empowerment-in-health-and-social-care-builds-independence-and-quality-of-care/" TargetMode="External"/><Relationship Id="rId24" Type="http://schemas.openxmlformats.org/officeDocument/2006/relationships/hyperlink" Target="https://www.who.int/news-room/fact-sheets/detail/ageing-and-health" TargetMode="External"/><Relationship Id="rId5" Type="http://schemas.openxmlformats.org/officeDocument/2006/relationships/image" Target="cid:image001.png@01D0EA4A.2BD679A0" TargetMode="External"/><Relationship Id="rId15" Type="http://schemas.openxmlformats.org/officeDocument/2006/relationships/hyperlink" Target="https://doi.org/10.1177/00469580221096272" TargetMode="External"/><Relationship Id="rId23" Type="http://schemas.openxmlformats.org/officeDocument/2006/relationships/hyperlink" Target="https://www.who.int/publications/i/item/9789240049451" TargetMode="External"/><Relationship Id="rId10" Type="http://schemas.openxmlformats.org/officeDocument/2006/relationships/hyperlink" Target="https://doi.org/10.1007/978-3-319-92034-4_35" TargetMode="External"/><Relationship Id="rId19" Type="http://schemas.openxmlformats.org/officeDocument/2006/relationships/hyperlink" Target="https://www.ncbi.nlm.nih.gov/books/NBK430929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doi.org/10.3389/fsoc.2023.1329005" TargetMode="External"/><Relationship Id="rId14" Type="http://schemas.openxmlformats.org/officeDocument/2006/relationships/hyperlink" Target="https://doi.org/10.1186/s12877-023-04106-7" TargetMode="External"/><Relationship Id="rId22" Type="http://schemas.openxmlformats.org/officeDocument/2006/relationships/hyperlink" Target="https://doi.org/10.1111/ggi.1481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pacheco</dc:creator>
  <cp:keywords/>
  <dc:description/>
  <cp:lastModifiedBy>selma pacheco</cp:lastModifiedBy>
  <cp:revision>12</cp:revision>
  <dcterms:created xsi:type="dcterms:W3CDTF">2026-04-06T10:07:00Z</dcterms:created>
  <dcterms:modified xsi:type="dcterms:W3CDTF">2026-04-06T20:26:00Z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8b10699e-e244-46eb-aa70-d3f3f600a318</vt:lpwstr>
  </property>
</Properties>
</file>