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20DA" w:rsidRPr="00EE3400" w:rsidRDefault="008E367B" w:rsidP="00EE3400">
      <w:pPr>
        <w:spacing w:line="480" w:lineRule="auto"/>
        <w:rPr>
          <w:rFonts w:ascii="Arial" w:hAnsi="Arial" w:cs="Arial"/>
          <w:sz w:val="24"/>
          <w:szCs w:val="24"/>
        </w:rPr>
      </w:pPr>
      <w:r w:rsidRPr="00EE3400">
        <w:rPr>
          <w:rFonts w:ascii="Arial" w:hAnsi="Arial" w:cs="Arial"/>
          <w:sz w:val="24"/>
          <w:szCs w:val="24"/>
        </w:rPr>
        <w:t>Tracy Webb 1706861</w:t>
      </w:r>
    </w:p>
    <w:p w:rsidR="008E367B" w:rsidRPr="00EE3400" w:rsidRDefault="008E367B" w:rsidP="00EE3400">
      <w:pPr>
        <w:spacing w:line="480" w:lineRule="auto"/>
        <w:rPr>
          <w:rFonts w:ascii="Arial" w:hAnsi="Arial" w:cs="Arial"/>
          <w:sz w:val="24"/>
          <w:szCs w:val="24"/>
        </w:rPr>
      </w:pPr>
      <w:r w:rsidRPr="00EE3400">
        <w:rPr>
          <w:rFonts w:ascii="Arial" w:hAnsi="Arial" w:cs="Arial"/>
          <w:sz w:val="24"/>
          <w:szCs w:val="24"/>
        </w:rPr>
        <w:t>Reflecting on and Researching Youth Work Practice.</w:t>
      </w:r>
    </w:p>
    <w:p w:rsidR="000942B9" w:rsidRPr="00EE3400" w:rsidRDefault="003D29D4" w:rsidP="00EE3400">
      <w:pPr>
        <w:spacing w:line="480" w:lineRule="auto"/>
        <w:rPr>
          <w:rFonts w:ascii="Arial" w:hAnsi="Arial" w:cs="Arial"/>
          <w:sz w:val="24"/>
          <w:szCs w:val="24"/>
        </w:rPr>
      </w:pPr>
      <w:r w:rsidRPr="00EE3400">
        <w:rPr>
          <w:rFonts w:ascii="Arial" w:hAnsi="Arial" w:cs="Arial"/>
          <w:sz w:val="24"/>
          <w:szCs w:val="24"/>
        </w:rPr>
        <w:t>The aim</w:t>
      </w:r>
      <w:r w:rsidR="00F818C4" w:rsidRPr="00EE3400">
        <w:rPr>
          <w:rFonts w:ascii="Arial" w:hAnsi="Arial" w:cs="Arial"/>
          <w:sz w:val="24"/>
          <w:szCs w:val="24"/>
        </w:rPr>
        <w:t xml:space="preserve"> of this critical review is to critically </w:t>
      </w:r>
      <w:r w:rsidR="00C86AD5" w:rsidRPr="00EE3400">
        <w:rPr>
          <w:rFonts w:ascii="Arial" w:hAnsi="Arial" w:cs="Arial"/>
          <w:sz w:val="24"/>
          <w:szCs w:val="24"/>
        </w:rPr>
        <w:t>examine the strengths and weaknesses of the research article, with a main goal</w:t>
      </w:r>
      <w:r w:rsidRPr="00EE3400">
        <w:rPr>
          <w:rFonts w:ascii="Arial" w:hAnsi="Arial" w:cs="Arial"/>
          <w:sz w:val="24"/>
          <w:szCs w:val="24"/>
        </w:rPr>
        <w:t xml:space="preserve"> being</w:t>
      </w:r>
      <w:r w:rsidR="00C86AD5" w:rsidRPr="00EE3400">
        <w:rPr>
          <w:rFonts w:ascii="Arial" w:hAnsi="Arial" w:cs="Arial"/>
          <w:sz w:val="24"/>
          <w:szCs w:val="24"/>
        </w:rPr>
        <w:t xml:space="preserve"> to concentrate on the methods, methodology and ethics used during the study. </w:t>
      </w:r>
      <w:r w:rsidRPr="00EE3400">
        <w:rPr>
          <w:rFonts w:ascii="Arial" w:hAnsi="Arial" w:cs="Arial"/>
          <w:sz w:val="24"/>
          <w:szCs w:val="24"/>
        </w:rPr>
        <w:t xml:space="preserve">In this critical review of the Journal Article I will examine a research article titled </w:t>
      </w:r>
      <w:r w:rsidR="006B7311" w:rsidRPr="00EE3400">
        <w:rPr>
          <w:rFonts w:ascii="Arial" w:hAnsi="Arial" w:cs="Arial"/>
          <w:sz w:val="24"/>
          <w:szCs w:val="24"/>
        </w:rPr>
        <w:t>“</w:t>
      </w:r>
      <w:r w:rsidRPr="00EE3400">
        <w:rPr>
          <w:rFonts w:ascii="Arial" w:hAnsi="Arial" w:cs="Arial"/>
          <w:sz w:val="24"/>
          <w:szCs w:val="24"/>
        </w:rPr>
        <w:t xml:space="preserve">A haven of green </w:t>
      </w:r>
      <w:r w:rsidR="00AB3D85" w:rsidRPr="00EE3400">
        <w:rPr>
          <w:rFonts w:ascii="Arial" w:hAnsi="Arial" w:cs="Arial"/>
          <w:sz w:val="24"/>
          <w:szCs w:val="24"/>
        </w:rPr>
        <w:t>space: learning from a pilot pre-post evaluation of a school based social and therapeutic horticulture intervention with children</w:t>
      </w:r>
      <w:r w:rsidR="006B7311" w:rsidRPr="00EE3400">
        <w:rPr>
          <w:rFonts w:ascii="Arial" w:hAnsi="Arial" w:cs="Arial"/>
          <w:sz w:val="24"/>
          <w:szCs w:val="24"/>
        </w:rPr>
        <w:t>”</w:t>
      </w:r>
      <w:r w:rsidR="007C0282" w:rsidRPr="00EE3400">
        <w:rPr>
          <w:rFonts w:ascii="Arial" w:hAnsi="Arial" w:cs="Arial"/>
          <w:sz w:val="24"/>
          <w:szCs w:val="24"/>
        </w:rPr>
        <w:t xml:space="preserve">. </w:t>
      </w:r>
      <w:r w:rsidR="00AB3D85" w:rsidRPr="00EE3400">
        <w:rPr>
          <w:rFonts w:ascii="Arial" w:hAnsi="Arial" w:cs="Arial"/>
          <w:sz w:val="24"/>
          <w:szCs w:val="24"/>
        </w:rPr>
        <w:t xml:space="preserve">The intent of the article is to </w:t>
      </w:r>
      <w:r w:rsidR="006B7311" w:rsidRPr="00EE3400">
        <w:rPr>
          <w:rFonts w:ascii="Arial" w:hAnsi="Arial" w:cs="Arial"/>
          <w:sz w:val="24"/>
          <w:szCs w:val="24"/>
        </w:rPr>
        <w:t>determine the psychological well</w:t>
      </w:r>
      <w:r w:rsidR="005E1F6A" w:rsidRPr="00EE3400">
        <w:rPr>
          <w:rFonts w:ascii="Arial" w:hAnsi="Arial" w:cs="Arial"/>
          <w:sz w:val="24"/>
          <w:szCs w:val="24"/>
        </w:rPr>
        <w:t>-</w:t>
      </w:r>
      <w:r w:rsidR="006B7311" w:rsidRPr="00EE3400">
        <w:rPr>
          <w:rFonts w:ascii="Arial" w:hAnsi="Arial" w:cs="Arial"/>
          <w:sz w:val="24"/>
          <w:szCs w:val="24"/>
        </w:rPr>
        <w:t xml:space="preserve"> being in youth</w:t>
      </w:r>
      <w:r w:rsidR="00AC7012" w:rsidRPr="00EE3400">
        <w:rPr>
          <w:rFonts w:ascii="Arial" w:hAnsi="Arial" w:cs="Arial"/>
          <w:sz w:val="24"/>
          <w:szCs w:val="24"/>
        </w:rPr>
        <w:t xml:space="preserve"> pre- and post-intervention </w:t>
      </w:r>
      <w:r w:rsidR="00AC7012" w:rsidRPr="00EE3400">
        <w:rPr>
          <w:rFonts w:ascii="Arial" w:hAnsi="Arial" w:cs="Arial"/>
          <w:sz w:val="24"/>
          <w:szCs w:val="24"/>
          <w:lang w:val="en"/>
        </w:rPr>
        <w:t>and evaluate the esteem of the assessment strategies</w:t>
      </w:r>
      <w:r w:rsidR="009129F7" w:rsidRPr="00EE3400">
        <w:rPr>
          <w:rFonts w:ascii="Arial" w:hAnsi="Arial" w:cs="Arial"/>
          <w:sz w:val="24"/>
          <w:szCs w:val="24"/>
          <w:lang w:val="en"/>
        </w:rPr>
        <w:t xml:space="preserve"> and “five ways to wellbeing”</w:t>
      </w:r>
      <w:r w:rsidR="00AC7012" w:rsidRPr="00EE3400">
        <w:rPr>
          <w:rFonts w:ascii="Arial" w:hAnsi="Arial" w:cs="Arial"/>
          <w:sz w:val="24"/>
          <w:szCs w:val="24"/>
          <w:lang w:val="en"/>
        </w:rPr>
        <w:t xml:space="preserve"> </w:t>
      </w:r>
      <w:r w:rsidR="009129F7" w:rsidRPr="00EE3400">
        <w:rPr>
          <w:rFonts w:ascii="Arial" w:hAnsi="Arial" w:cs="Arial"/>
          <w:sz w:val="24"/>
          <w:szCs w:val="24"/>
          <w:lang w:val="en"/>
        </w:rPr>
        <w:t>as research suggests that outdoor activities are extremely important for children’s mental</w:t>
      </w:r>
      <w:r w:rsidR="00D1497D" w:rsidRPr="00EE3400">
        <w:rPr>
          <w:rFonts w:ascii="Arial" w:hAnsi="Arial" w:cs="Arial"/>
          <w:sz w:val="24"/>
          <w:szCs w:val="24"/>
          <w:lang w:val="en"/>
        </w:rPr>
        <w:t xml:space="preserve">, emotional and wellbeing. </w:t>
      </w:r>
      <w:r w:rsidR="00AC7012" w:rsidRPr="00EE3400">
        <w:rPr>
          <w:rFonts w:ascii="Arial" w:hAnsi="Arial" w:cs="Arial"/>
          <w:sz w:val="24"/>
          <w:szCs w:val="24"/>
        </w:rPr>
        <w:t>T</w:t>
      </w:r>
      <w:r w:rsidR="001A6E9E" w:rsidRPr="00EE3400">
        <w:rPr>
          <w:rFonts w:ascii="Arial" w:hAnsi="Arial" w:cs="Arial"/>
          <w:sz w:val="24"/>
          <w:szCs w:val="24"/>
        </w:rPr>
        <w:t xml:space="preserve">he targeted group were school children aged between nine years old and fifteen </w:t>
      </w:r>
      <w:r w:rsidR="00D1497D" w:rsidRPr="00EE3400">
        <w:rPr>
          <w:rFonts w:ascii="Arial" w:hAnsi="Arial" w:cs="Arial"/>
          <w:sz w:val="24"/>
          <w:szCs w:val="24"/>
        </w:rPr>
        <w:t>yea</w:t>
      </w:r>
      <w:r w:rsidR="00B8603C" w:rsidRPr="00EE3400">
        <w:rPr>
          <w:rFonts w:ascii="Arial" w:hAnsi="Arial" w:cs="Arial"/>
          <w:sz w:val="24"/>
          <w:szCs w:val="24"/>
        </w:rPr>
        <w:t>r</w:t>
      </w:r>
      <w:r w:rsidR="00D1497D" w:rsidRPr="00EE3400">
        <w:rPr>
          <w:rFonts w:ascii="Arial" w:hAnsi="Arial" w:cs="Arial"/>
          <w:sz w:val="24"/>
          <w:szCs w:val="24"/>
        </w:rPr>
        <w:t>’</w:t>
      </w:r>
      <w:r w:rsidR="001A6E9E" w:rsidRPr="00EE3400">
        <w:rPr>
          <w:rFonts w:ascii="Arial" w:hAnsi="Arial" w:cs="Arial"/>
          <w:sz w:val="24"/>
          <w:szCs w:val="24"/>
        </w:rPr>
        <w:t xml:space="preserve">s old who </w:t>
      </w:r>
      <w:r w:rsidR="00AC7012" w:rsidRPr="00EE3400">
        <w:rPr>
          <w:rFonts w:ascii="Arial" w:hAnsi="Arial" w:cs="Arial"/>
          <w:sz w:val="24"/>
          <w:szCs w:val="24"/>
        </w:rPr>
        <w:t>endure behavioural, emotional and social compli</w:t>
      </w:r>
      <w:r w:rsidR="00222D3A">
        <w:rPr>
          <w:rFonts w:ascii="Arial" w:hAnsi="Arial" w:cs="Arial"/>
          <w:sz w:val="24"/>
          <w:szCs w:val="24"/>
        </w:rPr>
        <w:t>cation</w:t>
      </w:r>
    </w:p>
    <w:p w:rsidR="00625F3F" w:rsidRPr="00EE3400" w:rsidRDefault="00424720" w:rsidP="00EE3400">
      <w:pPr>
        <w:spacing w:line="480" w:lineRule="auto"/>
        <w:rPr>
          <w:rFonts w:ascii="Arial" w:hAnsi="Arial" w:cs="Arial"/>
          <w:sz w:val="24"/>
          <w:szCs w:val="24"/>
          <w:lang w:val="en"/>
        </w:rPr>
      </w:pPr>
      <w:r w:rsidRPr="00EE3400">
        <w:rPr>
          <w:rFonts w:ascii="Arial" w:hAnsi="Arial" w:cs="Arial"/>
          <w:sz w:val="24"/>
          <w:szCs w:val="24"/>
          <w:lang w:val="en"/>
        </w:rPr>
        <w:t xml:space="preserve">Greenspace (occasionally ‘green space’) is an umbrella term utilized to portray either kept up or unmaintained natural regions, which can incorporate nature reserves, </w:t>
      </w:r>
      <w:r w:rsidR="00F04120" w:rsidRPr="00EE3400">
        <w:rPr>
          <w:rFonts w:ascii="Arial" w:hAnsi="Arial" w:cs="Arial"/>
          <w:sz w:val="24"/>
          <w:szCs w:val="24"/>
          <w:lang w:val="en"/>
        </w:rPr>
        <w:t>wilderness surroundings</w:t>
      </w:r>
      <w:r w:rsidRPr="00EE3400">
        <w:rPr>
          <w:rFonts w:ascii="Arial" w:hAnsi="Arial" w:cs="Arial"/>
          <w:sz w:val="24"/>
          <w:szCs w:val="24"/>
          <w:lang w:val="en"/>
        </w:rPr>
        <w:t xml:space="preserve"> and urban parks. Global urbanization has diminished</w:t>
      </w:r>
      <w:r w:rsidR="00534BFB" w:rsidRPr="00EE3400">
        <w:rPr>
          <w:rFonts w:ascii="Arial" w:hAnsi="Arial" w:cs="Arial"/>
          <w:sz w:val="24"/>
          <w:szCs w:val="24"/>
          <w:lang w:val="en"/>
        </w:rPr>
        <w:t xml:space="preserve"> entry</w:t>
      </w:r>
      <w:r w:rsidRPr="00EE3400">
        <w:rPr>
          <w:rFonts w:ascii="Arial" w:hAnsi="Arial" w:cs="Arial"/>
          <w:sz w:val="24"/>
          <w:szCs w:val="24"/>
          <w:lang w:val="en"/>
        </w:rPr>
        <w:t xml:space="preserve"> </w:t>
      </w:r>
      <w:bookmarkStart w:id="0" w:name="_GoBack"/>
      <w:bookmarkEnd w:id="0"/>
      <w:r w:rsidRPr="00EE3400">
        <w:rPr>
          <w:rFonts w:ascii="Arial" w:hAnsi="Arial" w:cs="Arial"/>
          <w:sz w:val="24"/>
          <w:szCs w:val="24"/>
          <w:lang w:val="en"/>
        </w:rPr>
        <w:t xml:space="preserve">to and engagement with greenspace, but </w:t>
      </w:r>
      <w:r w:rsidR="00E91894" w:rsidRPr="00EE3400">
        <w:rPr>
          <w:rFonts w:ascii="Arial" w:hAnsi="Arial" w:cs="Arial"/>
          <w:sz w:val="24"/>
          <w:szCs w:val="24"/>
          <w:lang w:val="en"/>
        </w:rPr>
        <w:t>there's evidence to prove</w:t>
      </w:r>
      <w:r w:rsidRPr="00EE3400">
        <w:rPr>
          <w:rFonts w:ascii="Arial" w:hAnsi="Arial" w:cs="Arial"/>
          <w:sz w:val="24"/>
          <w:szCs w:val="24"/>
          <w:lang w:val="en"/>
        </w:rPr>
        <w:t xml:space="preserve"> a positive relationship between levels of neighborhood greenspace and mental wellbeing and well-being</w:t>
      </w:r>
      <w:r w:rsidR="00E91894" w:rsidRPr="00EE3400">
        <w:rPr>
          <w:rFonts w:ascii="Arial" w:hAnsi="Arial" w:cs="Arial"/>
          <w:sz w:val="24"/>
          <w:szCs w:val="24"/>
          <w:lang w:val="en"/>
        </w:rPr>
        <w:t xml:space="preserve">. </w:t>
      </w:r>
      <w:r w:rsidR="00E91894" w:rsidRPr="00EE3400">
        <w:rPr>
          <w:rFonts w:ascii="Arial" w:hAnsi="Arial" w:cs="Arial"/>
          <w:sz w:val="24"/>
          <w:szCs w:val="24"/>
        </w:rPr>
        <w:t xml:space="preserve">Greenspaces are often used in a tailored manner to provide formal therapeutic interventions to vulnerable groups such as at-risk youth, people living with </w:t>
      </w:r>
      <w:r w:rsidR="00F04120" w:rsidRPr="00EE3400">
        <w:rPr>
          <w:rFonts w:ascii="Arial" w:hAnsi="Arial" w:cs="Arial"/>
          <w:sz w:val="24"/>
          <w:szCs w:val="24"/>
        </w:rPr>
        <w:t xml:space="preserve">dementia and mental illness, probationers and overwhelmed staff. Wildlife rehabilitation, social and therapeutic horticulture, guided environmental conservation, care agriculture, </w:t>
      </w:r>
      <w:r w:rsidR="00C2169D" w:rsidRPr="00EE3400">
        <w:rPr>
          <w:rFonts w:ascii="Arial" w:hAnsi="Arial" w:cs="Arial"/>
          <w:sz w:val="24"/>
          <w:szCs w:val="24"/>
        </w:rPr>
        <w:t>Eco therapy</w:t>
      </w:r>
      <w:r w:rsidR="00F04120" w:rsidRPr="00EE3400">
        <w:rPr>
          <w:rFonts w:ascii="Arial" w:hAnsi="Arial" w:cs="Arial"/>
          <w:sz w:val="24"/>
          <w:szCs w:val="24"/>
        </w:rPr>
        <w:t xml:space="preserve">, arts and crafts focused on nature, and animal-assisted therapies are among the treatments. For example, for adolescents with </w:t>
      </w:r>
      <w:r w:rsidR="00C2169D" w:rsidRPr="00EE3400">
        <w:rPr>
          <w:rFonts w:ascii="Arial" w:hAnsi="Arial" w:cs="Arial"/>
          <w:sz w:val="24"/>
          <w:szCs w:val="24"/>
        </w:rPr>
        <w:t>behavioural</w:t>
      </w:r>
      <w:r w:rsidR="00F04120" w:rsidRPr="00EE3400">
        <w:rPr>
          <w:rFonts w:ascii="Arial" w:hAnsi="Arial" w:cs="Arial"/>
          <w:sz w:val="24"/>
          <w:szCs w:val="24"/>
        </w:rPr>
        <w:t xml:space="preserve"> </w:t>
      </w:r>
      <w:r w:rsidR="00F04120" w:rsidRPr="00EE3400">
        <w:rPr>
          <w:rFonts w:ascii="Arial" w:hAnsi="Arial" w:cs="Arial"/>
          <w:sz w:val="24"/>
          <w:szCs w:val="24"/>
        </w:rPr>
        <w:lastRenderedPageBreak/>
        <w:t xml:space="preserve">or self-esteem problems, wilderness greenspaces are used as vehicles for week-long expeditions to focus on related mental and </w:t>
      </w:r>
      <w:r w:rsidR="00C2169D" w:rsidRPr="00EE3400">
        <w:rPr>
          <w:rFonts w:ascii="Arial" w:hAnsi="Arial" w:cs="Arial"/>
          <w:sz w:val="24"/>
          <w:szCs w:val="24"/>
        </w:rPr>
        <w:t>behavioural</w:t>
      </w:r>
      <w:r w:rsidR="00F04120" w:rsidRPr="00EE3400">
        <w:rPr>
          <w:rFonts w:ascii="Arial" w:hAnsi="Arial" w:cs="Arial"/>
          <w:sz w:val="24"/>
          <w:szCs w:val="24"/>
        </w:rPr>
        <w:t xml:space="preserve"> changes, such as improved self-esteem, self-efficacy, self-image, self-control, self-confidence, self-empowerment and decision-making</w:t>
      </w:r>
      <w:r w:rsidR="00C2169D" w:rsidRPr="00EE3400">
        <w:rPr>
          <w:rFonts w:ascii="Arial" w:hAnsi="Arial" w:cs="Arial"/>
          <w:sz w:val="24"/>
          <w:szCs w:val="24"/>
        </w:rPr>
        <w:t>.</w:t>
      </w:r>
      <w:r w:rsidR="00C2169D" w:rsidRPr="00EE3400">
        <w:rPr>
          <w:rFonts w:ascii="Arial" w:hAnsi="Arial" w:cs="Arial"/>
          <w:sz w:val="24"/>
          <w:szCs w:val="24"/>
          <w:lang w:val="en"/>
        </w:rPr>
        <w:t xml:space="preserve"> </w:t>
      </w:r>
      <w:sdt>
        <w:sdtPr>
          <w:rPr>
            <w:rFonts w:ascii="Arial" w:hAnsi="Arial" w:cs="Arial"/>
            <w:sz w:val="24"/>
            <w:szCs w:val="24"/>
            <w:lang w:val="en"/>
          </w:rPr>
          <w:id w:val="888140961"/>
          <w:citation/>
        </w:sdtPr>
        <w:sdtEndPr/>
        <w:sdtContent>
          <w:r w:rsidR="00573F1E">
            <w:rPr>
              <w:rFonts w:ascii="Arial" w:hAnsi="Arial" w:cs="Arial"/>
              <w:sz w:val="24"/>
              <w:szCs w:val="24"/>
              <w:lang w:val="en"/>
            </w:rPr>
            <w:fldChar w:fldCharType="begin"/>
          </w:r>
          <w:r w:rsidR="00573F1E">
            <w:rPr>
              <w:rFonts w:ascii="Arial" w:hAnsi="Arial" w:cs="Arial"/>
              <w:sz w:val="24"/>
              <w:szCs w:val="24"/>
            </w:rPr>
            <w:instrText xml:space="preserve"> CITATION htt9 \l 2057 </w:instrText>
          </w:r>
          <w:r w:rsidR="00573F1E">
            <w:rPr>
              <w:rFonts w:ascii="Arial" w:hAnsi="Arial" w:cs="Arial"/>
              <w:sz w:val="24"/>
              <w:szCs w:val="24"/>
              <w:lang w:val="en"/>
            </w:rPr>
            <w:fldChar w:fldCharType="separate"/>
          </w:r>
          <w:r w:rsidR="00573F1E" w:rsidRPr="00573F1E">
            <w:rPr>
              <w:rFonts w:ascii="Arial" w:hAnsi="Arial" w:cs="Arial"/>
              <w:noProof/>
              <w:sz w:val="24"/>
              <w:szCs w:val="24"/>
            </w:rPr>
            <w:t>(https://www.ncbi.nlm.nih.gov/pmc/articles/PMC5663018/ , n.d.)</w:t>
          </w:r>
          <w:r w:rsidR="00573F1E">
            <w:rPr>
              <w:rFonts w:ascii="Arial" w:hAnsi="Arial" w:cs="Arial"/>
              <w:sz w:val="24"/>
              <w:szCs w:val="24"/>
              <w:lang w:val="en"/>
            </w:rPr>
            <w:fldChar w:fldCharType="end"/>
          </w:r>
        </w:sdtContent>
      </w:sdt>
      <w:r w:rsidR="00573F1E">
        <w:rPr>
          <w:rFonts w:ascii="Arial" w:hAnsi="Arial" w:cs="Arial"/>
          <w:sz w:val="24"/>
          <w:szCs w:val="24"/>
          <w:lang w:val="en"/>
        </w:rPr>
        <w:t xml:space="preserve"> </w:t>
      </w:r>
      <w:r w:rsidR="00FC2DC6" w:rsidRPr="00EE3400">
        <w:rPr>
          <w:rFonts w:ascii="Arial" w:hAnsi="Arial" w:cs="Arial"/>
          <w:sz w:val="24"/>
          <w:szCs w:val="24"/>
        </w:rPr>
        <w:t xml:space="preserve">According to the named article educational and ecological research suggest that </w:t>
      </w:r>
      <w:r w:rsidR="00886A8A" w:rsidRPr="00EE3400">
        <w:rPr>
          <w:rFonts w:ascii="Arial" w:hAnsi="Arial" w:cs="Arial"/>
          <w:sz w:val="24"/>
          <w:szCs w:val="24"/>
          <w:lang w:val="en"/>
        </w:rPr>
        <w:t>out- door nature play is necessary for children's mental emotional and social well- being through developing connections to social and physical environments at the same time as stimulating imagination and creativity</w:t>
      </w:r>
      <w:r w:rsidR="00246D3A" w:rsidRPr="00EE3400">
        <w:rPr>
          <w:rFonts w:ascii="Arial" w:hAnsi="Arial" w:cs="Arial"/>
          <w:sz w:val="24"/>
          <w:szCs w:val="24"/>
          <w:lang w:val="en"/>
        </w:rPr>
        <w:t>.</w:t>
      </w:r>
      <w:r w:rsidR="00196E82" w:rsidRPr="00EE3400">
        <w:rPr>
          <w:rFonts w:ascii="Arial" w:hAnsi="Arial" w:cs="Arial"/>
          <w:sz w:val="24"/>
          <w:szCs w:val="24"/>
          <w:lang w:val="en"/>
        </w:rPr>
        <w:t xml:space="preserve"> </w:t>
      </w:r>
      <w:r w:rsidR="00146E6F" w:rsidRPr="00EE3400">
        <w:rPr>
          <w:rFonts w:ascii="Arial" w:hAnsi="Arial" w:cs="Arial"/>
          <w:sz w:val="24"/>
          <w:szCs w:val="24"/>
          <w:lang w:val="en"/>
        </w:rPr>
        <w:t>The author</w:t>
      </w:r>
      <w:r w:rsidR="00E7262B" w:rsidRPr="00EE3400">
        <w:rPr>
          <w:rFonts w:ascii="Arial" w:hAnsi="Arial" w:cs="Arial"/>
          <w:sz w:val="24"/>
          <w:szCs w:val="24"/>
          <w:lang w:val="en"/>
        </w:rPr>
        <w:t>s</w:t>
      </w:r>
      <w:r w:rsidR="00146E6F" w:rsidRPr="00EE3400">
        <w:rPr>
          <w:rFonts w:ascii="Arial" w:hAnsi="Arial" w:cs="Arial"/>
          <w:sz w:val="24"/>
          <w:szCs w:val="24"/>
          <w:lang w:val="en"/>
        </w:rPr>
        <w:t xml:space="preserve"> of the journal article believe that there are three theories which explain the </w:t>
      </w:r>
      <w:r w:rsidR="00457F6D" w:rsidRPr="00EE3400">
        <w:rPr>
          <w:rFonts w:ascii="Arial" w:hAnsi="Arial" w:cs="Arial"/>
          <w:sz w:val="24"/>
          <w:szCs w:val="24"/>
          <w:lang w:val="en"/>
        </w:rPr>
        <w:t>influence of</w:t>
      </w:r>
      <w:r w:rsidR="00146E6F" w:rsidRPr="00EE3400">
        <w:rPr>
          <w:rFonts w:ascii="Arial" w:hAnsi="Arial" w:cs="Arial"/>
          <w:sz w:val="24"/>
          <w:szCs w:val="24"/>
          <w:lang w:val="en"/>
        </w:rPr>
        <w:t xml:space="preserve"> connections</w:t>
      </w:r>
      <w:r w:rsidR="00457F6D" w:rsidRPr="00EE3400">
        <w:rPr>
          <w:rFonts w:ascii="Arial" w:hAnsi="Arial" w:cs="Arial"/>
          <w:sz w:val="24"/>
          <w:szCs w:val="24"/>
          <w:lang w:val="en"/>
        </w:rPr>
        <w:t xml:space="preserve"> with nature</w:t>
      </w:r>
      <w:r w:rsidR="00146E6F" w:rsidRPr="00EE3400">
        <w:rPr>
          <w:rFonts w:ascii="Arial" w:hAnsi="Arial" w:cs="Arial"/>
          <w:sz w:val="24"/>
          <w:szCs w:val="24"/>
          <w:lang w:val="en"/>
        </w:rPr>
        <w:t xml:space="preserve"> </w:t>
      </w:r>
      <w:r w:rsidR="00146E6F" w:rsidRPr="00EE3400">
        <w:rPr>
          <w:rFonts w:ascii="Arial" w:hAnsi="Arial" w:cs="Arial"/>
          <w:sz w:val="24"/>
          <w:szCs w:val="24"/>
        </w:rPr>
        <w:t>on mental health and well-being</w:t>
      </w:r>
      <w:r w:rsidR="00457F6D" w:rsidRPr="00EE3400">
        <w:rPr>
          <w:rFonts w:ascii="Arial" w:hAnsi="Arial" w:cs="Arial"/>
          <w:sz w:val="24"/>
          <w:szCs w:val="24"/>
        </w:rPr>
        <w:t xml:space="preserve">. Firstly, </w:t>
      </w:r>
      <w:r w:rsidR="00EE3400" w:rsidRPr="00EE3400">
        <w:rPr>
          <w:rFonts w:ascii="Arial" w:hAnsi="Arial" w:cs="Arial"/>
          <w:sz w:val="24"/>
          <w:szCs w:val="24"/>
        </w:rPr>
        <w:t>Biophilia.</w:t>
      </w:r>
      <w:r w:rsidR="00D05DC9" w:rsidRPr="00EE3400">
        <w:rPr>
          <w:rFonts w:ascii="Arial" w:hAnsi="Arial" w:cs="Arial"/>
          <w:color w:val="232323"/>
          <w:sz w:val="24"/>
          <w:szCs w:val="24"/>
          <w:lang w:val="en-US"/>
        </w:rPr>
        <w:t xml:space="preserve"> </w:t>
      </w:r>
      <w:r w:rsidR="00D05DC9" w:rsidRPr="00EE3400">
        <w:rPr>
          <w:rFonts w:ascii="Arial" w:hAnsi="Arial" w:cs="Arial"/>
          <w:sz w:val="24"/>
          <w:szCs w:val="24"/>
          <w:lang w:val="en-US"/>
        </w:rPr>
        <w:t xml:space="preserve">Biophilia is the innate tendency of humans to connect with nature and other lifeforms. </w:t>
      </w:r>
      <w:r w:rsidR="00D05DC9" w:rsidRPr="00EE3400">
        <w:rPr>
          <w:rFonts w:ascii="Arial" w:hAnsi="Arial" w:cs="Arial"/>
          <w:sz w:val="24"/>
          <w:szCs w:val="24"/>
        </w:rPr>
        <w:t>The Biophilia theory (popularised by Edward Wilson) emerged in 1984 as an exciting hypothesis. The hypothesis states that human beings have an affinity with nature and the life it thrives on. The hypothesis is now being expanded to understand this affinity's influence and potency</w:t>
      </w:r>
      <w:sdt>
        <w:sdtPr>
          <w:rPr>
            <w:rFonts w:ascii="Arial" w:hAnsi="Arial" w:cs="Arial"/>
            <w:sz w:val="24"/>
            <w:szCs w:val="24"/>
          </w:rPr>
          <w:id w:val="-727068061"/>
          <w:citation/>
        </w:sdtPr>
        <w:sdtEndPr/>
        <w:sdtContent>
          <w:r w:rsidR="00573F1E">
            <w:rPr>
              <w:rFonts w:ascii="Arial" w:hAnsi="Arial" w:cs="Arial"/>
              <w:sz w:val="24"/>
              <w:szCs w:val="24"/>
            </w:rPr>
            <w:fldChar w:fldCharType="begin"/>
          </w:r>
          <w:r w:rsidR="00573F1E">
            <w:rPr>
              <w:rFonts w:ascii="Arial" w:hAnsi="Arial" w:cs="Arial"/>
              <w:sz w:val="24"/>
              <w:szCs w:val="24"/>
            </w:rPr>
            <w:instrText xml:space="preserve"> CITATION htt10 \l 2057 </w:instrText>
          </w:r>
          <w:r w:rsidR="00573F1E">
            <w:rPr>
              <w:rFonts w:ascii="Arial" w:hAnsi="Arial" w:cs="Arial"/>
              <w:sz w:val="24"/>
              <w:szCs w:val="24"/>
            </w:rPr>
            <w:fldChar w:fldCharType="separate"/>
          </w:r>
          <w:r w:rsidR="00573F1E">
            <w:rPr>
              <w:rFonts w:ascii="Arial" w:hAnsi="Arial" w:cs="Arial"/>
              <w:noProof/>
              <w:sz w:val="24"/>
              <w:szCs w:val="24"/>
            </w:rPr>
            <w:t xml:space="preserve"> </w:t>
          </w:r>
          <w:r w:rsidR="00573F1E" w:rsidRPr="00573F1E">
            <w:rPr>
              <w:rFonts w:ascii="Arial" w:hAnsi="Arial" w:cs="Arial"/>
              <w:noProof/>
              <w:sz w:val="24"/>
              <w:szCs w:val="24"/>
            </w:rPr>
            <w:t>(. https://cognitiontoday.com/2019/05/biophilia-sensory-contact-with-nature-can-improve-your-overall-well-being-mental-health/, n.d.)</w:t>
          </w:r>
          <w:r w:rsidR="00573F1E">
            <w:rPr>
              <w:rFonts w:ascii="Arial" w:hAnsi="Arial" w:cs="Arial"/>
              <w:sz w:val="24"/>
              <w:szCs w:val="24"/>
            </w:rPr>
            <w:fldChar w:fldCharType="end"/>
          </w:r>
        </w:sdtContent>
      </w:sdt>
    </w:p>
    <w:p w:rsidR="00E91872" w:rsidRPr="00EE3400" w:rsidRDefault="005E3F28" w:rsidP="00EE3400">
      <w:pPr>
        <w:spacing w:line="480" w:lineRule="auto"/>
        <w:rPr>
          <w:rFonts w:ascii="Arial" w:hAnsi="Arial" w:cs="Arial"/>
          <w:sz w:val="24"/>
          <w:szCs w:val="24"/>
        </w:rPr>
      </w:pPr>
      <w:r w:rsidRPr="00EE3400">
        <w:rPr>
          <w:rFonts w:ascii="Arial" w:hAnsi="Arial" w:cs="Arial"/>
          <w:sz w:val="24"/>
          <w:szCs w:val="24"/>
          <w:lang w:val="en"/>
        </w:rPr>
        <w:t xml:space="preserve">Another theory is the Stress related </w:t>
      </w:r>
      <w:r w:rsidR="001D72D7" w:rsidRPr="00EE3400">
        <w:rPr>
          <w:rFonts w:ascii="Arial" w:hAnsi="Arial" w:cs="Arial"/>
          <w:sz w:val="24"/>
          <w:szCs w:val="24"/>
          <w:lang w:val="en"/>
        </w:rPr>
        <w:t>theory</w:t>
      </w:r>
      <w:r w:rsidR="001D72D7" w:rsidRPr="00EE3400">
        <w:rPr>
          <w:rFonts w:ascii="Arial" w:hAnsi="Arial" w:cs="Arial"/>
          <w:sz w:val="24"/>
          <w:szCs w:val="24"/>
        </w:rPr>
        <w:t>,</w:t>
      </w:r>
      <w:r w:rsidR="00AD20BA" w:rsidRPr="00EE3400">
        <w:rPr>
          <w:rFonts w:ascii="Arial" w:hAnsi="Arial" w:cs="Arial"/>
          <w:sz w:val="24"/>
          <w:szCs w:val="24"/>
        </w:rPr>
        <w:t xml:space="preserve"> as stated </w:t>
      </w:r>
      <w:r w:rsidR="00162D4B" w:rsidRPr="00EE3400">
        <w:rPr>
          <w:rFonts w:ascii="Arial" w:hAnsi="Arial" w:cs="Arial"/>
          <w:sz w:val="24"/>
          <w:szCs w:val="24"/>
        </w:rPr>
        <w:t xml:space="preserve">by </w:t>
      </w:r>
      <w:r w:rsidR="00EE3400" w:rsidRPr="00EE3400">
        <w:rPr>
          <w:rFonts w:ascii="Arial" w:hAnsi="Arial" w:cs="Arial"/>
          <w:sz w:val="24"/>
          <w:szCs w:val="24"/>
        </w:rPr>
        <w:t>ReaserachGate, Exposure</w:t>
      </w:r>
      <w:r w:rsidR="00E419EE" w:rsidRPr="00EE3400">
        <w:rPr>
          <w:rFonts w:ascii="Arial" w:hAnsi="Arial" w:cs="Arial"/>
          <w:sz w:val="24"/>
          <w:szCs w:val="24"/>
        </w:rPr>
        <w:t xml:space="preserve"> to green spaces enhances our ability to recover from stressful events. Many types of green spaces have a calming effect on people with pressure</w:t>
      </w:r>
      <w:r w:rsidR="00194904" w:rsidRPr="00EE3400">
        <w:rPr>
          <w:rFonts w:ascii="Arial" w:hAnsi="Arial" w:cs="Arial"/>
          <w:sz w:val="24"/>
          <w:szCs w:val="24"/>
        </w:rPr>
        <w:t xml:space="preserve"> and stress difficulties.</w:t>
      </w:r>
      <w:r w:rsidR="00194904" w:rsidRPr="00EE3400">
        <w:rPr>
          <w:rStyle w:val="Hyperlink"/>
          <w:rFonts w:ascii="Arial" w:hAnsi="Arial" w:cs="Arial"/>
          <w:color w:val="EA7D13"/>
          <w:sz w:val="24"/>
          <w:szCs w:val="24"/>
        </w:rPr>
        <w:t xml:space="preserve"> </w:t>
      </w:r>
      <w:r w:rsidR="00194904" w:rsidRPr="00EE3400">
        <w:rPr>
          <w:rFonts w:ascii="Arial" w:hAnsi="Arial" w:cs="Arial"/>
          <w:sz w:val="24"/>
          <w:szCs w:val="24"/>
        </w:rPr>
        <w:t>About 1 in 15 deaths across Europe are associated with a lack of physical activity. In the United Kingdom, only one third of the population reaches the recommended level of exercise and this is estimated to have a direct economic cost of £ 1 b</w:t>
      </w:r>
      <w:r w:rsidR="00796910" w:rsidRPr="00EE3400">
        <w:rPr>
          <w:rFonts w:ascii="Arial" w:hAnsi="Arial" w:cs="Arial"/>
          <w:sz w:val="24"/>
          <w:szCs w:val="24"/>
        </w:rPr>
        <w:t>illion</w:t>
      </w:r>
      <w:r w:rsidR="00194904" w:rsidRPr="00EE3400">
        <w:rPr>
          <w:rFonts w:ascii="Arial" w:hAnsi="Arial" w:cs="Arial"/>
          <w:sz w:val="24"/>
          <w:szCs w:val="24"/>
        </w:rPr>
        <w:t xml:space="preserve"> per year for our health.</w:t>
      </w:r>
    </w:p>
    <w:p w:rsidR="005E3F28" w:rsidRPr="00EE3400" w:rsidRDefault="00E91872" w:rsidP="00EE3400">
      <w:pPr>
        <w:spacing w:line="480" w:lineRule="auto"/>
        <w:rPr>
          <w:rStyle w:val="word1"/>
          <w:rFonts w:ascii="Arial" w:hAnsi="Arial" w:cs="Arial"/>
          <w:color w:val="252525"/>
          <w:sz w:val="24"/>
          <w:szCs w:val="24"/>
        </w:rPr>
      </w:pPr>
      <w:r w:rsidRPr="00EE3400">
        <w:rPr>
          <w:rFonts w:ascii="Arial" w:hAnsi="Arial" w:cs="Arial"/>
          <w:sz w:val="24"/>
          <w:szCs w:val="24"/>
        </w:rPr>
        <w:lastRenderedPageBreak/>
        <w:t xml:space="preserve">The third theory is Attention restoration </w:t>
      </w:r>
      <w:r w:rsidR="001D72D7" w:rsidRPr="00EE3400">
        <w:rPr>
          <w:rFonts w:ascii="Arial" w:hAnsi="Arial" w:cs="Arial"/>
          <w:sz w:val="24"/>
          <w:szCs w:val="24"/>
        </w:rPr>
        <w:t xml:space="preserve">theory, </w:t>
      </w:r>
      <w:r w:rsidR="001D72D7" w:rsidRPr="00EE3400">
        <w:rPr>
          <w:rFonts w:ascii="Arial" w:hAnsi="Arial" w:cs="Arial"/>
          <w:sz w:val="24"/>
          <w:szCs w:val="24"/>
          <w:lang w:val="en"/>
        </w:rPr>
        <w:t>it</w:t>
      </w:r>
      <w:r w:rsidR="000E7C9D" w:rsidRPr="00EE3400">
        <w:rPr>
          <w:rFonts w:ascii="Arial" w:hAnsi="Arial" w:cs="Arial"/>
          <w:sz w:val="24"/>
          <w:szCs w:val="24"/>
          <w:lang w:val="en"/>
        </w:rPr>
        <w:t xml:space="preserve"> </w:t>
      </w:r>
      <w:r w:rsidR="000E7C9D" w:rsidRPr="00EE3400">
        <w:rPr>
          <w:rFonts w:ascii="Arial" w:hAnsi="Arial" w:cs="Arial"/>
          <w:sz w:val="24"/>
          <w:szCs w:val="24"/>
        </w:rPr>
        <w:t xml:space="preserve">Suggests that access to nature is not only fun, but can also help us to strengthen our attention and concentration </w:t>
      </w:r>
      <w:r w:rsidR="000E7C9D" w:rsidRPr="00EE3400">
        <w:rPr>
          <w:rFonts w:ascii="Arial" w:hAnsi="Arial" w:cs="Arial"/>
          <w:sz w:val="24"/>
          <w:szCs w:val="24"/>
          <w:lang w:val="en-US"/>
        </w:rPr>
        <w:t xml:space="preserve">(Ohly, White, Wheeler, Bethel, Ukoumunne, Nikolaou, &amp; Garside, 2016). This theory was developed and popularized by Stephen and Rachel Kaplan in the late 1980s and early 1990s. </w:t>
      </w:r>
      <w:r w:rsidR="000E7C9D" w:rsidRPr="00EE3400">
        <w:rPr>
          <w:rFonts w:ascii="Arial" w:hAnsi="Arial" w:cs="Arial"/>
          <w:sz w:val="24"/>
          <w:szCs w:val="24"/>
        </w:rPr>
        <w:t>A time of rapid technological development and ever-increasing indoor entertainment. As people, and especially children, spent more and more time inside, there was growing concern about the lack of time in nature</w:t>
      </w:r>
      <w:r w:rsidR="00DB790E" w:rsidRPr="00EE3400">
        <w:rPr>
          <w:rFonts w:ascii="Arial" w:hAnsi="Arial" w:cs="Arial"/>
          <w:sz w:val="24"/>
          <w:szCs w:val="24"/>
        </w:rPr>
        <w:t>.</w:t>
      </w:r>
      <w:r w:rsidR="00796910" w:rsidRPr="00EE3400">
        <w:rPr>
          <w:rFonts w:ascii="Arial" w:hAnsi="Arial" w:cs="Arial"/>
          <w:sz w:val="24"/>
          <w:szCs w:val="24"/>
        </w:rPr>
        <w:t xml:space="preserve">  The project was funded by a </w:t>
      </w:r>
      <w:r w:rsidR="00DF4B93" w:rsidRPr="00EE3400">
        <w:rPr>
          <w:rFonts w:ascii="Arial" w:hAnsi="Arial" w:cs="Arial"/>
          <w:sz w:val="24"/>
          <w:szCs w:val="24"/>
        </w:rPr>
        <w:t xml:space="preserve">Primary Care Trust (PCT, since 2012 a Clinical Commissioning Group) and a City Council in the North West of England </w:t>
      </w:r>
      <w:r w:rsidR="00DF4B93" w:rsidRPr="00EE3400">
        <w:rPr>
          <w:rStyle w:val="word1"/>
          <w:rFonts w:ascii="Arial" w:hAnsi="Arial" w:cs="Arial"/>
          <w:sz w:val="24"/>
          <w:szCs w:val="24"/>
        </w:rPr>
        <w:t>as part of a large-scale grant programme for health and wellbeing.</w:t>
      </w:r>
      <w:r w:rsidR="00841CEC" w:rsidRPr="00EE3400">
        <w:rPr>
          <w:rStyle w:val="word1"/>
          <w:rFonts w:ascii="Arial" w:hAnsi="Arial" w:cs="Arial"/>
          <w:sz w:val="24"/>
          <w:szCs w:val="24"/>
        </w:rPr>
        <w:t xml:space="preserve"> </w:t>
      </w:r>
      <w:r w:rsidR="00841CEC" w:rsidRPr="00EE3400">
        <w:rPr>
          <w:rFonts w:ascii="Arial" w:hAnsi="Arial" w:cs="Arial"/>
          <w:sz w:val="24"/>
          <w:szCs w:val="24"/>
        </w:rPr>
        <w:t>An important requirement for funding was to place the intervention evaluation within the context of the</w:t>
      </w:r>
      <w:r w:rsidR="00E21A7F" w:rsidRPr="00EE3400">
        <w:rPr>
          <w:rFonts w:ascii="Arial" w:hAnsi="Arial" w:cs="Arial"/>
          <w:sz w:val="24"/>
          <w:szCs w:val="24"/>
        </w:rPr>
        <w:t xml:space="preserve"> “Five Ways to Wellbeing”.</w:t>
      </w:r>
      <w:r w:rsidR="00550479" w:rsidRPr="00EE3400">
        <w:rPr>
          <w:rFonts w:ascii="Arial" w:hAnsi="Arial" w:cs="Arial"/>
          <w:sz w:val="24"/>
          <w:szCs w:val="24"/>
        </w:rPr>
        <w:t xml:space="preserve"> The Five Ways to Wellbeing is a collection of evidence-based actions that promot</w:t>
      </w:r>
      <w:r w:rsidR="00294745">
        <w:rPr>
          <w:rFonts w:ascii="Arial" w:hAnsi="Arial" w:cs="Arial"/>
          <w:sz w:val="24"/>
          <w:szCs w:val="24"/>
        </w:rPr>
        <w:t xml:space="preserve">e the well-being of individuals, </w:t>
      </w:r>
      <w:r w:rsidR="00550479" w:rsidRPr="00EE3400">
        <w:rPr>
          <w:rFonts w:ascii="Arial" w:hAnsi="Arial" w:cs="Arial"/>
          <w:sz w:val="24"/>
          <w:szCs w:val="24"/>
        </w:rPr>
        <w:t>it is a set of simple things that individuals can do in their daily lives. These were developed by the New Economics Foundation and based on the results of the 2008 Mental Resources and Health Report of the Government Office for Science Foresight aimed at developing a long-term strategy to improve health in the United Kingdom</w:t>
      </w:r>
      <w:sdt>
        <w:sdtPr>
          <w:rPr>
            <w:rFonts w:ascii="Arial" w:hAnsi="Arial" w:cs="Arial"/>
            <w:sz w:val="24"/>
            <w:szCs w:val="24"/>
          </w:rPr>
          <w:id w:val="1712997558"/>
          <w:citation/>
        </w:sdtPr>
        <w:sdtEndPr/>
        <w:sdtContent>
          <w:r w:rsidR="00573F1E">
            <w:rPr>
              <w:rFonts w:ascii="Arial" w:hAnsi="Arial" w:cs="Arial"/>
              <w:sz w:val="24"/>
              <w:szCs w:val="24"/>
            </w:rPr>
            <w:fldChar w:fldCharType="begin"/>
          </w:r>
          <w:r w:rsidR="00573F1E">
            <w:rPr>
              <w:rFonts w:ascii="Arial" w:hAnsi="Arial" w:cs="Arial"/>
              <w:sz w:val="24"/>
              <w:szCs w:val="24"/>
            </w:rPr>
            <w:instrText xml:space="preserve"> CITATION htt11 \l 2057 </w:instrText>
          </w:r>
          <w:r w:rsidR="00573F1E">
            <w:rPr>
              <w:rFonts w:ascii="Arial" w:hAnsi="Arial" w:cs="Arial"/>
              <w:sz w:val="24"/>
              <w:szCs w:val="24"/>
            </w:rPr>
            <w:fldChar w:fldCharType="separate"/>
          </w:r>
          <w:r w:rsidR="00573F1E">
            <w:rPr>
              <w:rFonts w:ascii="Arial" w:hAnsi="Arial" w:cs="Arial"/>
              <w:noProof/>
              <w:sz w:val="24"/>
              <w:szCs w:val="24"/>
            </w:rPr>
            <w:t xml:space="preserve"> </w:t>
          </w:r>
          <w:r w:rsidR="00573F1E" w:rsidRPr="00573F1E">
            <w:rPr>
              <w:rFonts w:ascii="Arial" w:hAnsi="Arial" w:cs="Arial"/>
              <w:noProof/>
              <w:sz w:val="24"/>
              <w:szCs w:val="24"/>
            </w:rPr>
            <w:t>(. https://whatworkswellbeing.org/blog/five-ways-to-wellbeing-in-the-uk/, n.d.)</w:t>
          </w:r>
          <w:r w:rsidR="00573F1E">
            <w:rPr>
              <w:rFonts w:ascii="Arial" w:hAnsi="Arial" w:cs="Arial"/>
              <w:sz w:val="24"/>
              <w:szCs w:val="24"/>
            </w:rPr>
            <w:fldChar w:fldCharType="end"/>
          </w:r>
        </w:sdtContent>
      </w:sdt>
      <w:r w:rsidR="00573F1E">
        <w:rPr>
          <w:rFonts w:ascii="Arial" w:hAnsi="Arial" w:cs="Arial"/>
          <w:sz w:val="24"/>
          <w:szCs w:val="24"/>
        </w:rPr>
        <w:t xml:space="preserve"> </w:t>
      </w:r>
      <w:r w:rsidR="00550479" w:rsidRPr="00EE3400">
        <w:rPr>
          <w:rFonts w:ascii="Arial" w:hAnsi="Arial" w:cs="Arial"/>
          <w:sz w:val="24"/>
          <w:szCs w:val="24"/>
        </w:rPr>
        <w:t>They are as follows, Connect,</w:t>
      </w:r>
      <w:r w:rsidR="00541D2A" w:rsidRPr="00EE3400">
        <w:rPr>
          <w:rFonts w:ascii="Arial" w:hAnsi="Arial" w:cs="Arial"/>
          <w:sz w:val="24"/>
          <w:szCs w:val="24"/>
        </w:rPr>
        <w:t xml:space="preserve"> </w:t>
      </w:r>
      <w:r w:rsidR="001D72D7" w:rsidRPr="00EE3400">
        <w:rPr>
          <w:rFonts w:ascii="Arial" w:hAnsi="Arial" w:cs="Arial"/>
          <w:sz w:val="24"/>
          <w:szCs w:val="24"/>
        </w:rPr>
        <w:t>there</w:t>
      </w:r>
      <w:r w:rsidR="00B90C2D" w:rsidRPr="00EE3400">
        <w:rPr>
          <w:rFonts w:ascii="Arial" w:hAnsi="Arial" w:cs="Arial"/>
          <w:sz w:val="24"/>
          <w:szCs w:val="24"/>
        </w:rPr>
        <w:t xml:space="preserve"> is strong evidence that feeling close to and respected by others is a fundamental human need, and one that contributes to working positively in the world. It is clear that social relationships for people of all ages are essential to fostering well-being and serving as a shield for mental health. Be Active, Lower rates of depression and anxiety are associated with regular physical activity across all age groups. </w:t>
      </w:r>
      <w:r w:rsidR="00387431" w:rsidRPr="00EE3400">
        <w:rPr>
          <w:rFonts w:ascii="Arial" w:hAnsi="Arial" w:cs="Arial"/>
          <w:sz w:val="24"/>
          <w:szCs w:val="24"/>
        </w:rPr>
        <w:t xml:space="preserve">To slow age-related cognitive decline and to promote well-being, exercise is essential. But it doesn't have to be particularly intense for you to feel good- slower paced activities, such as cycling, can improve </w:t>
      </w:r>
      <w:r w:rsidR="00387431" w:rsidRPr="00EE3400">
        <w:rPr>
          <w:rFonts w:ascii="Arial" w:hAnsi="Arial" w:cs="Arial"/>
          <w:sz w:val="24"/>
          <w:szCs w:val="24"/>
        </w:rPr>
        <w:lastRenderedPageBreak/>
        <w:t>social interactions as well as some exercise.</w:t>
      </w:r>
      <w:r w:rsidR="00541D2A" w:rsidRPr="00EE3400">
        <w:rPr>
          <w:rFonts w:ascii="Arial" w:hAnsi="Arial" w:cs="Arial"/>
          <w:sz w:val="24"/>
          <w:szCs w:val="24"/>
        </w:rPr>
        <w:t xml:space="preserve"> Take Notice, </w:t>
      </w:r>
      <w:r w:rsidR="001D72D7" w:rsidRPr="00EE3400">
        <w:rPr>
          <w:rFonts w:ascii="Arial" w:hAnsi="Arial" w:cs="Arial"/>
          <w:sz w:val="24"/>
          <w:szCs w:val="24"/>
        </w:rPr>
        <w:t>reminding</w:t>
      </w:r>
      <w:r w:rsidR="004A565A" w:rsidRPr="00EE3400">
        <w:rPr>
          <w:rFonts w:ascii="Arial" w:hAnsi="Arial" w:cs="Arial"/>
          <w:sz w:val="24"/>
          <w:szCs w:val="24"/>
        </w:rPr>
        <w:t xml:space="preserve"> yourself to be conscious of your emotions, feelings, perceptions of the body and the world around you is the first step towards being attentive. Research have shown that being mindful of what's happening right now directly increases your well-being and embracing the moment will help reiterate your priorities in life.</w:t>
      </w:r>
      <w:r w:rsidR="00B3071D" w:rsidRPr="00EE3400">
        <w:rPr>
          <w:rFonts w:ascii="Arial" w:hAnsi="Arial" w:cs="Arial"/>
          <w:sz w:val="24"/>
          <w:szCs w:val="24"/>
        </w:rPr>
        <w:t xml:space="preserve"> Increased awareness also improves your understanding of yourself and enables you to make positive choices based on your own values and motivations. Learn, Lifelong learning raises self-esteem and fosters social interaction and more active life</w:t>
      </w:r>
      <w:r w:rsidR="00294745">
        <w:rPr>
          <w:rFonts w:ascii="Arial" w:hAnsi="Arial" w:cs="Arial"/>
          <w:sz w:val="24"/>
          <w:szCs w:val="24"/>
        </w:rPr>
        <w:t>.</w:t>
      </w:r>
      <w:r w:rsidR="00B102A4" w:rsidRPr="00EE3400">
        <w:rPr>
          <w:rFonts w:ascii="Arial" w:hAnsi="Arial" w:cs="Arial"/>
          <w:sz w:val="24"/>
          <w:szCs w:val="24"/>
        </w:rPr>
        <w:t xml:space="preserve"> Give, In the area of wellness studies, engagement in social and community life has gained a great deal of attention. People who are more interested in helping others are more likely to be happy within themselves.</w:t>
      </w:r>
      <w:r w:rsidR="00F276FD" w:rsidRPr="00EE3400">
        <w:rPr>
          <w:rFonts w:ascii="Arial" w:hAnsi="Arial" w:cs="Arial"/>
          <w:sz w:val="24"/>
          <w:szCs w:val="24"/>
        </w:rPr>
        <w:t xml:space="preserve"> </w:t>
      </w:r>
      <w:r w:rsidR="00F276FD" w:rsidRPr="00EE3400">
        <w:rPr>
          <w:rStyle w:val="word1"/>
          <w:rFonts w:ascii="Arial" w:hAnsi="Arial" w:cs="Arial"/>
          <w:color w:val="252525"/>
          <w:sz w:val="24"/>
          <w:szCs w:val="24"/>
        </w:rPr>
        <w:t>Research into acts to encourage happiness has shown that an act of kindness once a week over a span of six weeks enhances well-being.</w:t>
      </w:r>
      <w:r w:rsidR="0017256E" w:rsidRPr="00EE3400">
        <w:rPr>
          <w:rFonts w:ascii="Arial" w:hAnsi="Arial" w:cs="Arial"/>
          <w:sz w:val="24"/>
          <w:szCs w:val="24"/>
        </w:rPr>
        <w:t xml:space="preserve"> </w:t>
      </w:r>
      <w:sdt>
        <w:sdtPr>
          <w:rPr>
            <w:rFonts w:ascii="Arial" w:hAnsi="Arial" w:cs="Arial"/>
            <w:sz w:val="24"/>
            <w:szCs w:val="24"/>
          </w:rPr>
          <w:id w:val="1648161345"/>
          <w:citation/>
        </w:sdtPr>
        <w:sdtEndPr/>
        <w:sdtContent>
          <w:r w:rsidR="00573F1E">
            <w:rPr>
              <w:rFonts w:ascii="Arial" w:hAnsi="Arial" w:cs="Arial"/>
              <w:sz w:val="24"/>
              <w:szCs w:val="24"/>
            </w:rPr>
            <w:fldChar w:fldCharType="begin"/>
          </w:r>
          <w:r w:rsidR="00573F1E">
            <w:rPr>
              <w:rFonts w:ascii="Arial" w:hAnsi="Arial" w:cs="Arial"/>
              <w:sz w:val="24"/>
              <w:szCs w:val="24"/>
            </w:rPr>
            <w:instrText xml:space="preserve"> CITATION htt12 \l 2057 </w:instrText>
          </w:r>
          <w:r w:rsidR="00573F1E">
            <w:rPr>
              <w:rFonts w:ascii="Arial" w:hAnsi="Arial" w:cs="Arial"/>
              <w:sz w:val="24"/>
              <w:szCs w:val="24"/>
            </w:rPr>
            <w:fldChar w:fldCharType="separate"/>
          </w:r>
          <w:r w:rsidR="00573F1E" w:rsidRPr="00573F1E">
            <w:rPr>
              <w:rFonts w:ascii="Arial" w:hAnsi="Arial" w:cs="Arial"/>
              <w:noProof/>
              <w:sz w:val="24"/>
              <w:szCs w:val="24"/>
            </w:rPr>
            <w:t>(https://www.mind.org.uk/workplace/mental-health-at-work/taking-care-of-yourself/five-ways-to-wellbeing/ , n.d.)</w:t>
          </w:r>
          <w:r w:rsidR="00573F1E">
            <w:rPr>
              <w:rFonts w:ascii="Arial" w:hAnsi="Arial" w:cs="Arial"/>
              <w:sz w:val="24"/>
              <w:szCs w:val="24"/>
            </w:rPr>
            <w:fldChar w:fldCharType="end"/>
          </w:r>
        </w:sdtContent>
      </w:sdt>
      <w:r w:rsidR="00665278" w:rsidRPr="00EE3400">
        <w:rPr>
          <w:rStyle w:val="word1"/>
          <w:rFonts w:ascii="Arial" w:hAnsi="Arial" w:cs="Arial"/>
          <w:color w:val="252525"/>
          <w:sz w:val="24"/>
          <w:szCs w:val="24"/>
        </w:rPr>
        <w:t xml:space="preserve"> </w:t>
      </w:r>
    </w:p>
    <w:p w:rsidR="00665278" w:rsidRPr="00EE3400" w:rsidRDefault="00665278" w:rsidP="00EE3400">
      <w:pPr>
        <w:spacing w:line="480" w:lineRule="auto"/>
        <w:rPr>
          <w:rStyle w:val="Hyperlink"/>
          <w:rFonts w:ascii="Arial" w:hAnsi="Arial" w:cs="Arial"/>
          <w:sz w:val="24"/>
          <w:szCs w:val="24"/>
        </w:rPr>
      </w:pPr>
      <w:r w:rsidRPr="00EE3400">
        <w:rPr>
          <w:rStyle w:val="word1"/>
          <w:rFonts w:ascii="Arial" w:hAnsi="Arial" w:cs="Arial"/>
          <w:color w:val="252525"/>
          <w:sz w:val="24"/>
          <w:szCs w:val="24"/>
        </w:rPr>
        <w:t xml:space="preserve">Whilst the author of this review was researching similar content they discovered further evidence from a journal of </w:t>
      </w:r>
      <w:r w:rsidR="001D72D7" w:rsidRPr="00EE3400">
        <w:rPr>
          <w:rStyle w:val="word1"/>
          <w:rFonts w:ascii="Arial" w:hAnsi="Arial" w:cs="Arial"/>
          <w:color w:val="252525"/>
          <w:sz w:val="24"/>
          <w:szCs w:val="24"/>
        </w:rPr>
        <w:t>Paediatric</w:t>
      </w:r>
      <w:r w:rsidRPr="00EE3400">
        <w:rPr>
          <w:rStyle w:val="word1"/>
          <w:rFonts w:ascii="Arial" w:hAnsi="Arial" w:cs="Arial"/>
          <w:color w:val="252525"/>
          <w:sz w:val="24"/>
          <w:szCs w:val="24"/>
        </w:rPr>
        <w:t xml:space="preserve"> nursing which proved to display similar findings which </w:t>
      </w:r>
      <w:r w:rsidR="001D72D7" w:rsidRPr="00EE3400">
        <w:rPr>
          <w:rStyle w:val="word1"/>
          <w:rFonts w:ascii="Arial" w:hAnsi="Arial" w:cs="Arial"/>
          <w:color w:val="252525"/>
          <w:sz w:val="24"/>
          <w:szCs w:val="24"/>
        </w:rPr>
        <w:t>included, Children</w:t>
      </w:r>
      <w:r w:rsidRPr="00EE3400">
        <w:rPr>
          <w:rFonts w:ascii="Arial" w:hAnsi="Arial" w:cs="Arial"/>
          <w:color w:val="252525"/>
          <w:sz w:val="24"/>
          <w:szCs w:val="24"/>
        </w:rPr>
        <w:t xml:space="preserve"> spend more time indoors, while problems with paediatric mental and behavioural health are </w:t>
      </w:r>
      <w:r w:rsidR="001D72D7" w:rsidRPr="00EE3400">
        <w:rPr>
          <w:rFonts w:ascii="Arial" w:hAnsi="Arial" w:cs="Arial"/>
          <w:color w:val="252525"/>
          <w:sz w:val="24"/>
          <w:szCs w:val="24"/>
        </w:rPr>
        <w:t>increasing.</w:t>
      </w:r>
      <w:r w:rsidR="004B5804" w:rsidRPr="00EE3400">
        <w:rPr>
          <w:rStyle w:val="Hyperlink"/>
          <w:rFonts w:ascii="Arial" w:hAnsi="Arial" w:cs="Arial"/>
          <w:color w:val="252525"/>
          <w:sz w:val="24"/>
          <w:szCs w:val="24"/>
        </w:rPr>
        <w:t xml:space="preserve"> </w:t>
      </w:r>
      <w:r w:rsidR="004B5804" w:rsidRPr="00EE3400">
        <w:rPr>
          <w:rFonts w:ascii="Arial" w:hAnsi="Arial" w:cs="Arial"/>
          <w:color w:val="252525"/>
          <w:sz w:val="24"/>
          <w:szCs w:val="24"/>
        </w:rPr>
        <w:t>A systematic literature review was undertaken to investigate the relationship between green space exposure and children's psychological well-being.</w:t>
      </w:r>
      <w:r w:rsidR="001D72D7" w:rsidRPr="00EE3400">
        <w:rPr>
          <w:rFonts w:ascii="Arial" w:hAnsi="Arial" w:cs="Arial"/>
          <w:color w:val="252525"/>
          <w:sz w:val="24"/>
          <w:szCs w:val="24"/>
        </w:rPr>
        <w:t xml:space="preserve"> The eligibility</w:t>
      </w:r>
      <w:r w:rsidR="004B5804" w:rsidRPr="00EE3400">
        <w:rPr>
          <w:rFonts w:ascii="Arial" w:hAnsi="Arial" w:cs="Arial"/>
          <w:color w:val="252525"/>
          <w:sz w:val="24"/>
          <w:szCs w:val="24"/>
        </w:rPr>
        <w:t xml:space="preserve"> criteria </w:t>
      </w:r>
      <w:r w:rsidR="001D72D7" w:rsidRPr="00EE3400">
        <w:rPr>
          <w:rFonts w:ascii="Arial" w:hAnsi="Arial" w:cs="Arial"/>
          <w:color w:val="252525"/>
          <w:sz w:val="24"/>
          <w:szCs w:val="24"/>
        </w:rPr>
        <w:t>were</w:t>
      </w:r>
      <w:r w:rsidR="004B5804" w:rsidRPr="00EE3400">
        <w:rPr>
          <w:rFonts w:ascii="Arial" w:hAnsi="Arial" w:cs="Arial"/>
          <w:color w:val="252525"/>
          <w:sz w:val="24"/>
          <w:szCs w:val="24"/>
        </w:rPr>
        <w:t xml:space="preserve"> that </w:t>
      </w:r>
      <w:r w:rsidR="001D72D7" w:rsidRPr="00EE3400">
        <w:rPr>
          <w:rFonts w:ascii="Arial" w:hAnsi="Arial" w:cs="Arial"/>
          <w:color w:val="252525"/>
          <w:sz w:val="24"/>
          <w:szCs w:val="24"/>
        </w:rPr>
        <w:t>the Articles</w:t>
      </w:r>
      <w:r w:rsidR="004B5804" w:rsidRPr="00EE3400">
        <w:rPr>
          <w:rFonts w:ascii="Arial" w:hAnsi="Arial" w:cs="Arial"/>
          <w:color w:val="252525"/>
          <w:sz w:val="24"/>
          <w:szCs w:val="24"/>
          <w:lang w:val="en"/>
        </w:rPr>
        <w:t xml:space="preserve"> were limited to English language, ages 0–18 years, and publish date 2012–2017. </w:t>
      </w:r>
      <w:r w:rsidR="004B5804" w:rsidRPr="00EE3400">
        <w:rPr>
          <w:rFonts w:ascii="Arial" w:hAnsi="Arial" w:cs="Arial"/>
          <w:color w:val="252525"/>
          <w:sz w:val="24"/>
          <w:szCs w:val="24"/>
        </w:rPr>
        <w:t>Twelve papers on green space and children's psychological well-being have been checked. Three papers have been included outside the date criterion as they are often cited as important early research on this topic in the literature.</w:t>
      </w:r>
      <w:r w:rsidR="00B15175" w:rsidRPr="00EE3400">
        <w:rPr>
          <w:rFonts w:ascii="Arial" w:hAnsi="Arial" w:cs="Arial"/>
          <w:color w:val="252525"/>
          <w:sz w:val="24"/>
          <w:szCs w:val="24"/>
        </w:rPr>
        <w:t xml:space="preserve"> Green space exposure has been correlated with enhanced psychological well-being, overall health </w:t>
      </w:r>
      <w:r w:rsidR="00B15175" w:rsidRPr="00EE3400">
        <w:rPr>
          <w:rFonts w:ascii="Arial" w:hAnsi="Arial" w:cs="Arial"/>
          <w:color w:val="252525"/>
          <w:sz w:val="24"/>
          <w:szCs w:val="24"/>
        </w:rPr>
        <w:lastRenderedPageBreak/>
        <w:t>and children's cognitive development.  This encourages focus recovery, memory, maturity, social support networks, self-discipline, reduces stress, enhances ADHD behaviours and symptoms, and has even been associated with higher standardised test scores.</w:t>
      </w:r>
      <w:r w:rsidR="00E03275" w:rsidRPr="00EE3400">
        <w:rPr>
          <w:rFonts w:ascii="Arial" w:hAnsi="Arial" w:cs="Arial"/>
          <w:color w:val="252525"/>
          <w:sz w:val="24"/>
          <w:szCs w:val="24"/>
        </w:rPr>
        <w:t xml:space="preserve"> Scientific evidence showing the mental health benefits of children's access to nature can direct policy and urban planning, while nursing programmes and strategies can improve health by encouraging outdoor play, educating patients and fa</w:t>
      </w:r>
      <w:r w:rsidR="003030F4" w:rsidRPr="00EE3400">
        <w:rPr>
          <w:rFonts w:ascii="Arial" w:hAnsi="Arial" w:cs="Arial"/>
          <w:color w:val="252525"/>
          <w:sz w:val="24"/>
          <w:szCs w:val="24"/>
        </w:rPr>
        <w:t>milies, supporting school play</w:t>
      </w:r>
      <w:r w:rsidR="00E03275" w:rsidRPr="00EE3400">
        <w:rPr>
          <w:rFonts w:ascii="Arial" w:hAnsi="Arial" w:cs="Arial"/>
          <w:color w:val="252525"/>
          <w:sz w:val="24"/>
          <w:szCs w:val="24"/>
        </w:rPr>
        <w:t xml:space="preserve"> times and green spaces, and calming gardens in hospital settings</w:t>
      </w:r>
      <w:sdt>
        <w:sdtPr>
          <w:rPr>
            <w:rFonts w:ascii="Arial" w:hAnsi="Arial" w:cs="Arial"/>
            <w:color w:val="252525"/>
            <w:sz w:val="24"/>
            <w:szCs w:val="24"/>
          </w:rPr>
          <w:id w:val="-827896635"/>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htt13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 https://www.pediatricnursing.org/article/S0882-5963(17)30185-9/fulltext, n.d.)</w:t>
          </w:r>
          <w:r w:rsidR="00573F1E">
            <w:rPr>
              <w:rFonts w:ascii="Arial" w:hAnsi="Arial" w:cs="Arial"/>
              <w:color w:val="252525"/>
              <w:sz w:val="24"/>
              <w:szCs w:val="24"/>
            </w:rPr>
            <w:fldChar w:fldCharType="end"/>
          </w:r>
        </w:sdtContent>
      </w:sdt>
      <w:r w:rsidR="009519A9" w:rsidRPr="00EE3400">
        <w:rPr>
          <w:rStyle w:val="Hyperlink"/>
          <w:rFonts w:ascii="Arial" w:hAnsi="Arial" w:cs="Arial"/>
          <w:sz w:val="24"/>
          <w:szCs w:val="24"/>
        </w:rPr>
        <w:t xml:space="preserve"> </w:t>
      </w:r>
    </w:p>
    <w:p w:rsidR="00BF5FD9" w:rsidRPr="00EE3400" w:rsidRDefault="009519A9" w:rsidP="00EE3400">
      <w:pPr>
        <w:spacing w:line="480" w:lineRule="auto"/>
        <w:rPr>
          <w:rFonts w:ascii="Arial" w:hAnsi="Arial" w:cs="Arial"/>
          <w:color w:val="252525"/>
          <w:sz w:val="24"/>
          <w:szCs w:val="24"/>
        </w:rPr>
      </w:pPr>
      <w:r w:rsidRPr="00EE3400">
        <w:rPr>
          <w:rStyle w:val="word1"/>
          <w:rFonts w:ascii="Arial" w:hAnsi="Arial" w:cs="Arial"/>
          <w:sz w:val="24"/>
          <w:szCs w:val="24"/>
        </w:rPr>
        <w:t xml:space="preserve">The article in the journal discusses pre- and post-evaluations on children and youth before and after </w:t>
      </w:r>
      <w:r w:rsidRPr="00EE3400">
        <w:rPr>
          <w:rStyle w:val="word1"/>
          <w:rFonts w:ascii="Arial" w:hAnsi="Arial" w:cs="Arial"/>
          <w:color w:val="252525"/>
          <w:sz w:val="24"/>
          <w:szCs w:val="24"/>
        </w:rPr>
        <w:t xml:space="preserve">their opportunities to access green space. </w:t>
      </w:r>
      <w:r w:rsidRPr="00EE3400">
        <w:rPr>
          <w:rFonts w:ascii="Arial" w:hAnsi="Arial" w:cs="Arial"/>
          <w:color w:val="252525"/>
          <w:sz w:val="24"/>
          <w:szCs w:val="24"/>
        </w:rPr>
        <w:t>The article in the journal notes that the study's aim is to examine thirty-six children and young people between the ages of nine and fifteen out of three di</w:t>
      </w:r>
      <w:r w:rsidR="00442D92" w:rsidRPr="00EE3400">
        <w:rPr>
          <w:rFonts w:ascii="Arial" w:hAnsi="Arial" w:cs="Arial"/>
          <w:color w:val="252525"/>
          <w:sz w:val="24"/>
          <w:szCs w:val="24"/>
        </w:rPr>
        <w:t>fferent schools all in the same surrounding area</w:t>
      </w:r>
      <w:r w:rsidRPr="00EE3400">
        <w:rPr>
          <w:rFonts w:ascii="Arial" w:hAnsi="Arial" w:cs="Arial"/>
          <w:color w:val="252525"/>
          <w:sz w:val="24"/>
          <w:szCs w:val="24"/>
        </w:rPr>
        <w:t>. Two of these schools were Junior schools, and one was a Secondary school. The children that were selected to take part in the study from the primary schools had already been allocated places within the secondary school and existing partnerships between the schools and the CAMH psychologist involved in the provision of treatment were felt to increase the chances of successful intervention and assessment</w:t>
      </w:r>
      <w:r w:rsidR="00442D92" w:rsidRPr="00EE3400">
        <w:rPr>
          <w:rFonts w:ascii="Arial" w:hAnsi="Arial" w:cs="Arial"/>
          <w:color w:val="252525"/>
          <w:sz w:val="24"/>
          <w:szCs w:val="24"/>
        </w:rPr>
        <w:t xml:space="preserve">. </w:t>
      </w:r>
      <w:r w:rsidR="00A37C3F" w:rsidRPr="00EE3400">
        <w:rPr>
          <w:rFonts w:ascii="Arial" w:hAnsi="Arial" w:cs="Arial"/>
          <w:color w:val="252525"/>
          <w:sz w:val="24"/>
          <w:szCs w:val="24"/>
        </w:rPr>
        <w:t>After reviewing the article in the journal, the writer of this critical review noted that the study was conducted on thirty-six children and youth between the ages of nine and fifteen. Therefore, nine and fifteen-year-olds are at different stages of development, reacting differently to the opportunities given to them.</w:t>
      </w:r>
      <w:r w:rsidR="007512A4" w:rsidRPr="00EE3400">
        <w:rPr>
          <w:rFonts w:ascii="Arial" w:hAnsi="Arial" w:cs="Arial"/>
          <w:color w:val="252525"/>
          <w:sz w:val="24"/>
          <w:szCs w:val="24"/>
        </w:rPr>
        <w:t xml:space="preserve"> Young people at the middle childhood stage are usually </w:t>
      </w:r>
      <w:r w:rsidR="00436134" w:rsidRPr="00EE3400">
        <w:rPr>
          <w:rFonts w:ascii="Arial" w:hAnsi="Arial" w:cs="Arial"/>
          <w:color w:val="252525"/>
          <w:sz w:val="24"/>
          <w:szCs w:val="24"/>
        </w:rPr>
        <w:t>around</w:t>
      </w:r>
      <w:r w:rsidR="007512A4" w:rsidRPr="00EE3400">
        <w:rPr>
          <w:rFonts w:ascii="Arial" w:hAnsi="Arial" w:cs="Arial"/>
          <w:color w:val="252525"/>
          <w:sz w:val="24"/>
          <w:szCs w:val="24"/>
        </w:rPr>
        <w:t xml:space="preserve"> the age of nine. It means they are beginning to build deeper, more meaningful relationships. They are more likely to experience and respond to peer pressure because the implications are not </w:t>
      </w:r>
      <w:r w:rsidR="007512A4" w:rsidRPr="00EE3400">
        <w:rPr>
          <w:rFonts w:ascii="Arial" w:hAnsi="Arial" w:cs="Arial"/>
          <w:color w:val="252525"/>
          <w:sz w:val="24"/>
          <w:szCs w:val="24"/>
        </w:rPr>
        <w:lastRenderedPageBreak/>
        <w:t xml:space="preserve">yet properly understood. At this stage, children begin to become more independent from the family and react positively to their opportunities and praise. Children also grow an extended span of attention during this period of adolescence. </w:t>
      </w:r>
      <w:r w:rsidR="007512A4" w:rsidRPr="00EE3400">
        <w:rPr>
          <w:rStyle w:val="word1"/>
          <w:rFonts w:ascii="Arial" w:hAnsi="Arial" w:cs="Arial"/>
          <w:color w:val="252525"/>
          <w:sz w:val="24"/>
          <w:szCs w:val="24"/>
        </w:rPr>
        <w:t xml:space="preserve">Compared to a </w:t>
      </w:r>
      <w:r w:rsidR="00436134" w:rsidRPr="00EE3400">
        <w:rPr>
          <w:rStyle w:val="word1"/>
          <w:rFonts w:ascii="Arial" w:hAnsi="Arial" w:cs="Arial"/>
          <w:color w:val="252525"/>
          <w:sz w:val="24"/>
          <w:szCs w:val="24"/>
        </w:rPr>
        <w:t>fifteen-year-old</w:t>
      </w:r>
      <w:r w:rsidR="007512A4" w:rsidRPr="00EE3400">
        <w:rPr>
          <w:rStyle w:val="word1"/>
          <w:rFonts w:ascii="Arial" w:hAnsi="Arial" w:cs="Arial"/>
          <w:color w:val="252525"/>
          <w:sz w:val="24"/>
          <w:szCs w:val="24"/>
        </w:rPr>
        <w:t xml:space="preserve"> teenager who is even more distant from parents at this point and is more concerned with establishing more romantic relationships and has a smaller circle of close friends in who</w:t>
      </w:r>
      <w:r w:rsidR="00E54689" w:rsidRPr="00EE3400">
        <w:rPr>
          <w:rStyle w:val="word1"/>
          <w:rFonts w:ascii="Arial" w:hAnsi="Arial" w:cs="Arial"/>
          <w:color w:val="252525"/>
          <w:sz w:val="24"/>
          <w:szCs w:val="24"/>
        </w:rPr>
        <w:t>m they seek trust</w:t>
      </w:r>
      <w:r w:rsidR="007512A4" w:rsidRPr="00EE3400">
        <w:rPr>
          <w:rStyle w:val="word1"/>
          <w:rFonts w:ascii="Arial" w:hAnsi="Arial" w:cs="Arial"/>
          <w:color w:val="252525"/>
          <w:sz w:val="24"/>
          <w:szCs w:val="24"/>
        </w:rPr>
        <w:t>.</w:t>
      </w:r>
      <w:r w:rsidR="007512A4" w:rsidRPr="00EE3400">
        <w:rPr>
          <w:rFonts w:ascii="Arial" w:hAnsi="Arial" w:cs="Arial"/>
          <w:sz w:val="24"/>
          <w:szCs w:val="24"/>
        </w:rPr>
        <w:t xml:space="preserve"> </w:t>
      </w:r>
      <w:sdt>
        <w:sdtPr>
          <w:rPr>
            <w:rFonts w:ascii="Arial" w:hAnsi="Arial" w:cs="Arial"/>
            <w:sz w:val="24"/>
            <w:szCs w:val="24"/>
          </w:rPr>
          <w:id w:val="346911131"/>
          <w:citation/>
        </w:sdtPr>
        <w:sdtEndPr/>
        <w:sdtContent>
          <w:r w:rsidR="00573F1E">
            <w:rPr>
              <w:rFonts w:ascii="Arial" w:hAnsi="Arial" w:cs="Arial"/>
              <w:sz w:val="24"/>
              <w:szCs w:val="24"/>
            </w:rPr>
            <w:fldChar w:fldCharType="begin"/>
          </w:r>
          <w:r w:rsidR="00573F1E">
            <w:rPr>
              <w:rFonts w:ascii="Arial" w:hAnsi="Arial" w:cs="Arial"/>
              <w:sz w:val="24"/>
              <w:szCs w:val="24"/>
            </w:rPr>
            <w:instrText xml:space="preserve"> CITATION htt14 \l 2057 </w:instrText>
          </w:r>
          <w:r w:rsidR="00573F1E">
            <w:rPr>
              <w:rFonts w:ascii="Arial" w:hAnsi="Arial" w:cs="Arial"/>
              <w:sz w:val="24"/>
              <w:szCs w:val="24"/>
            </w:rPr>
            <w:fldChar w:fldCharType="separate"/>
          </w:r>
          <w:r w:rsidR="00573F1E" w:rsidRPr="00573F1E">
            <w:rPr>
              <w:rFonts w:ascii="Arial" w:hAnsi="Arial" w:cs="Arial"/>
              <w:noProof/>
              <w:sz w:val="24"/>
              <w:szCs w:val="24"/>
            </w:rPr>
            <w:t>(https://www.cdc.gov/ncbddd/childdevelopment/positiveparenting/middle2.html , n.d.)</w:t>
          </w:r>
          <w:r w:rsidR="00573F1E">
            <w:rPr>
              <w:rFonts w:ascii="Arial" w:hAnsi="Arial" w:cs="Arial"/>
              <w:sz w:val="24"/>
              <w:szCs w:val="24"/>
            </w:rPr>
            <w:fldChar w:fldCharType="end"/>
          </w:r>
        </w:sdtContent>
      </w:sdt>
      <w:r w:rsidR="00573F1E">
        <w:rPr>
          <w:rFonts w:ascii="Arial" w:hAnsi="Arial" w:cs="Arial"/>
          <w:sz w:val="24"/>
          <w:szCs w:val="24"/>
        </w:rPr>
        <w:t xml:space="preserve"> </w:t>
      </w:r>
      <w:r w:rsidR="0029669F" w:rsidRPr="00EE3400">
        <w:rPr>
          <w:rFonts w:ascii="Arial" w:hAnsi="Arial" w:cs="Arial"/>
          <w:color w:val="252525"/>
          <w:sz w:val="24"/>
          <w:szCs w:val="24"/>
        </w:rPr>
        <w:t>Observing</w:t>
      </w:r>
      <w:r w:rsidR="00E07756" w:rsidRPr="00EE3400">
        <w:rPr>
          <w:rFonts w:ascii="Arial" w:hAnsi="Arial" w:cs="Arial"/>
          <w:color w:val="252525"/>
          <w:sz w:val="24"/>
          <w:szCs w:val="24"/>
        </w:rPr>
        <w:t xml:space="preserve"> </w:t>
      </w:r>
      <w:r w:rsidR="0029669F" w:rsidRPr="00EE3400">
        <w:rPr>
          <w:rFonts w:ascii="Arial" w:hAnsi="Arial" w:cs="Arial"/>
          <w:color w:val="252525"/>
          <w:sz w:val="24"/>
          <w:szCs w:val="24"/>
        </w:rPr>
        <w:t>the facts that examines the disparities in development between a nine-year-old and a fifteen-year-old, it becomes apparent that the study's age gap is substantial</w:t>
      </w:r>
      <w:r w:rsidR="00E07756" w:rsidRPr="00EE3400">
        <w:rPr>
          <w:rFonts w:ascii="Arial" w:hAnsi="Arial" w:cs="Arial"/>
          <w:color w:val="252525"/>
          <w:sz w:val="24"/>
          <w:szCs w:val="24"/>
        </w:rPr>
        <w:t>.</w:t>
      </w:r>
      <w:r w:rsidR="00E07756" w:rsidRPr="00EE3400">
        <w:rPr>
          <w:rFonts w:ascii="Arial" w:hAnsi="Arial" w:cs="Arial"/>
          <w:sz w:val="24"/>
          <w:szCs w:val="24"/>
        </w:rPr>
        <w:t xml:space="preserve"> </w:t>
      </w:r>
      <w:r w:rsidR="00E07756" w:rsidRPr="00EE3400">
        <w:rPr>
          <w:rFonts w:ascii="Arial" w:hAnsi="Arial" w:cs="Arial"/>
          <w:color w:val="252525"/>
          <w:sz w:val="24"/>
          <w:szCs w:val="24"/>
        </w:rPr>
        <w:t>These children and young people are at different stages in their lives, at different levels of maturity, and need different stimulation to keep them engaged, and it is highly likely that these children and young people will respond differently to green space time, which may result in inaccurate results</w:t>
      </w:r>
      <w:r w:rsidR="00CC7FD9" w:rsidRPr="00EE3400">
        <w:rPr>
          <w:rFonts w:ascii="Arial" w:hAnsi="Arial" w:cs="Arial"/>
          <w:color w:val="252525"/>
          <w:sz w:val="24"/>
          <w:szCs w:val="24"/>
        </w:rPr>
        <w:t xml:space="preserve">. As the writer of this critical review examines the article further they have closely </w:t>
      </w:r>
      <w:r w:rsidR="00C92DEF" w:rsidRPr="00EE3400">
        <w:rPr>
          <w:rFonts w:ascii="Arial" w:hAnsi="Arial" w:cs="Arial"/>
          <w:color w:val="252525"/>
          <w:sz w:val="24"/>
          <w:szCs w:val="24"/>
        </w:rPr>
        <w:t>looked in to table</w:t>
      </w:r>
      <w:r w:rsidR="00CC7FD9" w:rsidRPr="00EE3400">
        <w:rPr>
          <w:rFonts w:ascii="Arial" w:hAnsi="Arial" w:cs="Arial"/>
          <w:color w:val="252525"/>
          <w:sz w:val="24"/>
          <w:szCs w:val="24"/>
        </w:rPr>
        <w:t xml:space="preserve"> three titled participant </w:t>
      </w:r>
      <w:r w:rsidR="00C92DEF" w:rsidRPr="00EE3400">
        <w:rPr>
          <w:rFonts w:ascii="Arial" w:hAnsi="Arial" w:cs="Arial"/>
          <w:color w:val="252525"/>
          <w:sz w:val="24"/>
          <w:szCs w:val="24"/>
        </w:rPr>
        <w:t>demographics and it shows that the male to female ratio is not even</w:t>
      </w:r>
      <w:r w:rsidR="00E54689" w:rsidRPr="00EE3400">
        <w:rPr>
          <w:rFonts w:ascii="Arial" w:hAnsi="Arial" w:cs="Arial"/>
          <w:color w:val="252525"/>
          <w:sz w:val="24"/>
          <w:szCs w:val="24"/>
        </w:rPr>
        <w:t>, however, Newcastle University researchers in the U.K. You've found that girls appear to develop their brain faster than boys The researchers conclude that this may explain why females usually mature faster during childhood and adolescence in certain cognitive and emotional areas than males. The new </w:t>
      </w:r>
      <w:hyperlink r:id="rId5" w:tgtFrame="_blank" w:history="1">
        <w:r w:rsidR="00E54689" w:rsidRPr="004F2629">
          <w:rPr>
            <w:rStyle w:val="Hyperlink"/>
            <w:rFonts w:ascii="Arial" w:hAnsi="Arial" w:cs="Arial"/>
            <w:color w:val="auto"/>
            <w:sz w:val="24"/>
            <w:szCs w:val="24"/>
            <w:u w:val="none"/>
          </w:rPr>
          <w:t>study</w:t>
        </w:r>
      </w:hyperlink>
      <w:r w:rsidR="00E54689" w:rsidRPr="00EE3400">
        <w:rPr>
          <w:rFonts w:ascii="Arial" w:hAnsi="Arial" w:cs="Arial"/>
          <w:color w:val="252525"/>
          <w:sz w:val="24"/>
          <w:szCs w:val="24"/>
        </w:rPr>
        <w:t> was published on December 19, 2013 in </w:t>
      </w:r>
      <w:r w:rsidR="00E54689" w:rsidRPr="00EE3400">
        <w:rPr>
          <w:rFonts w:ascii="Arial" w:hAnsi="Arial" w:cs="Arial"/>
          <w:i/>
          <w:iCs/>
          <w:color w:val="252525"/>
          <w:sz w:val="24"/>
          <w:szCs w:val="24"/>
        </w:rPr>
        <w:t>Cerebral Cortex</w:t>
      </w:r>
      <w:r w:rsidR="00E54689" w:rsidRPr="00EE3400">
        <w:rPr>
          <w:rFonts w:ascii="Arial" w:hAnsi="Arial" w:cs="Arial"/>
          <w:color w:val="252525"/>
          <w:sz w:val="24"/>
          <w:szCs w:val="24"/>
        </w:rPr>
        <w:t xml:space="preserve">. </w:t>
      </w:r>
      <w:sdt>
        <w:sdtPr>
          <w:rPr>
            <w:rFonts w:ascii="Arial" w:hAnsi="Arial" w:cs="Arial"/>
            <w:color w:val="252525"/>
            <w:sz w:val="24"/>
            <w:szCs w:val="24"/>
          </w:rPr>
          <w:id w:val="-1808698709"/>
          <w:citation/>
        </w:sdtPr>
        <w:sdtEndPr/>
        <w:sdtContent>
          <w:r w:rsidR="00573F1E">
            <w:rPr>
              <w:rFonts w:ascii="Arial" w:hAnsi="Arial" w:cs="Arial"/>
              <w:color w:val="252525"/>
              <w:sz w:val="24"/>
              <w:szCs w:val="24"/>
            </w:rPr>
            <w:fldChar w:fldCharType="begin"/>
          </w:r>
          <w:r w:rsidR="00573F1E">
            <w:rPr>
              <w:rFonts w:ascii="Arial" w:hAnsi="Arial" w:cs="Arial"/>
              <w:sz w:val="24"/>
              <w:szCs w:val="24"/>
            </w:rPr>
            <w:instrText xml:space="preserve"> CITATION htt15 \l 2057 </w:instrText>
          </w:r>
          <w:r w:rsidR="00573F1E">
            <w:rPr>
              <w:rFonts w:ascii="Arial" w:hAnsi="Arial" w:cs="Arial"/>
              <w:color w:val="252525"/>
              <w:sz w:val="24"/>
              <w:szCs w:val="24"/>
            </w:rPr>
            <w:fldChar w:fldCharType="separate"/>
          </w:r>
          <w:r w:rsidR="00573F1E" w:rsidRPr="00573F1E">
            <w:rPr>
              <w:rFonts w:ascii="Arial" w:hAnsi="Arial" w:cs="Arial"/>
              <w:noProof/>
              <w:sz w:val="24"/>
              <w:szCs w:val="24"/>
            </w:rPr>
            <w:t>(https://www.psychologytoday.com/gb/blog/the-athletes-way/201312/scientists-identify-why-girls-often-mature-faster-boys, n.d.)</w:t>
          </w:r>
          <w:r w:rsidR="00573F1E">
            <w:rPr>
              <w:rFonts w:ascii="Arial" w:hAnsi="Arial" w:cs="Arial"/>
              <w:color w:val="252525"/>
              <w:sz w:val="24"/>
              <w:szCs w:val="24"/>
            </w:rPr>
            <w:fldChar w:fldCharType="end"/>
          </w:r>
        </w:sdtContent>
      </w:sdt>
      <w:r w:rsidR="00573F1E">
        <w:rPr>
          <w:rFonts w:ascii="Arial" w:hAnsi="Arial" w:cs="Arial"/>
          <w:color w:val="252525"/>
          <w:sz w:val="24"/>
          <w:szCs w:val="24"/>
        </w:rPr>
        <w:t xml:space="preserve"> </w:t>
      </w:r>
      <w:r w:rsidR="00BF5FD9" w:rsidRPr="00EE3400">
        <w:rPr>
          <w:rFonts w:ascii="Arial" w:hAnsi="Arial" w:cs="Arial"/>
          <w:color w:val="252525"/>
          <w:sz w:val="24"/>
          <w:szCs w:val="24"/>
        </w:rPr>
        <w:t xml:space="preserve">Based on the theory of youth work, the results showed that informal learning helps to improve children and young people's mental health and well-being. The author of this critical review finds that throughout this journal article a number of the pillars of Youth Work have been under </w:t>
      </w:r>
      <w:r w:rsidR="00BF5FD9" w:rsidRPr="00EE3400">
        <w:rPr>
          <w:rFonts w:ascii="Arial" w:hAnsi="Arial" w:cs="Arial"/>
          <w:color w:val="252525"/>
          <w:sz w:val="24"/>
          <w:szCs w:val="24"/>
        </w:rPr>
        <w:lastRenderedPageBreak/>
        <w:t>pinned and displayed.</w:t>
      </w:r>
      <w:sdt>
        <w:sdtPr>
          <w:rPr>
            <w:rFonts w:ascii="Arial" w:hAnsi="Arial" w:cs="Arial"/>
            <w:color w:val="252525"/>
            <w:sz w:val="24"/>
            <w:szCs w:val="24"/>
          </w:rPr>
          <w:id w:val="1258793401"/>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htt16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 https://www.wlga.wales/youth-service, n.d.)</w:t>
          </w:r>
          <w:r w:rsidR="00573F1E">
            <w:rPr>
              <w:rFonts w:ascii="Arial" w:hAnsi="Arial" w:cs="Arial"/>
              <w:color w:val="252525"/>
              <w:sz w:val="24"/>
              <w:szCs w:val="24"/>
            </w:rPr>
            <w:fldChar w:fldCharType="end"/>
          </w:r>
        </w:sdtContent>
      </w:sdt>
      <w:r w:rsidR="00EE3400">
        <w:rPr>
          <w:rFonts w:ascii="Arial" w:hAnsi="Arial" w:cs="Arial"/>
          <w:color w:val="252525"/>
          <w:sz w:val="24"/>
          <w:szCs w:val="24"/>
        </w:rPr>
        <w:t xml:space="preserve"> </w:t>
      </w:r>
      <w:r w:rsidR="005D5BE0" w:rsidRPr="00EE3400">
        <w:rPr>
          <w:rFonts w:ascii="Arial" w:hAnsi="Arial" w:cs="Arial"/>
          <w:color w:val="252525"/>
          <w:sz w:val="24"/>
          <w:szCs w:val="24"/>
        </w:rPr>
        <w:t xml:space="preserve">The journal article tells the reader that children and young people have been chosen based on cognitive, physical, social and emotional issues This shows that children and young people's involvement was not based on voluntary involvement One of the principles of youth work is that all youth involvement or participation is voluntary (NOS, 2012) </w:t>
      </w:r>
      <w:sdt>
        <w:sdtPr>
          <w:rPr>
            <w:rFonts w:ascii="Arial" w:hAnsi="Arial" w:cs="Arial"/>
            <w:color w:val="252525"/>
            <w:sz w:val="24"/>
            <w:szCs w:val="24"/>
          </w:rPr>
          <w:id w:val="-1678954020"/>
          <w:citation/>
        </w:sdtPr>
        <w:sdtEndPr/>
        <w:sdtContent>
          <w:r w:rsidR="00573F1E">
            <w:rPr>
              <w:rFonts w:ascii="Arial" w:hAnsi="Arial" w:cs="Arial"/>
              <w:color w:val="252525"/>
              <w:sz w:val="24"/>
              <w:szCs w:val="24"/>
            </w:rPr>
            <w:fldChar w:fldCharType="begin"/>
          </w:r>
          <w:r w:rsidR="00573F1E">
            <w:rPr>
              <w:rFonts w:ascii="Arial" w:hAnsi="Arial" w:cs="Arial"/>
              <w:sz w:val="24"/>
              <w:szCs w:val="24"/>
            </w:rPr>
            <w:instrText xml:space="preserve"> CITATION htt17 \l 2057 </w:instrText>
          </w:r>
          <w:r w:rsidR="00573F1E">
            <w:rPr>
              <w:rFonts w:ascii="Arial" w:hAnsi="Arial" w:cs="Arial"/>
              <w:color w:val="252525"/>
              <w:sz w:val="24"/>
              <w:szCs w:val="24"/>
            </w:rPr>
            <w:fldChar w:fldCharType="separate"/>
          </w:r>
          <w:r w:rsidR="00573F1E" w:rsidRPr="00573F1E">
            <w:rPr>
              <w:rFonts w:ascii="Arial" w:hAnsi="Arial" w:cs="Arial"/>
              <w:noProof/>
              <w:sz w:val="24"/>
              <w:szCs w:val="24"/>
            </w:rPr>
            <w:t>(https://www.ukstandards.org.uk, n.d.)</w:t>
          </w:r>
          <w:r w:rsidR="00573F1E">
            <w:rPr>
              <w:rFonts w:ascii="Arial" w:hAnsi="Arial" w:cs="Arial"/>
              <w:color w:val="252525"/>
              <w:sz w:val="24"/>
              <w:szCs w:val="24"/>
            </w:rPr>
            <w:fldChar w:fldCharType="end"/>
          </w:r>
        </w:sdtContent>
      </w:sdt>
      <w:r w:rsidR="005D5BE0" w:rsidRPr="00EE3400">
        <w:rPr>
          <w:rFonts w:ascii="Arial" w:hAnsi="Arial" w:cs="Arial"/>
          <w:color w:val="252525"/>
          <w:sz w:val="24"/>
          <w:szCs w:val="24"/>
        </w:rPr>
        <w:t xml:space="preserve"> </w:t>
      </w:r>
      <w:r w:rsidR="00BF5FD9" w:rsidRPr="00EE3400">
        <w:rPr>
          <w:rFonts w:ascii="Arial" w:hAnsi="Arial" w:cs="Arial"/>
          <w:color w:val="252525"/>
          <w:sz w:val="24"/>
          <w:szCs w:val="24"/>
        </w:rPr>
        <w:t xml:space="preserve"> The author of this critical review believes that the methodologies are not clearly displayed in the article </w:t>
      </w:r>
      <w:r w:rsidR="00B45ECD" w:rsidRPr="00EE3400">
        <w:rPr>
          <w:rFonts w:ascii="Arial" w:hAnsi="Arial" w:cs="Arial"/>
          <w:color w:val="252525"/>
          <w:sz w:val="24"/>
          <w:szCs w:val="24"/>
        </w:rPr>
        <w:t xml:space="preserve">and do not explain why various actions and methods  were carried out. There are many methods used within </w:t>
      </w:r>
      <w:r w:rsidR="009169BB" w:rsidRPr="00EE3400">
        <w:rPr>
          <w:rFonts w:ascii="Arial" w:hAnsi="Arial" w:cs="Arial"/>
          <w:color w:val="252525"/>
          <w:sz w:val="24"/>
          <w:szCs w:val="24"/>
        </w:rPr>
        <w:t xml:space="preserve">the intervention one being the “Five ways to Wellbeing” </w:t>
      </w:r>
      <w:r w:rsidR="00EE3400" w:rsidRPr="00EE3400">
        <w:rPr>
          <w:rFonts w:ascii="Arial" w:hAnsi="Arial" w:cs="Arial"/>
          <w:color w:val="252525"/>
          <w:sz w:val="24"/>
          <w:szCs w:val="24"/>
        </w:rPr>
        <w:t>framework The</w:t>
      </w:r>
      <w:r w:rsidR="006D02FC" w:rsidRPr="00EE3400">
        <w:rPr>
          <w:rFonts w:ascii="Arial" w:hAnsi="Arial" w:cs="Arial"/>
          <w:color w:val="252525"/>
          <w:sz w:val="24"/>
          <w:szCs w:val="24"/>
        </w:rPr>
        <w:t xml:space="preserve"> objective of the assessment was to assess whether there were any trends in the mental health and well-being of the children involved and as stated in this article the methodologies were adapted for the use of the school children.</w:t>
      </w:r>
      <w:r w:rsidR="006D02FC" w:rsidRPr="00EE3400">
        <w:rPr>
          <w:rFonts w:ascii="Arial" w:hAnsi="Arial" w:cs="Arial"/>
          <w:sz w:val="24"/>
          <w:szCs w:val="24"/>
        </w:rPr>
        <w:t xml:space="preserve"> </w:t>
      </w:r>
      <w:sdt>
        <w:sdtPr>
          <w:rPr>
            <w:rFonts w:ascii="Arial" w:hAnsi="Arial" w:cs="Arial"/>
            <w:sz w:val="24"/>
            <w:szCs w:val="24"/>
          </w:rPr>
          <w:id w:val="556052960"/>
          <w:citation/>
        </w:sdtPr>
        <w:sdtEndPr/>
        <w:sdtContent>
          <w:r w:rsidR="00573F1E">
            <w:rPr>
              <w:rFonts w:ascii="Arial" w:hAnsi="Arial" w:cs="Arial"/>
              <w:sz w:val="24"/>
              <w:szCs w:val="24"/>
            </w:rPr>
            <w:fldChar w:fldCharType="begin"/>
          </w:r>
          <w:r w:rsidR="00573F1E">
            <w:rPr>
              <w:rFonts w:ascii="Arial" w:hAnsi="Arial" w:cs="Arial"/>
              <w:color w:val="252525"/>
              <w:sz w:val="24"/>
              <w:szCs w:val="24"/>
            </w:rPr>
            <w:instrText xml:space="preserve"> CITATION htt18 \l 2057 </w:instrText>
          </w:r>
          <w:r w:rsidR="00573F1E">
            <w:rPr>
              <w:rFonts w:ascii="Arial" w:hAnsi="Arial" w:cs="Arial"/>
              <w:sz w:val="24"/>
              <w:szCs w:val="24"/>
            </w:rPr>
            <w:fldChar w:fldCharType="separate"/>
          </w:r>
          <w:r w:rsidR="00573F1E" w:rsidRPr="00573F1E">
            <w:rPr>
              <w:rFonts w:ascii="Arial" w:hAnsi="Arial" w:cs="Arial"/>
              <w:noProof/>
              <w:color w:val="252525"/>
              <w:sz w:val="24"/>
              <w:szCs w:val="24"/>
            </w:rPr>
            <w:t>(https://neweconomics.org/2011/07/five-ways-well-new-applications-new-ways-thinking, n.d.)</w:t>
          </w:r>
          <w:r w:rsidR="00573F1E">
            <w:rPr>
              <w:rFonts w:ascii="Arial" w:hAnsi="Arial" w:cs="Arial"/>
              <w:sz w:val="24"/>
              <w:szCs w:val="24"/>
            </w:rPr>
            <w:fldChar w:fldCharType="end"/>
          </w:r>
        </w:sdtContent>
      </w:sdt>
      <w:r w:rsidR="006D02FC" w:rsidRPr="00EE3400">
        <w:rPr>
          <w:rFonts w:ascii="Arial" w:hAnsi="Arial" w:cs="Arial"/>
          <w:color w:val="252525"/>
          <w:sz w:val="24"/>
          <w:szCs w:val="24"/>
        </w:rPr>
        <w:t xml:space="preserve"> The Mental Wellbeing Impact Assessment (MWIA) and the Wellbeing Check Cards were administered in order to assess the primary outcome of children's wellbeing.</w:t>
      </w:r>
      <w:r w:rsidR="00375CA7" w:rsidRPr="00EE3400">
        <w:rPr>
          <w:rFonts w:ascii="Arial" w:hAnsi="Arial" w:cs="Arial"/>
          <w:color w:val="252525"/>
          <w:sz w:val="24"/>
          <w:szCs w:val="24"/>
        </w:rPr>
        <w:t xml:space="preserve"> The first and last intervention sessions were administered on the basis of the 7-item Warwick-Edinburgh Mental Well-being Scale (WEMWBS).</w:t>
      </w:r>
    </w:p>
    <w:p w:rsidR="000905C3" w:rsidRPr="00EE3400" w:rsidRDefault="00222D3A" w:rsidP="00573F1E">
      <w:pPr>
        <w:spacing w:line="480" w:lineRule="auto"/>
        <w:rPr>
          <w:rFonts w:ascii="Arial" w:hAnsi="Arial" w:cs="Arial"/>
          <w:color w:val="252525"/>
          <w:sz w:val="24"/>
          <w:szCs w:val="24"/>
        </w:rPr>
      </w:pPr>
      <w:sdt>
        <w:sdtPr>
          <w:rPr>
            <w:rFonts w:ascii="Arial" w:hAnsi="Arial" w:cs="Arial"/>
            <w:color w:val="252525"/>
            <w:sz w:val="24"/>
            <w:szCs w:val="24"/>
          </w:rPr>
          <w:id w:val="1324779213"/>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htt19 \l 2057 </w:instrText>
          </w:r>
          <w:r w:rsidR="00573F1E">
            <w:rPr>
              <w:rFonts w:ascii="Arial" w:hAnsi="Arial" w:cs="Arial"/>
              <w:color w:val="252525"/>
              <w:sz w:val="24"/>
              <w:szCs w:val="24"/>
            </w:rPr>
            <w:fldChar w:fldCharType="separate"/>
          </w:r>
          <w:r w:rsidR="00573F1E" w:rsidRPr="00573F1E">
            <w:rPr>
              <w:rFonts w:ascii="Arial" w:hAnsi="Arial" w:cs="Arial"/>
              <w:noProof/>
              <w:color w:val="252525"/>
              <w:sz w:val="24"/>
              <w:szCs w:val="24"/>
            </w:rPr>
            <w:t>(https://warwick.ac.uk/fac/sci/med/research/platform/wemwbs/, n.d.)</w:t>
          </w:r>
          <w:r w:rsidR="00573F1E">
            <w:rPr>
              <w:rFonts w:ascii="Arial" w:hAnsi="Arial" w:cs="Arial"/>
              <w:color w:val="252525"/>
              <w:sz w:val="24"/>
              <w:szCs w:val="24"/>
            </w:rPr>
            <w:fldChar w:fldCharType="end"/>
          </w:r>
        </w:sdtContent>
      </w:sdt>
      <w:r w:rsidR="00375CA7" w:rsidRPr="00EE3400">
        <w:rPr>
          <w:rFonts w:ascii="Arial" w:hAnsi="Arial" w:cs="Arial"/>
          <w:color w:val="252525"/>
          <w:sz w:val="24"/>
          <w:szCs w:val="24"/>
        </w:rPr>
        <w:t xml:space="preserve">The article also explains the fact that the journal article does not discuss the information </w:t>
      </w:r>
      <w:r w:rsidR="004A3BD2" w:rsidRPr="00EE3400">
        <w:rPr>
          <w:rFonts w:ascii="Arial" w:hAnsi="Arial" w:cs="Arial"/>
          <w:color w:val="252525"/>
          <w:sz w:val="24"/>
          <w:szCs w:val="24"/>
        </w:rPr>
        <w:t xml:space="preserve">from strengths and difficulties questionnaire, qualitative interviews or the latter two child focussed methods but does not state why. </w:t>
      </w:r>
      <w:r w:rsidR="007B6120" w:rsidRPr="00EE3400">
        <w:rPr>
          <w:rFonts w:ascii="Arial" w:hAnsi="Arial" w:cs="Arial"/>
          <w:color w:val="252525"/>
          <w:sz w:val="24"/>
          <w:szCs w:val="24"/>
        </w:rPr>
        <w:t xml:space="preserve">The Mental wellbeing impact assessment (MWIA) </w:t>
      </w:r>
      <w:r w:rsidR="009730C5" w:rsidRPr="00EE3400">
        <w:rPr>
          <w:rFonts w:ascii="Arial" w:hAnsi="Arial" w:cs="Arial"/>
          <w:color w:val="252525"/>
          <w:sz w:val="24"/>
          <w:szCs w:val="24"/>
        </w:rPr>
        <w:t xml:space="preserve">Is a statistical method based on evidence aimed at evaluating the potential impact of a particular policy, product, plan or programme on the psychological well-being of a population. As recommended in the MWIA toolkit, the MWIA workshop opened with children developing a group definition of well-being. It sought to </w:t>
      </w:r>
      <w:r w:rsidR="009730C5" w:rsidRPr="00EE3400">
        <w:rPr>
          <w:rFonts w:ascii="Arial" w:hAnsi="Arial" w:cs="Arial"/>
          <w:color w:val="252525"/>
          <w:sz w:val="24"/>
          <w:szCs w:val="24"/>
        </w:rPr>
        <w:lastRenderedPageBreak/>
        <w:t>concentrate the workshop's attention on understanding well-being as conceptualised by the children involved</w:t>
      </w:r>
      <w:r w:rsidR="000905C3" w:rsidRPr="00EE3400">
        <w:rPr>
          <w:rFonts w:ascii="Arial" w:hAnsi="Arial" w:cs="Arial"/>
          <w:color w:val="252525"/>
          <w:sz w:val="24"/>
          <w:szCs w:val="24"/>
        </w:rPr>
        <w:t>.</w:t>
      </w:r>
      <w:sdt>
        <w:sdtPr>
          <w:rPr>
            <w:rFonts w:ascii="Arial" w:hAnsi="Arial" w:cs="Arial"/>
            <w:color w:val="252525"/>
            <w:sz w:val="24"/>
            <w:szCs w:val="24"/>
          </w:rPr>
          <w:id w:val="1935540034"/>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Placeholder1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(Placeholder1)</w:t>
          </w:r>
          <w:r w:rsidR="00573F1E">
            <w:rPr>
              <w:rFonts w:ascii="Arial" w:hAnsi="Arial" w:cs="Arial"/>
              <w:color w:val="252525"/>
              <w:sz w:val="24"/>
              <w:szCs w:val="24"/>
            </w:rPr>
            <w:fldChar w:fldCharType="end"/>
          </w:r>
        </w:sdtContent>
      </w:sdt>
      <w:r w:rsidR="0013141F" w:rsidRPr="00EE3400">
        <w:rPr>
          <w:rFonts w:ascii="Arial" w:hAnsi="Arial" w:cs="Arial"/>
          <w:color w:val="252525"/>
          <w:sz w:val="24"/>
          <w:szCs w:val="24"/>
        </w:rPr>
        <w:t>Those children who wanted to take part in the experiment had to receive written or verbal consent from their parents or guardian.</w:t>
      </w:r>
      <w:r w:rsidR="00E52E51" w:rsidRPr="00EE3400">
        <w:rPr>
          <w:rFonts w:ascii="Arial" w:hAnsi="Arial" w:cs="Arial"/>
          <w:color w:val="252525"/>
          <w:sz w:val="24"/>
          <w:szCs w:val="24"/>
        </w:rPr>
        <w:t xml:space="preserve"> Young people may have the capacity to make decisions if they are considered to be mature enough</w:t>
      </w:r>
      <w:r w:rsidR="0013141F" w:rsidRPr="00EE3400">
        <w:rPr>
          <w:rFonts w:ascii="Arial" w:hAnsi="Arial" w:cs="Arial"/>
          <w:color w:val="252525"/>
          <w:sz w:val="24"/>
          <w:szCs w:val="24"/>
        </w:rPr>
        <w:t xml:space="preserve"> </w:t>
      </w:r>
      <w:r w:rsidR="00EE3400" w:rsidRPr="00EE3400">
        <w:rPr>
          <w:rFonts w:ascii="Arial" w:hAnsi="Arial" w:cs="Arial"/>
          <w:color w:val="252525"/>
          <w:sz w:val="24"/>
          <w:szCs w:val="24"/>
        </w:rPr>
        <w:t>in</w:t>
      </w:r>
      <w:r w:rsidR="0013141F" w:rsidRPr="00EE3400">
        <w:rPr>
          <w:rFonts w:ascii="Arial" w:hAnsi="Arial" w:cs="Arial"/>
          <w:color w:val="252525"/>
          <w:sz w:val="24"/>
          <w:szCs w:val="24"/>
        </w:rPr>
        <w:t xml:space="preserve"> accordance with the participatory assessment method, children gathered at the opening of MWIA workshops were received their informed consent for inclusion in the evaluation.</w:t>
      </w:r>
      <w:r w:rsidR="00E52E51" w:rsidRPr="00EE3400">
        <w:rPr>
          <w:rFonts w:ascii="Arial" w:hAnsi="Arial" w:cs="Arial"/>
          <w:color w:val="252525"/>
          <w:sz w:val="24"/>
          <w:szCs w:val="24"/>
        </w:rPr>
        <w:t xml:space="preserve"> </w:t>
      </w:r>
      <w:r w:rsidR="004D34DF" w:rsidRPr="004D34DF">
        <w:rPr>
          <w:rFonts w:ascii="Arial" w:hAnsi="Arial" w:cs="Arial"/>
          <w:color w:val="252525"/>
          <w:sz w:val="24"/>
          <w:szCs w:val="24"/>
        </w:rPr>
        <w:t>According to Article 12 of the UNCRC, children and young people have the human right to have views and to make them relevant</w:t>
      </w:r>
    </w:p>
    <w:p w:rsidR="00E52E51" w:rsidRDefault="00E52E51" w:rsidP="00EE3400">
      <w:pPr>
        <w:spacing w:line="480" w:lineRule="auto"/>
        <w:rPr>
          <w:rFonts w:ascii="Arial" w:hAnsi="Arial" w:cs="Arial"/>
          <w:color w:val="252525"/>
          <w:sz w:val="24"/>
          <w:szCs w:val="24"/>
        </w:rPr>
      </w:pPr>
      <w:r w:rsidRPr="00EE3400">
        <w:rPr>
          <w:rFonts w:ascii="Arial" w:hAnsi="Arial" w:cs="Arial"/>
          <w:color w:val="252525"/>
          <w:sz w:val="24"/>
          <w:szCs w:val="24"/>
        </w:rPr>
        <w:t xml:space="preserve">The study focuses on the pilot nature of this intervention and the challenges of adapting assessment methods to context and age range. </w:t>
      </w:r>
    </w:p>
    <w:p w:rsidR="00573F1E" w:rsidRDefault="00573F1E" w:rsidP="00EE3400">
      <w:pPr>
        <w:spacing w:line="480" w:lineRule="auto"/>
        <w:rPr>
          <w:rFonts w:ascii="Arial" w:hAnsi="Arial" w:cs="Arial"/>
          <w:color w:val="252525"/>
          <w:sz w:val="24"/>
          <w:szCs w:val="24"/>
        </w:rPr>
      </w:pPr>
    </w:p>
    <w:p w:rsidR="00573F1E" w:rsidRDefault="00573F1E" w:rsidP="00EE3400">
      <w:pPr>
        <w:spacing w:line="480" w:lineRule="auto"/>
        <w:rPr>
          <w:rFonts w:ascii="Arial" w:hAnsi="Arial" w:cs="Arial"/>
          <w:color w:val="252525"/>
          <w:sz w:val="24"/>
          <w:szCs w:val="24"/>
        </w:rPr>
      </w:pPr>
      <w:r>
        <w:rPr>
          <w:rFonts w:ascii="Arial" w:hAnsi="Arial" w:cs="Arial"/>
          <w:color w:val="252525"/>
          <w:sz w:val="24"/>
          <w:szCs w:val="24"/>
        </w:rPr>
        <w:t>References</w:t>
      </w:r>
    </w:p>
    <w:p w:rsidR="00A950AB" w:rsidRDefault="00222D3A" w:rsidP="00EE3400">
      <w:pPr>
        <w:spacing w:line="480" w:lineRule="auto"/>
        <w:rPr>
          <w:rFonts w:ascii="Arial" w:hAnsi="Arial" w:cs="Arial"/>
          <w:color w:val="252525"/>
          <w:sz w:val="24"/>
          <w:szCs w:val="24"/>
        </w:rPr>
      </w:pPr>
      <w:sdt>
        <w:sdtPr>
          <w:rPr>
            <w:rFonts w:ascii="Arial" w:hAnsi="Arial" w:cs="Arial"/>
            <w:color w:val="252525"/>
            <w:sz w:val="24"/>
            <w:szCs w:val="24"/>
          </w:rPr>
          <w:id w:val="-2018758970"/>
          <w:citation/>
        </w:sdtPr>
        <w:sdtEndPr/>
        <w:sdtContent>
          <w:r w:rsidR="00A950AB" w:rsidRPr="00A950AB">
            <w:rPr>
              <w:rFonts w:ascii="Arial" w:hAnsi="Arial" w:cs="Arial"/>
              <w:color w:val="252525"/>
              <w:sz w:val="24"/>
              <w:szCs w:val="24"/>
            </w:rPr>
            <w:fldChar w:fldCharType="begin"/>
          </w:r>
          <w:r w:rsidR="00A950AB" w:rsidRPr="00A950AB">
            <w:rPr>
              <w:rFonts w:ascii="Arial" w:hAnsi="Arial" w:cs="Arial"/>
              <w:color w:val="252525"/>
              <w:sz w:val="24"/>
              <w:szCs w:val="24"/>
            </w:rPr>
            <w:instrText xml:space="preserve"> CITATION htt14 \l 2057 </w:instrText>
          </w:r>
          <w:r w:rsidR="00A950AB" w:rsidRPr="00A950AB">
            <w:rPr>
              <w:rFonts w:ascii="Arial" w:hAnsi="Arial" w:cs="Arial"/>
              <w:color w:val="252525"/>
              <w:sz w:val="24"/>
              <w:szCs w:val="24"/>
            </w:rPr>
            <w:fldChar w:fldCharType="separate"/>
          </w:r>
          <w:r w:rsidR="00A950AB" w:rsidRPr="00A950AB">
            <w:rPr>
              <w:rFonts w:ascii="Arial" w:hAnsi="Arial" w:cs="Arial"/>
              <w:color w:val="252525"/>
              <w:sz w:val="24"/>
              <w:szCs w:val="24"/>
            </w:rPr>
            <w:t xml:space="preserve"> (https://www.cdc.gov/ncbddd/childdevelopment/positiveparenting/middle2.html , n.d.)</w:t>
          </w:r>
          <w:r w:rsidR="00A950AB" w:rsidRPr="00A950AB">
            <w:rPr>
              <w:rFonts w:ascii="Arial" w:hAnsi="Arial" w:cs="Arial"/>
              <w:color w:val="252525"/>
              <w:sz w:val="24"/>
              <w:szCs w:val="24"/>
            </w:rPr>
            <w:fldChar w:fldCharType="end"/>
          </w:r>
        </w:sdtContent>
      </w:sdt>
    </w:p>
    <w:p w:rsidR="00573F1E" w:rsidRDefault="00222D3A" w:rsidP="00EE3400">
      <w:pPr>
        <w:spacing w:line="480" w:lineRule="auto"/>
        <w:rPr>
          <w:rFonts w:ascii="Arial" w:hAnsi="Arial" w:cs="Arial"/>
          <w:color w:val="252525"/>
          <w:sz w:val="24"/>
          <w:szCs w:val="24"/>
        </w:rPr>
      </w:pPr>
      <w:sdt>
        <w:sdtPr>
          <w:rPr>
            <w:rFonts w:ascii="Arial" w:hAnsi="Arial" w:cs="Arial"/>
            <w:color w:val="252525"/>
            <w:sz w:val="24"/>
            <w:szCs w:val="24"/>
          </w:rPr>
          <w:id w:val="-741793464"/>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htt10 \l 2057 </w:instrText>
          </w:r>
          <w:r w:rsidR="00573F1E">
            <w:rPr>
              <w:rFonts w:ascii="Arial" w:hAnsi="Arial" w:cs="Arial"/>
              <w:color w:val="252525"/>
              <w:sz w:val="24"/>
              <w:szCs w:val="24"/>
            </w:rPr>
            <w:fldChar w:fldCharType="separate"/>
          </w:r>
          <w:r w:rsidR="00573F1E" w:rsidRPr="00573F1E">
            <w:rPr>
              <w:rFonts w:ascii="Arial" w:hAnsi="Arial" w:cs="Arial"/>
              <w:noProof/>
              <w:color w:val="252525"/>
              <w:sz w:val="24"/>
              <w:szCs w:val="24"/>
            </w:rPr>
            <w:t>(. https://cognitiontoday.com/2019/05/biophilia-sensory-contact-with-nature-can-improve-your-overall-well-being-mental-health/, n.d.)</w:t>
          </w:r>
          <w:r w:rsidR="00573F1E">
            <w:rPr>
              <w:rFonts w:ascii="Arial" w:hAnsi="Arial" w:cs="Arial"/>
              <w:color w:val="252525"/>
              <w:sz w:val="24"/>
              <w:szCs w:val="24"/>
            </w:rPr>
            <w:fldChar w:fldCharType="end"/>
          </w:r>
        </w:sdtContent>
      </w:sdt>
    </w:p>
    <w:p w:rsidR="00573F1E" w:rsidRDefault="00222D3A" w:rsidP="00EE3400">
      <w:pPr>
        <w:spacing w:line="480" w:lineRule="auto"/>
        <w:rPr>
          <w:rFonts w:ascii="Arial" w:hAnsi="Arial" w:cs="Arial"/>
          <w:color w:val="252525"/>
          <w:sz w:val="24"/>
          <w:szCs w:val="24"/>
        </w:rPr>
      </w:pPr>
      <w:sdt>
        <w:sdtPr>
          <w:rPr>
            <w:rFonts w:ascii="Arial" w:hAnsi="Arial" w:cs="Arial"/>
            <w:color w:val="252525"/>
            <w:sz w:val="24"/>
            <w:szCs w:val="24"/>
          </w:rPr>
          <w:id w:val="-1066790753"/>
          <w:citation/>
        </w:sdtPr>
        <w:sdtEndPr/>
        <w:sdtContent>
          <w:r w:rsidR="00573F1E">
            <w:rPr>
              <w:rFonts w:ascii="Arial" w:hAnsi="Arial" w:cs="Arial"/>
              <w:color w:val="252525"/>
              <w:sz w:val="24"/>
              <w:szCs w:val="24"/>
            </w:rPr>
            <w:fldChar w:fldCharType="begin"/>
          </w:r>
          <w:r w:rsidR="00573F1E">
            <w:rPr>
              <w:rFonts w:ascii="Arial" w:hAnsi="Arial" w:cs="Arial"/>
              <w:color w:val="252525"/>
              <w:sz w:val="24"/>
              <w:szCs w:val="24"/>
            </w:rPr>
            <w:instrText xml:space="preserve"> CITATION htt12 \l 2057 </w:instrText>
          </w:r>
          <w:r w:rsidR="00573F1E">
            <w:rPr>
              <w:rFonts w:ascii="Arial" w:hAnsi="Arial" w:cs="Arial"/>
              <w:color w:val="252525"/>
              <w:sz w:val="24"/>
              <w:szCs w:val="24"/>
            </w:rPr>
            <w:fldChar w:fldCharType="separate"/>
          </w:r>
          <w:r w:rsidR="00573F1E">
            <w:rPr>
              <w:rFonts w:ascii="Arial" w:hAnsi="Arial" w:cs="Arial"/>
              <w:noProof/>
              <w:color w:val="252525"/>
              <w:sz w:val="24"/>
              <w:szCs w:val="24"/>
            </w:rPr>
            <w:t xml:space="preserve"> </w:t>
          </w:r>
          <w:r w:rsidR="00573F1E" w:rsidRPr="00573F1E">
            <w:rPr>
              <w:rFonts w:ascii="Arial" w:hAnsi="Arial" w:cs="Arial"/>
              <w:noProof/>
              <w:color w:val="252525"/>
              <w:sz w:val="24"/>
              <w:szCs w:val="24"/>
            </w:rPr>
            <w:t>(https://www.mind.org.uk/workplace/mental-health-at-work/taking-care-of-yourself/five-ways-to-wellbeing/ , n.d.)</w:t>
          </w:r>
          <w:r w:rsidR="00573F1E">
            <w:rPr>
              <w:rFonts w:ascii="Arial" w:hAnsi="Arial" w:cs="Arial"/>
              <w:color w:val="252525"/>
              <w:sz w:val="24"/>
              <w:szCs w:val="24"/>
            </w:rPr>
            <w:fldChar w:fldCharType="end"/>
          </w:r>
        </w:sdtContent>
      </w:sdt>
      <w:r w:rsidR="00A950AB">
        <w:rPr>
          <w:rFonts w:ascii="Arial" w:hAnsi="Arial" w:cs="Arial"/>
          <w:noProof/>
          <w:color w:val="252525"/>
          <w:sz w:val="24"/>
          <w:szCs w:val="24"/>
        </w:rPr>
        <w:t xml:space="preserve"> </w:t>
      </w:r>
      <w:sdt>
        <w:sdtPr>
          <w:rPr>
            <w:rFonts w:ascii="Arial" w:hAnsi="Arial" w:cs="Arial"/>
            <w:color w:val="252525"/>
            <w:sz w:val="24"/>
            <w:szCs w:val="24"/>
          </w:rPr>
          <w:id w:val="-256906875"/>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htt16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 https://www.wlga.wales/youth-service, n.d.)</w:t>
          </w:r>
          <w:r w:rsidR="00A950AB">
            <w:rPr>
              <w:rFonts w:ascii="Arial" w:hAnsi="Arial" w:cs="Arial"/>
              <w:color w:val="252525"/>
              <w:sz w:val="24"/>
              <w:szCs w:val="24"/>
            </w:rPr>
            <w:fldChar w:fldCharType="end"/>
          </w:r>
        </w:sdtContent>
      </w:sdt>
      <w:sdt>
        <w:sdtPr>
          <w:rPr>
            <w:rFonts w:ascii="Arial" w:hAnsi="Arial" w:cs="Arial"/>
            <w:color w:val="252525"/>
            <w:sz w:val="24"/>
            <w:szCs w:val="24"/>
          </w:rPr>
          <w:id w:val="-346175352"/>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htt17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(https://www.ukstandards.org.uk, n.d.)</w:t>
          </w:r>
          <w:r w:rsidR="00A950AB">
            <w:rPr>
              <w:rFonts w:ascii="Arial" w:hAnsi="Arial" w:cs="Arial"/>
              <w:color w:val="252525"/>
              <w:sz w:val="24"/>
              <w:szCs w:val="24"/>
            </w:rPr>
            <w:fldChar w:fldCharType="end"/>
          </w:r>
        </w:sdtContent>
      </w:sdt>
      <w:sdt>
        <w:sdtPr>
          <w:rPr>
            <w:rFonts w:ascii="Arial" w:hAnsi="Arial" w:cs="Arial"/>
            <w:color w:val="252525"/>
            <w:sz w:val="24"/>
            <w:szCs w:val="24"/>
          </w:rPr>
          <w:id w:val="-922878946"/>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htt18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(https://neweconomics.org/2011/07/five-ways-well-new-applications-new-ways-thinking, n.d.)</w:t>
          </w:r>
          <w:r w:rsidR="00A950AB">
            <w:rPr>
              <w:rFonts w:ascii="Arial" w:hAnsi="Arial" w:cs="Arial"/>
              <w:color w:val="252525"/>
              <w:sz w:val="24"/>
              <w:szCs w:val="24"/>
            </w:rPr>
            <w:fldChar w:fldCharType="end"/>
          </w:r>
        </w:sdtContent>
      </w:sdt>
      <w:sdt>
        <w:sdtPr>
          <w:rPr>
            <w:rFonts w:ascii="Arial" w:hAnsi="Arial" w:cs="Arial"/>
            <w:color w:val="252525"/>
            <w:sz w:val="24"/>
            <w:szCs w:val="24"/>
          </w:rPr>
          <w:id w:val="-1816947080"/>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htt19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(https://warwick.ac.uk/fac/sci/med/research/platform/wemwbs/, n.d.)</w:t>
          </w:r>
          <w:r w:rsidR="00A950AB">
            <w:rPr>
              <w:rFonts w:ascii="Arial" w:hAnsi="Arial" w:cs="Arial"/>
              <w:color w:val="252525"/>
              <w:sz w:val="24"/>
              <w:szCs w:val="24"/>
            </w:rPr>
            <w:fldChar w:fldCharType="end"/>
          </w:r>
        </w:sdtContent>
      </w:sdt>
      <w:sdt>
        <w:sdtPr>
          <w:rPr>
            <w:rFonts w:ascii="Arial" w:hAnsi="Arial" w:cs="Arial"/>
            <w:color w:val="252525"/>
            <w:sz w:val="24"/>
            <w:szCs w:val="24"/>
          </w:rPr>
          <w:id w:val="1071157317"/>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htt9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t>(https://www.ncbi.nlm.nih.gov/pmc/articles/PMC5663018/ , n.d.)</w:t>
          </w:r>
          <w:r w:rsidR="00A950AB">
            <w:rPr>
              <w:rFonts w:ascii="Arial" w:hAnsi="Arial" w:cs="Arial"/>
              <w:color w:val="252525"/>
              <w:sz w:val="24"/>
              <w:szCs w:val="24"/>
            </w:rPr>
            <w:fldChar w:fldCharType="end"/>
          </w:r>
        </w:sdtContent>
      </w:sdt>
      <w:sdt>
        <w:sdtPr>
          <w:rPr>
            <w:rFonts w:ascii="Arial" w:hAnsi="Arial" w:cs="Arial"/>
            <w:color w:val="252525"/>
            <w:sz w:val="24"/>
            <w:szCs w:val="24"/>
          </w:rPr>
          <w:id w:val="-1176577218"/>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htt15 \l 2057 </w:instrText>
          </w:r>
          <w:r w:rsidR="00A950AB">
            <w:rPr>
              <w:rFonts w:ascii="Arial" w:hAnsi="Arial" w:cs="Arial"/>
              <w:color w:val="252525"/>
              <w:sz w:val="24"/>
              <w:szCs w:val="24"/>
            </w:rPr>
            <w:fldChar w:fldCharType="separate"/>
          </w:r>
          <w:r w:rsidR="00A950AB">
            <w:rPr>
              <w:rFonts w:ascii="Arial" w:hAnsi="Arial" w:cs="Arial"/>
              <w:noProof/>
              <w:color w:val="252525"/>
              <w:sz w:val="24"/>
              <w:szCs w:val="24"/>
            </w:rPr>
            <w:t xml:space="preserve"> </w:t>
          </w:r>
          <w:r w:rsidR="00A950AB" w:rsidRPr="00A950AB">
            <w:rPr>
              <w:rFonts w:ascii="Arial" w:hAnsi="Arial" w:cs="Arial"/>
              <w:noProof/>
              <w:color w:val="252525"/>
              <w:sz w:val="24"/>
              <w:szCs w:val="24"/>
            </w:rPr>
            <w:lastRenderedPageBreak/>
            <w:t>(https://www.psychologytoday.com/gb/blog/the-athletes-way/201312/scientists-identify-why-girls-often-mature-faster-boys, n.d.)</w:t>
          </w:r>
          <w:r w:rsidR="00A950AB">
            <w:rPr>
              <w:rFonts w:ascii="Arial" w:hAnsi="Arial" w:cs="Arial"/>
              <w:color w:val="252525"/>
              <w:sz w:val="24"/>
              <w:szCs w:val="24"/>
            </w:rPr>
            <w:fldChar w:fldCharType="end"/>
          </w:r>
        </w:sdtContent>
      </w:sdt>
    </w:p>
    <w:p w:rsidR="00A950AB" w:rsidRDefault="00222D3A" w:rsidP="00EE3400">
      <w:pPr>
        <w:spacing w:line="480" w:lineRule="auto"/>
        <w:rPr>
          <w:rFonts w:ascii="Arial" w:hAnsi="Arial" w:cs="Arial"/>
          <w:color w:val="252525"/>
          <w:sz w:val="24"/>
          <w:szCs w:val="24"/>
        </w:rPr>
      </w:pPr>
      <w:sdt>
        <w:sdtPr>
          <w:rPr>
            <w:rFonts w:ascii="Arial" w:hAnsi="Arial" w:cs="Arial"/>
            <w:color w:val="252525"/>
            <w:sz w:val="24"/>
            <w:szCs w:val="24"/>
          </w:rPr>
          <w:id w:val="770594289"/>
          <w:citation/>
        </w:sdtPr>
        <w:sdtEndPr/>
        <w:sdtContent>
          <w:r w:rsidR="00A950AB">
            <w:rPr>
              <w:rFonts w:ascii="Arial" w:hAnsi="Arial" w:cs="Arial"/>
              <w:color w:val="252525"/>
              <w:sz w:val="24"/>
              <w:szCs w:val="24"/>
            </w:rPr>
            <w:fldChar w:fldCharType="begin"/>
          </w:r>
          <w:r w:rsidR="00A950AB">
            <w:rPr>
              <w:rFonts w:ascii="Arial" w:hAnsi="Arial" w:cs="Arial"/>
              <w:color w:val="252525"/>
              <w:sz w:val="24"/>
              <w:szCs w:val="24"/>
            </w:rPr>
            <w:instrText xml:space="preserve"> CITATION htt11 \l 2057 </w:instrText>
          </w:r>
          <w:r w:rsidR="00A950AB">
            <w:rPr>
              <w:rFonts w:ascii="Arial" w:hAnsi="Arial" w:cs="Arial"/>
              <w:color w:val="252525"/>
              <w:sz w:val="24"/>
              <w:szCs w:val="24"/>
            </w:rPr>
            <w:fldChar w:fldCharType="separate"/>
          </w:r>
          <w:r w:rsidR="00A950AB" w:rsidRPr="00573F1E">
            <w:rPr>
              <w:rFonts w:ascii="Arial" w:hAnsi="Arial" w:cs="Arial"/>
              <w:noProof/>
              <w:color w:val="252525"/>
              <w:sz w:val="24"/>
              <w:szCs w:val="24"/>
            </w:rPr>
            <w:t>(. https://whatworkswellbeing.org/blog/five-ways-to-wellbeing-in-the-uk/, n.d.)</w:t>
          </w:r>
          <w:r w:rsidR="00A950AB">
            <w:rPr>
              <w:rFonts w:ascii="Arial" w:hAnsi="Arial" w:cs="Arial"/>
              <w:color w:val="252525"/>
              <w:sz w:val="24"/>
              <w:szCs w:val="24"/>
            </w:rPr>
            <w:fldChar w:fldCharType="end"/>
          </w:r>
        </w:sdtContent>
      </w:sdt>
    </w:p>
    <w:p w:rsidR="00A950AB" w:rsidRPr="00EE3400" w:rsidRDefault="00A950AB" w:rsidP="00EE3400">
      <w:pPr>
        <w:spacing w:line="480" w:lineRule="auto"/>
        <w:rPr>
          <w:rFonts w:ascii="Arial" w:hAnsi="Arial" w:cs="Arial"/>
          <w:color w:val="252525"/>
          <w:sz w:val="24"/>
          <w:szCs w:val="24"/>
        </w:rPr>
      </w:pPr>
    </w:p>
    <w:p w:rsidR="00E52E51" w:rsidRPr="00EE3400" w:rsidRDefault="00E52E51" w:rsidP="00EE3400">
      <w:pPr>
        <w:spacing w:line="480" w:lineRule="auto"/>
        <w:rPr>
          <w:rFonts w:ascii="Arial" w:hAnsi="Arial" w:cs="Arial"/>
          <w:color w:val="252525"/>
          <w:sz w:val="24"/>
          <w:szCs w:val="24"/>
        </w:rPr>
      </w:pPr>
    </w:p>
    <w:p w:rsidR="000905C3" w:rsidRPr="00EE3400" w:rsidRDefault="000905C3" w:rsidP="00EE3400">
      <w:pPr>
        <w:spacing w:line="480" w:lineRule="auto"/>
        <w:rPr>
          <w:rFonts w:ascii="Arial" w:hAnsi="Arial" w:cs="Arial"/>
          <w:color w:val="252525"/>
          <w:sz w:val="24"/>
          <w:szCs w:val="24"/>
        </w:rPr>
      </w:pPr>
    </w:p>
    <w:p w:rsidR="006D02FC" w:rsidRPr="00EE3400" w:rsidRDefault="006D02FC" w:rsidP="00EE3400">
      <w:pPr>
        <w:spacing w:line="480" w:lineRule="auto"/>
        <w:rPr>
          <w:rFonts w:ascii="Arial" w:hAnsi="Arial" w:cs="Arial"/>
          <w:color w:val="252525"/>
          <w:sz w:val="24"/>
          <w:szCs w:val="24"/>
        </w:rPr>
      </w:pPr>
    </w:p>
    <w:p w:rsidR="00CE377B" w:rsidRPr="00841CEC" w:rsidRDefault="00CE377B" w:rsidP="00841CEC">
      <w:pPr>
        <w:spacing w:line="480" w:lineRule="auto"/>
        <w:jc w:val="both"/>
        <w:rPr>
          <w:rFonts w:ascii="NirmalaUISemilight" w:hAnsi="NirmalaUISemilight"/>
        </w:rPr>
      </w:pPr>
    </w:p>
    <w:sectPr w:rsidR="00CE377B" w:rsidRPr="00841C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NirmalaUISemiligh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67B"/>
    <w:rsid w:val="00063672"/>
    <w:rsid w:val="000905C3"/>
    <w:rsid w:val="000942B9"/>
    <w:rsid w:val="000E7C9D"/>
    <w:rsid w:val="0013141F"/>
    <w:rsid w:val="00146E6F"/>
    <w:rsid w:val="00162D4B"/>
    <w:rsid w:val="00172269"/>
    <w:rsid w:val="0017256E"/>
    <w:rsid w:val="00194904"/>
    <w:rsid w:val="00196E82"/>
    <w:rsid w:val="001A6E9E"/>
    <w:rsid w:val="001D72D7"/>
    <w:rsid w:val="00222D3A"/>
    <w:rsid w:val="00224E36"/>
    <w:rsid w:val="00246D3A"/>
    <w:rsid w:val="002907F1"/>
    <w:rsid w:val="00294745"/>
    <w:rsid w:val="0029669F"/>
    <w:rsid w:val="002C20DA"/>
    <w:rsid w:val="003030F4"/>
    <w:rsid w:val="00350C76"/>
    <w:rsid w:val="00361DAB"/>
    <w:rsid w:val="00375CA7"/>
    <w:rsid w:val="00387431"/>
    <w:rsid w:val="003D29D4"/>
    <w:rsid w:val="00424720"/>
    <w:rsid w:val="00436134"/>
    <w:rsid w:val="00442D92"/>
    <w:rsid w:val="00457F6D"/>
    <w:rsid w:val="004873B4"/>
    <w:rsid w:val="004A3BD2"/>
    <w:rsid w:val="004A565A"/>
    <w:rsid w:val="004B5804"/>
    <w:rsid w:val="004D34DF"/>
    <w:rsid w:val="004F2629"/>
    <w:rsid w:val="00534BFB"/>
    <w:rsid w:val="00541D2A"/>
    <w:rsid w:val="00550479"/>
    <w:rsid w:val="00573F1E"/>
    <w:rsid w:val="005D5BE0"/>
    <w:rsid w:val="005D62A2"/>
    <w:rsid w:val="005E1F6A"/>
    <w:rsid w:val="005E3F28"/>
    <w:rsid w:val="00625F3F"/>
    <w:rsid w:val="00645470"/>
    <w:rsid w:val="00665278"/>
    <w:rsid w:val="006B7311"/>
    <w:rsid w:val="006D02FC"/>
    <w:rsid w:val="007259C6"/>
    <w:rsid w:val="007512A4"/>
    <w:rsid w:val="00796910"/>
    <w:rsid w:val="007A32CA"/>
    <w:rsid w:val="007B6120"/>
    <w:rsid w:val="007C0282"/>
    <w:rsid w:val="00841CEC"/>
    <w:rsid w:val="00886A8A"/>
    <w:rsid w:val="008871D9"/>
    <w:rsid w:val="008D6EAF"/>
    <w:rsid w:val="008E367B"/>
    <w:rsid w:val="009129F7"/>
    <w:rsid w:val="009169BB"/>
    <w:rsid w:val="009519A9"/>
    <w:rsid w:val="009730C5"/>
    <w:rsid w:val="00983E0C"/>
    <w:rsid w:val="00A37C3F"/>
    <w:rsid w:val="00A950AB"/>
    <w:rsid w:val="00AB3D85"/>
    <w:rsid w:val="00AC7012"/>
    <w:rsid w:val="00AD20BA"/>
    <w:rsid w:val="00B102A4"/>
    <w:rsid w:val="00B15175"/>
    <w:rsid w:val="00B3071D"/>
    <w:rsid w:val="00B45ECD"/>
    <w:rsid w:val="00B8603C"/>
    <w:rsid w:val="00B90C2D"/>
    <w:rsid w:val="00B921AB"/>
    <w:rsid w:val="00BF5FD9"/>
    <w:rsid w:val="00C2169D"/>
    <w:rsid w:val="00C86AD5"/>
    <w:rsid w:val="00C92DEF"/>
    <w:rsid w:val="00CB36D5"/>
    <w:rsid w:val="00CC7FD9"/>
    <w:rsid w:val="00CE377B"/>
    <w:rsid w:val="00D05DC9"/>
    <w:rsid w:val="00D05E98"/>
    <w:rsid w:val="00D1497D"/>
    <w:rsid w:val="00D213B5"/>
    <w:rsid w:val="00D640DE"/>
    <w:rsid w:val="00DB790E"/>
    <w:rsid w:val="00DF4B93"/>
    <w:rsid w:val="00E03275"/>
    <w:rsid w:val="00E07756"/>
    <w:rsid w:val="00E21A7F"/>
    <w:rsid w:val="00E419EE"/>
    <w:rsid w:val="00E41A66"/>
    <w:rsid w:val="00E52E51"/>
    <w:rsid w:val="00E54689"/>
    <w:rsid w:val="00E7262B"/>
    <w:rsid w:val="00E90B2C"/>
    <w:rsid w:val="00E91872"/>
    <w:rsid w:val="00E91894"/>
    <w:rsid w:val="00EE3400"/>
    <w:rsid w:val="00F04120"/>
    <w:rsid w:val="00F276FD"/>
    <w:rsid w:val="00F818C4"/>
    <w:rsid w:val="00FC2DC6"/>
    <w:rsid w:val="00FF0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6BC44D"/>
  <w15:chartTrackingRefBased/>
  <w15:docId w15:val="{4F19776E-4A59-4FEF-BF20-5A07505E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5F3F"/>
    <w:rPr>
      <w:color w:val="0563C1" w:themeColor="hyperlink"/>
      <w:u w:val="single"/>
    </w:rPr>
  </w:style>
  <w:style w:type="character" w:customStyle="1" w:styleId="word1">
    <w:name w:val="word1"/>
    <w:basedOn w:val="DefaultParagraphFont"/>
    <w:rsid w:val="00DF4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5348">
      <w:bodyDiv w:val="1"/>
      <w:marLeft w:val="0"/>
      <w:marRight w:val="0"/>
      <w:marTop w:val="0"/>
      <w:marBottom w:val="0"/>
      <w:divBdr>
        <w:top w:val="none" w:sz="0" w:space="0" w:color="auto"/>
        <w:left w:val="none" w:sz="0" w:space="0" w:color="auto"/>
        <w:bottom w:val="none" w:sz="0" w:space="0" w:color="auto"/>
        <w:right w:val="none" w:sz="0" w:space="0" w:color="auto"/>
      </w:divBdr>
    </w:div>
    <w:div w:id="63571897">
      <w:bodyDiv w:val="1"/>
      <w:marLeft w:val="0"/>
      <w:marRight w:val="0"/>
      <w:marTop w:val="0"/>
      <w:marBottom w:val="0"/>
      <w:divBdr>
        <w:top w:val="none" w:sz="0" w:space="0" w:color="auto"/>
        <w:left w:val="none" w:sz="0" w:space="0" w:color="auto"/>
        <w:bottom w:val="none" w:sz="0" w:space="0" w:color="auto"/>
        <w:right w:val="none" w:sz="0" w:space="0" w:color="auto"/>
      </w:divBdr>
    </w:div>
    <w:div w:id="90053714">
      <w:bodyDiv w:val="1"/>
      <w:marLeft w:val="0"/>
      <w:marRight w:val="0"/>
      <w:marTop w:val="0"/>
      <w:marBottom w:val="0"/>
      <w:divBdr>
        <w:top w:val="none" w:sz="0" w:space="0" w:color="auto"/>
        <w:left w:val="none" w:sz="0" w:space="0" w:color="auto"/>
        <w:bottom w:val="none" w:sz="0" w:space="0" w:color="auto"/>
        <w:right w:val="none" w:sz="0" w:space="0" w:color="auto"/>
      </w:divBdr>
    </w:div>
    <w:div w:id="105582811">
      <w:bodyDiv w:val="1"/>
      <w:marLeft w:val="0"/>
      <w:marRight w:val="0"/>
      <w:marTop w:val="0"/>
      <w:marBottom w:val="0"/>
      <w:divBdr>
        <w:top w:val="none" w:sz="0" w:space="0" w:color="auto"/>
        <w:left w:val="none" w:sz="0" w:space="0" w:color="auto"/>
        <w:bottom w:val="none" w:sz="0" w:space="0" w:color="auto"/>
        <w:right w:val="none" w:sz="0" w:space="0" w:color="auto"/>
      </w:divBdr>
    </w:div>
    <w:div w:id="124465555">
      <w:bodyDiv w:val="1"/>
      <w:marLeft w:val="0"/>
      <w:marRight w:val="0"/>
      <w:marTop w:val="0"/>
      <w:marBottom w:val="0"/>
      <w:divBdr>
        <w:top w:val="none" w:sz="0" w:space="0" w:color="auto"/>
        <w:left w:val="none" w:sz="0" w:space="0" w:color="auto"/>
        <w:bottom w:val="none" w:sz="0" w:space="0" w:color="auto"/>
        <w:right w:val="none" w:sz="0" w:space="0" w:color="auto"/>
      </w:divBdr>
    </w:div>
    <w:div w:id="272591428">
      <w:bodyDiv w:val="1"/>
      <w:marLeft w:val="0"/>
      <w:marRight w:val="0"/>
      <w:marTop w:val="0"/>
      <w:marBottom w:val="0"/>
      <w:divBdr>
        <w:top w:val="none" w:sz="0" w:space="0" w:color="auto"/>
        <w:left w:val="none" w:sz="0" w:space="0" w:color="auto"/>
        <w:bottom w:val="none" w:sz="0" w:space="0" w:color="auto"/>
        <w:right w:val="none" w:sz="0" w:space="0" w:color="auto"/>
      </w:divBdr>
    </w:div>
    <w:div w:id="291908770">
      <w:bodyDiv w:val="1"/>
      <w:marLeft w:val="0"/>
      <w:marRight w:val="0"/>
      <w:marTop w:val="0"/>
      <w:marBottom w:val="0"/>
      <w:divBdr>
        <w:top w:val="none" w:sz="0" w:space="0" w:color="auto"/>
        <w:left w:val="none" w:sz="0" w:space="0" w:color="auto"/>
        <w:bottom w:val="none" w:sz="0" w:space="0" w:color="auto"/>
        <w:right w:val="none" w:sz="0" w:space="0" w:color="auto"/>
      </w:divBdr>
    </w:div>
    <w:div w:id="328366122">
      <w:bodyDiv w:val="1"/>
      <w:marLeft w:val="0"/>
      <w:marRight w:val="0"/>
      <w:marTop w:val="0"/>
      <w:marBottom w:val="0"/>
      <w:divBdr>
        <w:top w:val="none" w:sz="0" w:space="0" w:color="auto"/>
        <w:left w:val="none" w:sz="0" w:space="0" w:color="auto"/>
        <w:bottom w:val="none" w:sz="0" w:space="0" w:color="auto"/>
        <w:right w:val="none" w:sz="0" w:space="0" w:color="auto"/>
      </w:divBdr>
    </w:div>
    <w:div w:id="437801681">
      <w:bodyDiv w:val="1"/>
      <w:marLeft w:val="0"/>
      <w:marRight w:val="0"/>
      <w:marTop w:val="0"/>
      <w:marBottom w:val="0"/>
      <w:divBdr>
        <w:top w:val="none" w:sz="0" w:space="0" w:color="auto"/>
        <w:left w:val="none" w:sz="0" w:space="0" w:color="auto"/>
        <w:bottom w:val="none" w:sz="0" w:space="0" w:color="auto"/>
        <w:right w:val="none" w:sz="0" w:space="0" w:color="auto"/>
      </w:divBdr>
    </w:div>
    <w:div w:id="502664566">
      <w:bodyDiv w:val="1"/>
      <w:marLeft w:val="0"/>
      <w:marRight w:val="0"/>
      <w:marTop w:val="0"/>
      <w:marBottom w:val="0"/>
      <w:divBdr>
        <w:top w:val="none" w:sz="0" w:space="0" w:color="auto"/>
        <w:left w:val="none" w:sz="0" w:space="0" w:color="auto"/>
        <w:bottom w:val="none" w:sz="0" w:space="0" w:color="auto"/>
        <w:right w:val="none" w:sz="0" w:space="0" w:color="auto"/>
      </w:divBdr>
    </w:div>
    <w:div w:id="702247889">
      <w:bodyDiv w:val="1"/>
      <w:marLeft w:val="0"/>
      <w:marRight w:val="0"/>
      <w:marTop w:val="0"/>
      <w:marBottom w:val="0"/>
      <w:divBdr>
        <w:top w:val="none" w:sz="0" w:space="0" w:color="auto"/>
        <w:left w:val="none" w:sz="0" w:space="0" w:color="auto"/>
        <w:bottom w:val="none" w:sz="0" w:space="0" w:color="auto"/>
        <w:right w:val="none" w:sz="0" w:space="0" w:color="auto"/>
      </w:divBdr>
    </w:div>
    <w:div w:id="703485077">
      <w:bodyDiv w:val="1"/>
      <w:marLeft w:val="0"/>
      <w:marRight w:val="0"/>
      <w:marTop w:val="0"/>
      <w:marBottom w:val="0"/>
      <w:divBdr>
        <w:top w:val="none" w:sz="0" w:space="0" w:color="auto"/>
        <w:left w:val="none" w:sz="0" w:space="0" w:color="auto"/>
        <w:bottom w:val="none" w:sz="0" w:space="0" w:color="auto"/>
        <w:right w:val="none" w:sz="0" w:space="0" w:color="auto"/>
      </w:divBdr>
    </w:div>
    <w:div w:id="861672025">
      <w:bodyDiv w:val="1"/>
      <w:marLeft w:val="0"/>
      <w:marRight w:val="0"/>
      <w:marTop w:val="0"/>
      <w:marBottom w:val="0"/>
      <w:divBdr>
        <w:top w:val="none" w:sz="0" w:space="0" w:color="auto"/>
        <w:left w:val="none" w:sz="0" w:space="0" w:color="auto"/>
        <w:bottom w:val="none" w:sz="0" w:space="0" w:color="auto"/>
        <w:right w:val="none" w:sz="0" w:space="0" w:color="auto"/>
      </w:divBdr>
    </w:div>
    <w:div w:id="920454518">
      <w:bodyDiv w:val="1"/>
      <w:marLeft w:val="0"/>
      <w:marRight w:val="0"/>
      <w:marTop w:val="0"/>
      <w:marBottom w:val="0"/>
      <w:divBdr>
        <w:top w:val="none" w:sz="0" w:space="0" w:color="auto"/>
        <w:left w:val="none" w:sz="0" w:space="0" w:color="auto"/>
        <w:bottom w:val="none" w:sz="0" w:space="0" w:color="auto"/>
        <w:right w:val="none" w:sz="0" w:space="0" w:color="auto"/>
      </w:divBdr>
    </w:div>
    <w:div w:id="929510947">
      <w:bodyDiv w:val="1"/>
      <w:marLeft w:val="0"/>
      <w:marRight w:val="0"/>
      <w:marTop w:val="0"/>
      <w:marBottom w:val="0"/>
      <w:divBdr>
        <w:top w:val="none" w:sz="0" w:space="0" w:color="auto"/>
        <w:left w:val="none" w:sz="0" w:space="0" w:color="auto"/>
        <w:bottom w:val="none" w:sz="0" w:space="0" w:color="auto"/>
        <w:right w:val="none" w:sz="0" w:space="0" w:color="auto"/>
      </w:divBdr>
    </w:div>
    <w:div w:id="956181993">
      <w:bodyDiv w:val="1"/>
      <w:marLeft w:val="0"/>
      <w:marRight w:val="0"/>
      <w:marTop w:val="0"/>
      <w:marBottom w:val="0"/>
      <w:divBdr>
        <w:top w:val="none" w:sz="0" w:space="0" w:color="auto"/>
        <w:left w:val="none" w:sz="0" w:space="0" w:color="auto"/>
        <w:bottom w:val="none" w:sz="0" w:space="0" w:color="auto"/>
        <w:right w:val="none" w:sz="0" w:space="0" w:color="auto"/>
      </w:divBdr>
    </w:div>
    <w:div w:id="1004210699">
      <w:bodyDiv w:val="1"/>
      <w:marLeft w:val="0"/>
      <w:marRight w:val="0"/>
      <w:marTop w:val="0"/>
      <w:marBottom w:val="0"/>
      <w:divBdr>
        <w:top w:val="none" w:sz="0" w:space="0" w:color="auto"/>
        <w:left w:val="none" w:sz="0" w:space="0" w:color="auto"/>
        <w:bottom w:val="none" w:sz="0" w:space="0" w:color="auto"/>
        <w:right w:val="none" w:sz="0" w:space="0" w:color="auto"/>
      </w:divBdr>
    </w:div>
    <w:div w:id="1118991709">
      <w:bodyDiv w:val="1"/>
      <w:marLeft w:val="0"/>
      <w:marRight w:val="0"/>
      <w:marTop w:val="0"/>
      <w:marBottom w:val="0"/>
      <w:divBdr>
        <w:top w:val="none" w:sz="0" w:space="0" w:color="auto"/>
        <w:left w:val="none" w:sz="0" w:space="0" w:color="auto"/>
        <w:bottom w:val="none" w:sz="0" w:space="0" w:color="auto"/>
        <w:right w:val="none" w:sz="0" w:space="0" w:color="auto"/>
      </w:divBdr>
    </w:div>
    <w:div w:id="1296957629">
      <w:bodyDiv w:val="1"/>
      <w:marLeft w:val="0"/>
      <w:marRight w:val="0"/>
      <w:marTop w:val="0"/>
      <w:marBottom w:val="0"/>
      <w:divBdr>
        <w:top w:val="none" w:sz="0" w:space="0" w:color="auto"/>
        <w:left w:val="none" w:sz="0" w:space="0" w:color="auto"/>
        <w:bottom w:val="none" w:sz="0" w:space="0" w:color="auto"/>
        <w:right w:val="none" w:sz="0" w:space="0" w:color="auto"/>
      </w:divBdr>
    </w:div>
    <w:div w:id="1351030937">
      <w:bodyDiv w:val="1"/>
      <w:marLeft w:val="0"/>
      <w:marRight w:val="0"/>
      <w:marTop w:val="0"/>
      <w:marBottom w:val="0"/>
      <w:divBdr>
        <w:top w:val="none" w:sz="0" w:space="0" w:color="auto"/>
        <w:left w:val="none" w:sz="0" w:space="0" w:color="auto"/>
        <w:bottom w:val="none" w:sz="0" w:space="0" w:color="auto"/>
        <w:right w:val="none" w:sz="0" w:space="0" w:color="auto"/>
      </w:divBdr>
    </w:div>
    <w:div w:id="1597209063">
      <w:bodyDiv w:val="1"/>
      <w:marLeft w:val="0"/>
      <w:marRight w:val="0"/>
      <w:marTop w:val="0"/>
      <w:marBottom w:val="0"/>
      <w:divBdr>
        <w:top w:val="none" w:sz="0" w:space="0" w:color="auto"/>
        <w:left w:val="none" w:sz="0" w:space="0" w:color="auto"/>
        <w:bottom w:val="none" w:sz="0" w:space="0" w:color="auto"/>
        <w:right w:val="none" w:sz="0" w:space="0" w:color="auto"/>
      </w:divBdr>
    </w:div>
    <w:div w:id="1730837393">
      <w:bodyDiv w:val="1"/>
      <w:marLeft w:val="0"/>
      <w:marRight w:val="0"/>
      <w:marTop w:val="0"/>
      <w:marBottom w:val="0"/>
      <w:divBdr>
        <w:top w:val="none" w:sz="0" w:space="0" w:color="auto"/>
        <w:left w:val="none" w:sz="0" w:space="0" w:color="auto"/>
        <w:bottom w:val="none" w:sz="0" w:space="0" w:color="auto"/>
        <w:right w:val="none" w:sz="0" w:space="0" w:color="auto"/>
      </w:divBdr>
    </w:div>
    <w:div w:id="197375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eurekalert.org/pub_releases/2013-12/nu-bcm121913.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htt9</b:Tag>
    <b:SourceType>InternetSite</b:SourceType>
    <b:Guid>{12C48F8F-CA28-4C60-B9AD-28AFF0253D4D}</b:Guid>
    <b:Title>https://www.ncbi.nlm.nih.gov/pmc/articles/PMC5663018/ </b:Title>
    <b:RefOrder>1</b:RefOrder>
  </b:Source>
  <b:Source>
    <b:Tag>htt10</b:Tag>
    <b:SourceType>InternetSite</b:SourceType>
    <b:Guid>{ABEA3DDD-2EBF-4516-A21F-75F8A48F90E7}</b:Guid>
    <b:Title>. https://cognitiontoday.com/2019/05/biophilia-sensory-contact-with-nature-can-improve-your-overall-well-being-mental-health/</b:Title>
    <b:RefOrder>2</b:RefOrder>
  </b:Source>
  <b:Source>
    <b:Tag>htt11</b:Tag>
    <b:SourceType>InternetSite</b:SourceType>
    <b:Guid>{BAE33F92-C93D-4783-8085-F6EFFBB43FDD}</b:Guid>
    <b:InternetSiteTitle>.  https://whatworkswellbeing.org/blog/five-ways-to-wellbeing-in-the-uk/</b:InternetSiteTitle>
    <b:RefOrder>3</b:RefOrder>
  </b:Source>
  <b:Source>
    <b:Tag>htt12</b:Tag>
    <b:SourceType>InternetSite</b:SourceType>
    <b:Guid>{C0BF047D-9D90-4D61-B4BB-5F1FD6106EC0}</b:Guid>
    <b:Title>https://www.mind.org.uk/workplace/mental-health-at-work/taking-care-of-yourself/five-ways-to-wellbeing/ </b:Title>
    <b:RefOrder>4</b:RefOrder>
  </b:Source>
  <b:Source>
    <b:Tag>htt13</b:Tag>
    <b:SourceType>InternetSite</b:SourceType>
    <b:Guid>{162E77DD-6DB3-4E36-A6BB-3A6CCCFED366}</b:Guid>
    <b:Title>. https://www.pediatricnursing.org/article/S0882-5963(17)30185-9/fulltext</b:Title>
    <b:RefOrder>5</b:RefOrder>
  </b:Source>
  <b:Source>
    <b:Tag>htt14</b:Tag>
    <b:SourceType>InternetSite</b:SourceType>
    <b:Guid>{72BACF97-8248-455F-867C-EFAECB76DC40}</b:Guid>
    <b:Title>https://www.cdc.gov/ncbddd/childdevelopment/positiveparenting/middle2.html </b:Title>
    <b:RefOrder>6</b:RefOrder>
  </b:Source>
  <b:Source>
    <b:Tag>htt15</b:Tag>
    <b:SourceType>InternetSite</b:SourceType>
    <b:Guid>{1846F07A-D67D-4A93-BB28-A12136A6F68C}</b:Guid>
    <b:Author>
      <b:Author>
        <b:NameList>
          <b:Person>
            <b:Last>https://www.psychologytoday.com/gb/blog/the-athletes-way/201312/scientists-identify-why-girls-often-mature-faster-boys</b:Last>
          </b:Person>
        </b:NameList>
      </b:Author>
    </b:Author>
    <b:RefOrder>7</b:RefOrder>
  </b:Source>
  <b:Source>
    <b:Tag>htt16</b:Tag>
    <b:SourceType>InternetSite</b:SourceType>
    <b:Guid>{7117AAE3-66ED-4CD6-8464-2927118C4652}</b:Guid>
    <b:Title> https://www.wlga.wales/youth-service</b:Title>
    <b:RefOrder>8</b:RefOrder>
  </b:Source>
  <b:Source>
    <b:Tag>htt17</b:Tag>
    <b:SourceType>InternetSite</b:SourceType>
    <b:Guid>{FFBDF21E-B7B5-4541-9C22-62880291E137}</b:Guid>
    <b:Title>https://www.ukstandards.org.uk</b:Title>
    <b:RefOrder>9</b:RefOrder>
  </b:Source>
  <b:Source>
    <b:Tag>htt18</b:Tag>
    <b:SourceType>InternetSite</b:SourceType>
    <b:Guid>{CA81AF8D-F1C1-430C-B4C9-BCC321C60B43}</b:Guid>
    <b:Title>https://neweconomics.org/2011/07/five-ways-well-new-applications-new-ways-thinking</b:Title>
    <b:RefOrder>10</b:RefOrder>
  </b:Source>
  <b:Source>
    <b:Tag>htt19</b:Tag>
    <b:SourceType>InternetSite</b:SourceType>
    <b:Guid>{A2E82D82-A717-49BB-9E74-F3FF45914D0A}</b:Guid>
    <b:Title>https://warwick.ac.uk/fac/sci/med/research/platform/wemwbs/</b:Title>
    <b:RefOrder>11</b:RefOrder>
  </b:Source>
  <b:Source>
    <b:Tag>Placeholder1</b:Tag>
    <b:SourceType>InternetSite</b:SourceType>
    <b:Guid>{8F9747FD-9B31-4287-BA86-66181B2178B5}</b:Guid>
    <b:RefOrder>12</b:RefOrder>
  </b:Source>
</b:Sources>
</file>

<file path=customXml/itemProps1.xml><?xml version="1.0" encoding="utf-8"?>
<ds:datastoreItem xmlns:ds="http://schemas.openxmlformats.org/officeDocument/2006/customXml" ds:itemID="{8C6876A1-EEAC-42D9-AD1B-A32A24934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1630</TotalTime>
  <Pages>9</Pages>
  <Words>2417</Words>
  <Characters>13780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49</cp:revision>
  <dcterms:created xsi:type="dcterms:W3CDTF">2019-10-20T16:31:00Z</dcterms:created>
  <dcterms:modified xsi:type="dcterms:W3CDTF">2019-11-06T18:22:00Z</dcterms:modified>
</cp:coreProperties>
</file>