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Pr="006502E8" w:rsidRDefault="009F64C5">
      <w:pPr>
        <w:spacing w:after="158"/>
        <w:ind w:left="49"/>
        <w:jc w:val="center"/>
        <w:rPr>
          <w:rFonts w:ascii="Arial" w:hAnsi="Arial" w:cs="Arial"/>
        </w:rPr>
      </w:pPr>
      <w:r w:rsidRPr="006502E8">
        <w:rPr>
          <w:rFonts w:ascii="Arial" w:eastAsia="Calibri" w:hAnsi="Arial" w:cs="Arial"/>
        </w:rPr>
        <w:t xml:space="preserve"> </w:t>
      </w:r>
    </w:p>
    <w:p w14:paraId="6D3D663A" w14:textId="77777777" w:rsidR="009F64C5" w:rsidRPr="006502E8" w:rsidRDefault="009F64C5">
      <w:pPr>
        <w:ind w:left="49"/>
        <w:jc w:val="center"/>
        <w:rPr>
          <w:rFonts w:ascii="Arial" w:hAnsi="Arial" w:cs="Arial"/>
        </w:rPr>
      </w:pPr>
      <w:r w:rsidRPr="006502E8">
        <w:rPr>
          <w:rFonts w:ascii="Arial" w:eastAsia="Calibri" w:hAnsi="Arial" w:cs="Arial"/>
        </w:rPr>
        <w:t xml:space="preserve"> </w:t>
      </w:r>
    </w:p>
    <w:p w14:paraId="6787C14B" w14:textId="578E474B" w:rsidR="009F64C5" w:rsidRPr="006502E8" w:rsidRDefault="009F64C5">
      <w:pPr>
        <w:spacing w:after="158"/>
        <w:ind w:left="49"/>
        <w:jc w:val="center"/>
        <w:rPr>
          <w:rFonts w:ascii="Arial" w:hAnsi="Arial" w:cs="Arial"/>
        </w:rPr>
      </w:pPr>
      <w:r w:rsidRPr="006502E8">
        <w:rPr>
          <w:rFonts w:ascii="Arial" w:hAnsi="Arial" w:cs="Arial"/>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6502E8">
        <w:rPr>
          <w:rFonts w:ascii="Arial" w:eastAsia="Calibri" w:hAnsi="Arial" w:cs="Arial"/>
        </w:rPr>
        <w:t xml:space="preserve"> </w:t>
      </w:r>
    </w:p>
    <w:p w14:paraId="5E0F4EC2" w14:textId="77777777" w:rsidR="009F64C5" w:rsidRPr="006502E8" w:rsidRDefault="009F64C5">
      <w:pPr>
        <w:ind w:left="49"/>
        <w:jc w:val="center"/>
        <w:rPr>
          <w:rFonts w:ascii="Arial" w:hAnsi="Arial" w:cs="Arial"/>
        </w:rPr>
      </w:pPr>
      <w:r w:rsidRPr="006502E8">
        <w:rPr>
          <w:rFonts w:ascii="Arial" w:eastAsia="Calibri" w:hAnsi="Arial" w:cs="Arial"/>
        </w:rPr>
        <w:t xml:space="preserve"> </w:t>
      </w:r>
    </w:p>
    <w:p w14:paraId="0C4D53A1" w14:textId="77777777" w:rsidR="009F64C5" w:rsidRPr="006502E8" w:rsidRDefault="009F64C5">
      <w:pPr>
        <w:spacing w:after="287"/>
        <w:ind w:left="49"/>
        <w:jc w:val="center"/>
        <w:rPr>
          <w:rFonts w:ascii="Arial" w:hAnsi="Arial" w:cs="Arial"/>
        </w:rPr>
      </w:pPr>
      <w:r w:rsidRPr="006502E8">
        <w:rPr>
          <w:rFonts w:ascii="Arial" w:eastAsia="Calibri" w:hAnsi="Arial" w:cs="Arial"/>
        </w:rPr>
        <w:t xml:space="preserve"> </w:t>
      </w:r>
    </w:p>
    <w:p w14:paraId="5E1E2E05" w14:textId="45F4171A" w:rsidR="009F64C5" w:rsidRPr="006502E8" w:rsidRDefault="00D1326B">
      <w:pPr>
        <w:spacing w:after="42"/>
        <w:ind w:left="89"/>
        <w:jc w:val="center"/>
        <w:rPr>
          <w:rFonts w:ascii="Arial" w:hAnsi="Arial" w:cs="Arial"/>
          <w:b/>
          <w:bCs/>
          <w:sz w:val="32"/>
          <w:szCs w:val="32"/>
        </w:rPr>
      </w:pPr>
      <w:r w:rsidRPr="006502E8">
        <w:rPr>
          <w:rFonts w:ascii="Arial" w:hAnsi="Arial" w:cs="Arial"/>
          <w:b/>
          <w:bCs/>
          <w:sz w:val="32"/>
          <w:szCs w:val="32"/>
        </w:rPr>
        <w:t>THE IMPACT OF HOUSING QUALITY ON RESPIRATORY INFECTION IN THE UK: A MICROBIOLOGICAL, PUBLIC HEALTH, SOCIAL CARE APPROACH OF PREVENTION AND INTERVENTIONS</w:t>
      </w:r>
      <w:r w:rsidR="009F64C5" w:rsidRPr="006502E8">
        <w:rPr>
          <w:rFonts w:ascii="Arial" w:hAnsi="Arial" w:cs="Arial"/>
          <w:b/>
          <w:bCs/>
          <w:sz w:val="32"/>
          <w:szCs w:val="32"/>
        </w:rPr>
        <w:t xml:space="preserve"> </w:t>
      </w:r>
    </w:p>
    <w:p w14:paraId="6AB704E6" w14:textId="77777777" w:rsidR="00013A75" w:rsidRDefault="00013A75">
      <w:pPr>
        <w:spacing w:after="157"/>
        <w:ind w:left="2367" w:right="2358"/>
        <w:jc w:val="center"/>
        <w:rPr>
          <w:rFonts w:ascii="Arial" w:hAnsi="Arial" w:cs="Arial"/>
        </w:rPr>
      </w:pPr>
    </w:p>
    <w:p w14:paraId="67E9A37A" w14:textId="77777777" w:rsidR="00013A75" w:rsidRDefault="00013A75">
      <w:pPr>
        <w:spacing w:after="157"/>
        <w:ind w:left="2367" w:right="2358"/>
        <w:jc w:val="center"/>
        <w:rPr>
          <w:rFonts w:ascii="Arial" w:hAnsi="Arial" w:cs="Arial"/>
        </w:rPr>
      </w:pPr>
    </w:p>
    <w:p w14:paraId="75EA3561" w14:textId="09317988" w:rsidR="009F64C5" w:rsidRPr="006502E8" w:rsidRDefault="009F64C5" w:rsidP="00013A75">
      <w:pPr>
        <w:spacing w:after="157"/>
        <w:ind w:left="2367" w:right="2358"/>
        <w:jc w:val="center"/>
        <w:rPr>
          <w:rFonts w:ascii="Arial" w:hAnsi="Arial" w:cs="Arial"/>
        </w:rPr>
      </w:pPr>
      <w:r w:rsidRPr="006502E8">
        <w:rPr>
          <w:rFonts w:ascii="Arial" w:hAnsi="Arial" w:cs="Arial"/>
        </w:rPr>
        <w:t xml:space="preserve">by  </w:t>
      </w:r>
    </w:p>
    <w:p w14:paraId="350EB5D6" w14:textId="0A3BAFEB" w:rsidR="009F64C5" w:rsidRPr="006502E8" w:rsidRDefault="74D2DD77" w:rsidP="6DABBF6E">
      <w:pPr>
        <w:spacing w:after="157"/>
        <w:ind w:left="2367" w:right="2359"/>
        <w:jc w:val="center"/>
        <w:rPr>
          <w:rFonts w:ascii="Arial" w:hAnsi="Arial" w:cs="Arial"/>
          <w:b/>
          <w:bCs/>
        </w:rPr>
      </w:pPr>
      <w:r w:rsidRPr="006502E8">
        <w:rPr>
          <w:rFonts w:ascii="Arial" w:hAnsi="Arial" w:cs="Arial"/>
          <w:b/>
          <w:bCs/>
        </w:rPr>
        <w:t>Kajalben Patel</w:t>
      </w:r>
      <w:r w:rsidR="009F64C5" w:rsidRPr="006502E8">
        <w:rPr>
          <w:rFonts w:ascii="Arial" w:hAnsi="Arial" w:cs="Arial"/>
          <w:b/>
          <w:bCs/>
        </w:rPr>
        <w:t xml:space="preserve"> </w:t>
      </w:r>
    </w:p>
    <w:p w14:paraId="1062A64A" w14:textId="77777777" w:rsidR="009F64C5" w:rsidRPr="006502E8" w:rsidRDefault="009F64C5">
      <w:pPr>
        <w:spacing w:after="158"/>
        <w:ind w:left="59"/>
        <w:jc w:val="center"/>
        <w:rPr>
          <w:rFonts w:ascii="Arial" w:hAnsi="Arial" w:cs="Arial"/>
        </w:rPr>
      </w:pPr>
      <w:r w:rsidRPr="006502E8">
        <w:rPr>
          <w:rFonts w:ascii="Arial" w:hAnsi="Arial" w:cs="Arial"/>
        </w:rPr>
        <w:t xml:space="preserve"> </w:t>
      </w:r>
    </w:p>
    <w:p w14:paraId="33922CAA" w14:textId="77777777" w:rsidR="009F64C5" w:rsidRPr="006502E8" w:rsidRDefault="009F64C5">
      <w:pPr>
        <w:spacing w:after="156"/>
        <w:ind w:left="59"/>
        <w:jc w:val="center"/>
        <w:rPr>
          <w:rFonts w:ascii="Arial" w:hAnsi="Arial" w:cs="Arial"/>
        </w:rPr>
      </w:pPr>
      <w:r w:rsidRPr="006502E8">
        <w:rPr>
          <w:rFonts w:ascii="Arial" w:hAnsi="Arial" w:cs="Arial"/>
        </w:rPr>
        <w:t xml:space="preserve"> </w:t>
      </w:r>
    </w:p>
    <w:p w14:paraId="09C8500D" w14:textId="77777777" w:rsidR="009F64C5" w:rsidRPr="006502E8" w:rsidRDefault="009F64C5">
      <w:pPr>
        <w:spacing w:after="158"/>
        <w:ind w:left="59"/>
        <w:jc w:val="center"/>
        <w:rPr>
          <w:rFonts w:ascii="Arial" w:hAnsi="Arial" w:cs="Arial"/>
        </w:rPr>
      </w:pPr>
      <w:r w:rsidRPr="006502E8">
        <w:rPr>
          <w:rFonts w:ascii="Arial" w:hAnsi="Arial" w:cs="Arial"/>
        </w:rPr>
        <w:t xml:space="preserve"> </w:t>
      </w:r>
    </w:p>
    <w:p w14:paraId="64B3B17A" w14:textId="77777777" w:rsidR="009F64C5" w:rsidRPr="006502E8" w:rsidRDefault="009F64C5">
      <w:pPr>
        <w:spacing w:after="158"/>
        <w:ind w:left="59"/>
        <w:jc w:val="center"/>
        <w:rPr>
          <w:rFonts w:ascii="Arial" w:hAnsi="Arial" w:cs="Arial"/>
        </w:rPr>
      </w:pPr>
      <w:r w:rsidRPr="006502E8">
        <w:rPr>
          <w:rFonts w:ascii="Arial" w:hAnsi="Arial" w:cs="Arial"/>
        </w:rPr>
        <w:t xml:space="preserve"> </w:t>
      </w:r>
    </w:p>
    <w:p w14:paraId="5CAC7C58" w14:textId="77777777" w:rsidR="009F64C5" w:rsidRPr="006502E8" w:rsidRDefault="009F64C5">
      <w:pPr>
        <w:spacing w:after="158"/>
        <w:ind w:left="59"/>
        <w:jc w:val="center"/>
        <w:rPr>
          <w:rFonts w:ascii="Arial" w:hAnsi="Arial" w:cs="Arial"/>
        </w:rPr>
      </w:pPr>
      <w:r w:rsidRPr="006502E8">
        <w:rPr>
          <w:rFonts w:ascii="Arial" w:hAnsi="Arial" w:cs="Arial"/>
        </w:rPr>
        <w:t xml:space="preserve"> </w:t>
      </w:r>
    </w:p>
    <w:p w14:paraId="75DE2693" w14:textId="713CCC3C" w:rsidR="009F64C5" w:rsidRPr="006502E8" w:rsidRDefault="009F64C5" w:rsidP="009F64C5">
      <w:pPr>
        <w:spacing w:after="156"/>
        <w:ind w:left="59"/>
        <w:jc w:val="center"/>
        <w:rPr>
          <w:rFonts w:ascii="Arial" w:hAnsi="Arial" w:cs="Arial"/>
          <w:sz w:val="24"/>
          <w:szCs w:val="24"/>
        </w:rPr>
      </w:pPr>
      <w:r w:rsidRPr="006502E8">
        <w:rPr>
          <w:rFonts w:ascii="Arial" w:hAnsi="Arial" w:cs="Arial"/>
          <w:sz w:val="24"/>
          <w:szCs w:val="24"/>
        </w:rPr>
        <w:t>A Dissertation submitted in partial fulfilment of the requirements for the degree of Masters of Science in Public Health and Social Care in Practice</w:t>
      </w:r>
    </w:p>
    <w:p w14:paraId="2678540A" w14:textId="77777777" w:rsidR="009F64C5" w:rsidRPr="006502E8" w:rsidRDefault="009F64C5" w:rsidP="009F64C5">
      <w:pPr>
        <w:spacing w:after="156"/>
        <w:ind w:left="59"/>
        <w:rPr>
          <w:rFonts w:ascii="Arial" w:hAnsi="Arial" w:cs="Arial"/>
        </w:rPr>
      </w:pPr>
    </w:p>
    <w:p w14:paraId="6B1630CF" w14:textId="77777777" w:rsidR="009F64C5" w:rsidRPr="006502E8" w:rsidRDefault="009F64C5" w:rsidP="009F64C5">
      <w:pPr>
        <w:spacing w:after="169"/>
        <w:jc w:val="center"/>
        <w:rPr>
          <w:rFonts w:ascii="Arial" w:hAnsi="Arial" w:cs="Arial"/>
          <w:b/>
          <w:bCs/>
        </w:rPr>
      </w:pPr>
    </w:p>
    <w:p w14:paraId="48468714" w14:textId="77777777" w:rsidR="009F64C5" w:rsidRPr="006502E8" w:rsidRDefault="009F64C5" w:rsidP="009F64C5">
      <w:pPr>
        <w:spacing w:after="169"/>
        <w:jc w:val="center"/>
        <w:rPr>
          <w:rFonts w:ascii="Arial" w:hAnsi="Arial" w:cs="Arial"/>
          <w:b/>
          <w:bCs/>
        </w:rPr>
      </w:pPr>
    </w:p>
    <w:p w14:paraId="7C5AA9DE" w14:textId="3566044E" w:rsidR="009F64C5" w:rsidRPr="006502E8" w:rsidRDefault="34630932" w:rsidP="009F64C5">
      <w:pPr>
        <w:spacing w:after="169"/>
        <w:jc w:val="center"/>
        <w:rPr>
          <w:rFonts w:ascii="Arial" w:hAnsi="Arial" w:cs="Arial"/>
          <w:b/>
          <w:bCs/>
          <w:sz w:val="24"/>
          <w:szCs w:val="24"/>
        </w:rPr>
      </w:pPr>
      <w:r w:rsidRPr="006502E8">
        <w:rPr>
          <w:rFonts w:ascii="Arial" w:hAnsi="Arial" w:cs="Arial"/>
          <w:b/>
          <w:bCs/>
          <w:sz w:val="24"/>
          <w:szCs w:val="24"/>
        </w:rPr>
        <w:t>T</w:t>
      </w:r>
      <w:r w:rsidR="009F64C5" w:rsidRPr="006502E8">
        <w:rPr>
          <w:rFonts w:ascii="Arial" w:hAnsi="Arial" w:cs="Arial"/>
          <w:b/>
          <w:bCs/>
          <w:sz w:val="24"/>
          <w:szCs w:val="24"/>
        </w:rPr>
        <w:t>he Institute of Inner</w:t>
      </w:r>
      <w:r w:rsidR="4EFAA9D8" w:rsidRPr="006502E8">
        <w:rPr>
          <w:rFonts w:ascii="Arial" w:hAnsi="Arial" w:cs="Arial"/>
          <w:b/>
          <w:bCs/>
          <w:sz w:val="24"/>
          <w:szCs w:val="24"/>
        </w:rPr>
        <w:t>-</w:t>
      </w:r>
      <w:r w:rsidR="009F64C5" w:rsidRPr="006502E8">
        <w:rPr>
          <w:rFonts w:ascii="Arial" w:hAnsi="Arial" w:cs="Arial"/>
          <w:b/>
          <w:bCs/>
          <w:sz w:val="24"/>
          <w:szCs w:val="24"/>
        </w:rPr>
        <w:t>City Learning</w:t>
      </w:r>
    </w:p>
    <w:p w14:paraId="0A089F1E" w14:textId="7EF44560" w:rsidR="009F64C5" w:rsidRPr="006502E8" w:rsidRDefault="009F64C5" w:rsidP="009F64C5">
      <w:pPr>
        <w:spacing w:after="169"/>
        <w:jc w:val="center"/>
        <w:rPr>
          <w:rFonts w:ascii="Arial" w:hAnsi="Arial" w:cs="Arial"/>
          <w:b/>
          <w:bCs/>
          <w:sz w:val="24"/>
          <w:szCs w:val="24"/>
        </w:rPr>
      </w:pPr>
      <w:r w:rsidRPr="006502E8">
        <w:rPr>
          <w:rFonts w:ascii="Arial" w:hAnsi="Arial" w:cs="Arial"/>
          <w:b/>
          <w:bCs/>
          <w:sz w:val="24"/>
          <w:szCs w:val="24"/>
        </w:rPr>
        <w:t>University of Wales Trinity Saint David – London Campus</w:t>
      </w:r>
    </w:p>
    <w:p w14:paraId="4C4866B4" w14:textId="77777777" w:rsidR="009F64C5" w:rsidRPr="006502E8" w:rsidRDefault="009F64C5">
      <w:pPr>
        <w:spacing w:after="157"/>
        <w:ind w:left="2367" w:right="2357"/>
        <w:jc w:val="center"/>
        <w:rPr>
          <w:rFonts w:ascii="Arial" w:hAnsi="Arial" w:cs="Arial"/>
          <w:b/>
          <w:bCs/>
          <w:sz w:val="24"/>
          <w:szCs w:val="24"/>
        </w:rPr>
      </w:pPr>
    </w:p>
    <w:p w14:paraId="52A3D603" w14:textId="77777777" w:rsidR="009F64C5" w:rsidRPr="006502E8" w:rsidRDefault="009F64C5">
      <w:pPr>
        <w:spacing w:after="157"/>
        <w:ind w:left="2367" w:right="2357"/>
        <w:jc w:val="center"/>
        <w:rPr>
          <w:rFonts w:ascii="Arial" w:hAnsi="Arial" w:cs="Arial"/>
          <w:b/>
          <w:bCs/>
          <w:sz w:val="24"/>
          <w:szCs w:val="24"/>
        </w:rPr>
      </w:pPr>
    </w:p>
    <w:p w14:paraId="5D8C4E6F" w14:textId="1B7357B4" w:rsidR="00113366" w:rsidRPr="006502E8" w:rsidRDefault="00465812">
      <w:pPr>
        <w:spacing w:after="157"/>
        <w:ind w:left="2367" w:right="2357"/>
        <w:jc w:val="center"/>
        <w:rPr>
          <w:rFonts w:ascii="Arial" w:hAnsi="Arial" w:cs="Arial"/>
          <w:b/>
          <w:bCs/>
          <w:sz w:val="24"/>
          <w:szCs w:val="24"/>
        </w:rPr>
      </w:pPr>
      <w:r w:rsidRPr="00954313">
        <w:rPr>
          <w:rFonts w:ascii="Arial" w:hAnsi="Arial" w:cs="Arial"/>
          <w:b/>
          <w:bCs/>
          <w:sz w:val="24"/>
          <w:szCs w:val="24"/>
          <w:highlight w:val="yellow"/>
        </w:rPr>
        <w:t>Februar</w:t>
      </w:r>
      <w:r w:rsidRPr="006502E8">
        <w:rPr>
          <w:rFonts w:ascii="Arial" w:hAnsi="Arial" w:cs="Arial"/>
          <w:b/>
          <w:bCs/>
          <w:sz w:val="24"/>
          <w:szCs w:val="24"/>
        </w:rPr>
        <w:t xml:space="preserve">y </w:t>
      </w:r>
      <w:r w:rsidR="724787AC" w:rsidRPr="006502E8">
        <w:rPr>
          <w:rFonts w:ascii="Arial" w:hAnsi="Arial" w:cs="Arial"/>
          <w:b/>
          <w:bCs/>
          <w:sz w:val="24"/>
          <w:szCs w:val="24"/>
        </w:rPr>
        <w:t>2026</w:t>
      </w:r>
    </w:p>
    <w:p w14:paraId="46C7FCCD" w14:textId="77777777" w:rsidR="00113366" w:rsidRPr="006502E8" w:rsidRDefault="00113366">
      <w:pPr>
        <w:rPr>
          <w:rFonts w:ascii="Arial" w:hAnsi="Arial" w:cs="Arial"/>
          <w:b/>
          <w:bCs/>
        </w:rPr>
      </w:pPr>
      <w:r w:rsidRPr="006502E8">
        <w:rPr>
          <w:rFonts w:ascii="Arial" w:hAnsi="Arial" w:cs="Arial"/>
          <w:b/>
          <w:bCs/>
        </w:rPr>
        <w:br w:type="page"/>
      </w:r>
    </w:p>
    <w:p w14:paraId="2E9B29DF" w14:textId="22AB7FC1" w:rsidR="00113366" w:rsidRPr="006502E8" w:rsidRDefault="00113366" w:rsidP="00CA57E9">
      <w:pPr>
        <w:spacing w:after="200" w:line="276" w:lineRule="auto"/>
        <w:jc w:val="center"/>
        <w:rPr>
          <w:rFonts w:ascii="Arial" w:eastAsia="Times New Roman" w:hAnsi="Arial" w:cs="Arial"/>
          <w:b/>
          <w:bCs/>
          <w:sz w:val="24"/>
          <w:szCs w:val="24"/>
          <w:lang w:val="hr-HR"/>
        </w:rPr>
      </w:pPr>
      <w:r w:rsidRPr="006502E8">
        <w:rPr>
          <w:rFonts w:ascii="Arial" w:eastAsia="Times New Roman" w:hAnsi="Arial" w:cs="Arial"/>
          <w:b/>
          <w:bCs/>
          <w:sz w:val="24"/>
          <w:szCs w:val="24"/>
          <w:lang w:val="hr-HR"/>
        </w:rPr>
        <w:lastRenderedPageBreak/>
        <w:t>DECLARATION</w:t>
      </w:r>
    </w:p>
    <w:p w14:paraId="46A549CB" w14:textId="52263BC1" w:rsidR="00113366" w:rsidRPr="006502E8" w:rsidRDefault="00113366" w:rsidP="00CA57E9">
      <w:pPr>
        <w:spacing w:after="200" w:line="360" w:lineRule="auto"/>
        <w:jc w:val="both"/>
        <w:rPr>
          <w:rFonts w:ascii="Arial" w:eastAsia="Times New Roman" w:hAnsi="Arial" w:cs="Arial"/>
          <w:sz w:val="24"/>
          <w:szCs w:val="24"/>
          <w:lang w:val="hr-HR"/>
        </w:rPr>
      </w:pPr>
      <w:r w:rsidRPr="006502E8">
        <w:rPr>
          <w:rFonts w:ascii="Arial" w:hAnsi="Arial" w:cs="Arial"/>
          <w:noProof/>
        </w:rPr>
        <mc:AlternateContent>
          <mc:Choice Requires="wpi">
            <w:drawing>
              <wp:anchor distT="0" distB="0" distL="114300" distR="114300" simplePos="0" relativeHeight="251658240"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8587703">
              <v:shapetype id="_x0000_t75" coordsize="21600,21600" filled="f" stroked="f" o:spt="75" o:preferrelative="t" path="m@4@5l@4@11@9@11@9@5xe" w14:anchorId="665027F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6"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CgKSHbjAAAADQEAAA8AAABkcnMvZG93bnJldi54&#10;bWxMj01OwzAQRvdI3MEaJDYodZpCFUKcCiGxoJQiAgdw42mSEo+j2G1TTs90Bbv5efrmTb4YbScO&#10;OPjWkYLpJAaBVDnTUq3g6/M5SkH4oMnozhEqOKGHRXF5kevMuCN94KEMteAQ8plW0ITQZ1L6qkGr&#10;/cT1SLzbusHqwO1QSzPoI4fbTiZxPJdWt8QXGt3jU4PVd7m3Cl6TXblcv5yWK1y/35y26Vv7szNK&#10;XV+Njw8gAo7hD4azPqtDwU4btyfjRacgmiVpwuy5ursFwUg0TWc82jAc389BFrn8/0Xx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KApIduMA&#10;AAANAQAADwAAAAAAAAAAAAAAAAARBgAAZHJzL2Rvd25yZXYueG1sUEsBAi0AFAAGAAgAAAAhAHkY&#10;vJ2/AAAAIQEAABkAAAAAAAAAAAAAAAAAIQcAAGRycy9fcmVscy9lMm9Eb2MueG1sLnJlbHNQSwUG&#10;AAAAAAYABgB4AQAAFwgAAAAA&#10;">
                <v:imagedata o:title="" r:id="rId13"/>
                <o:lock v:ext="edit" rotation="t" verticies="t" shapetype="t"/>
              </v:shape>
            </w:pict>
          </mc:Fallback>
        </mc:AlternateContent>
      </w:r>
      <w:r w:rsidRPr="006502E8">
        <w:rPr>
          <w:rFonts w:ascii="Arial" w:hAnsi="Arial" w:cs="Arial"/>
          <w:noProof/>
        </w:rPr>
        <mc:AlternateContent>
          <mc:Choice Requires="wpi">
            <w:drawing>
              <wp:anchor distT="0" distB="0" distL="114300" distR="114300" simplePos="0" relativeHeight="251658241"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696EA42">
              <v:shape id="Ink 1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" w14:anchorId="253C97BC">
                <v:imagedata o:title="" r:id="rId13"/>
                <o:lock v:ext="edit" rotation="t" verticies="t" shapetype="t"/>
              </v:shape>
            </w:pict>
          </mc:Fallback>
        </mc:AlternateContent>
      </w:r>
      <w:r w:rsidRPr="006502E8">
        <w:rPr>
          <w:rFonts w:ascii="Arial" w:hAnsi="Arial" w:cs="Arial"/>
          <w:noProof/>
        </w:rPr>
        <mc:AlternateContent>
          <mc:Choice Requires="wpi">
            <w:drawing>
              <wp:anchor distT="0" distB="0" distL="114300" distR="114300" simplePos="0" relativeHeight="25165824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9662B3F">
              <v:shape id="Ink 14"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Ixqtw3jAAAADQEAAA8AAABkcnMvZG93bnJldi54&#10;bWxMj8FOwzAQRO9I/IO1SFxQ6sSRUJTGqRASBwq0IvABbrxN0sZ2FLttwtezPcFtd+dpdqZYTaZn&#10;Zxx956yEZBEDQ1s73dlGwvfXS5QB80FZrXpnUcKMHlbl7U2hcu0u9hPPVWgYmVifKwltCEPOua9b&#10;NMov3ICWtL0bjQq0jg3Xo7qQuem5iONHblRn6UOrBnxusT5WJyPhTRyq9eZ1Xr/jZvsw77OP7ueg&#10;pby/m56WwAJO4Q+Ga3yKDiVl2rmT1Z71EqJUZILY65RSCUKiJEvptCM4SQTwsuD/W5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jGq3DeMA&#10;AAANAQAADwAAAAAAAAAAAAAAAAARBgAAZHJzL2Rvd25yZXYueG1sUEsBAi0AFAAGAAgAAAAhAHkY&#10;vJ2/AAAAIQEAABkAAAAAAAAAAAAAAAAAIQcAAGRycy9fcmVscy9lMm9Eb2MueG1sLnJlbHNQSwUG&#10;AAAAAAYABgB4AQAAFwgAAAAA&#10;" w14:anchorId="5680CE78">
                <v:imagedata o:title="" r:id="rId13"/>
                <o:lock v:ext="edit" rotation="t" verticies="t" shapetype="t"/>
              </v:shape>
            </w:pict>
          </mc:Fallback>
        </mc:AlternateContent>
      </w:r>
      <w:r w:rsidRPr="006502E8">
        <w:rPr>
          <w:rFonts w:ascii="Arial" w:hAnsi="Arial" w:cs="Arial"/>
          <w:noProof/>
        </w:rPr>
        <mc:AlternateContent>
          <mc:Choice Requires="wpi">
            <w:drawing>
              <wp:anchor distT="0" distB="0" distL="114300" distR="114300" simplePos="0" relativeHeight="251658243"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38135702">
              <v:shape id="Ink 11"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D1IAft4QAAAA0B&#10;AAAPAAAAAAAAAAAAAAAAAA8GAABkcnMvZG93bnJldi54bWxQSwECLQAUAAYACAAAACEAeRi8nb8A&#10;AAAhAQAAGQAAAAAAAAAAAAAAAAAdBwAAZHJzL19yZWxzL2Uyb0RvYy54bWwucmVsc1BLBQYAAAAA&#10;BgAGAHgBAAATCAAAAAA=&#10;" w14:anchorId="60C55C8D">
                <v:imagedata o:title="" r:id="rId17"/>
                <o:lock v:ext="edit" rotation="t" verticies="t" shapetype="t"/>
              </v:shape>
            </w:pict>
          </mc:Fallback>
        </mc:AlternateContent>
      </w:r>
      <w:r w:rsidR="008A73BC" w:rsidRPr="006502E8">
        <w:rPr>
          <w:rFonts w:ascii="Arial" w:eastAsia="Times New Roman" w:hAnsi="Arial" w:cs="Arial"/>
          <w:sz w:val="24"/>
          <w:szCs w:val="24"/>
          <w:lang w:val="hr-HR"/>
        </w:rPr>
        <w:t xml:space="preserve">I, </w:t>
      </w:r>
      <w:r w:rsidR="0EA4E4CC" w:rsidRPr="006502E8">
        <w:rPr>
          <w:rFonts w:ascii="Arial" w:eastAsia="Times New Roman" w:hAnsi="Arial" w:cs="Arial"/>
          <w:sz w:val="24"/>
          <w:szCs w:val="24"/>
          <w:lang w:val="hr-HR"/>
        </w:rPr>
        <w:t>Kajalben Patel</w:t>
      </w:r>
      <w:r w:rsidR="008A73BC" w:rsidRPr="006502E8">
        <w:rPr>
          <w:rFonts w:ascii="Arial" w:eastAsia="Times New Roman" w:hAnsi="Arial" w:cs="Arial"/>
          <w:sz w:val="24"/>
          <w:szCs w:val="24"/>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6502E8">
        <w:rPr>
          <w:rFonts w:ascii="Arial" w:eastAsia="Times New Roman" w:hAnsi="Arial" w:cs="Arial"/>
          <w:sz w:val="24"/>
          <w:szCs w:val="24"/>
          <w:lang w:val="hr-HR"/>
        </w:rPr>
        <w:t>.</w:t>
      </w:r>
    </w:p>
    <w:p w14:paraId="5E2BD27D" w14:textId="77777777" w:rsidR="00113366" w:rsidRPr="006502E8" w:rsidRDefault="00113366" w:rsidP="00113366">
      <w:pPr>
        <w:spacing w:after="200" w:line="276" w:lineRule="auto"/>
        <w:rPr>
          <w:rFonts w:ascii="Arial" w:eastAsia="Times New Roman" w:hAnsi="Arial" w:cs="Arial"/>
          <w:sz w:val="24"/>
          <w:szCs w:val="24"/>
          <w:lang w:val="hr-HR"/>
        </w:rPr>
      </w:pPr>
    </w:p>
    <w:p w14:paraId="5236DF40" w14:textId="5FC63487" w:rsidR="00113366" w:rsidRPr="006502E8" w:rsidRDefault="00113366" w:rsidP="00113366">
      <w:pPr>
        <w:spacing w:after="200" w:line="276" w:lineRule="auto"/>
        <w:rPr>
          <w:rFonts w:ascii="Arial" w:eastAsia="Times New Roman" w:hAnsi="Arial" w:cs="Arial"/>
          <w:sz w:val="24"/>
          <w:szCs w:val="24"/>
          <w:lang w:val="hr-HR"/>
        </w:rPr>
      </w:pPr>
      <w:r w:rsidRPr="006502E8">
        <w:rPr>
          <w:rFonts w:ascii="Arial" w:eastAsia="Times New Roman" w:hAnsi="Arial" w:cs="Arial"/>
          <w:sz w:val="24"/>
          <w:szCs w:val="24"/>
          <w:lang w:val="hr-HR"/>
        </w:rPr>
        <w:t>Signed</w:t>
      </w:r>
      <w:r w:rsidR="008A73BC" w:rsidRPr="006502E8">
        <w:rPr>
          <w:rFonts w:ascii="Arial" w:eastAsia="Times New Roman" w:hAnsi="Arial" w:cs="Arial"/>
          <w:sz w:val="24"/>
          <w:szCs w:val="24"/>
          <w:lang w:val="hr-HR"/>
        </w:rPr>
        <w:t>:</w:t>
      </w:r>
      <w:r w:rsidRPr="006502E8">
        <w:rPr>
          <w:rFonts w:ascii="Arial" w:eastAsia="Times New Roman" w:hAnsi="Arial" w:cs="Arial"/>
          <w:sz w:val="24"/>
          <w:szCs w:val="24"/>
          <w:lang w:val="hr-HR"/>
        </w:rPr>
        <w:t>………………………………………………</w:t>
      </w:r>
    </w:p>
    <w:p w14:paraId="1E1F6BED" w14:textId="77777777" w:rsidR="00113366" w:rsidRPr="006502E8" w:rsidRDefault="00113366" w:rsidP="00113366">
      <w:pPr>
        <w:spacing w:after="200" w:line="276" w:lineRule="auto"/>
        <w:rPr>
          <w:rFonts w:ascii="Arial" w:eastAsia="Times New Roman" w:hAnsi="Arial" w:cs="Arial"/>
          <w:sz w:val="24"/>
          <w:szCs w:val="24"/>
          <w:lang w:val="hr-HR"/>
        </w:rPr>
      </w:pPr>
    </w:p>
    <w:p w14:paraId="367C1620" w14:textId="2F230C5E" w:rsidR="00113366" w:rsidRPr="006502E8" w:rsidRDefault="00113366" w:rsidP="00113366">
      <w:pPr>
        <w:spacing w:after="200" w:line="276" w:lineRule="auto"/>
        <w:rPr>
          <w:rFonts w:ascii="Arial" w:eastAsia="Times New Roman" w:hAnsi="Arial" w:cs="Arial"/>
          <w:sz w:val="24"/>
          <w:szCs w:val="24"/>
          <w:lang w:val="hr-HR"/>
        </w:rPr>
      </w:pPr>
      <w:r w:rsidRPr="006502E8">
        <w:rPr>
          <w:rFonts w:ascii="Arial" w:eastAsia="Times New Roman" w:hAnsi="Arial" w:cs="Arial"/>
          <w:sz w:val="24"/>
          <w:szCs w:val="24"/>
          <w:lang w:val="hr-HR"/>
        </w:rPr>
        <w:t>Date:</w:t>
      </w:r>
      <w:r w:rsidR="008A73BC" w:rsidRPr="006502E8">
        <w:rPr>
          <w:rFonts w:ascii="Arial" w:eastAsia="Times New Roman" w:hAnsi="Arial" w:cs="Arial"/>
          <w:sz w:val="24"/>
          <w:szCs w:val="24"/>
          <w:lang w:val="hr-HR"/>
        </w:rPr>
        <w:t>...………………………………………………</w:t>
      </w:r>
    </w:p>
    <w:p w14:paraId="2C702A82" w14:textId="77777777" w:rsidR="009F64C5" w:rsidRPr="006502E8" w:rsidRDefault="009F64C5" w:rsidP="00113366">
      <w:pPr>
        <w:spacing w:after="157"/>
        <w:ind w:right="2357"/>
        <w:rPr>
          <w:rFonts w:ascii="Arial" w:hAnsi="Arial" w:cs="Arial"/>
          <w:b/>
          <w:bCs/>
        </w:rPr>
      </w:pPr>
    </w:p>
    <w:p w14:paraId="6AA9D53C" w14:textId="77777777" w:rsidR="009F64C5" w:rsidRPr="006502E8" w:rsidRDefault="009F64C5">
      <w:pPr>
        <w:spacing w:after="0"/>
        <w:rPr>
          <w:rFonts w:ascii="Arial" w:hAnsi="Arial" w:cs="Arial"/>
        </w:rPr>
      </w:pPr>
      <w:r w:rsidRPr="006502E8">
        <w:rPr>
          <w:rFonts w:ascii="Arial" w:hAnsi="Arial" w:cs="Arial"/>
        </w:rPr>
        <w:t xml:space="preserve"> </w:t>
      </w:r>
      <w:r w:rsidRPr="006502E8">
        <w:rPr>
          <w:rFonts w:ascii="Arial" w:hAnsi="Arial" w:cs="Arial"/>
        </w:rPr>
        <w:tab/>
        <w:t xml:space="preserve"> </w:t>
      </w:r>
    </w:p>
    <w:p w14:paraId="02286F32" w14:textId="77777777" w:rsidR="009F64C5" w:rsidRPr="006502E8" w:rsidRDefault="009F64C5">
      <w:pPr>
        <w:rPr>
          <w:rFonts w:ascii="Arial" w:eastAsia="Times New Roman" w:hAnsi="Arial" w:cs="Arial"/>
          <w:b/>
          <w:sz w:val="24"/>
        </w:rPr>
      </w:pPr>
      <w:r w:rsidRPr="006502E8">
        <w:rPr>
          <w:rFonts w:ascii="Arial" w:hAnsi="Arial" w:cs="Arial"/>
        </w:rPr>
        <w:br w:type="page"/>
      </w:r>
    </w:p>
    <w:p w14:paraId="3DF0875E" w14:textId="61F6BC68" w:rsidR="009F64C5" w:rsidRPr="006502E8" w:rsidRDefault="009F64C5" w:rsidP="00CA57E9">
      <w:pPr>
        <w:pStyle w:val="Heading2"/>
        <w:jc w:val="center"/>
      </w:pPr>
      <w:bookmarkStart w:id="0" w:name="_Toc218184487"/>
      <w:r w:rsidRPr="006502E8">
        <w:t>Acknowledgements</w:t>
      </w:r>
      <w:bookmarkEnd w:id="0"/>
    </w:p>
    <w:p w14:paraId="6DD7150D" w14:textId="235D78DF" w:rsidR="009F64C5" w:rsidRPr="006502E8" w:rsidRDefault="00CA57E9" w:rsidP="00CA57E9">
      <w:pPr>
        <w:spacing w:after="169" w:line="360" w:lineRule="auto"/>
        <w:jc w:val="both"/>
        <w:rPr>
          <w:rFonts w:ascii="Arial" w:hAnsi="Arial" w:cs="Arial"/>
          <w:lang w:val="en-IN"/>
        </w:rPr>
      </w:pPr>
      <w:r w:rsidRPr="006502E8">
        <w:rPr>
          <w:rFonts w:ascii="Arial" w:hAnsi="Arial" w:cs="Arial"/>
          <w:lang w:val="en-IN"/>
        </w:rPr>
        <w:t>I would like to express my sincere gratitude to my supervisor for their invaluable guidance, constructive feedback, and continuous support throughout the research and writing of this dissertation. I also thank the academic staff of the department for their encouragement and insights during the programme. Finally, I am deeply grateful to my family and friends for their patience, motivation, and emotional support, which greatly contributed to the successful completion of this work.</w:t>
      </w:r>
      <w:r w:rsidR="009F64C5" w:rsidRPr="006502E8">
        <w:rPr>
          <w:rFonts w:ascii="Arial" w:hAnsi="Arial" w:cs="Arial"/>
        </w:rPr>
        <w:t xml:space="preserve"> </w:t>
      </w:r>
    </w:p>
    <w:p w14:paraId="6F4F74AD" w14:textId="77777777" w:rsidR="009F64C5" w:rsidRPr="006502E8" w:rsidRDefault="009F64C5">
      <w:pPr>
        <w:spacing w:after="0"/>
        <w:rPr>
          <w:rFonts w:ascii="Arial" w:hAnsi="Arial" w:cs="Arial"/>
        </w:rPr>
      </w:pPr>
      <w:r w:rsidRPr="006502E8">
        <w:rPr>
          <w:rFonts w:ascii="Arial" w:hAnsi="Arial" w:cs="Arial"/>
        </w:rPr>
        <w:t xml:space="preserve"> </w:t>
      </w:r>
      <w:r w:rsidRPr="006502E8">
        <w:rPr>
          <w:rFonts w:ascii="Arial" w:hAnsi="Arial" w:cs="Arial"/>
        </w:rPr>
        <w:tab/>
        <w:t xml:space="preserve"> </w:t>
      </w:r>
      <w:r w:rsidRPr="006502E8">
        <w:rPr>
          <w:rFonts w:ascii="Arial" w:hAnsi="Arial" w:cs="Arial"/>
        </w:rPr>
        <w:br w:type="page"/>
      </w:r>
    </w:p>
    <w:p w14:paraId="59ABEE5D" w14:textId="785A4702" w:rsidR="009F64C5" w:rsidRPr="006502E8" w:rsidRDefault="009F64C5" w:rsidP="00CA57E9">
      <w:pPr>
        <w:pStyle w:val="Heading2"/>
        <w:jc w:val="center"/>
      </w:pPr>
      <w:bookmarkStart w:id="1" w:name="_Toc218184488"/>
      <w:r w:rsidRPr="006502E8">
        <w:t>Abstract</w:t>
      </w:r>
      <w:bookmarkEnd w:id="1"/>
    </w:p>
    <w:p w14:paraId="7AF54145" w14:textId="0E0B6565" w:rsidR="00164D23" w:rsidRDefault="00164D23" w:rsidP="00CA57E9">
      <w:pPr>
        <w:spacing w:after="14" w:line="360" w:lineRule="auto"/>
        <w:jc w:val="both"/>
        <w:rPr>
          <w:ins w:id="2" w:author="Diola Bijlhout" w:date="2026-01-14T10:04:00Z" w16du:dateUtc="2026-01-14T10:04:00Z"/>
          <w:rFonts w:ascii="Arial" w:hAnsi="Arial" w:cs="Arial"/>
        </w:rPr>
      </w:pPr>
      <w:ins w:id="3" w:author="Diola Bijlhout" w:date="2026-01-14T10:04:00Z" w16du:dateUtc="2026-01-14T10:04:00Z">
        <w:r>
          <w:rPr>
            <w:rFonts w:ascii="Arial" w:hAnsi="Arial" w:cs="Arial"/>
          </w:rPr>
          <w:t>Introduction</w:t>
        </w:r>
      </w:ins>
    </w:p>
    <w:p w14:paraId="37B9BEC6" w14:textId="77777777" w:rsidR="00164D23" w:rsidRDefault="00164D23" w:rsidP="00CA57E9">
      <w:pPr>
        <w:spacing w:after="14" w:line="360" w:lineRule="auto"/>
        <w:jc w:val="both"/>
        <w:rPr>
          <w:ins w:id="4" w:author="Diola Bijlhout" w:date="2026-01-14T10:04:00Z" w16du:dateUtc="2026-01-14T10:04:00Z"/>
          <w:rFonts w:ascii="Arial" w:hAnsi="Arial" w:cs="Arial"/>
        </w:rPr>
      </w:pPr>
    </w:p>
    <w:p w14:paraId="17425F27" w14:textId="4A6387AE" w:rsidR="00164D23" w:rsidRDefault="00164D23" w:rsidP="00CA57E9">
      <w:pPr>
        <w:spacing w:after="14" w:line="360" w:lineRule="auto"/>
        <w:jc w:val="both"/>
        <w:rPr>
          <w:ins w:id="5" w:author="Diola Bijlhout" w:date="2026-01-14T10:06:00Z" w16du:dateUtc="2026-01-14T10:06:00Z"/>
          <w:rFonts w:ascii="Arial" w:hAnsi="Arial" w:cs="Arial"/>
        </w:rPr>
      </w:pPr>
      <w:ins w:id="6" w:author="Diola Bijlhout" w:date="2026-01-14T10:04:00Z" w16du:dateUtc="2026-01-14T10:04:00Z">
        <w:r>
          <w:rPr>
            <w:rFonts w:ascii="Arial" w:hAnsi="Arial" w:cs="Arial"/>
          </w:rPr>
          <w:t>Method</w:t>
        </w:r>
      </w:ins>
    </w:p>
    <w:p w14:paraId="7A5E9E7D" w14:textId="77777777" w:rsidR="005B3589" w:rsidRDefault="005B3589" w:rsidP="00CA57E9">
      <w:pPr>
        <w:spacing w:after="14" w:line="360" w:lineRule="auto"/>
        <w:jc w:val="both"/>
        <w:rPr>
          <w:ins w:id="7" w:author="Diola Bijlhout" w:date="2026-01-14T10:06:00Z" w16du:dateUtc="2026-01-14T10:06:00Z"/>
          <w:rFonts w:ascii="Arial" w:hAnsi="Arial" w:cs="Arial"/>
        </w:rPr>
      </w:pPr>
    </w:p>
    <w:p w14:paraId="586B1C22" w14:textId="53AB88A3" w:rsidR="005B3589" w:rsidRDefault="005B3589" w:rsidP="00CA57E9">
      <w:pPr>
        <w:spacing w:after="14" w:line="360" w:lineRule="auto"/>
        <w:jc w:val="both"/>
        <w:rPr>
          <w:ins w:id="8" w:author="Diola Bijlhout" w:date="2026-01-14T10:06:00Z" w16du:dateUtc="2026-01-14T10:06:00Z"/>
          <w:rFonts w:ascii="Arial" w:hAnsi="Arial" w:cs="Arial"/>
        </w:rPr>
      </w:pPr>
      <w:ins w:id="9" w:author="Diola Bijlhout" w:date="2026-01-14T10:06:00Z" w16du:dateUtc="2026-01-14T10:06:00Z">
        <w:r>
          <w:rPr>
            <w:rFonts w:ascii="Arial" w:hAnsi="Arial" w:cs="Arial"/>
          </w:rPr>
          <w:t xml:space="preserve">Results </w:t>
        </w:r>
      </w:ins>
    </w:p>
    <w:p w14:paraId="69E942D6" w14:textId="77777777" w:rsidR="005B3589" w:rsidRDefault="005B3589" w:rsidP="00CA57E9">
      <w:pPr>
        <w:spacing w:after="14" w:line="360" w:lineRule="auto"/>
        <w:jc w:val="both"/>
        <w:rPr>
          <w:ins w:id="10" w:author="Diola Bijlhout" w:date="2026-01-14T10:06:00Z" w16du:dateUtc="2026-01-14T10:06:00Z"/>
          <w:rFonts w:ascii="Arial" w:hAnsi="Arial" w:cs="Arial"/>
        </w:rPr>
      </w:pPr>
    </w:p>
    <w:p w14:paraId="396B5D53" w14:textId="0B457667" w:rsidR="005B3589" w:rsidRDefault="005B3589" w:rsidP="00CA57E9">
      <w:pPr>
        <w:spacing w:after="14" w:line="360" w:lineRule="auto"/>
        <w:jc w:val="both"/>
        <w:rPr>
          <w:rFonts w:ascii="Arial" w:hAnsi="Arial" w:cs="Arial"/>
        </w:rPr>
      </w:pPr>
      <w:ins w:id="11" w:author="Diola Bijlhout" w:date="2026-01-14T10:06:00Z" w16du:dateUtc="2026-01-14T10:06:00Z">
        <w:r>
          <w:rPr>
            <w:rFonts w:ascii="Arial" w:hAnsi="Arial" w:cs="Arial"/>
          </w:rPr>
          <w:t>Conclusion</w:t>
        </w:r>
      </w:ins>
    </w:p>
    <w:p w14:paraId="7EEB4463" w14:textId="3D582FF0" w:rsidR="00CA57E9" w:rsidRPr="006502E8" w:rsidRDefault="00CA57E9" w:rsidP="00CA57E9">
      <w:pPr>
        <w:spacing w:after="14" w:line="360" w:lineRule="auto"/>
        <w:jc w:val="both"/>
        <w:rPr>
          <w:rFonts w:ascii="Arial" w:hAnsi="Arial" w:cs="Arial"/>
        </w:rPr>
      </w:pPr>
      <w:r w:rsidRPr="006502E8">
        <w:rPr>
          <w:rFonts w:ascii="Arial" w:hAnsi="Arial" w:cs="Arial"/>
        </w:rPr>
        <w:t xml:space="preserve">The current study reviewed how using a variety of suppliers helps organizations maintain their ability to deal with costs and other components of their supply chains when faced with uncertainty or volatility. This was done by reviewing the factors that have contributed to an increase in cost instability due to supply disruptions, and in this way, also provided insight on whether utilizing a wide number of suppliers has the capacity to assist resilient organizations. This study utilized </w:t>
      </w:r>
      <w:ins w:id="12" w:author="Diola Bijlhout" w:date="2026-01-14T10:05:00Z" w16du:dateUtc="2026-01-14T10:05:00Z">
        <w:r w:rsidR="005B3589">
          <w:rPr>
            <w:rFonts w:ascii="Arial" w:hAnsi="Arial" w:cs="Arial"/>
          </w:rPr>
          <w:t xml:space="preserve">a Systematic Literature Review </w:t>
        </w:r>
      </w:ins>
      <w:del w:id="13" w:author="Diola Bijlhout" w:date="2026-01-14T10:05:00Z" w16du:dateUtc="2026-01-14T10:05:00Z">
        <w:r w:rsidRPr="006502E8" w:rsidDel="005B3589">
          <w:rPr>
            <w:rFonts w:ascii="Arial" w:hAnsi="Arial" w:cs="Arial"/>
          </w:rPr>
          <w:delText xml:space="preserve">qualitative research methods </w:delText>
        </w:r>
      </w:del>
      <w:r w:rsidRPr="006502E8">
        <w:rPr>
          <w:rFonts w:ascii="Arial" w:hAnsi="Arial" w:cs="Arial"/>
        </w:rPr>
        <w:t xml:space="preserve">and gathered data through secondary sources which included academic literature, industry-specific white papers and case examples published for specific organizations and used thematic analysis processes that included the stages of familiarization, coding, development of themes and synthesis to arrive at a list of criteria that identified the relationships between the use of multiple suppliers for purchasing goods and services and the categories of supplier-dependent risk involved with a supply chain. </w:t>
      </w:r>
    </w:p>
    <w:p w14:paraId="4BB12813" w14:textId="53DA75EF" w:rsidR="000555DE" w:rsidRPr="006502E8" w:rsidRDefault="00CA57E9" w:rsidP="00CA57E9">
      <w:pPr>
        <w:spacing w:after="14" w:line="360" w:lineRule="auto"/>
        <w:jc w:val="both"/>
        <w:rPr>
          <w:rFonts w:ascii="Arial" w:hAnsi="Arial" w:cs="Arial"/>
        </w:rPr>
      </w:pPr>
      <w:r w:rsidRPr="006502E8">
        <w:rPr>
          <w:rFonts w:ascii="Arial" w:hAnsi="Arial" w:cs="Arial"/>
        </w:rPr>
        <w:t>The overall results were that increased use of Suppliers through diversification strategies has provided organizations with lower risks when negotiating prices, provided them with more opportunity to utilize flexible pricing options for their goods/services during times of disruption to their supply chains, and that excessive use of diversification can increase the complexity and administrative overhead associated with coordinating orders from these Suppliers, which has the potential to limit the overall efficiency gains associated to supplier diversification strategies. In conclusion, the use of supplier diversity is a very effective method to improve an organization's capacity to deal with the cost impacts associated with uncertainty in their supply chain. The study is limited to secondary sources of data. For additional research, the use of primary data along with an empirical analysis of sectors would contribute to more comprehensive findings and conclusions about supplier diversification strategies.</w:t>
      </w:r>
      <w:r w:rsidR="009F64C5" w:rsidRPr="006502E8">
        <w:rPr>
          <w:rFonts w:ascii="Arial" w:hAnsi="Arial" w:cs="Arial"/>
        </w:rPr>
        <w:tab/>
        <w:t xml:space="preserve"> </w:t>
      </w:r>
    </w:p>
    <w:p w14:paraId="361B4A4C" w14:textId="77777777" w:rsidR="000555DE" w:rsidRPr="006502E8" w:rsidRDefault="000555DE">
      <w:pPr>
        <w:rPr>
          <w:rFonts w:ascii="Arial" w:hAnsi="Arial" w:cs="Arial"/>
        </w:rPr>
      </w:pPr>
      <w:r w:rsidRPr="006502E8">
        <w:rPr>
          <w:rFonts w:ascii="Arial" w:hAnsi="Arial" w:cs="Arial"/>
        </w:rPr>
        <w:br w:type="page"/>
      </w:r>
    </w:p>
    <w:p w14:paraId="7CDD196C" w14:textId="77777777" w:rsidR="009F64C5" w:rsidRPr="006502E8" w:rsidRDefault="009F64C5" w:rsidP="000555DE">
      <w:pPr>
        <w:spacing w:after="14" w:line="249" w:lineRule="auto"/>
        <w:ind w:left="705"/>
        <w:rPr>
          <w:rFonts w:ascii="Arial" w:hAnsi="Arial" w:cs="Arial"/>
        </w:rPr>
      </w:pPr>
    </w:p>
    <w:sdt>
      <w:sdtPr>
        <w:rPr>
          <w:rFonts w:asciiTheme="minorHAnsi" w:eastAsiaTheme="minorEastAsia" w:hAnsiTheme="minorHAnsi" w:cstheme="minorBidi"/>
          <w:b w:val="0"/>
          <w:bCs w:val="0"/>
          <w:kern w:val="2"/>
          <w:sz w:val="22"/>
          <w:szCs w:val="22"/>
          <w:lang w:eastAsia="zh-CN"/>
          <w14:ligatures w14:val="standardContextual"/>
        </w:rPr>
        <w:id w:val="1513028152"/>
        <w:docPartObj>
          <w:docPartGallery w:val="Table of Contents"/>
        </w:docPartObj>
      </w:sdtPr>
      <w:sdtContent>
        <w:p w14:paraId="236958F7" w14:textId="62564F1E" w:rsidR="00A37A7B" w:rsidRPr="006502E8" w:rsidRDefault="009F64C5" w:rsidP="003F3DAD">
          <w:pPr>
            <w:pStyle w:val="Heading2"/>
          </w:pPr>
          <w:r w:rsidRPr="006502E8">
            <w:t xml:space="preserve"> </w:t>
          </w:r>
        </w:p>
        <w:sdt>
          <w:sdtPr>
            <w:rPr>
              <w:rFonts w:ascii="Arial" w:eastAsiaTheme="minorEastAsia" w:hAnsi="Arial" w:cs="Arial"/>
              <w:b/>
              <w:bCs/>
              <w:color w:val="auto"/>
              <w:kern w:val="2"/>
              <w:sz w:val="24"/>
              <w:szCs w:val="24"/>
              <w:lang w:val="en-GB" w:eastAsia="zh-CN"/>
              <w14:ligatures w14:val="standardContextual"/>
            </w:rPr>
            <w:id w:val="-1017779960"/>
            <w:docPartObj>
              <w:docPartGallery w:val="Table of Contents"/>
              <w:docPartUnique/>
            </w:docPartObj>
          </w:sdtPr>
          <w:sdtEndPr>
            <w:rPr>
              <w:rFonts w:asciiTheme="minorHAnsi" w:hAnsiTheme="minorHAnsi" w:cstheme="minorBidi"/>
              <w:noProof/>
              <w:sz w:val="22"/>
              <w:szCs w:val="22"/>
            </w:rPr>
          </w:sdtEndPr>
          <w:sdtContent>
            <w:p w14:paraId="60DFE49B" w14:textId="2B847090" w:rsidR="00D2742C" w:rsidRPr="003077FE" w:rsidRDefault="00A37A7B" w:rsidP="003077FE">
              <w:pPr>
                <w:pStyle w:val="TOCHeading"/>
                <w:jc w:val="center"/>
                <w:rPr>
                  <w:rFonts w:ascii="Arial" w:hAnsi="Arial" w:cs="Arial"/>
                  <w:b/>
                  <w:bCs/>
                  <w:noProof/>
                  <w:color w:val="auto"/>
                  <w:sz w:val="24"/>
                  <w:szCs w:val="24"/>
                </w:rPr>
              </w:pPr>
              <w:r w:rsidRPr="006502E8">
                <w:rPr>
                  <w:rFonts w:ascii="Arial" w:hAnsi="Arial" w:cs="Arial"/>
                  <w:b/>
                  <w:bCs/>
                  <w:color w:val="auto"/>
                  <w:sz w:val="24"/>
                  <w:szCs w:val="24"/>
                </w:rPr>
                <w:t>Table of Contents</w:t>
              </w:r>
              <w:r w:rsidRPr="006502E8">
                <w:rPr>
                  <w:rFonts w:ascii="Arial" w:hAnsi="Arial" w:cs="Arial"/>
                  <w:color w:val="auto"/>
                  <w:sz w:val="24"/>
                  <w:szCs w:val="24"/>
                </w:rPr>
                <w:fldChar w:fldCharType="begin"/>
              </w:r>
              <w:r w:rsidRPr="006502E8">
                <w:rPr>
                  <w:rFonts w:ascii="Arial" w:hAnsi="Arial" w:cs="Arial"/>
                  <w:color w:val="auto"/>
                  <w:sz w:val="24"/>
                  <w:szCs w:val="24"/>
                </w:rPr>
                <w:instrText xml:space="preserve"> TOC \o "1-3" \h \z \u </w:instrText>
              </w:r>
              <w:r w:rsidRPr="006502E8">
                <w:rPr>
                  <w:rFonts w:ascii="Arial" w:hAnsi="Arial" w:cs="Arial"/>
                  <w:color w:val="auto"/>
                  <w:sz w:val="24"/>
                  <w:szCs w:val="24"/>
                </w:rPr>
                <w:fldChar w:fldCharType="separate"/>
              </w:r>
            </w:p>
            <w:p w14:paraId="18CE390B" w14:textId="3B0DBAA6"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491" w:history="1">
                <w:r w:rsidRPr="006502E8">
                  <w:rPr>
                    <w:rStyle w:val="Hyperlink"/>
                    <w:rFonts w:ascii="Arial" w:eastAsia="Calibri" w:hAnsi="Arial" w:cs="Arial"/>
                    <w:noProof/>
                    <w:color w:val="auto"/>
                    <w:szCs w:val="24"/>
                  </w:rPr>
                  <w:t>Chapter 1: Introduction</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_Toc218184491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11</w:t>
                </w:r>
                <w:r w:rsidRPr="006502E8">
                  <w:rPr>
                    <w:rFonts w:ascii="Arial" w:hAnsi="Arial" w:cs="Arial"/>
                    <w:noProof/>
                    <w:webHidden/>
                    <w:color w:val="auto"/>
                    <w:szCs w:val="24"/>
                  </w:rPr>
                  <w:fldChar w:fldCharType="end"/>
                </w:r>
              </w:hyperlink>
            </w:p>
            <w:p w14:paraId="3A6F0CC0" w14:textId="54D597A2"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492" w:history="1">
                <w:r w:rsidRPr="006502E8">
                  <w:rPr>
                    <w:rStyle w:val="Hyperlink"/>
                    <w:rFonts w:ascii="Arial" w:hAnsi="Arial" w:cs="Arial"/>
                    <w:noProof/>
                    <w:color w:val="auto"/>
                    <w:sz w:val="24"/>
                    <w:szCs w:val="24"/>
                  </w:rPr>
                  <w:t>1.1 Research background</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_Toc218184492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11</w:t>
                </w:r>
                <w:r w:rsidRPr="006502E8">
                  <w:rPr>
                    <w:rFonts w:ascii="Arial" w:hAnsi="Arial" w:cs="Arial"/>
                    <w:noProof/>
                    <w:webHidden/>
                    <w:sz w:val="24"/>
                    <w:szCs w:val="24"/>
                  </w:rPr>
                  <w:fldChar w:fldCharType="end"/>
                </w:r>
              </w:hyperlink>
            </w:p>
            <w:p w14:paraId="5148EC9A" w14:textId="7186B078"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493" w:history="1">
                <w:r w:rsidRPr="006502E8">
                  <w:rPr>
                    <w:rStyle w:val="Hyperlink"/>
                    <w:rFonts w:ascii="Arial" w:hAnsi="Arial" w:cs="Arial"/>
                    <w:noProof/>
                    <w:color w:val="auto"/>
                    <w:sz w:val="24"/>
                    <w:szCs w:val="24"/>
                  </w:rPr>
                  <w:t>1.2 Research rationale</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_Toc218184493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12</w:t>
                </w:r>
                <w:r w:rsidRPr="006502E8">
                  <w:rPr>
                    <w:rFonts w:ascii="Arial" w:hAnsi="Arial" w:cs="Arial"/>
                    <w:noProof/>
                    <w:webHidden/>
                    <w:sz w:val="24"/>
                    <w:szCs w:val="24"/>
                  </w:rPr>
                  <w:fldChar w:fldCharType="end"/>
                </w:r>
              </w:hyperlink>
            </w:p>
            <w:p w14:paraId="75A9BB64" w14:textId="6D53F169"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494" w:history="1">
                <w:r w:rsidRPr="006502E8">
                  <w:rPr>
                    <w:rStyle w:val="Hyperlink"/>
                    <w:rFonts w:ascii="Arial" w:hAnsi="Arial" w:cs="Arial"/>
                    <w:noProof/>
                    <w:color w:val="auto"/>
                    <w:sz w:val="24"/>
                    <w:szCs w:val="24"/>
                  </w:rPr>
                  <w:t>1.3 Research question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_Toc218184494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13</w:t>
                </w:r>
                <w:r w:rsidRPr="006502E8">
                  <w:rPr>
                    <w:rFonts w:ascii="Arial" w:hAnsi="Arial" w:cs="Arial"/>
                    <w:noProof/>
                    <w:webHidden/>
                    <w:sz w:val="24"/>
                    <w:szCs w:val="24"/>
                  </w:rPr>
                  <w:fldChar w:fldCharType="end"/>
                </w:r>
              </w:hyperlink>
            </w:p>
            <w:p w14:paraId="0B86D74E" w14:textId="565ED7A1"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495" w:history="1">
                <w:r w:rsidRPr="006502E8">
                  <w:rPr>
                    <w:rStyle w:val="Hyperlink"/>
                    <w:rFonts w:ascii="Arial" w:hAnsi="Arial" w:cs="Arial"/>
                    <w:noProof/>
                    <w:color w:val="auto"/>
                    <w:sz w:val="24"/>
                    <w:szCs w:val="24"/>
                  </w:rPr>
                  <w:t>1.4 Research aim and objective</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_Toc218184495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13</w:t>
                </w:r>
                <w:r w:rsidRPr="006502E8">
                  <w:rPr>
                    <w:rFonts w:ascii="Arial" w:hAnsi="Arial" w:cs="Arial"/>
                    <w:noProof/>
                    <w:webHidden/>
                    <w:sz w:val="24"/>
                    <w:szCs w:val="24"/>
                  </w:rPr>
                  <w:fldChar w:fldCharType="end"/>
                </w:r>
              </w:hyperlink>
            </w:p>
            <w:p w14:paraId="4EFE7512" w14:textId="3323A5B2"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496" w:history="1">
                <w:r w:rsidRPr="006502E8">
                  <w:rPr>
                    <w:rStyle w:val="Hyperlink"/>
                    <w:rFonts w:ascii="Arial" w:hAnsi="Arial" w:cs="Arial"/>
                    <w:noProof/>
                    <w:color w:val="auto"/>
                    <w:sz w:val="24"/>
                    <w:szCs w:val="24"/>
                  </w:rPr>
                  <w:t>1.5 Research significance</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_Toc218184496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14</w:t>
                </w:r>
                <w:r w:rsidRPr="006502E8">
                  <w:rPr>
                    <w:rFonts w:ascii="Arial" w:hAnsi="Arial" w:cs="Arial"/>
                    <w:noProof/>
                    <w:webHidden/>
                    <w:sz w:val="24"/>
                    <w:szCs w:val="24"/>
                  </w:rPr>
                  <w:fldChar w:fldCharType="end"/>
                </w:r>
              </w:hyperlink>
            </w:p>
            <w:p w14:paraId="12DE140D" w14:textId="69AEBBB7"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497" w:history="1">
                <w:r w:rsidRPr="006502E8">
                  <w:rPr>
                    <w:rStyle w:val="Hyperlink"/>
                    <w:rFonts w:ascii="Arial" w:hAnsi="Arial" w:cs="Arial"/>
                    <w:noProof/>
                    <w:color w:val="auto"/>
                    <w:sz w:val="24"/>
                    <w:szCs w:val="24"/>
                  </w:rPr>
                  <w:t>1.6 Literature based background discussion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_Toc218184497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14</w:t>
                </w:r>
                <w:r w:rsidRPr="006502E8">
                  <w:rPr>
                    <w:rFonts w:ascii="Arial" w:hAnsi="Arial" w:cs="Arial"/>
                    <w:noProof/>
                    <w:webHidden/>
                    <w:sz w:val="24"/>
                    <w:szCs w:val="24"/>
                  </w:rPr>
                  <w:fldChar w:fldCharType="end"/>
                </w:r>
              </w:hyperlink>
            </w:p>
            <w:p w14:paraId="6CB3E866" w14:textId="7344521D"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498" w:history="1">
                <w:r w:rsidRPr="006502E8">
                  <w:rPr>
                    <w:rStyle w:val="Hyperlink"/>
                    <w:rFonts w:ascii="Arial" w:hAnsi="Arial" w:cs="Arial"/>
                    <w:noProof/>
                    <w:color w:val="auto"/>
                    <w:sz w:val="24"/>
                    <w:szCs w:val="24"/>
                  </w:rPr>
                  <w:t>1.7 Research gap</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_Toc218184498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16</w:t>
                </w:r>
                <w:r w:rsidRPr="006502E8">
                  <w:rPr>
                    <w:rFonts w:ascii="Arial" w:hAnsi="Arial" w:cs="Arial"/>
                    <w:noProof/>
                    <w:webHidden/>
                    <w:sz w:val="24"/>
                    <w:szCs w:val="24"/>
                  </w:rPr>
                  <w:fldChar w:fldCharType="end"/>
                </w:r>
              </w:hyperlink>
            </w:p>
            <w:p w14:paraId="4CE77B4D" w14:textId="1F3F263E"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499" w:history="1">
                <w:r w:rsidRPr="006502E8">
                  <w:rPr>
                    <w:rStyle w:val="Hyperlink"/>
                    <w:rFonts w:ascii="Arial" w:eastAsia="Calibri" w:hAnsi="Arial" w:cs="Arial"/>
                    <w:noProof/>
                    <w:color w:val="auto"/>
                    <w:szCs w:val="24"/>
                  </w:rPr>
                  <w:t>Chapter 2: Literature review</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_Toc218184499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17</w:t>
                </w:r>
                <w:r w:rsidRPr="006502E8">
                  <w:rPr>
                    <w:rFonts w:ascii="Arial" w:hAnsi="Arial" w:cs="Arial"/>
                    <w:noProof/>
                    <w:webHidden/>
                    <w:color w:val="auto"/>
                    <w:szCs w:val="24"/>
                  </w:rPr>
                  <w:fldChar w:fldCharType="end"/>
                </w:r>
              </w:hyperlink>
            </w:p>
            <w:p w14:paraId="677228B0" w14:textId="38D97CBB"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00" w:history="1">
                <w:r w:rsidRPr="006502E8">
                  <w:rPr>
                    <w:rStyle w:val="Hyperlink"/>
                    <w:rFonts w:ascii="Arial" w:hAnsi="Arial" w:cs="Arial"/>
                    <w:noProof/>
                    <w:color w:val="auto"/>
                    <w:sz w:val="24"/>
                    <w:szCs w:val="24"/>
                  </w:rPr>
                  <w:t>2.1 Introduction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_Toc218184500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17</w:t>
                </w:r>
                <w:r w:rsidRPr="006502E8">
                  <w:rPr>
                    <w:rFonts w:ascii="Arial" w:hAnsi="Arial" w:cs="Arial"/>
                    <w:noProof/>
                    <w:webHidden/>
                    <w:sz w:val="24"/>
                    <w:szCs w:val="24"/>
                  </w:rPr>
                  <w:fldChar w:fldCharType="end"/>
                </w:r>
              </w:hyperlink>
            </w:p>
            <w:p w14:paraId="218FE179" w14:textId="40F0422A"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01" w:history="1">
                <w:r w:rsidRPr="006502E8">
                  <w:rPr>
                    <w:rStyle w:val="Hyperlink"/>
                    <w:rFonts w:ascii="Arial" w:hAnsi="Arial" w:cs="Arial"/>
                    <w:noProof/>
                    <w:color w:val="auto"/>
                    <w:sz w:val="24"/>
                    <w:szCs w:val="24"/>
                  </w:rPr>
                  <w:t>2.2 Microbiological Hazards in Substandard Housing</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_Toc218184501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17</w:t>
                </w:r>
                <w:r w:rsidRPr="006502E8">
                  <w:rPr>
                    <w:rFonts w:ascii="Arial" w:hAnsi="Arial" w:cs="Arial"/>
                    <w:noProof/>
                    <w:webHidden/>
                    <w:sz w:val="24"/>
                    <w:szCs w:val="24"/>
                  </w:rPr>
                  <w:fldChar w:fldCharType="end"/>
                </w:r>
              </w:hyperlink>
            </w:p>
            <w:p w14:paraId="27C9AA43" w14:textId="619F0DBF"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02" w:history="1">
                <w:r w:rsidRPr="006502E8">
                  <w:rPr>
                    <w:rStyle w:val="Hyperlink"/>
                    <w:rFonts w:ascii="Arial" w:hAnsi="Arial" w:cs="Arial"/>
                    <w:noProof/>
                    <w:color w:val="auto"/>
                    <w:sz w:val="24"/>
                    <w:szCs w:val="24"/>
                  </w:rPr>
                  <w:t>2.2.1 Decent Home Standard for young people and their families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_Toc218184502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17</w:t>
                </w:r>
                <w:r w:rsidRPr="006502E8">
                  <w:rPr>
                    <w:rFonts w:ascii="Arial" w:hAnsi="Arial" w:cs="Arial"/>
                    <w:noProof/>
                    <w:webHidden/>
                    <w:sz w:val="24"/>
                    <w:szCs w:val="24"/>
                  </w:rPr>
                  <w:fldChar w:fldCharType="end"/>
                </w:r>
              </w:hyperlink>
            </w:p>
            <w:p w14:paraId="7E9594DE" w14:textId="69EC6655"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03" w:history="1">
                <w:r w:rsidRPr="006502E8">
                  <w:rPr>
                    <w:rStyle w:val="Hyperlink"/>
                    <w:rFonts w:ascii="Arial" w:hAnsi="Arial" w:cs="Arial"/>
                    <w:noProof/>
                    <w:color w:val="auto"/>
                    <w:sz w:val="24"/>
                    <w:szCs w:val="24"/>
                  </w:rPr>
                  <w:t>2.2.2 Overview of Microbiological Research on Housing Quality</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_Toc218184503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18</w:t>
                </w:r>
                <w:r w:rsidRPr="006502E8">
                  <w:rPr>
                    <w:rFonts w:ascii="Arial" w:hAnsi="Arial" w:cs="Arial"/>
                    <w:noProof/>
                    <w:webHidden/>
                    <w:sz w:val="24"/>
                    <w:szCs w:val="24"/>
                  </w:rPr>
                  <w:fldChar w:fldCharType="end"/>
                </w:r>
              </w:hyperlink>
            </w:p>
            <w:p w14:paraId="4B7D0242" w14:textId="0C1D92F5"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04" w:history="1">
                <w:r w:rsidRPr="006502E8">
                  <w:rPr>
                    <w:rStyle w:val="Hyperlink"/>
                    <w:rFonts w:ascii="Arial" w:hAnsi="Arial" w:cs="Arial"/>
                    <w:noProof/>
                    <w:color w:val="auto"/>
                    <w:sz w:val="24"/>
                    <w:szCs w:val="24"/>
                  </w:rPr>
                  <w:t>2.2.3 Dampness, Mould and Fungal Contaminants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_Toc218184504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18</w:t>
                </w:r>
                <w:r w:rsidRPr="006502E8">
                  <w:rPr>
                    <w:rFonts w:ascii="Arial" w:hAnsi="Arial" w:cs="Arial"/>
                    <w:noProof/>
                    <w:webHidden/>
                    <w:sz w:val="24"/>
                    <w:szCs w:val="24"/>
                  </w:rPr>
                  <w:fldChar w:fldCharType="end"/>
                </w:r>
              </w:hyperlink>
            </w:p>
            <w:p w14:paraId="15CC7053" w14:textId="19EFABEA"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05" w:history="1">
                <w:r w:rsidRPr="006502E8">
                  <w:rPr>
                    <w:rStyle w:val="Hyperlink"/>
                    <w:rFonts w:ascii="Arial" w:hAnsi="Arial" w:cs="Arial"/>
                    <w:noProof/>
                    <w:color w:val="auto"/>
                    <w:sz w:val="24"/>
                    <w:szCs w:val="24"/>
                  </w:rPr>
                  <w:t>2.2.4 Bacterial Contaminants and Indoor Air Quality</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_Toc218184505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19</w:t>
                </w:r>
                <w:r w:rsidRPr="006502E8">
                  <w:rPr>
                    <w:rFonts w:ascii="Arial" w:hAnsi="Arial" w:cs="Arial"/>
                    <w:noProof/>
                    <w:webHidden/>
                    <w:sz w:val="24"/>
                    <w:szCs w:val="24"/>
                  </w:rPr>
                  <w:fldChar w:fldCharType="end"/>
                </w:r>
              </w:hyperlink>
            </w:p>
            <w:p w14:paraId="5EFDEB87" w14:textId="79EED052"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06" w:history="1">
                <w:r w:rsidRPr="006502E8">
                  <w:rPr>
                    <w:rStyle w:val="Hyperlink"/>
                    <w:rFonts w:ascii="Arial" w:hAnsi="Arial" w:cs="Arial"/>
                    <w:noProof/>
                    <w:color w:val="auto"/>
                    <w:sz w:val="24"/>
                    <w:szCs w:val="24"/>
                  </w:rPr>
                  <w:t>2.3 Public Health Consequences of Poor Housing in the UK</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_Toc218184506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19</w:t>
                </w:r>
                <w:r w:rsidRPr="006502E8">
                  <w:rPr>
                    <w:rFonts w:ascii="Arial" w:hAnsi="Arial" w:cs="Arial"/>
                    <w:noProof/>
                    <w:webHidden/>
                    <w:sz w:val="24"/>
                    <w:szCs w:val="24"/>
                  </w:rPr>
                  <w:fldChar w:fldCharType="end"/>
                </w:r>
              </w:hyperlink>
            </w:p>
            <w:p w14:paraId="4E418FE8" w14:textId="71EA8431"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07" w:history="1">
                <w:r w:rsidRPr="006502E8">
                  <w:rPr>
                    <w:rStyle w:val="Hyperlink"/>
                    <w:rFonts w:ascii="Arial" w:hAnsi="Arial" w:cs="Arial"/>
                    <w:noProof/>
                    <w:color w:val="auto"/>
                    <w:sz w:val="24"/>
                    <w:szCs w:val="24"/>
                  </w:rPr>
                  <w:t>2.3.1 Respiratory Health Burden in the UK</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_Toc218184507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19</w:t>
                </w:r>
                <w:r w:rsidRPr="006502E8">
                  <w:rPr>
                    <w:rFonts w:ascii="Arial" w:hAnsi="Arial" w:cs="Arial"/>
                    <w:noProof/>
                    <w:webHidden/>
                    <w:sz w:val="24"/>
                    <w:szCs w:val="24"/>
                  </w:rPr>
                  <w:fldChar w:fldCharType="end"/>
                </w:r>
              </w:hyperlink>
            </w:p>
            <w:p w14:paraId="443A8668" w14:textId="03B55B1E"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08" w:history="1">
                <w:r w:rsidRPr="006502E8">
                  <w:rPr>
                    <w:rStyle w:val="Hyperlink"/>
                    <w:rFonts w:ascii="Arial" w:hAnsi="Arial" w:cs="Arial"/>
                    <w:noProof/>
                    <w:color w:val="auto"/>
                    <w:sz w:val="24"/>
                    <w:szCs w:val="24"/>
                  </w:rPr>
                  <w:t>2.3.2 Determinants of Housing-Related Respiratory Illness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_Toc218184508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20</w:t>
                </w:r>
                <w:r w:rsidRPr="006502E8">
                  <w:rPr>
                    <w:rFonts w:ascii="Arial" w:hAnsi="Arial" w:cs="Arial"/>
                    <w:noProof/>
                    <w:webHidden/>
                    <w:sz w:val="24"/>
                    <w:szCs w:val="24"/>
                  </w:rPr>
                  <w:fldChar w:fldCharType="end"/>
                </w:r>
              </w:hyperlink>
            </w:p>
            <w:p w14:paraId="1443166E" w14:textId="2E8B065F"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09" w:history="1">
                <w:r w:rsidRPr="006502E8">
                  <w:rPr>
                    <w:rStyle w:val="Hyperlink"/>
                    <w:rFonts w:ascii="Arial" w:hAnsi="Arial" w:cs="Arial"/>
                    <w:noProof/>
                    <w:color w:val="auto"/>
                    <w:sz w:val="24"/>
                    <w:szCs w:val="24"/>
                  </w:rPr>
                  <w:t>2.3.3 Public Health Strategies Addressing Housing Hazards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_Toc218184509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20</w:t>
                </w:r>
                <w:r w:rsidRPr="006502E8">
                  <w:rPr>
                    <w:rFonts w:ascii="Arial" w:hAnsi="Arial" w:cs="Arial"/>
                    <w:noProof/>
                    <w:webHidden/>
                    <w:sz w:val="24"/>
                    <w:szCs w:val="24"/>
                  </w:rPr>
                  <w:fldChar w:fldCharType="end"/>
                </w:r>
              </w:hyperlink>
            </w:p>
            <w:p w14:paraId="6CC03AD9" w14:textId="1DAC11D5"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10" w:history="1">
                <w:r w:rsidRPr="006502E8">
                  <w:rPr>
                    <w:rStyle w:val="Hyperlink"/>
                    <w:rFonts w:ascii="Arial" w:hAnsi="Arial" w:cs="Arial"/>
                    <w:noProof/>
                    <w:color w:val="auto"/>
                    <w:sz w:val="24"/>
                    <w:szCs w:val="24"/>
                  </w:rPr>
                  <w:t>2.3.4 Effectiveness of Current Public Health Intervention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_Toc218184510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21</w:t>
                </w:r>
                <w:r w:rsidRPr="006502E8">
                  <w:rPr>
                    <w:rFonts w:ascii="Arial" w:hAnsi="Arial" w:cs="Arial"/>
                    <w:noProof/>
                    <w:webHidden/>
                    <w:sz w:val="24"/>
                    <w:szCs w:val="24"/>
                  </w:rPr>
                  <w:fldChar w:fldCharType="end"/>
                </w:r>
              </w:hyperlink>
            </w:p>
            <w:p w14:paraId="259E7C36" w14:textId="1FDBE6F2"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11" w:history="1">
                <w:r w:rsidRPr="006502E8">
                  <w:rPr>
                    <w:rStyle w:val="Hyperlink"/>
                    <w:rFonts w:ascii="Arial" w:hAnsi="Arial" w:cs="Arial"/>
                    <w:noProof/>
                    <w:color w:val="auto"/>
                    <w:sz w:val="24"/>
                    <w:szCs w:val="24"/>
                  </w:rPr>
                  <w:t>2.4 Social Care Responses for Vulnerable Populations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_Toc218184511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22</w:t>
                </w:r>
                <w:r w:rsidRPr="006502E8">
                  <w:rPr>
                    <w:rFonts w:ascii="Arial" w:hAnsi="Arial" w:cs="Arial"/>
                    <w:noProof/>
                    <w:webHidden/>
                    <w:sz w:val="24"/>
                    <w:szCs w:val="24"/>
                  </w:rPr>
                  <w:fldChar w:fldCharType="end"/>
                </w:r>
              </w:hyperlink>
            </w:p>
            <w:p w14:paraId="4C0FF451" w14:textId="38E24988"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12" w:history="1">
                <w:r w:rsidRPr="006502E8">
                  <w:rPr>
                    <w:rStyle w:val="Hyperlink"/>
                    <w:rFonts w:ascii="Arial" w:hAnsi="Arial" w:cs="Arial"/>
                    <w:noProof/>
                    <w:color w:val="auto"/>
                    <w:sz w:val="24"/>
                    <w:szCs w:val="24"/>
                  </w:rPr>
                  <w:t>2.4.1 Housing Instability and Vulnerability in Adolescents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_Toc218184512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22</w:t>
                </w:r>
                <w:r w:rsidRPr="006502E8">
                  <w:rPr>
                    <w:rFonts w:ascii="Arial" w:hAnsi="Arial" w:cs="Arial"/>
                    <w:noProof/>
                    <w:webHidden/>
                    <w:sz w:val="24"/>
                    <w:szCs w:val="24"/>
                  </w:rPr>
                  <w:fldChar w:fldCharType="end"/>
                </w:r>
              </w:hyperlink>
            </w:p>
            <w:p w14:paraId="1B1C92F5" w14:textId="1660F837"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13" w:history="1">
                <w:r w:rsidRPr="006502E8">
                  <w:rPr>
                    <w:rStyle w:val="Hyperlink"/>
                    <w:rFonts w:ascii="Arial" w:hAnsi="Arial" w:cs="Arial"/>
                    <w:noProof/>
                    <w:color w:val="auto"/>
                    <w:sz w:val="24"/>
                    <w:szCs w:val="24"/>
                  </w:rPr>
                  <w:t>2.4.2 Role of Social Care Service</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_Toc218184513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22</w:t>
                </w:r>
                <w:r w:rsidRPr="006502E8">
                  <w:rPr>
                    <w:rFonts w:ascii="Arial" w:hAnsi="Arial" w:cs="Arial"/>
                    <w:noProof/>
                    <w:webHidden/>
                    <w:sz w:val="24"/>
                    <w:szCs w:val="24"/>
                  </w:rPr>
                  <w:fldChar w:fldCharType="end"/>
                </w:r>
              </w:hyperlink>
            </w:p>
            <w:p w14:paraId="323E7814" w14:textId="40FF450D"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14" w:history="1">
                <w:r w:rsidRPr="006502E8">
                  <w:rPr>
                    <w:rStyle w:val="Hyperlink"/>
                    <w:rFonts w:ascii="Arial" w:hAnsi="Arial" w:cs="Arial"/>
                    <w:noProof/>
                    <w:color w:val="auto"/>
                    <w:sz w:val="24"/>
                    <w:szCs w:val="24"/>
                  </w:rPr>
                  <w:t>2.4.3 Interagency Collaboration Models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_Toc218184514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23</w:t>
                </w:r>
                <w:r w:rsidRPr="006502E8">
                  <w:rPr>
                    <w:rFonts w:ascii="Arial" w:hAnsi="Arial" w:cs="Arial"/>
                    <w:noProof/>
                    <w:webHidden/>
                    <w:sz w:val="24"/>
                    <w:szCs w:val="24"/>
                  </w:rPr>
                  <w:fldChar w:fldCharType="end"/>
                </w:r>
              </w:hyperlink>
            </w:p>
            <w:p w14:paraId="21915E26" w14:textId="1CD21BD9"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15" w:history="1">
                <w:r w:rsidRPr="006502E8">
                  <w:rPr>
                    <w:rStyle w:val="Hyperlink"/>
                    <w:rFonts w:ascii="Arial" w:hAnsi="Arial" w:cs="Arial"/>
                    <w:noProof/>
                    <w:color w:val="auto"/>
                    <w:sz w:val="24"/>
                    <w:szCs w:val="24"/>
                  </w:rPr>
                  <w:t>2.4.4 Effectiveness of Social Care Interventions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_Toc218184515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23</w:t>
                </w:r>
                <w:r w:rsidRPr="006502E8">
                  <w:rPr>
                    <w:rFonts w:ascii="Arial" w:hAnsi="Arial" w:cs="Arial"/>
                    <w:noProof/>
                    <w:webHidden/>
                    <w:sz w:val="24"/>
                    <w:szCs w:val="24"/>
                  </w:rPr>
                  <w:fldChar w:fldCharType="end"/>
                </w:r>
              </w:hyperlink>
            </w:p>
            <w:p w14:paraId="60D5AB33" w14:textId="15406D6D"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16" w:history="1">
                <w:r w:rsidRPr="006502E8">
                  <w:rPr>
                    <w:rStyle w:val="Hyperlink"/>
                    <w:rFonts w:ascii="Arial" w:hAnsi="Arial" w:cs="Arial"/>
                    <w:noProof/>
                    <w:color w:val="auto"/>
                    <w:sz w:val="24"/>
                    <w:szCs w:val="24"/>
                  </w:rPr>
                  <w:t>2.5 Theoretical framework</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_Toc218184516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24</w:t>
                </w:r>
                <w:r w:rsidRPr="006502E8">
                  <w:rPr>
                    <w:rFonts w:ascii="Arial" w:hAnsi="Arial" w:cs="Arial"/>
                    <w:noProof/>
                    <w:webHidden/>
                    <w:sz w:val="24"/>
                    <w:szCs w:val="24"/>
                  </w:rPr>
                  <w:fldChar w:fldCharType="end"/>
                </w:r>
              </w:hyperlink>
            </w:p>
            <w:p w14:paraId="0015A3BD" w14:textId="57458178"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17" w:history="1">
                <w:r w:rsidRPr="006502E8">
                  <w:rPr>
                    <w:rStyle w:val="Hyperlink"/>
                    <w:rFonts w:ascii="Arial" w:hAnsi="Arial" w:cs="Arial"/>
                    <w:noProof/>
                    <w:color w:val="auto"/>
                    <w:sz w:val="24"/>
                    <w:szCs w:val="24"/>
                    <w:lang w:val="en-IN"/>
                  </w:rPr>
                  <w:t>2.6 Identified Research Gaps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_Toc218184517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25</w:t>
                </w:r>
                <w:r w:rsidRPr="006502E8">
                  <w:rPr>
                    <w:rFonts w:ascii="Arial" w:hAnsi="Arial" w:cs="Arial"/>
                    <w:noProof/>
                    <w:webHidden/>
                    <w:sz w:val="24"/>
                    <w:szCs w:val="24"/>
                  </w:rPr>
                  <w:fldChar w:fldCharType="end"/>
                </w:r>
              </w:hyperlink>
            </w:p>
            <w:p w14:paraId="593745D4" w14:textId="2019C2D7"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18" w:history="1">
                <w:r w:rsidRPr="006502E8">
                  <w:rPr>
                    <w:rStyle w:val="Hyperlink"/>
                    <w:rFonts w:ascii="Arial" w:hAnsi="Arial" w:cs="Arial"/>
                    <w:noProof/>
                    <w:color w:val="auto"/>
                    <w:sz w:val="24"/>
                    <w:szCs w:val="24"/>
                    <w:lang w:val="en-IN"/>
                  </w:rPr>
                  <w:t>2.7 Research summary</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_Toc218184518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25</w:t>
                </w:r>
                <w:r w:rsidRPr="006502E8">
                  <w:rPr>
                    <w:rFonts w:ascii="Arial" w:hAnsi="Arial" w:cs="Arial"/>
                    <w:noProof/>
                    <w:webHidden/>
                    <w:sz w:val="24"/>
                    <w:szCs w:val="24"/>
                  </w:rPr>
                  <w:fldChar w:fldCharType="end"/>
                </w:r>
              </w:hyperlink>
            </w:p>
            <w:p w14:paraId="387EAA63" w14:textId="1E423A5A"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519" w:history="1">
                <w:r w:rsidRPr="006502E8">
                  <w:rPr>
                    <w:rStyle w:val="Hyperlink"/>
                    <w:rFonts w:ascii="Arial" w:eastAsia="Calibri" w:hAnsi="Arial" w:cs="Arial"/>
                    <w:noProof/>
                    <w:color w:val="auto"/>
                    <w:szCs w:val="24"/>
                  </w:rPr>
                  <w:t>Chapter 3: Research Methodology</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_Toc218184519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26</w:t>
                </w:r>
                <w:r w:rsidRPr="006502E8">
                  <w:rPr>
                    <w:rFonts w:ascii="Arial" w:hAnsi="Arial" w:cs="Arial"/>
                    <w:noProof/>
                    <w:webHidden/>
                    <w:color w:val="auto"/>
                    <w:szCs w:val="24"/>
                  </w:rPr>
                  <w:fldChar w:fldCharType="end"/>
                </w:r>
              </w:hyperlink>
            </w:p>
            <w:p w14:paraId="6E5B6D4E" w14:textId="45938C1E"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20" w:history="1">
                <w:r w:rsidRPr="006502E8">
                  <w:rPr>
                    <w:rStyle w:val="Hyperlink"/>
                    <w:rFonts w:ascii="Arial" w:eastAsia="Calibri" w:hAnsi="Arial" w:cs="Arial"/>
                    <w:noProof/>
                    <w:color w:val="auto"/>
                    <w:sz w:val="24"/>
                    <w:szCs w:val="24"/>
                  </w:rPr>
                  <w:t>3.1 Overview</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_Toc218184520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26</w:t>
                </w:r>
                <w:r w:rsidRPr="006502E8">
                  <w:rPr>
                    <w:rFonts w:ascii="Arial" w:hAnsi="Arial" w:cs="Arial"/>
                    <w:noProof/>
                    <w:webHidden/>
                    <w:sz w:val="24"/>
                    <w:szCs w:val="24"/>
                  </w:rPr>
                  <w:fldChar w:fldCharType="end"/>
                </w:r>
              </w:hyperlink>
            </w:p>
            <w:p w14:paraId="447D4544" w14:textId="093EEB5E"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21" w:history="1">
                <w:r w:rsidRPr="006502E8">
                  <w:rPr>
                    <w:rStyle w:val="Hyperlink"/>
                    <w:rFonts w:ascii="Arial" w:eastAsia="Calibri" w:hAnsi="Arial" w:cs="Arial"/>
                    <w:noProof/>
                    <w:color w:val="auto"/>
                    <w:sz w:val="24"/>
                    <w:szCs w:val="24"/>
                  </w:rPr>
                  <w:t>3.2 Research Method Design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_Toc218184521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26</w:t>
                </w:r>
                <w:r w:rsidRPr="006502E8">
                  <w:rPr>
                    <w:rFonts w:ascii="Arial" w:hAnsi="Arial" w:cs="Arial"/>
                    <w:noProof/>
                    <w:webHidden/>
                    <w:sz w:val="24"/>
                    <w:szCs w:val="24"/>
                  </w:rPr>
                  <w:fldChar w:fldCharType="end"/>
                </w:r>
              </w:hyperlink>
            </w:p>
            <w:p w14:paraId="14D72C54" w14:textId="782E18B5"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22" w:history="1">
                <w:r w:rsidRPr="006502E8">
                  <w:rPr>
                    <w:rStyle w:val="Hyperlink"/>
                    <w:rFonts w:ascii="Arial" w:hAnsi="Arial" w:cs="Arial"/>
                    <w:noProof/>
                    <w:color w:val="auto"/>
                    <w:sz w:val="24"/>
                    <w:szCs w:val="24"/>
                  </w:rPr>
                  <w:t>3.2.1 Philosophy</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_Toc218184522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26</w:t>
                </w:r>
                <w:r w:rsidRPr="006502E8">
                  <w:rPr>
                    <w:rFonts w:ascii="Arial" w:hAnsi="Arial" w:cs="Arial"/>
                    <w:noProof/>
                    <w:webHidden/>
                    <w:sz w:val="24"/>
                    <w:szCs w:val="24"/>
                  </w:rPr>
                  <w:fldChar w:fldCharType="end"/>
                </w:r>
              </w:hyperlink>
            </w:p>
            <w:p w14:paraId="1DCC5834" w14:textId="39AF1F18"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23" w:history="1">
                <w:r w:rsidRPr="006502E8">
                  <w:rPr>
                    <w:rStyle w:val="Hyperlink"/>
                    <w:rFonts w:ascii="Arial" w:hAnsi="Arial" w:cs="Arial"/>
                    <w:noProof/>
                    <w:color w:val="auto"/>
                    <w:sz w:val="24"/>
                    <w:szCs w:val="24"/>
                  </w:rPr>
                  <w:t>3.2.2 Approach</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_Toc218184523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26</w:t>
                </w:r>
                <w:r w:rsidRPr="006502E8">
                  <w:rPr>
                    <w:rFonts w:ascii="Arial" w:hAnsi="Arial" w:cs="Arial"/>
                    <w:noProof/>
                    <w:webHidden/>
                    <w:sz w:val="24"/>
                    <w:szCs w:val="24"/>
                  </w:rPr>
                  <w:fldChar w:fldCharType="end"/>
                </w:r>
              </w:hyperlink>
            </w:p>
            <w:p w14:paraId="43607385" w14:textId="18278C94"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24" w:history="1">
                <w:r w:rsidRPr="006502E8">
                  <w:rPr>
                    <w:rStyle w:val="Hyperlink"/>
                    <w:rFonts w:ascii="Arial" w:hAnsi="Arial" w:cs="Arial"/>
                    <w:noProof/>
                    <w:color w:val="auto"/>
                    <w:sz w:val="24"/>
                    <w:szCs w:val="24"/>
                  </w:rPr>
                  <w:t>3.2.3 Design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_Toc218184524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27</w:t>
                </w:r>
                <w:r w:rsidRPr="006502E8">
                  <w:rPr>
                    <w:rFonts w:ascii="Arial" w:hAnsi="Arial" w:cs="Arial"/>
                    <w:noProof/>
                    <w:webHidden/>
                    <w:sz w:val="24"/>
                    <w:szCs w:val="24"/>
                  </w:rPr>
                  <w:fldChar w:fldCharType="end"/>
                </w:r>
              </w:hyperlink>
            </w:p>
            <w:p w14:paraId="663C8ABC" w14:textId="43820ED2"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25" w:history="1">
                <w:r w:rsidRPr="006502E8">
                  <w:rPr>
                    <w:rStyle w:val="Hyperlink"/>
                    <w:rFonts w:ascii="Arial" w:eastAsia="Calibri" w:hAnsi="Arial" w:cs="Arial"/>
                    <w:noProof/>
                    <w:color w:val="auto"/>
                    <w:sz w:val="24"/>
                    <w:szCs w:val="24"/>
                  </w:rPr>
                  <w:t>3.3 Data Collection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_Toc218184525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27</w:t>
                </w:r>
                <w:r w:rsidRPr="006502E8">
                  <w:rPr>
                    <w:rFonts w:ascii="Arial" w:hAnsi="Arial" w:cs="Arial"/>
                    <w:noProof/>
                    <w:webHidden/>
                    <w:sz w:val="24"/>
                    <w:szCs w:val="24"/>
                  </w:rPr>
                  <w:fldChar w:fldCharType="end"/>
                </w:r>
              </w:hyperlink>
            </w:p>
            <w:p w14:paraId="3BA32AD5" w14:textId="081D90E5"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26" w:history="1">
                <w:r w:rsidRPr="006502E8">
                  <w:rPr>
                    <w:rStyle w:val="Hyperlink"/>
                    <w:rFonts w:ascii="Arial" w:hAnsi="Arial" w:cs="Arial"/>
                    <w:noProof/>
                    <w:color w:val="auto"/>
                    <w:sz w:val="24"/>
                    <w:szCs w:val="24"/>
                  </w:rPr>
                  <w:t>3.3.1 Boolean Operators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_Toc218184526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27</w:t>
                </w:r>
                <w:r w:rsidRPr="006502E8">
                  <w:rPr>
                    <w:rFonts w:ascii="Arial" w:hAnsi="Arial" w:cs="Arial"/>
                    <w:noProof/>
                    <w:webHidden/>
                    <w:sz w:val="24"/>
                    <w:szCs w:val="24"/>
                  </w:rPr>
                  <w:fldChar w:fldCharType="end"/>
                </w:r>
              </w:hyperlink>
            </w:p>
            <w:p w14:paraId="7DAF13BA" w14:textId="16EEC617"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27" w:history="1">
                <w:r w:rsidRPr="006502E8">
                  <w:rPr>
                    <w:rStyle w:val="Hyperlink"/>
                    <w:rFonts w:ascii="Arial" w:hAnsi="Arial" w:cs="Arial"/>
                    <w:noProof/>
                    <w:color w:val="auto"/>
                    <w:sz w:val="24"/>
                    <w:szCs w:val="24"/>
                  </w:rPr>
                  <w:t>3.3.2 Inclusion and Exclusion Criteria</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_Toc218184527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29</w:t>
                </w:r>
                <w:r w:rsidRPr="006502E8">
                  <w:rPr>
                    <w:rFonts w:ascii="Arial" w:hAnsi="Arial" w:cs="Arial"/>
                    <w:noProof/>
                    <w:webHidden/>
                    <w:sz w:val="24"/>
                    <w:szCs w:val="24"/>
                  </w:rPr>
                  <w:fldChar w:fldCharType="end"/>
                </w:r>
              </w:hyperlink>
            </w:p>
            <w:p w14:paraId="4094CB6B" w14:textId="5C320164"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28" w:history="1">
                <w:r w:rsidRPr="006502E8">
                  <w:rPr>
                    <w:rStyle w:val="Hyperlink"/>
                    <w:rFonts w:ascii="Arial" w:hAnsi="Arial" w:cs="Arial"/>
                    <w:noProof/>
                    <w:color w:val="auto"/>
                    <w:sz w:val="24"/>
                    <w:szCs w:val="24"/>
                  </w:rPr>
                  <w:t>3.3.3 Search Strategy</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_Toc218184528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29</w:t>
                </w:r>
                <w:r w:rsidRPr="006502E8">
                  <w:rPr>
                    <w:rFonts w:ascii="Arial" w:hAnsi="Arial" w:cs="Arial"/>
                    <w:noProof/>
                    <w:webHidden/>
                    <w:sz w:val="24"/>
                    <w:szCs w:val="24"/>
                  </w:rPr>
                  <w:fldChar w:fldCharType="end"/>
                </w:r>
              </w:hyperlink>
            </w:p>
            <w:p w14:paraId="274CA3A9" w14:textId="2418FD1B"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29" w:history="1">
                <w:r w:rsidRPr="006502E8">
                  <w:rPr>
                    <w:rStyle w:val="Hyperlink"/>
                    <w:rFonts w:ascii="Arial" w:hAnsi="Arial" w:cs="Arial"/>
                    <w:noProof/>
                    <w:color w:val="auto"/>
                    <w:sz w:val="24"/>
                    <w:szCs w:val="24"/>
                  </w:rPr>
                  <w:t>3.3.4 Quality Evaluation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_Toc218184529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30</w:t>
                </w:r>
                <w:r w:rsidRPr="006502E8">
                  <w:rPr>
                    <w:rFonts w:ascii="Arial" w:hAnsi="Arial" w:cs="Arial"/>
                    <w:noProof/>
                    <w:webHidden/>
                    <w:sz w:val="24"/>
                    <w:szCs w:val="24"/>
                  </w:rPr>
                  <w:fldChar w:fldCharType="end"/>
                </w:r>
              </w:hyperlink>
            </w:p>
            <w:p w14:paraId="422F516D" w14:textId="7A1CC81E"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30" w:history="1">
                <w:r w:rsidRPr="006502E8">
                  <w:rPr>
                    <w:rStyle w:val="Hyperlink"/>
                    <w:rFonts w:ascii="Arial" w:eastAsia="Calibri" w:hAnsi="Arial" w:cs="Arial"/>
                    <w:noProof/>
                    <w:color w:val="auto"/>
                    <w:sz w:val="24"/>
                    <w:szCs w:val="24"/>
                  </w:rPr>
                  <w:t>3.4 Data Analysis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_Toc218184530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31</w:t>
                </w:r>
                <w:r w:rsidRPr="006502E8">
                  <w:rPr>
                    <w:rFonts w:ascii="Arial" w:hAnsi="Arial" w:cs="Arial"/>
                    <w:noProof/>
                    <w:webHidden/>
                    <w:sz w:val="24"/>
                    <w:szCs w:val="24"/>
                  </w:rPr>
                  <w:fldChar w:fldCharType="end"/>
                </w:r>
              </w:hyperlink>
            </w:p>
            <w:p w14:paraId="2C53A3EE" w14:textId="63195016"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31" w:history="1">
                <w:r w:rsidRPr="006502E8">
                  <w:rPr>
                    <w:rStyle w:val="Hyperlink"/>
                    <w:rFonts w:ascii="Arial" w:eastAsia="Calibri" w:hAnsi="Arial" w:cs="Arial"/>
                    <w:noProof/>
                    <w:color w:val="auto"/>
                    <w:sz w:val="24"/>
                    <w:szCs w:val="24"/>
                  </w:rPr>
                  <w:t>3.5 Ethical Considerations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_Toc218184531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31</w:t>
                </w:r>
                <w:r w:rsidRPr="006502E8">
                  <w:rPr>
                    <w:rFonts w:ascii="Arial" w:hAnsi="Arial" w:cs="Arial"/>
                    <w:noProof/>
                    <w:webHidden/>
                    <w:sz w:val="24"/>
                    <w:szCs w:val="24"/>
                  </w:rPr>
                  <w:fldChar w:fldCharType="end"/>
                </w:r>
              </w:hyperlink>
            </w:p>
            <w:p w14:paraId="1FC4B96E" w14:textId="05389564"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32" w:history="1">
                <w:r w:rsidRPr="006502E8">
                  <w:rPr>
                    <w:rStyle w:val="Hyperlink"/>
                    <w:rFonts w:ascii="Arial" w:eastAsia="Calibri" w:hAnsi="Arial" w:cs="Arial"/>
                    <w:noProof/>
                    <w:color w:val="auto"/>
                    <w:sz w:val="24"/>
                    <w:szCs w:val="24"/>
                  </w:rPr>
                  <w:t>3.6 Methodical Limitations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_Toc218184532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31</w:t>
                </w:r>
                <w:r w:rsidRPr="006502E8">
                  <w:rPr>
                    <w:rFonts w:ascii="Arial" w:hAnsi="Arial" w:cs="Arial"/>
                    <w:noProof/>
                    <w:webHidden/>
                    <w:sz w:val="24"/>
                    <w:szCs w:val="24"/>
                  </w:rPr>
                  <w:fldChar w:fldCharType="end"/>
                </w:r>
              </w:hyperlink>
            </w:p>
            <w:p w14:paraId="590A6DE0" w14:textId="196EAE59"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533" w:history="1">
                <w:r w:rsidRPr="006502E8">
                  <w:rPr>
                    <w:rStyle w:val="Hyperlink"/>
                    <w:rFonts w:ascii="Arial" w:eastAsia="Calibri" w:hAnsi="Arial" w:cs="Arial"/>
                    <w:noProof/>
                    <w:color w:val="auto"/>
                    <w:szCs w:val="24"/>
                  </w:rPr>
                  <w:t>Chapter 4: Results</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_Toc218184533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32</w:t>
                </w:r>
                <w:r w:rsidRPr="006502E8">
                  <w:rPr>
                    <w:rFonts w:ascii="Arial" w:hAnsi="Arial" w:cs="Arial"/>
                    <w:noProof/>
                    <w:webHidden/>
                    <w:color w:val="auto"/>
                    <w:szCs w:val="24"/>
                  </w:rPr>
                  <w:fldChar w:fldCharType="end"/>
                </w:r>
              </w:hyperlink>
            </w:p>
            <w:p w14:paraId="00261E12" w14:textId="5419B9ED"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34" w:history="1">
                <w:r w:rsidRPr="006502E8">
                  <w:rPr>
                    <w:rStyle w:val="Hyperlink"/>
                    <w:rFonts w:ascii="Arial" w:hAnsi="Arial" w:cs="Arial"/>
                    <w:noProof/>
                    <w:color w:val="auto"/>
                    <w:sz w:val="24"/>
                    <w:szCs w:val="24"/>
                  </w:rPr>
                  <w:t>4.1 Overview of the section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_Toc218184534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32</w:t>
                </w:r>
                <w:r w:rsidRPr="006502E8">
                  <w:rPr>
                    <w:rFonts w:ascii="Arial" w:hAnsi="Arial" w:cs="Arial"/>
                    <w:noProof/>
                    <w:webHidden/>
                    <w:sz w:val="24"/>
                    <w:szCs w:val="24"/>
                  </w:rPr>
                  <w:fldChar w:fldCharType="end"/>
                </w:r>
              </w:hyperlink>
            </w:p>
            <w:p w14:paraId="515C3709" w14:textId="38F594BA"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35" w:history="1">
                <w:r w:rsidRPr="006502E8">
                  <w:rPr>
                    <w:rStyle w:val="Hyperlink"/>
                    <w:rFonts w:ascii="Arial" w:eastAsia="Calibri" w:hAnsi="Arial" w:cs="Arial"/>
                    <w:noProof/>
                    <w:color w:val="auto"/>
                    <w:sz w:val="24"/>
                    <w:szCs w:val="24"/>
                  </w:rPr>
                  <w:t>4.2 Overview of Prisma</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_Toc218184535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32</w:t>
                </w:r>
                <w:r w:rsidRPr="006502E8">
                  <w:rPr>
                    <w:rFonts w:ascii="Arial" w:hAnsi="Arial" w:cs="Arial"/>
                    <w:noProof/>
                    <w:webHidden/>
                    <w:sz w:val="24"/>
                    <w:szCs w:val="24"/>
                  </w:rPr>
                  <w:fldChar w:fldCharType="end"/>
                </w:r>
              </w:hyperlink>
            </w:p>
            <w:p w14:paraId="59B82B56" w14:textId="77397966"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36" w:history="1">
                <w:r w:rsidRPr="003077FE">
                  <w:rPr>
                    <w:rStyle w:val="Hyperlink"/>
                    <w:rFonts w:ascii="Arial" w:hAnsi="Arial" w:cs="Arial"/>
                    <w:noProof/>
                    <w:color w:val="auto"/>
                    <w:sz w:val="24"/>
                    <w:szCs w:val="24"/>
                  </w:rPr>
                  <w:t>4.6 Systematic literature review table for data extraction</w:t>
                </w:r>
                <w:r w:rsidRPr="003077FE">
                  <w:rPr>
                    <w:rFonts w:ascii="Arial" w:hAnsi="Arial" w:cs="Arial"/>
                    <w:noProof/>
                    <w:webHidden/>
                    <w:sz w:val="24"/>
                    <w:szCs w:val="24"/>
                  </w:rPr>
                  <w:tab/>
                </w:r>
                <w:r w:rsidRPr="003077FE">
                  <w:rPr>
                    <w:rFonts w:ascii="Arial" w:hAnsi="Arial" w:cs="Arial"/>
                    <w:noProof/>
                    <w:webHidden/>
                    <w:sz w:val="24"/>
                    <w:szCs w:val="24"/>
                  </w:rPr>
                  <w:fldChar w:fldCharType="begin"/>
                </w:r>
                <w:r w:rsidRPr="003077FE">
                  <w:rPr>
                    <w:rFonts w:ascii="Arial" w:hAnsi="Arial" w:cs="Arial"/>
                    <w:noProof/>
                    <w:webHidden/>
                    <w:sz w:val="24"/>
                    <w:szCs w:val="24"/>
                  </w:rPr>
                  <w:instrText xml:space="preserve"> PAGEREF _Toc218184536 \h </w:instrText>
                </w:r>
                <w:r w:rsidRPr="003077FE">
                  <w:rPr>
                    <w:rFonts w:ascii="Arial" w:hAnsi="Arial" w:cs="Arial"/>
                    <w:noProof/>
                    <w:webHidden/>
                    <w:sz w:val="24"/>
                    <w:szCs w:val="24"/>
                  </w:rPr>
                </w:r>
                <w:r w:rsidRPr="003077FE">
                  <w:rPr>
                    <w:rFonts w:ascii="Arial" w:hAnsi="Arial" w:cs="Arial"/>
                    <w:noProof/>
                    <w:webHidden/>
                    <w:sz w:val="24"/>
                    <w:szCs w:val="24"/>
                  </w:rPr>
                  <w:fldChar w:fldCharType="separate"/>
                </w:r>
                <w:r w:rsidR="00433AC8">
                  <w:rPr>
                    <w:rFonts w:ascii="Arial" w:hAnsi="Arial" w:cs="Arial"/>
                    <w:noProof/>
                    <w:webHidden/>
                    <w:sz w:val="24"/>
                    <w:szCs w:val="24"/>
                  </w:rPr>
                  <w:t>34</w:t>
                </w:r>
                <w:r w:rsidRPr="003077FE">
                  <w:rPr>
                    <w:rFonts w:ascii="Arial" w:hAnsi="Arial" w:cs="Arial"/>
                    <w:noProof/>
                    <w:webHidden/>
                    <w:sz w:val="24"/>
                    <w:szCs w:val="24"/>
                  </w:rPr>
                  <w:fldChar w:fldCharType="end"/>
                </w:r>
              </w:hyperlink>
            </w:p>
            <w:p w14:paraId="09636D05" w14:textId="797172AB"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37" w:history="1">
                <w:r w:rsidRPr="006502E8">
                  <w:rPr>
                    <w:rStyle w:val="Hyperlink"/>
                    <w:rFonts w:ascii="Arial" w:hAnsi="Arial" w:cs="Arial"/>
                    <w:noProof/>
                    <w:color w:val="auto"/>
                    <w:sz w:val="24"/>
                    <w:szCs w:val="24"/>
                  </w:rPr>
                  <w:t>4.3 Theme 1: Microbial Risks Associated with Poor-Quality Housing</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_Toc218184537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37</w:t>
                </w:r>
                <w:r w:rsidRPr="006502E8">
                  <w:rPr>
                    <w:rFonts w:ascii="Arial" w:hAnsi="Arial" w:cs="Arial"/>
                    <w:noProof/>
                    <w:webHidden/>
                    <w:sz w:val="24"/>
                    <w:szCs w:val="24"/>
                  </w:rPr>
                  <w:fldChar w:fldCharType="end"/>
                </w:r>
              </w:hyperlink>
            </w:p>
            <w:p w14:paraId="465A0613" w14:textId="5B1E3AEB"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38" w:history="1">
                <w:r w:rsidRPr="006502E8">
                  <w:rPr>
                    <w:rStyle w:val="Hyperlink"/>
                    <w:rFonts w:ascii="Arial" w:hAnsi="Arial" w:cs="Arial"/>
                    <w:noProof/>
                    <w:color w:val="auto"/>
                    <w:sz w:val="24"/>
                    <w:szCs w:val="24"/>
                  </w:rPr>
                  <w:t>4.3.1 Persistent Damp and Mould as Key Drivers of Respiratory Illness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_Toc218184538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37</w:t>
                </w:r>
                <w:r w:rsidRPr="006502E8">
                  <w:rPr>
                    <w:rFonts w:ascii="Arial" w:hAnsi="Arial" w:cs="Arial"/>
                    <w:noProof/>
                    <w:webHidden/>
                    <w:sz w:val="24"/>
                    <w:szCs w:val="24"/>
                  </w:rPr>
                  <w:fldChar w:fldCharType="end"/>
                </w:r>
              </w:hyperlink>
            </w:p>
            <w:p w14:paraId="06A7D5A8" w14:textId="414AED05"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39" w:history="1">
                <w:r w:rsidRPr="006502E8">
                  <w:rPr>
                    <w:rStyle w:val="Hyperlink"/>
                    <w:rFonts w:ascii="Arial" w:hAnsi="Arial" w:cs="Arial"/>
                    <w:noProof/>
                    <w:color w:val="auto"/>
                    <w:sz w:val="24"/>
                    <w:szCs w:val="24"/>
                  </w:rPr>
                  <w:t>4.3.2 Bacterial Growth Resulting From Structural Defects and Inadequate Sanitation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_Toc218184539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39</w:t>
                </w:r>
                <w:r w:rsidRPr="006502E8">
                  <w:rPr>
                    <w:rFonts w:ascii="Arial" w:hAnsi="Arial" w:cs="Arial"/>
                    <w:noProof/>
                    <w:webHidden/>
                    <w:sz w:val="24"/>
                    <w:szCs w:val="24"/>
                  </w:rPr>
                  <w:fldChar w:fldCharType="end"/>
                </w:r>
              </w:hyperlink>
            </w:p>
            <w:p w14:paraId="6FBC3DD5" w14:textId="5B7FC9DE"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40" w:history="1">
                <w:r w:rsidRPr="006502E8">
                  <w:rPr>
                    <w:rStyle w:val="Hyperlink"/>
                    <w:rFonts w:ascii="Arial" w:hAnsi="Arial" w:cs="Arial"/>
                    <w:noProof/>
                    <w:color w:val="auto"/>
                    <w:sz w:val="24"/>
                    <w:szCs w:val="24"/>
                  </w:rPr>
                  <w:t>4.4 Theme 2: Public Health Views on Housing Conditions and Respiratory Disease</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_Toc218184540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40</w:t>
                </w:r>
                <w:r w:rsidRPr="006502E8">
                  <w:rPr>
                    <w:rFonts w:ascii="Arial" w:hAnsi="Arial" w:cs="Arial"/>
                    <w:noProof/>
                    <w:webHidden/>
                    <w:sz w:val="24"/>
                    <w:szCs w:val="24"/>
                  </w:rPr>
                  <w:fldChar w:fldCharType="end"/>
                </w:r>
              </w:hyperlink>
            </w:p>
            <w:p w14:paraId="239D103D" w14:textId="78CF06ED"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41" w:history="1">
                <w:r w:rsidRPr="006502E8">
                  <w:rPr>
                    <w:rStyle w:val="Hyperlink"/>
                    <w:rFonts w:ascii="Arial" w:hAnsi="Arial" w:cs="Arial"/>
                    <w:noProof/>
                    <w:color w:val="auto"/>
                    <w:sz w:val="24"/>
                    <w:szCs w:val="24"/>
                  </w:rPr>
                  <w:t>4.4.1 Understanding Housing Quality as a Critical Public Health Factor</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_Toc218184541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40</w:t>
                </w:r>
                <w:r w:rsidRPr="006502E8">
                  <w:rPr>
                    <w:rFonts w:ascii="Arial" w:hAnsi="Arial" w:cs="Arial"/>
                    <w:noProof/>
                    <w:webHidden/>
                    <w:sz w:val="24"/>
                    <w:szCs w:val="24"/>
                  </w:rPr>
                  <w:fldChar w:fldCharType="end"/>
                </w:r>
              </w:hyperlink>
            </w:p>
            <w:p w14:paraId="5B84B160" w14:textId="578FB0A8"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42" w:history="1">
                <w:r w:rsidRPr="006502E8">
                  <w:rPr>
                    <w:rStyle w:val="Hyperlink"/>
                    <w:rFonts w:ascii="Arial" w:hAnsi="Arial" w:cs="Arial"/>
                    <w:noProof/>
                    <w:color w:val="auto"/>
                    <w:sz w:val="24"/>
                    <w:szCs w:val="24"/>
                  </w:rPr>
                  <w:t>4.4.2 Obstacles to Delivering Effective Preventive Health Measures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_Toc218184542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42</w:t>
                </w:r>
                <w:r w:rsidRPr="006502E8">
                  <w:rPr>
                    <w:rFonts w:ascii="Arial" w:hAnsi="Arial" w:cs="Arial"/>
                    <w:noProof/>
                    <w:webHidden/>
                    <w:sz w:val="24"/>
                    <w:szCs w:val="24"/>
                  </w:rPr>
                  <w:fldChar w:fldCharType="end"/>
                </w:r>
              </w:hyperlink>
            </w:p>
            <w:p w14:paraId="0C959914" w14:textId="40AF45AD"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43" w:history="1">
                <w:r w:rsidRPr="006502E8">
                  <w:rPr>
                    <w:rStyle w:val="Hyperlink"/>
                    <w:rFonts w:ascii="Arial" w:hAnsi="Arial" w:cs="Arial"/>
                    <w:noProof/>
                    <w:color w:val="auto"/>
                    <w:sz w:val="24"/>
                    <w:szCs w:val="24"/>
                  </w:rPr>
                  <w:t>4.5 Theme 3: Social Care Insights into Vulnerable Residents’ Exposure</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_Toc218184543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43</w:t>
                </w:r>
                <w:r w:rsidRPr="006502E8">
                  <w:rPr>
                    <w:rFonts w:ascii="Arial" w:hAnsi="Arial" w:cs="Arial"/>
                    <w:noProof/>
                    <w:webHidden/>
                    <w:sz w:val="24"/>
                    <w:szCs w:val="24"/>
                  </w:rPr>
                  <w:fldChar w:fldCharType="end"/>
                </w:r>
              </w:hyperlink>
            </w:p>
            <w:p w14:paraId="621E48A4" w14:textId="64DEA4B8"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44" w:history="1">
                <w:r w:rsidRPr="006502E8">
                  <w:rPr>
                    <w:rStyle w:val="Hyperlink"/>
                    <w:rFonts w:ascii="Arial" w:hAnsi="Arial" w:cs="Arial"/>
                    <w:noProof/>
                    <w:color w:val="auto"/>
                    <w:sz w:val="24"/>
                    <w:szCs w:val="24"/>
                  </w:rPr>
                  <w:t>4.5.1 Effects on High-Risk Populations: Young adults who are in Economically Disadvantaged Households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_Toc218184544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43</w:t>
                </w:r>
                <w:r w:rsidRPr="006502E8">
                  <w:rPr>
                    <w:rFonts w:ascii="Arial" w:hAnsi="Arial" w:cs="Arial"/>
                    <w:noProof/>
                    <w:webHidden/>
                    <w:sz w:val="24"/>
                    <w:szCs w:val="24"/>
                  </w:rPr>
                  <w:fldChar w:fldCharType="end"/>
                </w:r>
              </w:hyperlink>
            </w:p>
            <w:p w14:paraId="3ED59425" w14:textId="69420E67"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45" w:history="1">
                <w:r w:rsidRPr="006502E8">
                  <w:rPr>
                    <w:rStyle w:val="Hyperlink"/>
                    <w:rFonts w:ascii="Arial" w:hAnsi="Arial" w:cs="Arial"/>
                    <w:noProof/>
                    <w:color w:val="auto"/>
                    <w:sz w:val="24"/>
                    <w:szCs w:val="24"/>
                  </w:rPr>
                  <w:t>4.5.2 Limitations Hindering Timely Assistance and Preventive Support</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_Toc218184545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44</w:t>
                </w:r>
                <w:r w:rsidRPr="006502E8">
                  <w:rPr>
                    <w:rFonts w:ascii="Arial" w:hAnsi="Arial" w:cs="Arial"/>
                    <w:noProof/>
                    <w:webHidden/>
                    <w:sz w:val="24"/>
                    <w:szCs w:val="24"/>
                  </w:rPr>
                  <w:fldChar w:fldCharType="end"/>
                </w:r>
              </w:hyperlink>
            </w:p>
            <w:p w14:paraId="22A11DBE" w14:textId="0856D43D"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46" w:history="1">
                <w:r w:rsidRPr="006502E8">
                  <w:rPr>
                    <w:rStyle w:val="Hyperlink"/>
                    <w:rFonts w:ascii="Arial" w:hAnsi="Arial" w:cs="Arial"/>
                    <w:noProof/>
                    <w:color w:val="auto"/>
                    <w:sz w:val="24"/>
                    <w:szCs w:val="24"/>
                  </w:rPr>
                  <w:t>4.6 Cross-Theme Synthesis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_Toc218184546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45</w:t>
                </w:r>
                <w:r w:rsidRPr="006502E8">
                  <w:rPr>
                    <w:rFonts w:ascii="Arial" w:hAnsi="Arial" w:cs="Arial"/>
                    <w:noProof/>
                    <w:webHidden/>
                    <w:sz w:val="24"/>
                    <w:szCs w:val="24"/>
                  </w:rPr>
                  <w:fldChar w:fldCharType="end"/>
                </w:r>
              </w:hyperlink>
            </w:p>
            <w:p w14:paraId="19FED4BF" w14:textId="039D6328"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47" w:history="1">
                <w:r w:rsidRPr="006502E8">
                  <w:rPr>
                    <w:rStyle w:val="Hyperlink"/>
                    <w:rFonts w:ascii="Arial" w:hAnsi="Arial" w:cs="Arial"/>
                    <w:noProof/>
                    <w:color w:val="auto"/>
                    <w:sz w:val="24"/>
                    <w:szCs w:val="24"/>
                  </w:rPr>
                  <w:t>4.7 Summary of Findings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_Toc218184547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47</w:t>
                </w:r>
                <w:r w:rsidRPr="006502E8">
                  <w:rPr>
                    <w:rFonts w:ascii="Arial" w:hAnsi="Arial" w:cs="Arial"/>
                    <w:noProof/>
                    <w:webHidden/>
                    <w:sz w:val="24"/>
                    <w:szCs w:val="24"/>
                  </w:rPr>
                  <w:fldChar w:fldCharType="end"/>
                </w:r>
              </w:hyperlink>
            </w:p>
            <w:p w14:paraId="60346B3E" w14:textId="1D57DE9E"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548" w:history="1">
                <w:r w:rsidRPr="006502E8">
                  <w:rPr>
                    <w:rStyle w:val="Hyperlink"/>
                    <w:rFonts w:ascii="Arial" w:eastAsia="Calibri" w:hAnsi="Arial" w:cs="Arial"/>
                    <w:noProof/>
                    <w:color w:val="auto"/>
                    <w:szCs w:val="24"/>
                  </w:rPr>
                  <w:t>Chapter 5: Discussion</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_Toc218184548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48</w:t>
                </w:r>
                <w:r w:rsidRPr="006502E8">
                  <w:rPr>
                    <w:rFonts w:ascii="Arial" w:hAnsi="Arial" w:cs="Arial"/>
                    <w:noProof/>
                    <w:webHidden/>
                    <w:color w:val="auto"/>
                    <w:szCs w:val="24"/>
                  </w:rPr>
                  <w:fldChar w:fldCharType="end"/>
                </w:r>
              </w:hyperlink>
            </w:p>
            <w:p w14:paraId="56030AC8" w14:textId="689CB024"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49" w:history="1">
                <w:r w:rsidRPr="006502E8">
                  <w:rPr>
                    <w:rStyle w:val="Hyperlink"/>
                    <w:rFonts w:ascii="Arial" w:eastAsia="Arial" w:hAnsi="Arial" w:cs="Arial"/>
                    <w:noProof/>
                    <w:color w:val="auto"/>
                    <w:sz w:val="24"/>
                    <w:szCs w:val="24"/>
                  </w:rPr>
                  <w:t>5.1 Introduction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_Toc218184549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48</w:t>
                </w:r>
                <w:r w:rsidRPr="006502E8">
                  <w:rPr>
                    <w:rFonts w:ascii="Arial" w:hAnsi="Arial" w:cs="Arial"/>
                    <w:noProof/>
                    <w:webHidden/>
                    <w:sz w:val="24"/>
                    <w:szCs w:val="24"/>
                  </w:rPr>
                  <w:fldChar w:fldCharType="end"/>
                </w:r>
              </w:hyperlink>
            </w:p>
            <w:p w14:paraId="4DC16BA7" w14:textId="48568F65"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50" w:history="1">
                <w:r w:rsidRPr="006502E8">
                  <w:rPr>
                    <w:rStyle w:val="Hyperlink"/>
                    <w:rFonts w:ascii="Arial" w:eastAsia="Arial" w:hAnsi="Arial" w:cs="Arial"/>
                    <w:noProof/>
                    <w:color w:val="auto"/>
                    <w:sz w:val="24"/>
                    <w:szCs w:val="24"/>
                  </w:rPr>
                  <w:t>5.2 Interpretation of results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_Toc218184550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48</w:t>
                </w:r>
                <w:r w:rsidRPr="006502E8">
                  <w:rPr>
                    <w:rFonts w:ascii="Arial" w:hAnsi="Arial" w:cs="Arial"/>
                    <w:noProof/>
                    <w:webHidden/>
                    <w:sz w:val="24"/>
                    <w:szCs w:val="24"/>
                  </w:rPr>
                  <w:fldChar w:fldCharType="end"/>
                </w:r>
              </w:hyperlink>
            </w:p>
            <w:p w14:paraId="104BCD12" w14:textId="002EA6BB"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51" w:history="1">
                <w:r w:rsidRPr="006502E8">
                  <w:rPr>
                    <w:rStyle w:val="Hyperlink"/>
                    <w:rFonts w:ascii="Arial" w:hAnsi="Arial" w:cs="Arial"/>
                    <w:noProof/>
                    <w:color w:val="auto"/>
                    <w:sz w:val="24"/>
                    <w:szCs w:val="24"/>
                  </w:rPr>
                  <w:t>5.2.1 Theme 1: Microbial risks associated with poor-quality housing</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_Toc218184551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48</w:t>
                </w:r>
                <w:r w:rsidRPr="006502E8">
                  <w:rPr>
                    <w:rFonts w:ascii="Arial" w:hAnsi="Arial" w:cs="Arial"/>
                    <w:noProof/>
                    <w:webHidden/>
                    <w:sz w:val="24"/>
                    <w:szCs w:val="24"/>
                  </w:rPr>
                  <w:fldChar w:fldCharType="end"/>
                </w:r>
              </w:hyperlink>
            </w:p>
            <w:p w14:paraId="4706F87E" w14:textId="70D1983E"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52" w:history="1">
                <w:r w:rsidRPr="006502E8">
                  <w:rPr>
                    <w:rStyle w:val="Hyperlink"/>
                    <w:rFonts w:ascii="Arial" w:hAnsi="Arial" w:cs="Arial"/>
                    <w:noProof/>
                    <w:color w:val="auto"/>
                    <w:sz w:val="24"/>
                    <w:szCs w:val="24"/>
                  </w:rPr>
                  <w:t>5.2.2 Theme 2: Public health views on housing conditions and respiratory disease</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_Toc218184552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49</w:t>
                </w:r>
                <w:r w:rsidRPr="006502E8">
                  <w:rPr>
                    <w:rFonts w:ascii="Arial" w:hAnsi="Arial" w:cs="Arial"/>
                    <w:noProof/>
                    <w:webHidden/>
                    <w:sz w:val="24"/>
                    <w:szCs w:val="24"/>
                  </w:rPr>
                  <w:fldChar w:fldCharType="end"/>
                </w:r>
              </w:hyperlink>
            </w:p>
            <w:p w14:paraId="7177C227" w14:textId="77F476AC" w:rsidR="00D2742C" w:rsidRPr="006502E8" w:rsidRDefault="00D2742C" w:rsidP="00433AC8">
              <w:pPr>
                <w:pStyle w:val="TOC3"/>
                <w:tabs>
                  <w:tab w:val="right" w:leader="dot" w:pos="9016"/>
                </w:tabs>
                <w:spacing w:line="360" w:lineRule="auto"/>
                <w:rPr>
                  <w:rFonts w:ascii="Arial" w:hAnsi="Arial" w:cs="Arial"/>
                  <w:noProof/>
                  <w:sz w:val="24"/>
                  <w:szCs w:val="24"/>
                  <w:lang w:val="en-IN" w:eastAsia="en-IN"/>
                </w:rPr>
              </w:pPr>
              <w:hyperlink w:anchor="_Toc218184553" w:history="1">
                <w:r w:rsidRPr="006502E8">
                  <w:rPr>
                    <w:rStyle w:val="Hyperlink"/>
                    <w:rFonts w:ascii="Arial" w:hAnsi="Arial" w:cs="Arial"/>
                    <w:noProof/>
                    <w:color w:val="auto"/>
                    <w:sz w:val="24"/>
                    <w:szCs w:val="24"/>
                  </w:rPr>
                  <w:t>5.2.3 Theme 3: Social care insights into vulnerable residents’ exposure</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_Toc218184553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51</w:t>
                </w:r>
                <w:r w:rsidRPr="006502E8">
                  <w:rPr>
                    <w:rFonts w:ascii="Arial" w:hAnsi="Arial" w:cs="Arial"/>
                    <w:noProof/>
                    <w:webHidden/>
                    <w:sz w:val="24"/>
                    <w:szCs w:val="24"/>
                  </w:rPr>
                  <w:fldChar w:fldCharType="end"/>
                </w:r>
              </w:hyperlink>
            </w:p>
            <w:p w14:paraId="1A603DD8" w14:textId="6B348257"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54" w:history="1">
                <w:r w:rsidRPr="006502E8">
                  <w:rPr>
                    <w:rStyle w:val="Hyperlink"/>
                    <w:rFonts w:ascii="Arial" w:hAnsi="Arial" w:cs="Arial"/>
                    <w:noProof/>
                    <w:color w:val="auto"/>
                    <w:sz w:val="24"/>
                    <w:szCs w:val="24"/>
                  </w:rPr>
                  <w:t>5.3 Discussion of implications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_Toc218184554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53</w:t>
                </w:r>
                <w:r w:rsidRPr="006502E8">
                  <w:rPr>
                    <w:rFonts w:ascii="Arial" w:hAnsi="Arial" w:cs="Arial"/>
                    <w:noProof/>
                    <w:webHidden/>
                    <w:sz w:val="24"/>
                    <w:szCs w:val="24"/>
                  </w:rPr>
                  <w:fldChar w:fldCharType="end"/>
                </w:r>
              </w:hyperlink>
            </w:p>
            <w:p w14:paraId="79313BB1" w14:textId="39F569F4"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55" w:history="1">
                <w:r w:rsidRPr="006502E8">
                  <w:rPr>
                    <w:rStyle w:val="Hyperlink"/>
                    <w:rFonts w:ascii="Arial" w:hAnsi="Arial" w:cs="Arial"/>
                    <w:noProof/>
                    <w:color w:val="auto"/>
                    <w:sz w:val="24"/>
                    <w:szCs w:val="24"/>
                  </w:rPr>
                  <w:t>5.4 Acknowledge the limitations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_Toc218184555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55</w:t>
                </w:r>
                <w:r w:rsidRPr="006502E8">
                  <w:rPr>
                    <w:rFonts w:ascii="Arial" w:hAnsi="Arial" w:cs="Arial"/>
                    <w:noProof/>
                    <w:webHidden/>
                    <w:sz w:val="24"/>
                    <w:szCs w:val="24"/>
                  </w:rPr>
                  <w:fldChar w:fldCharType="end"/>
                </w:r>
              </w:hyperlink>
            </w:p>
            <w:p w14:paraId="70CBE64A" w14:textId="59175273"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56" w:history="1">
                <w:r w:rsidRPr="006502E8">
                  <w:rPr>
                    <w:rStyle w:val="Hyperlink"/>
                    <w:rFonts w:ascii="Arial" w:hAnsi="Arial" w:cs="Arial"/>
                    <w:noProof/>
                    <w:color w:val="auto"/>
                    <w:sz w:val="24"/>
                    <w:szCs w:val="24"/>
                  </w:rPr>
                  <w:t>5.5 Summary</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_Toc218184556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56</w:t>
                </w:r>
                <w:r w:rsidRPr="006502E8">
                  <w:rPr>
                    <w:rFonts w:ascii="Arial" w:hAnsi="Arial" w:cs="Arial"/>
                    <w:noProof/>
                    <w:webHidden/>
                    <w:sz w:val="24"/>
                    <w:szCs w:val="24"/>
                  </w:rPr>
                  <w:fldChar w:fldCharType="end"/>
                </w:r>
              </w:hyperlink>
            </w:p>
            <w:p w14:paraId="594EA1C9" w14:textId="4665526C"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557" w:history="1">
                <w:r w:rsidRPr="006502E8">
                  <w:rPr>
                    <w:rStyle w:val="Hyperlink"/>
                    <w:rFonts w:ascii="Arial" w:eastAsia="Calibri" w:hAnsi="Arial" w:cs="Arial"/>
                    <w:noProof/>
                    <w:color w:val="auto"/>
                    <w:szCs w:val="24"/>
                  </w:rPr>
                  <w:t>Chapter 6: Conclusion</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_Toc218184557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57</w:t>
                </w:r>
                <w:r w:rsidRPr="006502E8">
                  <w:rPr>
                    <w:rFonts w:ascii="Arial" w:hAnsi="Arial" w:cs="Arial"/>
                    <w:noProof/>
                    <w:webHidden/>
                    <w:color w:val="auto"/>
                    <w:szCs w:val="24"/>
                  </w:rPr>
                  <w:fldChar w:fldCharType="end"/>
                </w:r>
              </w:hyperlink>
            </w:p>
            <w:p w14:paraId="38A1946E" w14:textId="04FDD218"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58" w:history="1">
                <w:r w:rsidRPr="006502E8">
                  <w:rPr>
                    <w:rStyle w:val="Hyperlink"/>
                    <w:rFonts w:ascii="Arial" w:hAnsi="Arial" w:cs="Arial"/>
                    <w:noProof/>
                    <w:color w:val="auto"/>
                    <w:sz w:val="24"/>
                    <w:szCs w:val="24"/>
                    <w:lang w:val="en-IN"/>
                  </w:rPr>
                  <w:t>6.1 Overall Conclusion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_Toc218184558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57</w:t>
                </w:r>
                <w:r w:rsidRPr="006502E8">
                  <w:rPr>
                    <w:rFonts w:ascii="Arial" w:hAnsi="Arial" w:cs="Arial"/>
                    <w:noProof/>
                    <w:webHidden/>
                    <w:sz w:val="24"/>
                    <w:szCs w:val="24"/>
                  </w:rPr>
                  <w:fldChar w:fldCharType="end"/>
                </w:r>
              </w:hyperlink>
            </w:p>
            <w:p w14:paraId="29C815D5" w14:textId="5B02F229"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59" w:history="1">
                <w:r w:rsidRPr="006502E8">
                  <w:rPr>
                    <w:rStyle w:val="Hyperlink"/>
                    <w:rFonts w:ascii="Arial" w:hAnsi="Arial" w:cs="Arial"/>
                    <w:noProof/>
                    <w:color w:val="auto"/>
                    <w:sz w:val="24"/>
                    <w:szCs w:val="24"/>
                    <w:lang w:val="en-IN"/>
                  </w:rPr>
                  <w:t>6.2 Answering the research question</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_Toc218184559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57</w:t>
                </w:r>
                <w:r w:rsidRPr="006502E8">
                  <w:rPr>
                    <w:rFonts w:ascii="Arial" w:hAnsi="Arial" w:cs="Arial"/>
                    <w:noProof/>
                    <w:webHidden/>
                    <w:sz w:val="24"/>
                    <w:szCs w:val="24"/>
                  </w:rPr>
                  <w:fldChar w:fldCharType="end"/>
                </w:r>
              </w:hyperlink>
            </w:p>
            <w:p w14:paraId="7BFA45FF" w14:textId="72BD45F7"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60" w:history="1">
                <w:r w:rsidRPr="006502E8">
                  <w:rPr>
                    <w:rStyle w:val="Hyperlink"/>
                    <w:rFonts w:ascii="Arial" w:hAnsi="Arial" w:cs="Arial"/>
                    <w:noProof/>
                    <w:color w:val="auto"/>
                    <w:sz w:val="24"/>
                    <w:szCs w:val="24"/>
                    <w:lang w:val="en-IN"/>
                  </w:rPr>
                  <w:t>6.3 Recommendations</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_Toc218184560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59</w:t>
                </w:r>
                <w:r w:rsidRPr="006502E8">
                  <w:rPr>
                    <w:rFonts w:ascii="Arial" w:hAnsi="Arial" w:cs="Arial"/>
                    <w:noProof/>
                    <w:webHidden/>
                    <w:sz w:val="24"/>
                    <w:szCs w:val="24"/>
                  </w:rPr>
                  <w:fldChar w:fldCharType="end"/>
                </w:r>
              </w:hyperlink>
            </w:p>
            <w:p w14:paraId="4B5C3BA0" w14:textId="3648A759"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61" w:history="1">
                <w:r w:rsidRPr="006502E8">
                  <w:rPr>
                    <w:rStyle w:val="Hyperlink"/>
                    <w:rFonts w:ascii="Arial" w:hAnsi="Arial" w:cs="Arial"/>
                    <w:noProof/>
                    <w:color w:val="auto"/>
                    <w:sz w:val="24"/>
                    <w:szCs w:val="24"/>
                    <w:lang w:val="en-IN"/>
                  </w:rPr>
                  <w:t>6.4 Scope for future research</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_Toc218184561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60</w:t>
                </w:r>
                <w:r w:rsidRPr="006502E8">
                  <w:rPr>
                    <w:rFonts w:ascii="Arial" w:hAnsi="Arial" w:cs="Arial"/>
                    <w:noProof/>
                    <w:webHidden/>
                    <w:sz w:val="24"/>
                    <w:szCs w:val="24"/>
                  </w:rPr>
                  <w:fldChar w:fldCharType="end"/>
                </w:r>
              </w:hyperlink>
            </w:p>
            <w:p w14:paraId="2C6849DC" w14:textId="30FBE4F2"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62" w:history="1">
                <w:r w:rsidRPr="006502E8">
                  <w:rPr>
                    <w:rStyle w:val="Hyperlink"/>
                    <w:rFonts w:ascii="Arial" w:hAnsi="Arial" w:cs="Arial"/>
                    <w:noProof/>
                    <w:color w:val="auto"/>
                    <w:sz w:val="24"/>
                    <w:szCs w:val="24"/>
                    <w:lang w:val="en-IN"/>
                  </w:rPr>
                  <w:t>6.5 Contribution to Knowledge and Significance of the Study</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_Toc218184562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61</w:t>
                </w:r>
                <w:r w:rsidRPr="006502E8">
                  <w:rPr>
                    <w:rFonts w:ascii="Arial" w:hAnsi="Arial" w:cs="Arial"/>
                    <w:noProof/>
                    <w:webHidden/>
                    <w:sz w:val="24"/>
                    <w:szCs w:val="24"/>
                  </w:rPr>
                  <w:fldChar w:fldCharType="end"/>
                </w:r>
              </w:hyperlink>
            </w:p>
            <w:p w14:paraId="37E64381" w14:textId="4AC62032"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563" w:history="1">
                <w:r w:rsidRPr="006502E8">
                  <w:rPr>
                    <w:rStyle w:val="Hyperlink"/>
                    <w:rFonts w:ascii="Arial" w:eastAsia="Calibri" w:hAnsi="Arial" w:cs="Arial"/>
                    <w:noProof/>
                    <w:color w:val="auto"/>
                    <w:szCs w:val="24"/>
                  </w:rPr>
                  <w:t>Reference list</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_Toc218184563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62</w:t>
                </w:r>
                <w:r w:rsidRPr="006502E8">
                  <w:rPr>
                    <w:rFonts w:ascii="Arial" w:hAnsi="Arial" w:cs="Arial"/>
                    <w:noProof/>
                    <w:webHidden/>
                    <w:color w:val="auto"/>
                    <w:szCs w:val="24"/>
                  </w:rPr>
                  <w:fldChar w:fldCharType="end"/>
                </w:r>
              </w:hyperlink>
            </w:p>
            <w:p w14:paraId="17B889C0" w14:textId="53B858A0"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564" w:history="1">
                <w:r w:rsidRPr="006502E8">
                  <w:rPr>
                    <w:rStyle w:val="Hyperlink"/>
                    <w:rFonts w:ascii="Arial" w:eastAsia="Calibri" w:hAnsi="Arial" w:cs="Arial"/>
                    <w:noProof/>
                    <w:color w:val="auto"/>
                    <w:szCs w:val="24"/>
                  </w:rPr>
                  <w:t>Appendix 1: Prevalence of Non-Decent Housing Conditions in the UK</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_Toc218184564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72</w:t>
                </w:r>
                <w:r w:rsidRPr="006502E8">
                  <w:rPr>
                    <w:rFonts w:ascii="Arial" w:hAnsi="Arial" w:cs="Arial"/>
                    <w:noProof/>
                    <w:webHidden/>
                    <w:color w:val="auto"/>
                    <w:szCs w:val="24"/>
                  </w:rPr>
                  <w:fldChar w:fldCharType="end"/>
                </w:r>
              </w:hyperlink>
            </w:p>
            <w:p w14:paraId="1D895515" w14:textId="6EBB9051"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565" w:history="1">
                <w:r w:rsidRPr="006502E8">
                  <w:rPr>
                    <w:rStyle w:val="Hyperlink"/>
                    <w:rFonts w:ascii="Arial" w:eastAsia="Calibri" w:hAnsi="Arial" w:cs="Arial"/>
                    <w:noProof/>
                    <w:color w:val="auto"/>
                    <w:szCs w:val="24"/>
                  </w:rPr>
                  <w:t>Appendix 2: Poor housing conditions in the UK</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_Toc218184565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73</w:t>
                </w:r>
                <w:r w:rsidRPr="006502E8">
                  <w:rPr>
                    <w:rFonts w:ascii="Arial" w:hAnsi="Arial" w:cs="Arial"/>
                    <w:noProof/>
                    <w:webHidden/>
                    <w:color w:val="auto"/>
                    <w:szCs w:val="24"/>
                  </w:rPr>
                  <w:fldChar w:fldCharType="end"/>
                </w:r>
              </w:hyperlink>
            </w:p>
            <w:p w14:paraId="3891C14C" w14:textId="09269800"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566" w:history="1">
                <w:r w:rsidRPr="006502E8">
                  <w:rPr>
                    <w:rStyle w:val="Hyperlink"/>
                    <w:rFonts w:ascii="Arial" w:eastAsia="Calibri" w:hAnsi="Arial" w:cs="Arial"/>
                    <w:noProof/>
                    <w:color w:val="auto"/>
                    <w:szCs w:val="24"/>
                  </w:rPr>
                  <w:t>Appendix 3: Factors Influencing Indoor Mould Growth</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_Toc218184566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74</w:t>
                </w:r>
                <w:r w:rsidRPr="006502E8">
                  <w:rPr>
                    <w:rFonts w:ascii="Arial" w:hAnsi="Arial" w:cs="Arial"/>
                    <w:noProof/>
                    <w:webHidden/>
                    <w:color w:val="auto"/>
                    <w:szCs w:val="24"/>
                  </w:rPr>
                  <w:fldChar w:fldCharType="end"/>
                </w:r>
              </w:hyperlink>
            </w:p>
            <w:p w14:paraId="4AB16311" w14:textId="66F31791" w:rsidR="00D2742C" w:rsidRPr="006502E8" w:rsidRDefault="00D2742C" w:rsidP="00433AC8">
              <w:pPr>
                <w:pStyle w:val="TOC2"/>
                <w:tabs>
                  <w:tab w:val="right" w:leader="dot" w:pos="9016"/>
                </w:tabs>
                <w:spacing w:line="360" w:lineRule="auto"/>
                <w:rPr>
                  <w:rFonts w:ascii="Arial" w:hAnsi="Arial" w:cs="Arial"/>
                  <w:noProof/>
                  <w:sz w:val="24"/>
                  <w:szCs w:val="24"/>
                  <w:lang w:val="en-IN" w:eastAsia="en-IN"/>
                </w:rPr>
              </w:pPr>
              <w:hyperlink w:anchor="_Toc218184567" w:history="1">
                <w:r w:rsidRPr="006502E8">
                  <w:rPr>
                    <w:rStyle w:val="Hyperlink"/>
                    <w:rFonts w:ascii="Arial" w:hAnsi="Arial" w:cs="Arial"/>
                    <w:noProof/>
                    <w:color w:val="auto"/>
                    <w:sz w:val="24"/>
                    <w:szCs w:val="24"/>
                    <w:lang w:val="en-IN"/>
                  </w:rPr>
                  <w:t>Conceptual framework</w:t>
                </w:r>
                <w:r w:rsidRPr="006502E8">
                  <w:rPr>
                    <w:rFonts w:ascii="Arial" w:hAnsi="Arial" w:cs="Arial"/>
                    <w:noProof/>
                    <w:webHidden/>
                    <w:sz w:val="24"/>
                    <w:szCs w:val="24"/>
                  </w:rPr>
                  <w:tab/>
                </w:r>
                <w:r w:rsidRPr="006502E8">
                  <w:rPr>
                    <w:rFonts w:ascii="Arial" w:hAnsi="Arial" w:cs="Arial"/>
                    <w:noProof/>
                    <w:webHidden/>
                    <w:sz w:val="24"/>
                    <w:szCs w:val="24"/>
                  </w:rPr>
                  <w:fldChar w:fldCharType="begin"/>
                </w:r>
                <w:r w:rsidRPr="006502E8">
                  <w:rPr>
                    <w:rFonts w:ascii="Arial" w:hAnsi="Arial" w:cs="Arial"/>
                    <w:noProof/>
                    <w:webHidden/>
                    <w:sz w:val="24"/>
                    <w:szCs w:val="24"/>
                  </w:rPr>
                  <w:instrText xml:space="preserve"> PAGEREF _Toc218184567 \h </w:instrText>
                </w:r>
                <w:r w:rsidRPr="006502E8">
                  <w:rPr>
                    <w:rFonts w:ascii="Arial" w:hAnsi="Arial" w:cs="Arial"/>
                    <w:noProof/>
                    <w:webHidden/>
                    <w:sz w:val="24"/>
                    <w:szCs w:val="24"/>
                  </w:rPr>
                </w:r>
                <w:r w:rsidRPr="006502E8">
                  <w:rPr>
                    <w:rFonts w:ascii="Arial" w:hAnsi="Arial" w:cs="Arial"/>
                    <w:noProof/>
                    <w:webHidden/>
                    <w:sz w:val="24"/>
                    <w:szCs w:val="24"/>
                  </w:rPr>
                  <w:fldChar w:fldCharType="separate"/>
                </w:r>
                <w:r w:rsidR="00433AC8">
                  <w:rPr>
                    <w:rFonts w:ascii="Arial" w:hAnsi="Arial" w:cs="Arial"/>
                    <w:noProof/>
                    <w:webHidden/>
                    <w:sz w:val="24"/>
                    <w:szCs w:val="24"/>
                  </w:rPr>
                  <w:t>75</w:t>
                </w:r>
                <w:r w:rsidRPr="006502E8">
                  <w:rPr>
                    <w:rFonts w:ascii="Arial" w:hAnsi="Arial" w:cs="Arial"/>
                    <w:noProof/>
                    <w:webHidden/>
                    <w:sz w:val="24"/>
                    <w:szCs w:val="24"/>
                  </w:rPr>
                  <w:fldChar w:fldCharType="end"/>
                </w:r>
              </w:hyperlink>
            </w:p>
            <w:p w14:paraId="12325094" w14:textId="13239737" w:rsidR="00D2742C" w:rsidRPr="006502E8" w:rsidRDefault="00D2742C" w:rsidP="00433AC8">
              <w:pPr>
                <w:pStyle w:val="TOC1"/>
                <w:tabs>
                  <w:tab w:val="right" w:leader="dot" w:pos="9016"/>
                </w:tabs>
                <w:spacing w:line="360" w:lineRule="auto"/>
                <w:rPr>
                  <w:rFonts w:ascii="Arial" w:eastAsiaTheme="minorEastAsia" w:hAnsi="Arial" w:cs="Arial"/>
                  <w:noProof/>
                  <w:color w:val="auto"/>
                  <w:szCs w:val="24"/>
                  <w:lang w:val="en-IN" w:eastAsia="en-IN"/>
                </w:rPr>
              </w:pPr>
              <w:hyperlink w:anchor="_Toc218184568" w:history="1">
                <w:r w:rsidRPr="006502E8">
                  <w:rPr>
                    <w:rStyle w:val="Hyperlink"/>
                    <w:rFonts w:ascii="Arial" w:eastAsia="Calibri" w:hAnsi="Arial" w:cs="Arial"/>
                    <w:noProof/>
                    <w:color w:val="auto"/>
                    <w:szCs w:val="24"/>
                  </w:rPr>
                  <w:t>Appendix 5: CASP Checklist</w:t>
                </w:r>
                <w:r w:rsidRPr="006502E8">
                  <w:rPr>
                    <w:rFonts w:ascii="Arial" w:hAnsi="Arial" w:cs="Arial"/>
                    <w:noProof/>
                    <w:webHidden/>
                    <w:color w:val="auto"/>
                    <w:szCs w:val="24"/>
                  </w:rPr>
                  <w:tab/>
                </w:r>
                <w:r w:rsidRPr="006502E8">
                  <w:rPr>
                    <w:rFonts w:ascii="Arial" w:hAnsi="Arial" w:cs="Arial"/>
                    <w:noProof/>
                    <w:webHidden/>
                    <w:color w:val="auto"/>
                    <w:szCs w:val="24"/>
                  </w:rPr>
                  <w:fldChar w:fldCharType="begin"/>
                </w:r>
                <w:r w:rsidRPr="006502E8">
                  <w:rPr>
                    <w:rFonts w:ascii="Arial" w:hAnsi="Arial" w:cs="Arial"/>
                    <w:noProof/>
                    <w:webHidden/>
                    <w:color w:val="auto"/>
                    <w:szCs w:val="24"/>
                  </w:rPr>
                  <w:instrText xml:space="preserve"> PAGEREF _Toc218184568 \h </w:instrText>
                </w:r>
                <w:r w:rsidRPr="006502E8">
                  <w:rPr>
                    <w:rFonts w:ascii="Arial" w:hAnsi="Arial" w:cs="Arial"/>
                    <w:noProof/>
                    <w:webHidden/>
                    <w:color w:val="auto"/>
                    <w:szCs w:val="24"/>
                  </w:rPr>
                </w:r>
                <w:r w:rsidRPr="006502E8">
                  <w:rPr>
                    <w:rFonts w:ascii="Arial" w:hAnsi="Arial" w:cs="Arial"/>
                    <w:noProof/>
                    <w:webHidden/>
                    <w:color w:val="auto"/>
                    <w:szCs w:val="24"/>
                  </w:rPr>
                  <w:fldChar w:fldCharType="separate"/>
                </w:r>
                <w:r w:rsidR="00433AC8">
                  <w:rPr>
                    <w:rFonts w:ascii="Arial" w:hAnsi="Arial" w:cs="Arial"/>
                    <w:noProof/>
                    <w:webHidden/>
                    <w:color w:val="auto"/>
                    <w:szCs w:val="24"/>
                  </w:rPr>
                  <w:t>76</w:t>
                </w:r>
                <w:r w:rsidRPr="006502E8">
                  <w:rPr>
                    <w:rFonts w:ascii="Arial" w:hAnsi="Arial" w:cs="Arial"/>
                    <w:noProof/>
                    <w:webHidden/>
                    <w:color w:val="auto"/>
                    <w:szCs w:val="24"/>
                  </w:rPr>
                  <w:fldChar w:fldCharType="end"/>
                </w:r>
              </w:hyperlink>
            </w:p>
            <w:p w14:paraId="39834B8B" w14:textId="2F4A0998" w:rsidR="009F64C5" w:rsidRPr="006502E8" w:rsidRDefault="00A37A7B" w:rsidP="00A37A7B">
              <w:r w:rsidRPr="006502E8">
                <w:rPr>
                  <w:rFonts w:ascii="Arial" w:hAnsi="Arial" w:cs="Arial"/>
                  <w:b/>
                  <w:bCs/>
                  <w:noProof/>
                  <w:sz w:val="24"/>
                  <w:szCs w:val="24"/>
                </w:rPr>
                <w:fldChar w:fldCharType="end"/>
              </w:r>
            </w:p>
          </w:sdtContent>
        </w:sdt>
      </w:sdtContent>
    </w:sdt>
    <w:p w14:paraId="617F822A" w14:textId="77777777" w:rsidR="000555DE" w:rsidRPr="006502E8" w:rsidRDefault="000555DE">
      <w:pPr>
        <w:rPr>
          <w:rFonts w:ascii="Arial" w:eastAsia="Times New Roman" w:hAnsi="Arial" w:cs="Arial"/>
          <w:b/>
          <w:sz w:val="24"/>
        </w:rPr>
      </w:pPr>
      <w:r w:rsidRPr="006502E8">
        <w:rPr>
          <w:rFonts w:ascii="Arial" w:hAnsi="Arial" w:cs="Arial"/>
        </w:rPr>
        <w:br w:type="page"/>
      </w:r>
    </w:p>
    <w:p w14:paraId="7E8B3159" w14:textId="0553EE1E" w:rsidR="009F64C5" w:rsidRPr="006502E8" w:rsidRDefault="009F64C5" w:rsidP="003077FE">
      <w:pPr>
        <w:pStyle w:val="Heading1"/>
        <w:rPr>
          <w:color w:val="auto"/>
        </w:rPr>
      </w:pPr>
      <w:bookmarkStart w:id="14" w:name="_Toc214899900"/>
      <w:bookmarkStart w:id="15" w:name="_Toc218184489"/>
      <w:r w:rsidRPr="006502E8">
        <w:rPr>
          <w:color w:val="auto"/>
        </w:rPr>
        <w:t>List of figures</w:t>
      </w:r>
      <w:bookmarkEnd w:id="14"/>
      <w:bookmarkEnd w:id="15"/>
      <w:r w:rsidRPr="006502E8">
        <w:rPr>
          <w:color w:val="auto"/>
        </w:rPr>
        <w:t xml:space="preserve"> </w:t>
      </w:r>
    </w:p>
    <w:p w14:paraId="50DC31CC" w14:textId="5C6B12AA" w:rsidR="003077FE" w:rsidRPr="003077FE" w:rsidRDefault="00A37A7B" w:rsidP="003077FE">
      <w:pPr>
        <w:pStyle w:val="TableofFigures"/>
        <w:tabs>
          <w:tab w:val="right" w:leader="dot" w:pos="9016"/>
        </w:tabs>
        <w:spacing w:line="360" w:lineRule="auto"/>
        <w:jc w:val="both"/>
        <w:rPr>
          <w:noProof/>
          <w:sz w:val="24"/>
          <w:szCs w:val="24"/>
          <w:lang w:val="en-IN"/>
        </w:rPr>
      </w:pPr>
      <w:r w:rsidRPr="003077FE">
        <w:rPr>
          <w:rFonts w:ascii="Arial" w:hAnsi="Arial" w:cs="Arial"/>
          <w:sz w:val="24"/>
          <w:szCs w:val="24"/>
        </w:rPr>
        <w:fldChar w:fldCharType="begin"/>
      </w:r>
      <w:r w:rsidRPr="003077FE">
        <w:rPr>
          <w:rFonts w:ascii="Arial" w:hAnsi="Arial" w:cs="Arial"/>
          <w:sz w:val="24"/>
          <w:szCs w:val="24"/>
        </w:rPr>
        <w:instrText xml:space="preserve"> TOC \h \z \t "Heading 4" \c </w:instrText>
      </w:r>
      <w:r w:rsidRPr="003077FE">
        <w:rPr>
          <w:rFonts w:ascii="Arial" w:hAnsi="Arial" w:cs="Arial"/>
          <w:sz w:val="24"/>
          <w:szCs w:val="24"/>
        </w:rPr>
        <w:fldChar w:fldCharType="separate"/>
      </w:r>
      <w:hyperlink w:anchor="_Toc218187254" w:history="1">
        <w:r w:rsidR="003077FE" w:rsidRPr="003077FE">
          <w:rPr>
            <w:rStyle w:val="Hyperlink"/>
            <w:noProof/>
            <w:sz w:val="24"/>
            <w:szCs w:val="24"/>
          </w:rPr>
          <w:t>Figure 2.1: Housing pathways to health</w:t>
        </w:r>
        <w:r w:rsidR="003077FE" w:rsidRPr="003077FE">
          <w:rPr>
            <w:noProof/>
            <w:webHidden/>
            <w:sz w:val="24"/>
            <w:szCs w:val="24"/>
          </w:rPr>
          <w:tab/>
        </w:r>
        <w:r w:rsidR="003077FE" w:rsidRPr="003077FE">
          <w:rPr>
            <w:noProof/>
            <w:webHidden/>
            <w:sz w:val="24"/>
            <w:szCs w:val="24"/>
          </w:rPr>
          <w:fldChar w:fldCharType="begin"/>
        </w:r>
        <w:r w:rsidR="003077FE" w:rsidRPr="003077FE">
          <w:rPr>
            <w:noProof/>
            <w:webHidden/>
            <w:sz w:val="24"/>
            <w:szCs w:val="24"/>
          </w:rPr>
          <w:instrText xml:space="preserve"> PAGEREF _Toc218187254 \h </w:instrText>
        </w:r>
        <w:r w:rsidR="003077FE" w:rsidRPr="003077FE">
          <w:rPr>
            <w:noProof/>
            <w:webHidden/>
            <w:sz w:val="24"/>
            <w:szCs w:val="24"/>
          </w:rPr>
        </w:r>
        <w:r w:rsidR="003077FE" w:rsidRPr="003077FE">
          <w:rPr>
            <w:noProof/>
            <w:webHidden/>
            <w:sz w:val="24"/>
            <w:szCs w:val="24"/>
          </w:rPr>
          <w:fldChar w:fldCharType="separate"/>
        </w:r>
        <w:r w:rsidR="00433AC8">
          <w:rPr>
            <w:noProof/>
            <w:webHidden/>
            <w:sz w:val="24"/>
            <w:szCs w:val="24"/>
          </w:rPr>
          <w:t>21</w:t>
        </w:r>
        <w:r w:rsidR="003077FE" w:rsidRPr="003077FE">
          <w:rPr>
            <w:noProof/>
            <w:webHidden/>
            <w:sz w:val="24"/>
            <w:szCs w:val="24"/>
          </w:rPr>
          <w:fldChar w:fldCharType="end"/>
        </w:r>
      </w:hyperlink>
    </w:p>
    <w:p w14:paraId="2A6F3C2C" w14:textId="33807F76" w:rsidR="003077FE" w:rsidRPr="003077FE" w:rsidRDefault="003077FE" w:rsidP="003077FE">
      <w:pPr>
        <w:pStyle w:val="TableofFigures"/>
        <w:tabs>
          <w:tab w:val="right" w:leader="dot" w:pos="9016"/>
        </w:tabs>
        <w:spacing w:line="360" w:lineRule="auto"/>
        <w:jc w:val="both"/>
        <w:rPr>
          <w:noProof/>
          <w:sz w:val="24"/>
          <w:szCs w:val="24"/>
          <w:lang w:val="en-IN"/>
        </w:rPr>
      </w:pPr>
      <w:hyperlink w:anchor="_Toc218187255" w:history="1">
        <w:r w:rsidRPr="003077FE">
          <w:rPr>
            <w:rStyle w:val="Hyperlink"/>
            <w:noProof/>
            <w:sz w:val="24"/>
            <w:szCs w:val="24"/>
            <w:lang w:val="en-IN"/>
          </w:rPr>
          <w:t>Figure 2.2: Social ecological system of indoor housing environment</w:t>
        </w:r>
        <w:r w:rsidRPr="003077FE">
          <w:rPr>
            <w:noProof/>
            <w:webHidden/>
            <w:sz w:val="24"/>
            <w:szCs w:val="24"/>
          </w:rPr>
          <w:tab/>
        </w:r>
        <w:r w:rsidRPr="003077FE">
          <w:rPr>
            <w:noProof/>
            <w:webHidden/>
            <w:sz w:val="24"/>
            <w:szCs w:val="24"/>
          </w:rPr>
          <w:fldChar w:fldCharType="begin"/>
        </w:r>
        <w:r w:rsidRPr="003077FE">
          <w:rPr>
            <w:noProof/>
            <w:webHidden/>
            <w:sz w:val="24"/>
            <w:szCs w:val="24"/>
          </w:rPr>
          <w:instrText xml:space="preserve"> PAGEREF _Toc218187255 \h </w:instrText>
        </w:r>
        <w:r w:rsidRPr="003077FE">
          <w:rPr>
            <w:noProof/>
            <w:webHidden/>
            <w:sz w:val="24"/>
            <w:szCs w:val="24"/>
          </w:rPr>
        </w:r>
        <w:r w:rsidRPr="003077FE">
          <w:rPr>
            <w:noProof/>
            <w:webHidden/>
            <w:sz w:val="24"/>
            <w:szCs w:val="24"/>
          </w:rPr>
          <w:fldChar w:fldCharType="separate"/>
        </w:r>
        <w:r w:rsidR="00433AC8">
          <w:rPr>
            <w:noProof/>
            <w:webHidden/>
            <w:sz w:val="24"/>
            <w:szCs w:val="24"/>
          </w:rPr>
          <w:t>24</w:t>
        </w:r>
        <w:r w:rsidRPr="003077FE">
          <w:rPr>
            <w:noProof/>
            <w:webHidden/>
            <w:sz w:val="24"/>
            <w:szCs w:val="24"/>
          </w:rPr>
          <w:fldChar w:fldCharType="end"/>
        </w:r>
      </w:hyperlink>
    </w:p>
    <w:p w14:paraId="08642E64" w14:textId="0A446561" w:rsidR="003077FE" w:rsidRPr="003077FE" w:rsidRDefault="003077FE" w:rsidP="003077FE">
      <w:pPr>
        <w:pStyle w:val="TableofFigures"/>
        <w:tabs>
          <w:tab w:val="right" w:leader="dot" w:pos="9016"/>
        </w:tabs>
        <w:spacing w:line="360" w:lineRule="auto"/>
        <w:jc w:val="both"/>
        <w:rPr>
          <w:noProof/>
          <w:sz w:val="24"/>
          <w:szCs w:val="24"/>
          <w:lang w:val="en-IN"/>
        </w:rPr>
      </w:pPr>
      <w:hyperlink w:anchor="_Toc218187256" w:history="1">
        <w:r w:rsidRPr="003077FE">
          <w:rPr>
            <w:rStyle w:val="Hyperlink"/>
            <w:noProof/>
            <w:sz w:val="24"/>
            <w:szCs w:val="24"/>
          </w:rPr>
          <w:t>Figure 3.2: CASP Qualitative Checklist</w:t>
        </w:r>
        <w:r w:rsidRPr="003077FE">
          <w:rPr>
            <w:noProof/>
            <w:webHidden/>
            <w:sz w:val="24"/>
            <w:szCs w:val="24"/>
          </w:rPr>
          <w:tab/>
        </w:r>
        <w:r w:rsidRPr="003077FE">
          <w:rPr>
            <w:noProof/>
            <w:webHidden/>
            <w:sz w:val="24"/>
            <w:szCs w:val="24"/>
          </w:rPr>
          <w:fldChar w:fldCharType="begin"/>
        </w:r>
        <w:r w:rsidRPr="003077FE">
          <w:rPr>
            <w:noProof/>
            <w:webHidden/>
            <w:sz w:val="24"/>
            <w:szCs w:val="24"/>
          </w:rPr>
          <w:instrText xml:space="preserve"> PAGEREF _Toc218187256 \h </w:instrText>
        </w:r>
        <w:r w:rsidRPr="003077FE">
          <w:rPr>
            <w:noProof/>
            <w:webHidden/>
            <w:sz w:val="24"/>
            <w:szCs w:val="24"/>
          </w:rPr>
        </w:r>
        <w:r w:rsidRPr="003077FE">
          <w:rPr>
            <w:noProof/>
            <w:webHidden/>
            <w:sz w:val="24"/>
            <w:szCs w:val="24"/>
          </w:rPr>
          <w:fldChar w:fldCharType="separate"/>
        </w:r>
        <w:r w:rsidR="00433AC8">
          <w:rPr>
            <w:noProof/>
            <w:webHidden/>
            <w:sz w:val="24"/>
            <w:szCs w:val="24"/>
          </w:rPr>
          <w:t>30</w:t>
        </w:r>
        <w:r w:rsidRPr="003077FE">
          <w:rPr>
            <w:noProof/>
            <w:webHidden/>
            <w:sz w:val="24"/>
            <w:szCs w:val="24"/>
          </w:rPr>
          <w:fldChar w:fldCharType="end"/>
        </w:r>
      </w:hyperlink>
    </w:p>
    <w:p w14:paraId="065473F8" w14:textId="6A783D49" w:rsidR="003077FE" w:rsidRPr="003077FE" w:rsidRDefault="003077FE" w:rsidP="003077FE">
      <w:pPr>
        <w:pStyle w:val="TableofFigures"/>
        <w:tabs>
          <w:tab w:val="right" w:leader="dot" w:pos="9016"/>
        </w:tabs>
        <w:spacing w:line="360" w:lineRule="auto"/>
        <w:jc w:val="both"/>
        <w:rPr>
          <w:noProof/>
          <w:sz w:val="24"/>
          <w:szCs w:val="24"/>
          <w:lang w:val="en-IN"/>
        </w:rPr>
      </w:pPr>
      <w:hyperlink w:anchor="_Toc218187257" w:history="1">
        <w:r w:rsidRPr="003077FE">
          <w:rPr>
            <w:rStyle w:val="Hyperlink"/>
            <w:noProof/>
            <w:sz w:val="24"/>
            <w:szCs w:val="24"/>
          </w:rPr>
          <w:t>Figure 4.1: PRISMA Framework</w:t>
        </w:r>
        <w:r w:rsidRPr="003077FE">
          <w:rPr>
            <w:noProof/>
            <w:webHidden/>
            <w:sz w:val="24"/>
            <w:szCs w:val="24"/>
          </w:rPr>
          <w:tab/>
        </w:r>
        <w:r w:rsidRPr="003077FE">
          <w:rPr>
            <w:noProof/>
            <w:webHidden/>
            <w:sz w:val="24"/>
            <w:szCs w:val="24"/>
          </w:rPr>
          <w:fldChar w:fldCharType="begin"/>
        </w:r>
        <w:r w:rsidRPr="003077FE">
          <w:rPr>
            <w:noProof/>
            <w:webHidden/>
            <w:sz w:val="24"/>
            <w:szCs w:val="24"/>
          </w:rPr>
          <w:instrText xml:space="preserve"> PAGEREF _Toc218187257 \h </w:instrText>
        </w:r>
        <w:r w:rsidRPr="003077FE">
          <w:rPr>
            <w:noProof/>
            <w:webHidden/>
            <w:sz w:val="24"/>
            <w:szCs w:val="24"/>
          </w:rPr>
        </w:r>
        <w:r w:rsidRPr="003077FE">
          <w:rPr>
            <w:noProof/>
            <w:webHidden/>
            <w:sz w:val="24"/>
            <w:szCs w:val="24"/>
          </w:rPr>
          <w:fldChar w:fldCharType="separate"/>
        </w:r>
        <w:r w:rsidR="00433AC8">
          <w:rPr>
            <w:noProof/>
            <w:webHidden/>
            <w:sz w:val="24"/>
            <w:szCs w:val="24"/>
          </w:rPr>
          <w:t>33</w:t>
        </w:r>
        <w:r w:rsidRPr="003077FE">
          <w:rPr>
            <w:noProof/>
            <w:webHidden/>
            <w:sz w:val="24"/>
            <w:szCs w:val="24"/>
          </w:rPr>
          <w:fldChar w:fldCharType="end"/>
        </w:r>
      </w:hyperlink>
    </w:p>
    <w:p w14:paraId="70F1A910" w14:textId="5E174078" w:rsidR="003077FE" w:rsidRPr="003077FE" w:rsidRDefault="003077FE" w:rsidP="003077FE">
      <w:pPr>
        <w:pStyle w:val="TableofFigures"/>
        <w:tabs>
          <w:tab w:val="right" w:leader="dot" w:pos="9016"/>
        </w:tabs>
        <w:spacing w:line="360" w:lineRule="auto"/>
        <w:jc w:val="both"/>
        <w:rPr>
          <w:noProof/>
          <w:sz w:val="24"/>
          <w:szCs w:val="24"/>
          <w:lang w:val="en-IN"/>
        </w:rPr>
      </w:pPr>
      <w:hyperlink w:anchor="_Toc218187258" w:history="1">
        <w:r w:rsidRPr="003077FE">
          <w:rPr>
            <w:rStyle w:val="Hyperlink"/>
            <w:noProof/>
            <w:sz w:val="24"/>
            <w:szCs w:val="24"/>
          </w:rPr>
          <w:t>Figure 4.2: Coding tree for theme 1</w:t>
        </w:r>
        <w:r w:rsidRPr="003077FE">
          <w:rPr>
            <w:noProof/>
            <w:webHidden/>
            <w:sz w:val="24"/>
            <w:szCs w:val="24"/>
          </w:rPr>
          <w:tab/>
        </w:r>
        <w:r w:rsidRPr="003077FE">
          <w:rPr>
            <w:noProof/>
            <w:webHidden/>
            <w:sz w:val="24"/>
            <w:szCs w:val="24"/>
          </w:rPr>
          <w:fldChar w:fldCharType="begin"/>
        </w:r>
        <w:r w:rsidRPr="003077FE">
          <w:rPr>
            <w:noProof/>
            <w:webHidden/>
            <w:sz w:val="24"/>
            <w:szCs w:val="24"/>
          </w:rPr>
          <w:instrText xml:space="preserve"> PAGEREF _Toc218187258 \h </w:instrText>
        </w:r>
        <w:r w:rsidRPr="003077FE">
          <w:rPr>
            <w:noProof/>
            <w:webHidden/>
            <w:sz w:val="24"/>
            <w:szCs w:val="24"/>
          </w:rPr>
        </w:r>
        <w:r w:rsidRPr="003077FE">
          <w:rPr>
            <w:noProof/>
            <w:webHidden/>
            <w:sz w:val="24"/>
            <w:szCs w:val="24"/>
          </w:rPr>
          <w:fldChar w:fldCharType="separate"/>
        </w:r>
        <w:r w:rsidR="00433AC8">
          <w:rPr>
            <w:noProof/>
            <w:webHidden/>
            <w:sz w:val="24"/>
            <w:szCs w:val="24"/>
          </w:rPr>
          <w:t>38</w:t>
        </w:r>
        <w:r w:rsidRPr="003077FE">
          <w:rPr>
            <w:noProof/>
            <w:webHidden/>
            <w:sz w:val="24"/>
            <w:szCs w:val="24"/>
          </w:rPr>
          <w:fldChar w:fldCharType="end"/>
        </w:r>
      </w:hyperlink>
    </w:p>
    <w:p w14:paraId="01EFBEF5" w14:textId="53C6511E" w:rsidR="003077FE" w:rsidRPr="003077FE" w:rsidRDefault="003077FE" w:rsidP="003077FE">
      <w:pPr>
        <w:pStyle w:val="TableofFigures"/>
        <w:tabs>
          <w:tab w:val="right" w:leader="dot" w:pos="9016"/>
        </w:tabs>
        <w:spacing w:line="360" w:lineRule="auto"/>
        <w:jc w:val="both"/>
        <w:rPr>
          <w:noProof/>
          <w:sz w:val="24"/>
          <w:szCs w:val="24"/>
          <w:lang w:val="en-IN"/>
        </w:rPr>
      </w:pPr>
      <w:hyperlink w:anchor="_Toc218187259" w:history="1">
        <w:r w:rsidRPr="003077FE">
          <w:rPr>
            <w:rStyle w:val="Hyperlink"/>
            <w:noProof/>
            <w:sz w:val="24"/>
            <w:szCs w:val="24"/>
          </w:rPr>
          <w:t>Figure 4.3: Coding tree for theme 2</w:t>
        </w:r>
        <w:r w:rsidRPr="003077FE">
          <w:rPr>
            <w:noProof/>
            <w:webHidden/>
            <w:sz w:val="24"/>
            <w:szCs w:val="24"/>
          </w:rPr>
          <w:tab/>
        </w:r>
        <w:r w:rsidRPr="003077FE">
          <w:rPr>
            <w:noProof/>
            <w:webHidden/>
            <w:sz w:val="24"/>
            <w:szCs w:val="24"/>
          </w:rPr>
          <w:fldChar w:fldCharType="begin"/>
        </w:r>
        <w:r w:rsidRPr="003077FE">
          <w:rPr>
            <w:noProof/>
            <w:webHidden/>
            <w:sz w:val="24"/>
            <w:szCs w:val="24"/>
          </w:rPr>
          <w:instrText xml:space="preserve"> PAGEREF _Toc218187259 \h </w:instrText>
        </w:r>
        <w:r w:rsidRPr="003077FE">
          <w:rPr>
            <w:noProof/>
            <w:webHidden/>
            <w:sz w:val="24"/>
            <w:szCs w:val="24"/>
          </w:rPr>
        </w:r>
        <w:r w:rsidRPr="003077FE">
          <w:rPr>
            <w:noProof/>
            <w:webHidden/>
            <w:sz w:val="24"/>
            <w:szCs w:val="24"/>
          </w:rPr>
          <w:fldChar w:fldCharType="separate"/>
        </w:r>
        <w:r w:rsidR="00433AC8">
          <w:rPr>
            <w:noProof/>
            <w:webHidden/>
            <w:sz w:val="24"/>
            <w:szCs w:val="24"/>
          </w:rPr>
          <w:t>41</w:t>
        </w:r>
        <w:r w:rsidRPr="003077FE">
          <w:rPr>
            <w:noProof/>
            <w:webHidden/>
            <w:sz w:val="24"/>
            <w:szCs w:val="24"/>
          </w:rPr>
          <w:fldChar w:fldCharType="end"/>
        </w:r>
      </w:hyperlink>
    </w:p>
    <w:p w14:paraId="657D5F18" w14:textId="21AFC4DA" w:rsidR="003077FE" w:rsidRPr="003077FE" w:rsidRDefault="003077FE" w:rsidP="003077FE">
      <w:pPr>
        <w:pStyle w:val="TableofFigures"/>
        <w:tabs>
          <w:tab w:val="right" w:leader="dot" w:pos="9016"/>
        </w:tabs>
        <w:spacing w:line="360" w:lineRule="auto"/>
        <w:jc w:val="both"/>
        <w:rPr>
          <w:noProof/>
          <w:sz w:val="24"/>
          <w:szCs w:val="24"/>
          <w:lang w:val="en-IN"/>
        </w:rPr>
      </w:pPr>
      <w:hyperlink w:anchor="_Toc218187260" w:history="1">
        <w:r w:rsidRPr="003077FE">
          <w:rPr>
            <w:rStyle w:val="Hyperlink"/>
            <w:noProof/>
            <w:sz w:val="24"/>
            <w:szCs w:val="24"/>
          </w:rPr>
          <w:t>Figure 4.4: Coding tree for theme 3</w:t>
        </w:r>
        <w:r w:rsidRPr="003077FE">
          <w:rPr>
            <w:noProof/>
            <w:webHidden/>
            <w:sz w:val="24"/>
            <w:szCs w:val="24"/>
          </w:rPr>
          <w:tab/>
        </w:r>
        <w:r w:rsidRPr="003077FE">
          <w:rPr>
            <w:noProof/>
            <w:webHidden/>
            <w:sz w:val="24"/>
            <w:szCs w:val="24"/>
          </w:rPr>
          <w:fldChar w:fldCharType="begin"/>
        </w:r>
        <w:r w:rsidRPr="003077FE">
          <w:rPr>
            <w:noProof/>
            <w:webHidden/>
            <w:sz w:val="24"/>
            <w:szCs w:val="24"/>
          </w:rPr>
          <w:instrText xml:space="preserve"> PAGEREF _Toc218187260 \h </w:instrText>
        </w:r>
        <w:r w:rsidRPr="003077FE">
          <w:rPr>
            <w:noProof/>
            <w:webHidden/>
            <w:sz w:val="24"/>
            <w:szCs w:val="24"/>
          </w:rPr>
        </w:r>
        <w:r w:rsidRPr="003077FE">
          <w:rPr>
            <w:noProof/>
            <w:webHidden/>
            <w:sz w:val="24"/>
            <w:szCs w:val="24"/>
          </w:rPr>
          <w:fldChar w:fldCharType="separate"/>
        </w:r>
        <w:r w:rsidR="00433AC8">
          <w:rPr>
            <w:noProof/>
            <w:webHidden/>
            <w:sz w:val="24"/>
            <w:szCs w:val="24"/>
          </w:rPr>
          <w:t>43</w:t>
        </w:r>
        <w:r w:rsidRPr="003077FE">
          <w:rPr>
            <w:noProof/>
            <w:webHidden/>
            <w:sz w:val="24"/>
            <w:szCs w:val="24"/>
          </w:rPr>
          <w:fldChar w:fldCharType="end"/>
        </w:r>
      </w:hyperlink>
    </w:p>
    <w:p w14:paraId="4D71BB86" w14:textId="0451CCD2" w:rsidR="009F64C5" w:rsidRPr="003077FE" w:rsidRDefault="00A37A7B" w:rsidP="003077FE">
      <w:pPr>
        <w:spacing w:after="158" w:line="360" w:lineRule="auto"/>
        <w:jc w:val="both"/>
        <w:rPr>
          <w:rFonts w:ascii="Arial" w:hAnsi="Arial" w:cs="Arial"/>
          <w:sz w:val="24"/>
          <w:szCs w:val="24"/>
        </w:rPr>
      </w:pPr>
      <w:r w:rsidRPr="003077FE">
        <w:rPr>
          <w:rFonts w:ascii="Arial" w:hAnsi="Arial" w:cs="Arial"/>
          <w:sz w:val="24"/>
          <w:szCs w:val="24"/>
        </w:rPr>
        <w:fldChar w:fldCharType="end"/>
      </w:r>
    </w:p>
    <w:p w14:paraId="1F33F1E7" w14:textId="77777777" w:rsidR="009F64C5" w:rsidRPr="006502E8" w:rsidRDefault="009F64C5">
      <w:pPr>
        <w:spacing w:after="156"/>
        <w:ind w:left="59"/>
        <w:jc w:val="center"/>
        <w:rPr>
          <w:rFonts w:ascii="Arial" w:hAnsi="Arial" w:cs="Arial"/>
        </w:rPr>
      </w:pPr>
      <w:r w:rsidRPr="006502E8">
        <w:rPr>
          <w:rFonts w:ascii="Arial" w:eastAsia="Times New Roman" w:hAnsi="Arial" w:cs="Arial"/>
          <w:b/>
        </w:rPr>
        <w:t xml:space="preserve"> </w:t>
      </w:r>
    </w:p>
    <w:p w14:paraId="1028A266" w14:textId="77777777" w:rsidR="000555DE" w:rsidRPr="006502E8" w:rsidRDefault="000555DE">
      <w:pPr>
        <w:rPr>
          <w:rFonts w:ascii="Arial" w:eastAsia="Times New Roman" w:hAnsi="Arial" w:cs="Arial"/>
          <w:b/>
          <w:sz w:val="24"/>
        </w:rPr>
      </w:pPr>
      <w:r w:rsidRPr="006502E8">
        <w:rPr>
          <w:rFonts w:ascii="Arial" w:hAnsi="Arial" w:cs="Arial"/>
        </w:rPr>
        <w:br w:type="page"/>
      </w:r>
    </w:p>
    <w:p w14:paraId="2A242D90" w14:textId="24410526" w:rsidR="009F64C5" w:rsidRPr="006502E8" w:rsidRDefault="009F64C5" w:rsidP="003077FE">
      <w:pPr>
        <w:pStyle w:val="Heading1"/>
        <w:rPr>
          <w:color w:val="auto"/>
        </w:rPr>
      </w:pPr>
      <w:bookmarkStart w:id="16" w:name="_Toc214899901"/>
      <w:bookmarkStart w:id="17" w:name="_Toc218184490"/>
      <w:r w:rsidRPr="006502E8">
        <w:rPr>
          <w:color w:val="auto"/>
        </w:rPr>
        <w:t>List of tables</w:t>
      </w:r>
      <w:bookmarkEnd w:id="16"/>
      <w:bookmarkEnd w:id="17"/>
      <w:r w:rsidRPr="006502E8">
        <w:rPr>
          <w:color w:val="auto"/>
        </w:rPr>
        <w:t xml:space="preserve"> </w:t>
      </w:r>
    </w:p>
    <w:p w14:paraId="6F9012DA" w14:textId="743EB1CB" w:rsidR="003077FE" w:rsidRPr="003077FE" w:rsidRDefault="00A37A7B" w:rsidP="003077FE">
      <w:pPr>
        <w:pStyle w:val="TableofFigures"/>
        <w:tabs>
          <w:tab w:val="right" w:leader="dot" w:pos="9016"/>
        </w:tabs>
        <w:spacing w:line="360" w:lineRule="auto"/>
        <w:rPr>
          <w:rFonts w:ascii="Arial" w:hAnsi="Arial" w:cs="Arial"/>
          <w:noProof/>
          <w:sz w:val="24"/>
          <w:szCs w:val="24"/>
          <w:lang w:val="en-IN"/>
        </w:rPr>
      </w:pPr>
      <w:r w:rsidRPr="003077FE">
        <w:rPr>
          <w:rFonts w:ascii="Arial" w:hAnsi="Arial" w:cs="Arial"/>
          <w:sz w:val="24"/>
          <w:szCs w:val="24"/>
        </w:rPr>
        <w:fldChar w:fldCharType="begin"/>
      </w:r>
      <w:r w:rsidRPr="003077FE">
        <w:rPr>
          <w:rFonts w:ascii="Arial" w:hAnsi="Arial" w:cs="Arial"/>
          <w:sz w:val="24"/>
          <w:szCs w:val="24"/>
        </w:rPr>
        <w:instrText xml:space="preserve"> TOC \h \z \t "Heading 5" \c </w:instrText>
      </w:r>
      <w:r w:rsidRPr="003077FE">
        <w:rPr>
          <w:rFonts w:ascii="Arial" w:hAnsi="Arial" w:cs="Arial"/>
          <w:sz w:val="24"/>
          <w:szCs w:val="24"/>
        </w:rPr>
        <w:fldChar w:fldCharType="separate"/>
      </w:r>
      <w:hyperlink w:anchor="_Toc218187279" w:history="1">
        <w:r w:rsidR="003077FE" w:rsidRPr="003077FE">
          <w:rPr>
            <w:rStyle w:val="Hyperlink"/>
            <w:rFonts w:ascii="Arial" w:hAnsi="Arial" w:cs="Arial"/>
            <w:noProof/>
            <w:sz w:val="24"/>
            <w:szCs w:val="24"/>
          </w:rPr>
          <w:t>Table 3.1: Boolean Search Strings</w:t>
        </w:r>
        <w:r w:rsidR="003077FE" w:rsidRPr="003077FE">
          <w:rPr>
            <w:rFonts w:ascii="Arial" w:hAnsi="Arial" w:cs="Arial"/>
            <w:noProof/>
            <w:webHidden/>
            <w:sz w:val="24"/>
            <w:szCs w:val="24"/>
          </w:rPr>
          <w:tab/>
        </w:r>
        <w:r w:rsidR="003077FE" w:rsidRPr="003077FE">
          <w:rPr>
            <w:rFonts w:ascii="Arial" w:hAnsi="Arial" w:cs="Arial"/>
            <w:noProof/>
            <w:webHidden/>
            <w:sz w:val="24"/>
            <w:szCs w:val="24"/>
          </w:rPr>
          <w:fldChar w:fldCharType="begin"/>
        </w:r>
        <w:r w:rsidR="003077FE" w:rsidRPr="003077FE">
          <w:rPr>
            <w:rFonts w:ascii="Arial" w:hAnsi="Arial" w:cs="Arial"/>
            <w:noProof/>
            <w:webHidden/>
            <w:sz w:val="24"/>
            <w:szCs w:val="24"/>
          </w:rPr>
          <w:instrText xml:space="preserve"> PAGEREF _Toc218187279 \h </w:instrText>
        </w:r>
        <w:r w:rsidR="003077FE" w:rsidRPr="003077FE">
          <w:rPr>
            <w:rFonts w:ascii="Arial" w:hAnsi="Arial" w:cs="Arial"/>
            <w:noProof/>
            <w:webHidden/>
            <w:sz w:val="24"/>
            <w:szCs w:val="24"/>
          </w:rPr>
        </w:r>
        <w:r w:rsidR="003077FE" w:rsidRPr="003077FE">
          <w:rPr>
            <w:rFonts w:ascii="Arial" w:hAnsi="Arial" w:cs="Arial"/>
            <w:noProof/>
            <w:webHidden/>
            <w:sz w:val="24"/>
            <w:szCs w:val="24"/>
          </w:rPr>
          <w:fldChar w:fldCharType="separate"/>
        </w:r>
        <w:r w:rsidR="00433AC8">
          <w:rPr>
            <w:rFonts w:ascii="Arial" w:hAnsi="Arial" w:cs="Arial"/>
            <w:noProof/>
            <w:webHidden/>
            <w:sz w:val="24"/>
            <w:szCs w:val="24"/>
          </w:rPr>
          <w:t>28</w:t>
        </w:r>
        <w:r w:rsidR="003077FE" w:rsidRPr="003077FE">
          <w:rPr>
            <w:rFonts w:ascii="Arial" w:hAnsi="Arial" w:cs="Arial"/>
            <w:noProof/>
            <w:webHidden/>
            <w:sz w:val="24"/>
            <w:szCs w:val="24"/>
          </w:rPr>
          <w:fldChar w:fldCharType="end"/>
        </w:r>
      </w:hyperlink>
    </w:p>
    <w:p w14:paraId="05302870" w14:textId="057D7988" w:rsidR="003077FE" w:rsidRPr="003077FE" w:rsidRDefault="003077FE" w:rsidP="003077FE">
      <w:pPr>
        <w:pStyle w:val="TableofFigures"/>
        <w:tabs>
          <w:tab w:val="right" w:leader="dot" w:pos="9016"/>
        </w:tabs>
        <w:spacing w:line="360" w:lineRule="auto"/>
        <w:rPr>
          <w:rFonts w:ascii="Arial" w:hAnsi="Arial" w:cs="Arial"/>
          <w:noProof/>
          <w:sz w:val="24"/>
          <w:szCs w:val="24"/>
          <w:lang w:val="en-IN"/>
        </w:rPr>
      </w:pPr>
      <w:hyperlink w:anchor="_Toc218187280" w:history="1">
        <w:r w:rsidRPr="003077FE">
          <w:rPr>
            <w:rStyle w:val="Hyperlink"/>
            <w:rFonts w:ascii="Arial" w:hAnsi="Arial" w:cs="Arial"/>
            <w:noProof/>
            <w:sz w:val="24"/>
            <w:szCs w:val="24"/>
          </w:rPr>
          <w:t>Table 3.2: Rationale for Database Inclusion</w:t>
        </w:r>
        <w:r w:rsidRPr="003077FE">
          <w:rPr>
            <w:rFonts w:ascii="Arial" w:hAnsi="Arial" w:cs="Arial"/>
            <w:noProof/>
            <w:webHidden/>
            <w:sz w:val="24"/>
            <w:szCs w:val="24"/>
          </w:rPr>
          <w:tab/>
        </w:r>
        <w:r w:rsidRPr="003077FE">
          <w:rPr>
            <w:rFonts w:ascii="Arial" w:hAnsi="Arial" w:cs="Arial"/>
            <w:noProof/>
            <w:webHidden/>
            <w:sz w:val="24"/>
            <w:szCs w:val="24"/>
          </w:rPr>
          <w:fldChar w:fldCharType="begin"/>
        </w:r>
        <w:r w:rsidRPr="003077FE">
          <w:rPr>
            <w:rFonts w:ascii="Arial" w:hAnsi="Arial" w:cs="Arial"/>
            <w:noProof/>
            <w:webHidden/>
            <w:sz w:val="24"/>
            <w:szCs w:val="24"/>
          </w:rPr>
          <w:instrText xml:space="preserve"> PAGEREF _Toc218187280 \h </w:instrText>
        </w:r>
        <w:r w:rsidRPr="003077FE">
          <w:rPr>
            <w:rFonts w:ascii="Arial" w:hAnsi="Arial" w:cs="Arial"/>
            <w:noProof/>
            <w:webHidden/>
            <w:sz w:val="24"/>
            <w:szCs w:val="24"/>
          </w:rPr>
        </w:r>
        <w:r w:rsidRPr="003077FE">
          <w:rPr>
            <w:rFonts w:ascii="Arial" w:hAnsi="Arial" w:cs="Arial"/>
            <w:noProof/>
            <w:webHidden/>
            <w:sz w:val="24"/>
            <w:szCs w:val="24"/>
          </w:rPr>
          <w:fldChar w:fldCharType="separate"/>
        </w:r>
        <w:r w:rsidR="00433AC8">
          <w:rPr>
            <w:rFonts w:ascii="Arial" w:hAnsi="Arial" w:cs="Arial"/>
            <w:noProof/>
            <w:webHidden/>
            <w:sz w:val="24"/>
            <w:szCs w:val="24"/>
          </w:rPr>
          <w:t>29</w:t>
        </w:r>
        <w:r w:rsidRPr="003077FE">
          <w:rPr>
            <w:rFonts w:ascii="Arial" w:hAnsi="Arial" w:cs="Arial"/>
            <w:noProof/>
            <w:webHidden/>
            <w:sz w:val="24"/>
            <w:szCs w:val="24"/>
          </w:rPr>
          <w:fldChar w:fldCharType="end"/>
        </w:r>
      </w:hyperlink>
    </w:p>
    <w:p w14:paraId="238C1240" w14:textId="19DE3F70" w:rsidR="003077FE" w:rsidRPr="003077FE" w:rsidRDefault="003077FE" w:rsidP="003077FE">
      <w:pPr>
        <w:pStyle w:val="TableofFigures"/>
        <w:tabs>
          <w:tab w:val="right" w:leader="dot" w:pos="9016"/>
        </w:tabs>
        <w:spacing w:line="360" w:lineRule="auto"/>
        <w:rPr>
          <w:rFonts w:ascii="Arial" w:hAnsi="Arial" w:cs="Arial"/>
          <w:noProof/>
          <w:sz w:val="24"/>
          <w:szCs w:val="24"/>
          <w:lang w:val="en-IN"/>
        </w:rPr>
      </w:pPr>
      <w:hyperlink w:anchor="_Toc218187281" w:history="1">
        <w:r w:rsidRPr="003077FE">
          <w:rPr>
            <w:rStyle w:val="Hyperlink"/>
            <w:rFonts w:ascii="Arial" w:hAnsi="Arial" w:cs="Arial"/>
            <w:noProof/>
            <w:sz w:val="24"/>
            <w:szCs w:val="24"/>
          </w:rPr>
          <w:t>Table 3.3: Inclusion and Exclusion Criteria</w:t>
        </w:r>
        <w:r w:rsidRPr="003077FE">
          <w:rPr>
            <w:rFonts w:ascii="Arial" w:hAnsi="Arial" w:cs="Arial"/>
            <w:noProof/>
            <w:webHidden/>
            <w:sz w:val="24"/>
            <w:szCs w:val="24"/>
          </w:rPr>
          <w:tab/>
        </w:r>
        <w:r w:rsidRPr="003077FE">
          <w:rPr>
            <w:rFonts w:ascii="Arial" w:hAnsi="Arial" w:cs="Arial"/>
            <w:noProof/>
            <w:webHidden/>
            <w:sz w:val="24"/>
            <w:szCs w:val="24"/>
          </w:rPr>
          <w:fldChar w:fldCharType="begin"/>
        </w:r>
        <w:r w:rsidRPr="003077FE">
          <w:rPr>
            <w:rFonts w:ascii="Arial" w:hAnsi="Arial" w:cs="Arial"/>
            <w:noProof/>
            <w:webHidden/>
            <w:sz w:val="24"/>
            <w:szCs w:val="24"/>
          </w:rPr>
          <w:instrText xml:space="preserve"> PAGEREF _Toc218187281 \h </w:instrText>
        </w:r>
        <w:r w:rsidRPr="003077FE">
          <w:rPr>
            <w:rFonts w:ascii="Arial" w:hAnsi="Arial" w:cs="Arial"/>
            <w:noProof/>
            <w:webHidden/>
            <w:sz w:val="24"/>
            <w:szCs w:val="24"/>
          </w:rPr>
        </w:r>
        <w:r w:rsidRPr="003077FE">
          <w:rPr>
            <w:rFonts w:ascii="Arial" w:hAnsi="Arial" w:cs="Arial"/>
            <w:noProof/>
            <w:webHidden/>
            <w:sz w:val="24"/>
            <w:szCs w:val="24"/>
          </w:rPr>
          <w:fldChar w:fldCharType="separate"/>
        </w:r>
        <w:r w:rsidR="00433AC8">
          <w:rPr>
            <w:rFonts w:ascii="Arial" w:hAnsi="Arial" w:cs="Arial"/>
            <w:noProof/>
            <w:webHidden/>
            <w:sz w:val="24"/>
            <w:szCs w:val="24"/>
          </w:rPr>
          <w:t>29</w:t>
        </w:r>
        <w:r w:rsidRPr="003077FE">
          <w:rPr>
            <w:rFonts w:ascii="Arial" w:hAnsi="Arial" w:cs="Arial"/>
            <w:noProof/>
            <w:webHidden/>
            <w:sz w:val="24"/>
            <w:szCs w:val="24"/>
          </w:rPr>
          <w:fldChar w:fldCharType="end"/>
        </w:r>
      </w:hyperlink>
    </w:p>
    <w:p w14:paraId="4FA4F89E" w14:textId="3BB7AE79" w:rsidR="003077FE" w:rsidRPr="003077FE" w:rsidRDefault="003077FE" w:rsidP="003077FE">
      <w:pPr>
        <w:pStyle w:val="TableofFigures"/>
        <w:tabs>
          <w:tab w:val="right" w:leader="dot" w:pos="9016"/>
        </w:tabs>
        <w:spacing w:line="360" w:lineRule="auto"/>
        <w:rPr>
          <w:rFonts w:ascii="Arial" w:hAnsi="Arial" w:cs="Arial"/>
          <w:noProof/>
          <w:sz w:val="24"/>
          <w:szCs w:val="24"/>
          <w:lang w:val="en-IN"/>
        </w:rPr>
      </w:pPr>
      <w:hyperlink w:anchor="_Toc218187282" w:history="1">
        <w:r w:rsidRPr="003077FE">
          <w:rPr>
            <w:rStyle w:val="Hyperlink"/>
            <w:rFonts w:ascii="Arial" w:hAnsi="Arial" w:cs="Arial"/>
            <w:noProof/>
            <w:sz w:val="24"/>
            <w:szCs w:val="24"/>
          </w:rPr>
          <w:t>Table 4.1: Data extraction table</w:t>
        </w:r>
        <w:r w:rsidRPr="003077FE">
          <w:rPr>
            <w:rFonts w:ascii="Arial" w:hAnsi="Arial" w:cs="Arial"/>
            <w:noProof/>
            <w:webHidden/>
            <w:sz w:val="24"/>
            <w:szCs w:val="24"/>
          </w:rPr>
          <w:tab/>
        </w:r>
        <w:r w:rsidRPr="003077FE">
          <w:rPr>
            <w:rFonts w:ascii="Arial" w:hAnsi="Arial" w:cs="Arial"/>
            <w:noProof/>
            <w:webHidden/>
            <w:sz w:val="24"/>
            <w:szCs w:val="24"/>
          </w:rPr>
          <w:fldChar w:fldCharType="begin"/>
        </w:r>
        <w:r w:rsidRPr="003077FE">
          <w:rPr>
            <w:rFonts w:ascii="Arial" w:hAnsi="Arial" w:cs="Arial"/>
            <w:noProof/>
            <w:webHidden/>
            <w:sz w:val="24"/>
            <w:szCs w:val="24"/>
          </w:rPr>
          <w:instrText xml:space="preserve"> PAGEREF _Toc218187282 \h </w:instrText>
        </w:r>
        <w:r w:rsidRPr="003077FE">
          <w:rPr>
            <w:rFonts w:ascii="Arial" w:hAnsi="Arial" w:cs="Arial"/>
            <w:noProof/>
            <w:webHidden/>
            <w:sz w:val="24"/>
            <w:szCs w:val="24"/>
          </w:rPr>
        </w:r>
        <w:r w:rsidRPr="003077FE">
          <w:rPr>
            <w:rFonts w:ascii="Arial" w:hAnsi="Arial" w:cs="Arial"/>
            <w:noProof/>
            <w:webHidden/>
            <w:sz w:val="24"/>
            <w:szCs w:val="24"/>
          </w:rPr>
          <w:fldChar w:fldCharType="separate"/>
        </w:r>
        <w:r w:rsidR="00433AC8">
          <w:rPr>
            <w:rFonts w:ascii="Arial" w:hAnsi="Arial" w:cs="Arial"/>
            <w:noProof/>
            <w:webHidden/>
            <w:sz w:val="24"/>
            <w:szCs w:val="24"/>
          </w:rPr>
          <w:t>37</w:t>
        </w:r>
        <w:r w:rsidRPr="003077FE">
          <w:rPr>
            <w:rFonts w:ascii="Arial" w:hAnsi="Arial" w:cs="Arial"/>
            <w:noProof/>
            <w:webHidden/>
            <w:sz w:val="24"/>
            <w:szCs w:val="24"/>
          </w:rPr>
          <w:fldChar w:fldCharType="end"/>
        </w:r>
      </w:hyperlink>
    </w:p>
    <w:p w14:paraId="279143F6" w14:textId="06E2974D" w:rsidR="000555DE" w:rsidRPr="006502E8" w:rsidRDefault="00A37A7B" w:rsidP="003077FE">
      <w:pPr>
        <w:spacing w:line="360" w:lineRule="auto"/>
        <w:jc w:val="both"/>
        <w:rPr>
          <w:rFonts w:ascii="Arial" w:eastAsia="Times New Roman" w:hAnsi="Arial" w:cs="Arial"/>
          <w:b/>
          <w:sz w:val="24"/>
        </w:rPr>
      </w:pPr>
      <w:r w:rsidRPr="003077FE">
        <w:rPr>
          <w:rFonts w:ascii="Arial" w:hAnsi="Arial" w:cs="Arial"/>
          <w:sz w:val="24"/>
          <w:szCs w:val="24"/>
        </w:rPr>
        <w:fldChar w:fldCharType="end"/>
      </w:r>
      <w:r w:rsidR="000555DE" w:rsidRPr="006502E8">
        <w:rPr>
          <w:rFonts w:ascii="Arial" w:hAnsi="Arial" w:cs="Arial"/>
        </w:rPr>
        <w:br w:type="page"/>
      </w:r>
    </w:p>
    <w:p w14:paraId="53439232" w14:textId="48C694FA" w:rsidR="009F64C5" w:rsidRPr="006502E8" w:rsidRDefault="009F64C5">
      <w:pPr>
        <w:spacing w:after="0"/>
        <w:rPr>
          <w:rFonts w:ascii="Arial" w:hAnsi="Arial" w:cs="Arial"/>
        </w:rPr>
      </w:pPr>
    </w:p>
    <w:p w14:paraId="624C71A9" w14:textId="3180CA0B" w:rsidR="009F64C5" w:rsidRPr="006502E8" w:rsidRDefault="00BC67C0" w:rsidP="003F3DAD">
      <w:pPr>
        <w:pStyle w:val="Heading1"/>
        <w:rPr>
          <w:color w:val="auto"/>
        </w:rPr>
      </w:pPr>
      <w:bookmarkStart w:id="18" w:name="_Toc214899902"/>
      <w:bookmarkStart w:id="19" w:name="_Toc218184491"/>
      <w:r w:rsidRPr="006502E8">
        <w:rPr>
          <w:color w:val="auto"/>
        </w:rPr>
        <w:t xml:space="preserve">Chapter 1: </w:t>
      </w:r>
      <w:r w:rsidR="009F64C5" w:rsidRPr="006502E8">
        <w:rPr>
          <w:color w:val="auto"/>
        </w:rPr>
        <w:t>Introduction</w:t>
      </w:r>
      <w:bookmarkEnd w:id="18"/>
      <w:bookmarkEnd w:id="19"/>
      <w:r w:rsidR="009F64C5" w:rsidRPr="006502E8">
        <w:rPr>
          <w:color w:val="auto"/>
        </w:rPr>
        <w:t xml:space="preserve"> </w:t>
      </w:r>
    </w:p>
    <w:p w14:paraId="4BA92116" w14:textId="77777777" w:rsidR="00D73316" w:rsidRPr="006502E8" w:rsidRDefault="00D73316" w:rsidP="003F3DAD">
      <w:pPr>
        <w:pStyle w:val="Heading2"/>
      </w:pPr>
      <w:bookmarkStart w:id="20" w:name="_Toc213677784"/>
      <w:bookmarkStart w:id="21" w:name="_Toc218184492"/>
      <w:r w:rsidRPr="006502E8">
        <w:t>1.1 Research background</w:t>
      </w:r>
      <w:bookmarkEnd w:id="20"/>
      <w:bookmarkEnd w:id="21"/>
      <w:r w:rsidRPr="006502E8">
        <w:t xml:space="preserve"> </w:t>
      </w:r>
    </w:p>
    <w:p w14:paraId="32671BA4" w14:textId="3F290165" w:rsidR="00D73316" w:rsidRPr="006502E8" w:rsidRDefault="00D1326B" w:rsidP="003F3DAD">
      <w:pPr>
        <w:spacing w:before="240" w:after="0" w:line="360" w:lineRule="auto"/>
        <w:jc w:val="both"/>
        <w:rPr>
          <w:rFonts w:ascii="Arial" w:eastAsia="Times New Roman" w:hAnsi="Arial" w:cs="Arial"/>
          <w:kern w:val="0"/>
          <w:sz w:val="24"/>
          <w:szCs w:val="24"/>
          <w:lang w:eastAsia="en-IN"/>
          <w14:ligatures w14:val="none"/>
        </w:rPr>
      </w:pPr>
      <w:r w:rsidRPr="0010643F">
        <w:rPr>
          <w:rFonts w:ascii="Arial" w:eastAsia="Times New Roman" w:hAnsi="Arial" w:cs="Arial"/>
          <w:color w:val="4472C4" w:themeColor="accent1"/>
          <w:kern w:val="0"/>
          <w:sz w:val="24"/>
          <w:szCs w:val="24"/>
          <w:lang w:eastAsia="en-IN"/>
          <w14:ligatures w14:val="none"/>
        </w:rPr>
        <w:t>Housing quality is a concept that holds a variety of meanings. For this research the internal quality is emphasised and includes the interior space, size of circulation space, internal services (</w:t>
      </w:r>
      <w:r w:rsidR="00954313" w:rsidRPr="00954313">
        <w:rPr>
          <w:rFonts w:ascii="Arial" w:eastAsia="Times New Roman" w:hAnsi="Arial" w:cs="Arial"/>
          <w:color w:val="4472C4" w:themeColor="accent1"/>
          <w:kern w:val="0"/>
          <w:sz w:val="24"/>
          <w:szCs w:val="24"/>
          <w:highlight w:val="yellow"/>
          <w:lang w:eastAsia="en-IN"/>
          <w14:ligatures w14:val="none"/>
        </w:rPr>
        <w:t>e.g.,</w:t>
      </w:r>
      <w:r w:rsidR="00954313">
        <w:rPr>
          <w:rFonts w:ascii="Arial" w:eastAsia="Times New Roman" w:hAnsi="Arial" w:cs="Arial"/>
          <w:color w:val="4472C4" w:themeColor="accent1"/>
          <w:kern w:val="0"/>
          <w:sz w:val="24"/>
          <w:szCs w:val="24"/>
          <w:lang w:eastAsia="en-IN"/>
          <w14:ligatures w14:val="none"/>
        </w:rPr>
        <w:t xml:space="preserve"> </w:t>
      </w:r>
      <w:r w:rsidRPr="0010643F">
        <w:rPr>
          <w:rFonts w:ascii="Arial" w:eastAsia="Times New Roman" w:hAnsi="Arial" w:cs="Arial"/>
          <w:color w:val="4472C4" w:themeColor="accent1"/>
          <w:kern w:val="0"/>
          <w:sz w:val="24"/>
          <w:szCs w:val="24"/>
          <w:lang w:eastAsia="en-IN"/>
          <w14:ligatures w14:val="none"/>
        </w:rPr>
        <w:t>purifiers), hygiene maintenance, and health and safety (</w:t>
      </w:r>
      <w:r w:rsidR="009077E1" w:rsidRPr="009077E1">
        <w:rPr>
          <w:rFonts w:ascii="Arial" w:eastAsia="Times New Roman" w:hAnsi="Arial" w:cs="Arial"/>
          <w:color w:val="4472C4" w:themeColor="accent1"/>
          <w:kern w:val="0"/>
          <w:sz w:val="24"/>
          <w:szCs w:val="24"/>
          <w:lang w:eastAsia="en-IN"/>
          <w14:ligatures w14:val="none"/>
        </w:rPr>
        <w:t>Kucuktuvek</w:t>
      </w:r>
      <w:r w:rsidR="009077E1">
        <w:rPr>
          <w:rFonts w:ascii="Arial" w:eastAsia="Times New Roman" w:hAnsi="Arial" w:cs="Arial"/>
          <w:color w:val="4472C4" w:themeColor="accent1"/>
          <w:kern w:val="0"/>
          <w:sz w:val="24"/>
          <w:szCs w:val="24"/>
          <w:lang w:eastAsia="en-IN"/>
          <w14:ligatures w14:val="none"/>
        </w:rPr>
        <w:t>, 2024</w:t>
      </w:r>
      <w:r w:rsidRPr="0010643F">
        <w:rPr>
          <w:rFonts w:ascii="Arial" w:eastAsia="Times New Roman" w:hAnsi="Arial" w:cs="Arial"/>
          <w:color w:val="4472C4" w:themeColor="accent1"/>
          <w:kern w:val="0"/>
          <w:sz w:val="24"/>
          <w:szCs w:val="24"/>
          <w:lang w:eastAsia="en-IN"/>
          <w14:ligatures w14:val="none"/>
        </w:rPr>
        <w:t>)</w:t>
      </w:r>
      <w:r w:rsidR="00D73316" w:rsidRPr="0010643F">
        <w:rPr>
          <w:rFonts w:ascii="Arial" w:eastAsia="Times New Roman" w:hAnsi="Arial" w:cs="Arial"/>
          <w:color w:val="4472C4" w:themeColor="accent1"/>
          <w:kern w:val="0"/>
          <w:sz w:val="24"/>
          <w:szCs w:val="24"/>
          <w:lang w:eastAsia="en-IN"/>
          <w14:ligatures w14:val="none"/>
        </w:rPr>
        <w:t xml:space="preserve">. </w:t>
      </w:r>
      <w:r w:rsidR="00D73316" w:rsidRPr="006502E8">
        <w:rPr>
          <w:rFonts w:ascii="Arial" w:eastAsia="Times New Roman" w:hAnsi="Arial" w:cs="Arial"/>
          <w:kern w:val="0"/>
          <w:sz w:val="24"/>
          <w:szCs w:val="24"/>
          <w:lang w:eastAsia="en-IN"/>
          <w14:ligatures w14:val="none"/>
        </w:rPr>
        <w:t>Housing conditions, which include dampness, mould, poor ventilation, insufficient insulation, low indoor temperature, overcrowding, and structural disrepair, influence the air composition, pathogen viability, and the occupants' immune system's ability to respond to pathogen exposure</w:t>
      </w:r>
      <w:r w:rsidRPr="006502E8">
        <w:rPr>
          <w:rFonts w:ascii="Arial" w:eastAsia="Times New Roman" w:hAnsi="Arial" w:cs="Arial"/>
          <w:kern w:val="0"/>
          <w:sz w:val="24"/>
          <w:szCs w:val="24"/>
          <w:lang w:eastAsia="en-IN"/>
          <w14:ligatures w14:val="none"/>
        </w:rPr>
        <w:t xml:space="preserve"> (Coulburn </w:t>
      </w:r>
      <w:r w:rsidR="00950B37">
        <w:rPr>
          <w:rFonts w:ascii="Arial" w:eastAsia="Times New Roman" w:hAnsi="Arial" w:cs="Arial"/>
          <w:kern w:val="0"/>
          <w:sz w:val="24"/>
          <w:szCs w:val="24"/>
          <w:lang w:eastAsia="en-IN"/>
          <w14:ligatures w14:val="none"/>
        </w:rPr>
        <w:t>and</w:t>
      </w:r>
      <w:r w:rsidRPr="006502E8">
        <w:rPr>
          <w:rFonts w:ascii="Arial" w:eastAsia="Times New Roman" w:hAnsi="Arial" w:cs="Arial"/>
          <w:kern w:val="0"/>
          <w:sz w:val="24"/>
          <w:szCs w:val="24"/>
          <w:lang w:eastAsia="en-IN"/>
          <w14:ligatures w14:val="none"/>
        </w:rPr>
        <w:t xml:space="preserve"> Miller, 2022)</w:t>
      </w:r>
      <w:r w:rsidR="00D73316" w:rsidRPr="006502E8">
        <w:rPr>
          <w:rFonts w:ascii="Arial" w:eastAsia="Times New Roman" w:hAnsi="Arial" w:cs="Arial"/>
          <w:kern w:val="0"/>
          <w:sz w:val="24"/>
          <w:szCs w:val="24"/>
          <w:lang w:eastAsia="en-IN"/>
          <w14:ligatures w14:val="none"/>
        </w:rPr>
        <w:t>. The exposures mentioned can have a significant impact on the incidence and severity of acute respiratory infections and exacerbations in chronic respiratory illnesses (such as asthma), leading to increased GP visits, emergency department admissions, and lost school days in children and adolescents (G</w:t>
      </w:r>
      <w:r w:rsidRPr="006502E8">
        <w:rPr>
          <w:rFonts w:ascii="Arial" w:eastAsia="Times New Roman" w:hAnsi="Arial" w:cs="Arial"/>
          <w:kern w:val="0"/>
          <w:sz w:val="24"/>
          <w:szCs w:val="24"/>
          <w:lang w:eastAsia="en-IN"/>
          <w14:ligatures w14:val="none"/>
        </w:rPr>
        <w:t>OV.UK</w:t>
      </w:r>
      <w:r w:rsidR="00D73316" w:rsidRPr="006502E8">
        <w:rPr>
          <w:rFonts w:ascii="Arial" w:eastAsia="Times New Roman" w:hAnsi="Arial" w:cs="Arial"/>
          <w:kern w:val="0"/>
          <w:sz w:val="24"/>
          <w:szCs w:val="24"/>
          <w:lang w:eastAsia="en-IN"/>
          <w14:ligatures w14:val="none"/>
        </w:rPr>
        <w:t>, 2025). More than 2 million people globally are seen in emergency departments for respiratory infection or asthma due to housing quality (</w:t>
      </w:r>
      <w:r w:rsidRPr="006502E8">
        <w:rPr>
          <w:rFonts w:ascii="Arial" w:eastAsia="Times New Roman" w:hAnsi="Arial" w:cs="Arial"/>
          <w:kern w:val="0"/>
          <w:sz w:val="24"/>
          <w:szCs w:val="24"/>
          <w:lang w:eastAsia="en-IN"/>
          <w14:ligatures w14:val="none"/>
        </w:rPr>
        <w:t>NIH</w:t>
      </w:r>
      <w:r w:rsidR="00D73316" w:rsidRPr="006502E8">
        <w:rPr>
          <w:rFonts w:ascii="Arial" w:eastAsia="Times New Roman" w:hAnsi="Arial" w:cs="Arial"/>
          <w:kern w:val="0"/>
          <w:sz w:val="24"/>
          <w:szCs w:val="24"/>
          <w:lang w:eastAsia="en-IN"/>
          <w14:ligatures w14:val="none"/>
        </w:rPr>
        <w:t xml:space="preserve">, 2025). </w:t>
      </w:r>
    </w:p>
    <w:p w14:paraId="065AAE2C" w14:textId="75128677" w:rsidR="00D73316" w:rsidRDefault="00A01CDF" w:rsidP="003F3DAD">
      <w:pPr>
        <w:spacing w:before="240" w:after="0" w:line="360" w:lineRule="auto"/>
        <w:jc w:val="both"/>
        <w:rPr>
          <w:ins w:id="22" w:author="Diola Bijlhout" w:date="2026-01-14T09:29:00Z" w16du:dateUtc="2026-01-14T09:29:00Z"/>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 xml:space="preserve">It has been indicated that </w:t>
      </w:r>
      <w:r w:rsidR="00D73316" w:rsidRPr="006502E8">
        <w:rPr>
          <w:rFonts w:ascii="Arial" w:eastAsia="Times New Roman" w:hAnsi="Arial" w:cs="Arial"/>
          <w:kern w:val="0"/>
          <w:sz w:val="24"/>
          <w:szCs w:val="24"/>
          <w:lang w:eastAsia="en-IN"/>
          <w14:ligatures w14:val="none"/>
        </w:rPr>
        <w:t>15% of UK dwellings fall below decent standards mainly due to poor energy efficiency (57%) and overcrowded conditions (20%), which create excellent conditions for microbiological risk factors such as mould and dampness</w:t>
      </w:r>
      <w:r w:rsidRPr="006502E8">
        <w:rPr>
          <w:rFonts w:ascii="Arial" w:eastAsia="Times New Roman" w:hAnsi="Arial" w:cs="Arial"/>
          <w:kern w:val="0"/>
          <w:sz w:val="24"/>
          <w:szCs w:val="24"/>
          <w:lang w:eastAsia="en-IN"/>
          <w14:ligatures w14:val="none"/>
        </w:rPr>
        <w:t xml:space="preserve"> (Refer to Appendix 1)</w:t>
      </w:r>
      <w:r w:rsidR="00D73316" w:rsidRPr="006502E8">
        <w:rPr>
          <w:rFonts w:ascii="Arial" w:eastAsia="Times New Roman" w:hAnsi="Arial" w:cs="Arial"/>
          <w:kern w:val="0"/>
          <w:sz w:val="24"/>
          <w:szCs w:val="24"/>
          <w:lang w:eastAsia="en-IN"/>
          <w14:ligatures w14:val="none"/>
        </w:rPr>
        <w:t xml:space="preserve">. Substandard housing creates biological and environmental niches that contribute to increased microbiological threats. In the context of the UK, 2.6 million young adults are </w:t>
      </w:r>
      <w:r w:rsidR="00954313">
        <w:rPr>
          <w:rFonts w:ascii="Arial" w:eastAsia="Times New Roman" w:hAnsi="Arial" w:cs="Arial"/>
          <w:kern w:val="0"/>
          <w:sz w:val="24"/>
          <w:szCs w:val="24"/>
          <w:lang w:eastAsia="en-IN"/>
          <w14:ligatures w14:val="none"/>
        </w:rPr>
        <w:t>living.g.</w:t>
      </w:r>
      <w:r w:rsidR="00D73316" w:rsidRPr="006502E8">
        <w:rPr>
          <w:rFonts w:ascii="Arial" w:eastAsia="Times New Roman" w:hAnsi="Arial" w:cs="Arial"/>
          <w:kern w:val="0"/>
          <w:sz w:val="24"/>
          <w:szCs w:val="24"/>
          <w:lang w:eastAsia="en-IN"/>
          <w14:ligatures w14:val="none"/>
        </w:rPr>
        <w:t xml:space="preserve"> in damp, dirty and cramped housing conditions (</w:t>
      </w:r>
      <w:r w:rsidR="00740CD6" w:rsidRPr="006502E8">
        <w:rPr>
          <w:rFonts w:ascii="Arial" w:eastAsia="Times New Roman" w:hAnsi="Arial" w:cs="Arial"/>
          <w:kern w:val="0"/>
          <w:sz w:val="24"/>
          <w:szCs w:val="24"/>
          <w:lang w:eastAsia="en-IN"/>
          <w14:ligatures w14:val="none"/>
        </w:rPr>
        <w:t>GOV.UK, 2025)</w:t>
      </w:r>
      <w:r w:rsidR="00D73316" w:rsidRPr="006502E8">
        <w:rPr>
          <w:rFonts w:ascii="Arial" w:eastAsia="Times New Roman" w:hAnsi="Arial" w:cs="Arial"/>
          <w:kern w:val="0"/>
          <w:sz w:val="24"/>
          <w:szCs w:val="24"/>
          <w:lang w:eastAsia="en-IN"/>
          <w14:ligatures w14:val="none"/>
        </w:rPr>
        <w:t>. It has also been noticed that the worst-affected areas in the UK, based on the respiratory infection among people due to poor housing conditions, are London and the North East, as 52% and 35% of people suffer here (National Centre for Social Research, 2025). Aspects such as dampness and condensation expose a person to fungal growth (such as mould) and potentially the growth of dust-mite populations, both of which can produce spores, proteases, and volatile organic compounds that are irritating to airways and can impair mucosal defence</w:t>
      </w:r>
      <w:r w:rsidR="00025E0B" w:rsidRPr="006502E8">
        <w:rPr>
          <w:rFonts w:ascii="Arial" w:eastAsia="Times New Roman" w:hAnsi="Arial" w:cs="Arial"/>
          <w:kern w:val="0"/>
          <w:sz w:val="24"/>
          <w:szCs w:val="24"/>
          <w:lang w:eastAsia="en-IN"/>
          <w14:ligatures w14:val="none"/>
        </w:rPr>
        <w:t xml:space="preserve"> (Upadhyay, 2023)</w:t>
      </w:r>
      <w:r w:rsidR="00D73316" w:rsidRPr="006502E8">
        <w:rPr>
          <w:rFonts w:ascii="Arial" w:eastAsia="Times New Roman" w:hAnsi="Arial" w:cs="Arial"/>
          <w:kern w:val="0"/>
          <w:sz w:val="24"/>
          <w:szCs w:val="24"/>
          <w:lang w:eastAsia="en-IN"/>
          <w14:ligatures w14:val="none"/>
        </w:rPr>
        <w:t>. Poor ventilation contributes to higher concentrations of potentially hazardous indoor gaseous contaminants (such as viruses, bacteria, allergens, and combustion by-products) while cold and poorly insulated housing can suppress immune function and increase the risk of respiratory infections</w:t>
      </w:r>
      <w:r w:rsidR="00025E0B" w:rsidRPr="006502E8">
        <w:rPr>
          <w:rFonts w:ascii="Arial" w:eastAsia="Times New Roman" w:hAnsi="Arial" w:cs="Arial"/>
          <w:kern w:val="0"/>
          <w:sz w:val="24"/>
          <w:szCs w:val="24"/>
          <w:lang w:eastAsia="en-IN"/>
          <w14:ligatures w14:val="none"/>
        </w:rPr>
        <w:t xml:space="preserve"> (Kumar </w:t>
      </w:r>
      <w:r w:rsidR="00025E0B" w:rsidRPr="006502E8">
        <w:rPr>
          <w:rFonts w:ascii="Arial" w:eastAsia="Times New Roman" w:hAnsi="Arial" w:cs="Arial"/>
          <w:i/>
          <w:iCs/>
          <w:kern w:val="0"/>
          <w:sz w:val="24"/>
          <w:szCs w:val="24"/>
          <w:lang w:eastAsia="en-IN"/>
          <w14:ligatures w14:val="none"/>
        </w:rPr>
        <w:t>et al.,</w:t>
      </w:r>
      <w:r w:rsidR="00025E0B" w:rsidRPr="006502E8">
        <w:rPr>
          <w:rFonts w:ascii="Arial" w:eastAsia="Times New Roman" w:hAnsi="Arial" w:cs="Arial"/>
          <w:kern w:val="0"/>
          <w:sz w:val="24"/>
          <w:szCs w:val="24"/>
          <w:lang w:eastAsia="en-IN"/>
          <w14:ligatures w14:val="none"/>
        </w:rPr>
        <w:t xml:space="preserve"> 2021)</w:t>
      </w:r>
      <w:r w:rsidR="00D73316" w:rsidRPr="006502E8">
        <w:rPr>
          <w:rFonts w:ascii="Arial" w:eastAsia="Times New Roman" w:hAnsi="Arial" w:cs="Arial"/>
          <w:kern w:val="0"/>
          <w:sz w:val="24"/>
          <w:szCs w:val="24"/>
          <w:lang w:eastAsia="en-IN"/>
          <w14:ligatures w14:val="none"/>
        </w:rPr>
        <w:t>. Overcrowded housing increases the likelihood of transmission of viruses</w:t>
      </w:r>
      <w:r w:rsidR="00162E98" w:rsidRPr="006502E8">
        <w:rPr>
          <w:rFonts w:ascii="Arial" w:eastAsia="Times New Roman" w:hAnsi="Arial" w:cs="Arial"/>
          <w:kern w:val="0"/>
          <w:sz w:val="24"/>
          <w:szCs w:val="24"/>
          <w:lang w:eastAsia="en-IN"/>
          <w14:ligatures w14:val="none"/>
        </w:rPr>
        <w:t xml:space="preserve"> (Upadhyay, 2023)</w:t>
      </w:r>
      <w:r w:rsidR="00D73316" w:rsidRPr="006502E8">
        <w:rPr>
          <w:rFonts w:ascii="Arial" w:eastAsia="Times New Roman" w:hAnsi="Arial" w:cs="Arial"/>
          <w:kern w:val="0"/>
          <w:sz w:val="24"/>
          <w:szCs w:val="24"/>
          <w:lang w:eastAsia="en-IN"/>
          <w14:ligatures w14:val="none"/>
        </w:rPr>
        <w:t>.</w:t>
      </w:r>
      <w:r w:rsidR="00954313">
        <w:rPr>
          <w:rFonts w:ascii="Arial" w:eastAsia="Times New Roman" w:hAnsi="Arial" w:cs="Arial"/>
          <w:kern w:val="0"/>
          <w:sz w:val="24"/>
          <w:szCs w:val="24"/>
          <w:lang w:eastAsia="en-IN"/>
          <w14:ligatures w14:val="none"/>
        </w:rPr>
        <w:t xml:space="preserve"> </w:t>
      </w:r>
      <w:ins w:id="23" w:author="Diola Bijlhout" w:date="2026-01-14T09:29:00Z" w16du:dateUtc="2026-01-14T09:29:00Z">
        <w:r w:rsidR="00954313">
          <w:rPr>
            <w:rFonts w:ascii="Arial" w:eastAsia="Times New Roman" w:hAnsi="Arial" w:cs="Arial"/>
            <w:kern w:val="0"/>
            <w:sz w:val="24"/>
            <w:szCs w:val="24"/>
            <w:lang w:eastAsia="en-IN"/>
            <w14:ligatures w14:val="none"/>
          </w:rPr>
          <w:t xml:space="preserve">To </w:t>
        </w:r>
      </w:ins>
      <w:ins w:id="24" w:author="Diola Bijlhout" w:date="2026-01-14T09:30:00Z" w16du:dateUtc="2026-01-14T09:30:00Z">
        <w:r w:rsidR="00954313">
          <w:rPr>
            <w:rFonts w:ascii="Arial" w:eastAsia="Times New Roman" w:hAnsi="Arial" w:cs="Arial"/>
            <w:kern w:val="0"/>
            <w:sz w:val="24"/>
            <w:szCs w:val="24"/>
            <w:lang w:eastAsia="en-IN"/>
            <w14:ligatures w14:val="none"/>
          </w:rPr>
          <w:t xml:space="preserve">focus more on adolescents this research will investigate the impact of poor housing quality on young people’s live. </w:t>
        </w:r>
      </w:ins>
    </w:p>
    <w:p w14:paraId="6A8237CA" w14:textId="2BD2660E" w:rsidR="00D73316" w:rsidRPr="006502E8" w:rsidRDefault="00D73316"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The burden of the issue in the UK is large but unevenly distributed.  National surveys and public health analyses damp and mould problems are increasing: recent data from the English Housing Survey indicated millions of homes experience low levels of insulation, and around 1.3 million households were reported to be living in homes with serious damp issues in 2023-2024 (</w:t>
      </w:r>
      <w:r w:rsidR="00B40807" w:rsidRPr="006502E8">
        <w:rPr>
          <w:rFonts w:ascii="Arial" w:eastAsia="Times New Roman" w:hAnsi="Arial" w:cs="Arial"/>
          <w:kern w:val="0"/>
          <w:sz w:val="24"/>
          <w:szCs w:val="24"/>
          <w:lang w:eastAsia="en-IN"/>
          <w14:ligatures w14:val="none"/>
        </w:rPr>
        <w:t>Refer to appendix 2</w:t>
      </w:r>
      <w:r w:rsidRPr="006502E8">
        <w:rPr>
          <w:rFonts w:ascii="Arial" w:eastAsia="Times New Roman" w:hAnsi="Arial" w:cs="Arial"/>
          <w:kern w:val="0"/>
          <w:sz w:val="24"/>
          <w:szCs w:val="24"/>
          <w:lang w:eastAsia="en-IN"/>
          <w14:ligatures w14:val="none"/>
        </w:rPr>
        <w:t>). The UK Healthcare Security Agency suggests that exposure to dampness and mould in English homes was associated with 5000 additional asthma cases and 8500 additional lower respiratory infections in 2019, and the burden was higher in lower-income and minority ethnic households (UK Health Security Agency, 2025). Respiratory disease is a major stressor on the NHS, treating childhood asthma and emergency admissions remain commonplace and respiratory conditions constitute a large portion of unplanned hospital admissions every year (Gov.uk, 2025). Measuring this data collectively indicates that enhancing housing could reduce a quantifiable share of respiratory morbidity</w:t>
      </w:r>
      <w:r w:rsidR="00954313">
        <w:rPr>
          <w:rFonts w:ascii="Arial" w:eastAsia="Times New Roman" w:hAnsi="Arial" w:cs="Arial"/>
          <w:kern w:val="0"/>
          <w:sz w:val="24"/>
          <w:szCs w:val="24"/>
          <w:lang w:eastAsia="en-IN"/>
          <w14:ligatures w14:val="none"/>
        </w:rPr>
        <w:t xml:space="preserve"> </w:t>
      </w:r>
      <w:ins w:id="25" w:author="Diola Bijlhout" w:date="2026-01-14T09:31:00Z">
        <w:r w:rsidR="00954313" w:rsidRPr="00954313">
          <w:rPr>
            <w:rFonts w:ascii="Arial" w:eastAsia="Times New Roman" w:hAnsi="Arial" w:cs="Arial"/>
            <w:kern w:val="0"/>
            <w:sz w:val="24"/>
            <w:szCs w:val="24"/>
            <w:u w:val="single"/>
            <w:lang w:val="en-IN" w:eastAsia="en-IN"/>
            <w14:ligatures w14:val="none"/>
          </w:rPr>
          <w:t>in young people age 10-18 years</w:t>
        </w:r>
        <w:r w:rsidR="00954313" w:rsidRPr="00954313">
          <w:rPr>
            <w:rFonts w:ascii="Arial" w:eastAsia="Times New Roman" w:hAnsi="Arial" w:cs="Arial"/>
            <w:kern w:val="0"/>
            <w:sz w:val="24"/>
            <w:szCs w:val="24"/>
            <w:lang w:val="en-IN" w:eastAsia="en-IN"/>
            <w14:ligatures w14:val="none"/>
          </w:rPr>
          <w:t>. </w:t>
        </w:r>
      </w:ins>
      <w:r w:rsidRPr="006502E8">
        <w:rPr>
          <w:rFonts w:ascii="Arial" w:eastAsia="Times New Roman" w:hAnsi="Arial" w:cs="Arial"/>
          <w:kern w:val="0"/>
          <w:sz w:val="24"/>
          <w:szCs w:val="24"/>
          <w:lang w:eastAsia="en-IN"/>
          <w14:ligatures w14:val="none"/>
        </w:rPr>
        <w:t xml:space="preserve">. </w:t>
      </w:r>
    </w:p>
    <w:p w14:paraId="20A3210B" w14:textId="3B58DD59" w:rsidR="00D73316" w:rsidRPr="006502E8" w:rsidRDefault="00D73316"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An integrated effort across microbiological, public health, and social care contexts is crucial. Microbiological approaches can include damp and mould removal, improved ventilation, and cleaning</w:t>
      </w:r>
      <w:r w:rsidR="003301BA" w:rsidRPr="006502E8">
        <w:rPr>
          <w:rFonts w:ascii="Arial" w:eastAsia="Times New Roman" w:hAnsi="Arial" w:cs="Arial"/>
          <w:kern w:val="0"/>
          <w:sz w:val="24"/>
          <w:szCs w:val="24"/>
          <w:lang w:eastAsia="en-IN"/>
          <w14:ligatures w14:val="none"/>
        </w:rPr>
        <w:t xml:space="preserve"> (Beswick </w:t>
      </w:r>
      <w:r w:rsidR="003301BA" w:rsidRPr="006502E8">
        <w:rPr>
          <w:rFonts w:ascii="Arial" w:eastAsia="Times New Roman" w:hAnsi="Arial" w:cs="Arial"/>
          <w:i/>
          <w:iCs/>
          <w:kern w:val="0"/>
          <w:sz w:val="24"/>
          <w:szCs w:val="24"/>
          <w:lang w:eastAsia="en-IN"/>
          <w14:ligatures w14:val="none"/>
        </w:rPr>
        <w:t>et al.</w:t>
      </w:r>
      <w:r w:rsidR="003301BA" w:rsidRPr="006502E8">
        <w:rPr>
          <w:rFonts w:ascii="Arial" w:eastAsia="Times New Roman" w:hAnsi="Arial" w:cs="Arial"/>
          <w:kern w:val="0"/>
          <w:sz w:val="24"/>
          <w:szCs w:val="24"/>
          <w:lang w:eastAsia="en-IN"/>
          <w14:ligatures w14:val="none"/>
        </w:rPr>
        <w:t xml:space="preserve"> 2025)</w:t>
      </w:r>
      <w:r w:rsidRPr="006502E8">
        <w:rPr>
          <w:rFonts w:ascii="Arial" w:eastAsia="Times New Roman" w:hAnsi="Arial" w:cs="Arial"/>
          <w:kern w:val="0"/>
          <w:sz w:val="24"/>
          <w:szCs w:val="24"/>
          <w:lang w:eastAsia="en-IN"/>
          <w14:ligatures w14:val="none"/>
        </w:rPr>
        <w:t>. Public health approaches can promote housing standards, develop insulation schemes and provide health education</w:t>
      </w:r>
      <w:r w:rsidR="003301BA" w:rsidRPr="006502E8">
        <w:rPr>
          <w:rFonts w:ascii="Arial" w:eastAsia="Times New Roman" w:hAnsi="Arial" w:cs="Arial"/>
          <w:kern w:val="0"/>
          <w:sz w:val="24"/>
          <w:szCs w:val="24"/>
          <w:lang w:eastAsia="en-IN"/>
          <w14:ligatures w14:val="none"/>
        </w:rPr>
        <w:t xml:space="preserve"> (Howden-Chapman </w:t>
      </w:r>
      <w:r w:rsidR="003301BA" w:rsidRPr="006502E8">
        <w:rPr>
          <w:rFonts w:ascii="Arial" w:eastAsia="Times New Roman" w:hAnsi="Arial" w:cs="Arial"/>
          <w:i/>
          <w:iCs/>
          <w:kern w:val="0"/>
          <w:sz w:val="24"/>
          <w:szCs w:val="24"/>
          <w:lang w:eastAsia="en-IN"/>
          <w14:ligatures w14:val="none"/>
        </w:rPr>
        <w:t>et al.,</w:t>
      </w:r>
      <w:r w:rsidR="003301BA" w:rsidRPr="006502E8">
        <w:rPr>
          <w:rFonts w:ascii="Arial" w:eastAsia="Times New Roman" w:hAnsi="Arial" w:cs="Arial"/>
          <w:kern w:val="0"/>
          <w:sz w:val="24"/>
          <w:szCs w:val="24"/>
          <w:lang w:eastAsia="en-IN"/>
          <w14:ligatures w14:val="none"/>
        </w:rPr>
        <w:t xml:space="preserve"> 2023)</w:t>
      </w:r>
      <w:r w:rsidRPr="006502E8">
        <w:rPr>
          <w:rFonts w:ascii="Arial" w:eastAsia="Times New Roman" w:hAnsi="Arial" w:cs="Arial"/>
          <w:kern w:val="0"/>
          <w:sz w:val="24"/>
          <w:szCs w:val="24"/>
          <w:lang w:eastAsia="en-IN"/>
          <w14:ligatures w14:val="none"/>
        </w:rPr>
        <w:t>. Social care can help vulnerable</w:t>
      </w:r>
      <w:ins w:id="26" w:author="Diola Bijlhout" w:date="2026-01-14T09:32:00Z" w16du:dateUtc="2026-01-14T09:32:00Z">
        <w:r w:rsidR="00954313">
          <w:rPr>
            <w:rFonts w:ascii="Arial" w:eastAsia="Times New Roman" w:hAnsi="Arial" w:cs="Arial"/>
            <w:kern w:val="0"/>
            <w:sz w:val="24"/>
            <w:szCs w:val="24"/>
            <w:lang w:eastAsia="en-IN"/>
            <w14:ligatures w14:val="none"/>
          </w:rPr>
          <w:t xml:space="preserve"> </w:t>
        </w:r>
      </w:ins>
      <w:ins w:id="27" w:author="Diola Bijlhout" w:date="2026-01-14T09:32:00Z">
        <w:r w:rsidR="00954313" w:rsidRPr="00954313">
          <w:rPr>
            <w:rFonts w:ascii="Arial" w:eastAsia="Times New Roman" w:hAnsi="Arial" w:cs="Arial"/>
            <w:kern w:val="0"/>
            <w:sz w:val="24"/>
            <w:szCs w:val="24"/>
            <w:lang w:val="en-IN" w:eastAsia="en-IN"/>
            <w14:ligatures w14:val="none"/>
          </w:rPr>
          <w:t>young people and their</w:t>
        </w:r>
      </w:ins>
      <w:r w:rsidRPr="006502E8">
        <w:rPr>
          <w:rFonts w:ascii="Arial" w:eastAsia="Times New Roman" w:hAnsi="Arial" w:cs="Arial"/>
          <w:kern w:val="0"/>
          <w:sz w:val="24"/>
          <w:szCs w:val="24"/>
          <w:lang w:eastAsia="en-IN"/>
          <w14:ligatures w14:val="none"/>
        </w:rPr>
        <w:t xml:space="preserve"> families by providing housing support, parenting support, and health checks in schools</w:t>
      </w:r>
      <w:r w:rsidR="003301BA" w:rsidRPr="006502E8">
        <w:rPr>
          <w:rFonts w:ascii="Arial" w:eastAsia="Times New Roman" w:hAnsi="Arial" w:cs="Arial"/>
          <w:kern w:val="0"/>
          <w:sz w:val="24"/>
          <w:szCs w:val="24"/>
          <w:lang w:eastAsia="en-IN"/>
          <w14:ligatures w14:val="none"/>
        </w:rPr>
        <w:t xml:space="preserve"> (Anderst </w:t>
      </w:r>
      <w:r w:rsidR="003301BA" w:rsidRPr="006502E8">
        <w:rPr>
          <w:rFonts w:ascii="Arial" w:eastAsia="Times New Roman" w:hAnsi="Arial" w:cs="Arial"/>
          <w:i/>
          <w:iCs/>
          <w:kern w:val="0"/>
          <w:sz w:val="24"/>
          <w:szCs w:val="24"/>
          <w:lang w:eastAsia="en-IN"/>
          <w14:ligatures w14:val="none"/>
        </w:rPr>
        <w:t>et al.,</w:t>
      </w:r>
      <w:r w:rsidR="003301BA" w:rsidRPr="006502E8">
        <w:rPr>
          <w:rFonts w:ascii="Arial" w:eastAsia="Times New Roman" w:hAnsi="Arial" w:cs="Arial"/>
          <w:kern w:val="0"/>
          <w:sz w:val="24"/>
          <w:szCs w:val="24"/>
          <w:lang w:eastAsia="en-IN"/>
          <w14:ligatures w14:val="none"/>
        </w:rPr>
        <w:t xml:space="preserve"> 2022)</w:t>
      </w:r>
      <w:r w:rsidRPr="006502E8">
        <w:rPr>
          <w:rFonts w:ascii="Arial" w:eastAsia="Times New Roman" w:hAnsi="Arial" w:cs="Arial"/>
          <w:kern w:val="0"/>
          <w:sz w:val="24"/>
          <w:szCs w:val="24"/>
          <w:lang w:eastAsia="en-IN"/>
          <w14:ligatures w14:val="none"/>
        </w:rPr>
        <w:t>. Efforts that combine regulation, clinical care, and social support can help to curb housing-related respiratory infections in</w:t>
      </w:r>
      <w:ins w:id="28" w:author="Diola Bijlhout" w:date="2026-01-14T09:33:00Z" w16du:dateUtc="2026-01-14T09:33:00Z">
        <w:r w:rsidR="00954313">
          <w:rPr>
            <w:rFonts w:ascii="Arial" w:eastAsia="Times New Roman" w:hAnsi="Arial" w:cs="Arial"/>
            <w:kern w:val="0"/>
            <w:sz w:val="24"/>
            <w:szCs w:val="24"/>
            <w:lang w:eastAsia="en-IN"/>
            <w14:ligatures w14:val="none"/>
          </w:rPr>
          <w:t xml:space="preserve"> </w:t>
        </w:r>
      </w:ins>
      <w:ins w:id="29" w:author="Diola Bijlhout" w:date="2026-01-14T09:33:00Z">
        <w:r w:rsidR="00954313" w:rsidRPr="00954313">
          <w:rPr>
            <w:rFonts w:ascii="Arial" w:eastAsia="Times New Roman" w:hAnsi="Arial" w:cs="Arial"/>
            <w:kern w:val="0"/>
            <w:sz w:val="24"/>
            <w:szCs w:val="24"/>
            <w:lang w:val="en-IN" w:eastAsia="en-IN"/>
            <w14:ligatures w14:val="none"/>
          </w:rPr>
          <w:t xml:space="preserve">young people </w:t>
        </w:r>
      </w:ins>
      <w:ins w:id="30" w:author="Diola Bijlhout" w:date="2026-01-14T09:33:00Z" w16du:dateUtc="2026-01-14T09:33:00Z">
        <w:r w:rsidR="00954313">
          <w:rPr>
            <w:rFonts w:ascii="Arial" w:eastAsia="Times New Roman" w:hAnsi="Arial" w:cs="Arial"/>
            <w:kern w:val="0"/>
            <w:sz w:val="24"/>
            <w:szCs w:val="24"/>
            <w:lang w:val="en-IN" w:eastAsia="en-IN"/>
            <w14:ligatures w14:val="none"/>
          </w:rPr>
          <w:t>in</w:t>
        </w:r>
      </w:ins>
      <w:r w:rsidRPr="006502E8">
        <w:rPr>
          <w:rFonts w:ascii="Arial" w:eastAsia="Times New Roman" w:hAnsi="Arial" w:cs="Arial"/>
          <w:kern w:val="0"/>
          <w:sz w:val="24"/>
          <w:szCs w:val="24"/>
          <w:lang w:eastAsia="en-IN"/>
          <w14:ligatures w14:val="none"/>
        </w:rPr>
        <w:t xml:space="preserve"> the UK.  </w:t>
      </w:r>
    </w:p>
    <w:p w14:paraId="2D37629D" w14:textId="77777777" w:rsidR="00D73316" w:rsidRPr="006502E8" w:rsidRDefault="00D73316" w:rsidP="003F3DAD">
      <w:pPr>
        <w:pStyle w:val="Heading2"/>
      </w:pPr>
      <w:bookmarkStart w:id="31" w:name="_Toc213677785"/>
      <w:bookmarkStart w:id="32" w:name="_Toc218184493"/>
      <w:r w:rsidRPr="006502E8">
        <w:t>1.2 Research rationale</w:t>
      </w:r>
      <w:bookmarkEnd w:id="31"/>
      <w:bookmarkEnd w:id="32"/>
      <w:r w:rsidRPr="006502E8">
        <w:t xml:space="preserve"> </w:t>
      </w:r>
    </w:p>
    <w:p w14:paraId="0C007FC7" w14:textId="4C8C026F" w:rsidR="00D1326B" w:rsidRPr="006502E8" w:rsidRDefault="00D73316"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 xml:space="preserve">In the UK, inadequate housing is a significant public health risk, particularly for children and young people. Approximately twenty-eight per cent of households within the UK report residing in homes which have damp, mould, or cold conditions (Health Equals, 2025). This corresponds to nearly 15 million individuals (Health Equals, 2025). There is established empirical evidence for the health consequences of exposure to damp and mould. There were an estimated 5,000 new cases of asthma and 8,500 cases of lower-respiratory infections in England attributable to damp and mould exposure in 2019. </w:t>
      </w:r>
      <w:bookmarkStart w:id="33" w:name="_6pgldy6uat5t" w:colFirst="0" w:colLast="0"/>
      <w:bookmarkStart w:id="34" w:name="_3tbbv78a5geb" w:colFirst="0" w:colLast="0"/>
      <w:bookmarkStart w:id="35" w:name="_Toc213677787"/>
      <w:bookmarkEnd w:id="33"/>
      <w:bookmarkEnd w:id="34"/>
      <w:r w:rsidR="000C43BC" w:rsidRPr="006502E8">
        <w:rPr>
          <w:rFonts w:ascii="Arial" w:eastAsia="Times New Roman" w:hAnsi="Arial" w:cs="Arial"/>
          <w:kern w:val="0"/>
          <w:sz w:val="24"/>
          <w:szCs w:val="24"/>
          <w:lang w:eastAsia="en-IN"/>
          <w14:ligatures w14:val="none"/>
        </w:rPr>
        <w:t>Inappropriate housing conditions have been exacerbated by rises in energy prices, a deteriorating housing stock, and increased pressures on the rental market, leading to more instances of dampness, less insulation, and, consequently, more moisture occurring within the housing stock (Galster and Lee, 2021). Young people are likely to be at greater risk, given that they spend greater amounts of time indoors and develop their lungs. To address these concerns, the report this dissertation will recommends approaches which explore combine interventions in improving housing conditions (remediating damp and mould, increasing ventilation); the implementing of minimum housing standards for renting; and the provisioning of targeted social care support (housing support, energy advice, to link to health services). The rationale for the framework is to reduce consultation for respiratory infections in households in children and young adults, and in planned care in the NHS, by considering improving housing, regulation, and vulnerable households together.</w:t>
      </w:r>
    </w:p>
    <w:p w14:paraId="5826A224" w14:textId="7B8D0C46" w:rsidR="00D73316" w:rsidRPr="006502E8" w:rsidRDefault="00D73316" w:rsidP="003F3DAD">
      <w:pPr>
        <w:pStyle w:val="Heading2"/>
      </w:pPr>
      <w:bookmarkStart w:id="36" w:name="_Toc218184494"/>
      <w:r w:rsidRPr="006502E8">
        <w:t>1.</w:t>
      </w:r>
      <w:r w:rsidR="00D1326B" w:rsidRPr="006502E8">
        <w:t>3</w:t>
      </w:r>
      <w:r w:rsidRPr="006502E8">
        <w:t xml:space="preserve"> Research question</w:t>
      </w:r>
      <w:bookmarkEnd w:id="35"/>
      <w:bookmarkEnd w:id="36"/>
      <w:r w:rsidRPr="006502E8">
        <w:t xml:space="preserve"> </w:t>
      </w:r>
    </w:p>
    <w:p w14:paraId="5D27335E" w14:textId="7C7650F7" w:rsidR="00D73316" w:rsidRPr="006502E8" w:rsidRDefault="00D1326B"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How does poor housing quality contribute to respiratory infection in UK adolescent (10 to 18) and what integrated microbiological, public health, social care intervention can reduce this</w:t>
      </w:r>
      <w:r w:rsidR="007564EB" w:rsidRPr="006502E8">
        <w:rPr>
          <w:rFonts w:ascii="Arial" w:eastAsia="Times New Roman" w:hAnsi="Arial" w:cs="Arial"/>
          <w:kern w:val="0"/>
          <w:sz w:val="24"/>
          <w:szCs w:val="24"/>
          <w:lang w:eastAsia="en-IN"/>
          <w14:ligatures w14:val="none"/>
        </w:rPr>
        <w:t xml:space="preserve"> </w:t>
      </w:r>
      <w:r w:rsidRPr="006502E8">
        <w:rPr>
          <w:rFonts w:ascii="Arial" w:eastAsia="Times New Roman" w:hAnsi="Arial" w:cs="Arial"/>
          <w:kern w:val="0"/>
          <w:sz w:val="24"/>
          <w:szCs w:val="24"/>
          <w:lang w:eastAsia="en-IN"/>
          <w14:ligatures w14:val="none"/>
        </w:rPr>
        <w:t>impact?</w:t>
      </w:r>
    </w:p>
    <w:p w14:paraId="217494EC" w14:textId="09968580" w:rsidR="00D1326B" w:rsidRPr="006502E8" w:rsidRDefault="00D1326B" w:rsidP="003F3DAD">
      <w:pPr>
        <w:pStyle w:val="Heading2"/>
      </w:pPr>
      <w:bookmarkStart w:id="37" w:name="_Toc213677786"/>
      <w:bookmarkStart w:id="38" w:name="_Toc218184495"/>
      <w:r w:rsidRPr="006502E8">
        <w:t>1.4 Research aim and objective</w:t>
      </w:r>
      <w:bookmarkEnd w:id="37"/>
      <w:bookmarkEnd w:id="38"/>
      <w:r w:rsidRPr="006502E8">
        <w:t xml:space="preserve"> </w:t>
      </w:r>
    </w:p>
    <w:p w14:paraId="1081F402" w14:textId="77777777" w:rsidR="00D1326B" w:rsidRPr="006502E8" w:rsidRDefault="00D1326B" w:rsidP="003F3DAD">
      <w:pPr>
        <w:spacing w:before="240" w:after="0" w:line="360" w:lineRule="auto"/>
        <w:jc w:val="both"/>
        <w:rPr>
          <w:rFonts w:ascii="Arial" w:eastAsia="Times New Roman" w:hAnsi="Arial" w:cs="Arial"/>
          <w:b/>
          <w:bCs/>
          <w:kern w:val="0"/>
          <w:sz w:val="24"/>
          <w:szCs w:val="24"/>
          <w:lang w:eastAsia="en-IN"/>
          <w14:ligatures w14:val="none"/>
        </w:rPr>
      </w:pPr>
      <w:r w:rsidRPr="006502E8">
        <w:rPr>
          <w:rFonts w:ascii="Arial" w:eastAsia="Times New Roman" w:hAnsi="Arial" w:cs="Arial"/>
          <w:b/>
          <w:bCs/>
          <w:kern w:val="0"/>
          <w:sz w:val="24"/>
          <w:szCs w:val="24"/>
          <w:lang w:eastAsia="en-IN"/>
          <w14:ligatures w14:val="none"/>
        </w:rPr>
        <w:t xml:space="preserve">Aim </w:t>
      </w:r>
    </w:p>
    <w:p w14:paraId="647AB522" w14:textId="4AE4A1FC" w:rsidR="00D1326B" w:rsidRPr="006502E8" w:rsidRDefault="00D1326B"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To investigate housing quality affects the prevalence of respiratory infection in UK children (10-18years) and explore effective prevention and intervention strategies through microbiological, public health, social care practice.</w:t>
      </w:r>
    </w:p>
    <w:p w14:paraId="5283D356" w14:textId="77777777" w:rsidR="00D1326B" w:rsidRPr="006502E8" w:rsidRDefault="00D1326B" w:rsidP="003F3DAD">
      <w:pPr>
        <w:spacing w:before="240" w:after="0" w:line="360" w:lineRule="auto"/>
        <w:jc w:val="both"/>
        <w:rPr>
          <w:rFonts w:ascii="Arial" w:eastAsia="Times New Roman" w:hAnsi="Arial" w:cs="Arial"/>
          <w:b/>
          <w:bCs/>
          <w:kern w:val="0"/>
          <w:sz w:val="24"/>
          <w:szCs w:val="24"/>
          <w:lang w:eastAsia="en-IN"/>
          <w14:ligatures w14:val="none"/>
        </w:rPr>
      </w:pPr>
      <w:r w:rsidRPr="006502E8">
        <w:rPr>
          <w:rFonts w:ascii="Arial" w:eastAsia="Times New Roman" w:hAnsi="Arial" w:cs="Arial"/>
          <w:b/>
          <w:bCs/>
          <w:kern w:val="0"/>
          <w:sz w:val="24"/>
          <w:szCs w:val="24"/>
          <w:lang w:eastAsia="en-IN"/>
          <w14:ligatures w14:val="none"/>
        </w:rPr>
        <w:t xml:space="preserve">Objectives </w:t>
      </w:r>
    </w:p>
    <w:p w14:paraId="4F549440" w14:textId="533E16D3" w:rsidR="009830E8" w:rsidRPr="006502E8" w:rsidRDefault="009830E8" w:rsidP="003F3DAD">
      <w:pPr>
        <w:pStyle w:val="ListBullet"/>
        <w:spacing w:before="240" w:line="360" w:lineRule="auto"/>
        <w:jc w:val="both"/>
        <w:rPr>
          <w:rFonts w:ascii="Arial" w:hAnsi="Arial" w:cs="Arial"/>
          <w:sz w:val="24"/>
          <w:szCs w:val="24"/>
          <w:lang w:eastAsia="en-IN"/>
        </w:rPr>
      </w:pPr>
      <w:r w:rsidRPr="006502E8">
        <w:rPr>
          <w:rFonts w:ascii="Arial" w:hAnsi="Arial" w:cs="Arial"/>
          <w:sz w:val="24"/>
          <w:szCs w:val="24"/>
          <w:lang w:eastAsia="en-IN"/>
        </w:rPr>
        <w:t>To examine the microbiological risk like mould, dampness, bacteria, associated with substandard housing and their role in the microbiological perspective.</w:t>
      </w:r>
    </w:p>
    <w:p w14:paraId="6DDA62D4" w14:textId="4BDD1ABD" w:rsidR="009830E8" w:rsidRPr="006502E8" w:rsidRDefault="009830E8" w:rsidP="003F3DAD">
      <w:pPr>
        <w:pStyle w:val="ListBullet"/>
        <w:spacing w:before="240" w:line="360" w:lineRule="auto"/>
        <w:jc w:val="both"/>
        <w:rPr>
          <w:rFonts w:ascii="Arial" w:hAnsi="Arial" w:cs="Arial"/>
          <w:sz w:val="24"/>
          <w:szCs w:val="24"/>
          <w:lang w:eastAsia="en-IN"/>
        </w:rPr>
      </w:pPr>
      <w:r w:rsidRPr="006502E8">
        <w:rPr>
          <w:rFonts w:ascii="Arial" w:hAnsi="Arial" w:cs="Arial"/>
          <w:sz w:val="24"/>
          <w:szCs w:val="24"/>
          <w:lang w:eastAsia="en-IN"/>
        </w:rPr>
        <w:t>To evaluate public health strategies currently available for housing related respiration health infection and identify the policy implementation</w:t>
      </w:r>
    </w:p>
    <w:p w14:paraId="038BB392" w14:textId="49B2F74D" w:rsidR="00D1326B" w:rsidRPr="006502E8" w:rsidRDefault="009830E8" w:rsidP="003F3DAD">
      <w:pPr>
        <w:pStyle w:val="ListBullet"/>
        <w:spacing w:before="240" w:line="360" w:lineRule="auto"/>
        <w:jc w:val="both"/>
        <w:rPr>
          <w:rFonts w:ascii="Arial" w:hAnsi="Arial" w:cs="Arial"/>
          <w:sz w:val="24"/>
          <w:szCs w:val="24"/>
          <w:lang w:eastAsia="en-IN"/>
        </w:rPr>
      </w:pPr>
      <w:r w:rsidRPr="006502E8">
        <w:rPr>
          <w:rFonts w:ascii="Arial" w:hAnsi="Arial" w:cs="Arial"/>
          <w:sz w:val="24"/>
          <w:szCs w:val="24"/>
          <w:lang w:eastAsia="en-IN"/>
        </w:rPr>
        <w:t>To assess the role of social care services like parenting programmes, foster parenting programmes of the supposing vulnerable population (adolescent) affected by poor housing and recommend integrated intervention combination of microbiological, public health, social care support approaches.</w:t>
      </w:r>
    </w:p>
    <w:p w14:paraId="4096DC89" w14:textId="77777777" w:rsidR="00D73316" w:rsidRPr="006502E8" w:rsidRDefault="00D73316" w:rsidP="003F3DAD">
      <w:pPr>
        <w:pStyle w:val="Heading2"/>
      </w:pPr>
      <w:bookmarkStart w:id="39" w:name="_5umkmh58br52" w:colFirst="0" w:colLast="0"/>
      <w:bookmarkStart w:id="40" w:name="_Toc213677788"/>
      <w:bookmarkStart w:id="41" w:name="_Toc218184496"/>
      <w:bookmarkEnd w:id="39"/>
      <w:r w:rsidRPr="006502E8">
        <w:t>1.5 Research significance</w:t>
      </w:r>
      <w:bookmarkEnd w:id="40"/>
      <w:bookmarkEnd w:id="41"/>
      <w:r w:rsidRPr="006502E8">
        <w:t xml:space="preserve"> </w:t>
      </w:r>
    </w:p>
    <w:p w14:paraId="76975DB7" w14:textId="0B7E3B4F" w:rsidR="00D73316" w:rsidRPr="006502E8" w:rsidRDefault="00D73316"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This considerable piece of research is a valuable contribution to the field of public health as it highlights a strong association between housing</w:t>
      </w:r>
      <w:r w:rsidR="000C43BC" w:rsidRPr="006502E8">
        <w:rPr>
          <w:rFonts w:ascii="Arial" w:eastAsia="Times New Roman" w:hAnsi="Arial" w:cs="Arial"/>
          <w:kern w:val="0"/>
          <w:sz w:val="24"/>
          <w:szCs w:val="24"/>
          <w:lang w:eastAsia="en-IN"/>
          <w14:ligatures w14:val="none"/>
        </w:rPr>
        <w:t xml:space="preserve"> quality, housing</w:t>
      </w:r>
      <w:r w:rsidRPr="006502E8">
        <w:rPr>
          <w:rFonts w:ascii="Arial" w:eastAsia="Times New Roman" w:hAnsi="Arial" w:cs="Arial"/>
          <w:kern w:val="0"/>
          <w:sz w:val="24"/>
          <w:szCs w:val="24"/>
          <w:lang w:eastAsia="en-IN"/>
          <w14:ligatures w14:val="none"/>
        </w:rPr>
        <w:t xml:space="preserve"> conditions and respiratory health in adolescents in the UK, a vulnerable group in which housing and health needs are often overlooked in policy. Poor housing </w:t>
      </w:r>
      <w:r w:rsidR="000C43BC" w:rsidRPr="006502E8">
        <w:rPr>
          <w:rFonts w:ascii="Arial" w:eastAsia="Times New Roman" w:hAnsi="Arial" w:cs="Arial"/>
          <w:kern w:val="0"/>
          <w:sz w:val="24"/>
          <w:szCs w:val="24"/>
          <w:lang w:eastAsia="en-IN"/>
          <w14:ligatures w14:val="none"/>
        </w:rPr>
        <w:t xml:space="preserve">quality and </w:t>
      </w:r>
      <w:r w:rsidRPr="006502E8">
        <w:rPr>
          <w:rFonts w:ascii="Arial" w:eastAsia="Times New Roman" w:hAnsi="Arial" w:cs="Arial"/>
          <w:kern w:val="0"/>
          <w:sz w:val="24"/>
          <w:szCs w:val="24"/>
          <w:lang w:eastAsia="en-IN"/>
          <w14:ligatures w14:val="none"/>
        </w:rPr>
        <w:t xml:space="preserve">condition, which encompasses dampness, mould and lack of proper ventilation, is a causative factor of increased respiratory infections and chronic conditions, such as asthma (Coulburn and Miller, 2022). Establishing the association between housing and respiratory health aligns with public health objectives for countries in reducing health inequalities and preventing disease related to poor environments (Howden-Chapman </w:t>
      </w:r>
      <w:r w:rsidRPr="006502E8">
        <w:rPr>
          <w:rFonts w:ascii="Arial" w:eastAsia="Times New Roman" w:hAnsi="Arial" w:cs="Arial"/>
          <w:i/>
          <w:iCs/>
          <w:kern w:val="0"/>
          <w:sz w:val="24"/>
          <w:szCs w:val="24"/>
          <w:lang w:eastAsia="en-IN"/>
          <w14:ligatures w14:val="none"/>
        </w:rPr>
        <w:t>et al.,</w:t>
      </w:r>
      <w:r w:rsidRPr="006502E8">
        <w:rPr>
          <w:rFonts w:ascii="Arial" w:eastAsia="Times New Roman" w:hAnsi="Arial" w:cs="Arial"/>
          <w:kern w:val="0"/>
          <w:sz w:val="24"/>
          <w:szCs w:val="24"/>
          <w:lang w:eastAsia="en-IN"/>
          <w14:ligatures w14:val="none"/>
        </w:rPr>
        <w:t xml:space="preserve"> 2023). This research is appropriate because of its multidisciplinary nature, as it brings together microbiological, </w:t>
      </w:r>
      <w:r w:rsidR="000C43BC" w:rsidRPr="006502E8">
        <w:rPr>
          <w:rFonts w:ascii="Arial" w:eastAsia="Times New Roman" w:hAnsi="Arial" w:cs="Arial"/>
          <w:kern w:val="0"/>
          <w:sz w:val="24"/>
          <w:szCs w:val="24"/>
          <w:lang w:eastAsia="en-IN"/>
          <w14:ligatures w14:val="none"/>
        </w:rPr>
        <w:t>public</w:t>
      </w:r>
      <w:r w:rsidRPr="006502E8">
        <w:rPr>
          <w:rFonts w:ascii="Arial" w:eastAsia="Times New Roman" w:hAnsi="Arial" w:cs="Arial"/>
          <w:kern w:val="0"/>
          <w:sz w:val="24"/>
          <w:szCs w:val="24"/>
          <w:lang w:eastAsia="en-IN"/>
          <w14:ligatures w14:val="none"/>
        </w:rPr>
        <w:t xml:space="preserve"> health and social care lenses to provide evidence for effective prevention and intervention approaches. Following any revision of housing </w:t>
      </w:r>
      <w:r w:rsidR="000C43BC" w:rsidRPr="006502E8">
        <w:rPr>
          <w:rFonts w:ascii="Arial" w:eastAsia="Times New Roman" w:hAnsi="Arial" w:cs="Arial"/>
          <w:kern w:val="0"/>
          <w:sz w:val="24"/>
          <w:szCs w:val="24"/>
          <w:lang w:eastAsia="en-IN"/>
          <w14:ligatures w14:val="none"/>
        </w:rPr>
        <w:t>tactics</w:t>
      </w:r>
      <w:r w:rsidRPr="006502E8">
        <w:rPr>
          <w:rFonts w:ascii="Arial" w:eastAsia="Times New Roman" w:hAnsi="Arial" w:cs="Arial"/>
          <w:kern w:val="0"/>
          <w:sz w:val="24"/>
          <w:szCs w:val="24"/>
          <w:lang w:eastAsia="en-IN"/>
          <w14:ligatures w14:val="none"/>
        </w:rPr>
        <w:t>, health initiatives and social support programming, this research can help inform policymakers and clinicians about the best methods for reducing the burden of respiratory illness, health system charging, and inequalities in long-term health of these young populations in the UK to improve health and well-being across the UK.</w:t>
      </w:r>
    </w:p>
    <w:p w14:paraId="27F32F8A" w14:textId="00C2EE39" w:rsidR="00D73316" w:rsidRPr="006502E8" w:rsidRDefault="00D73316" w:rsidP="003F3DAD">
      <w:pPr>
        <w:pStyle w:val="Heading2"/>
      </w:pPr>
      <w:bookmarkStart w:id="42" w:name="_qx94rja8ov9z" w:colFirst="0" w:colLast="0"/>
      <w:bookmarkStart w:id="43" w:name="_Toc213677789"/>
      <w:bookmarkStart w:id="44" w:name="_Toc218184497"/>
      <w:bookmarkEnd w:id="42"/>
      <w:r w:rsidRPr="006502E8">
        <w:t xml:space="preserve">1.6 </w:t>
      </w:r>
      <w:bookmarkEnd w:id="43"/>
      <w:r w:rsidR="0099490E" w:rsidRPr="006502E8">
        <w:t>Literature based background discussion</w:t>
      </w:r>
      <w:bookmarkEnd w:id="44"/>
    </w:p>
    <w:p w14:paraId="6871DB1C" w14:textId="03F1B0A3" w:rsidR="00D73316" w:rsidRPr="006502E8" w:rsidRDefault="00D73316" w:rsidP="003F3DAD">
      <w:pPr>
        <w:spacing w:before="240" w:after="0" w:line="360" w:lineRule="auto"/>
        <w:jc w:val="both"/>
        <w:rPr>
          <w:rFonts w:ascii="Arial" w:eastAsia="Times New Roman" w:hAnsi="Arial" w:cs="Arial"/>
          <w:kern w:val="0"/>
          <w:sz w:val="24"/>
          <w:szCs w:val="24"/>
          <w:lang w:eastAsia="en-IN"/>
          <w14:ligatures w14:val="none"/>
        </w:rPr>
      </w:pPr>
      <w:bookmarkStart w:id="45" w:name="_5truv8mh2p2w" w:colFirst="0" w:colLast="0"/>
      <w:bookmarkEnd w:id="45"/>
      <w:r w:rsidRPr="006502E8">
        <w:rPr>
          <w:rFonts w:ascii="Arial" w:eastAsia="Times New Roman" w:hAnsi="Arial" w:cs="Arial"/>
          <w:kern w:val="0"/>
          <w:sz w:val="24"/>
          <w:szCs w:val="24"/>
          <w:lang w:eastAsia="en-IN"/>
          <w14:ligatures w14:val="none"/>
        </w:rPr>
        <w:t>Residing in poor housing conditions exposes adolescents to many microbiological hazards, including dampness-related moulds or fungi and bacterial exposure, all of which can significantly affect respiratory health</w:t>
      </w:r>
      <w:r w:rsidR="0099490E" w:rsidRPr="006502E8">
        <w:rPr>
          <w:rFonts w:ascii="Arial" w:eastAsia="Times New Roman" w:hAnsi="Arial" w:cs="Arial"/>
          <w:kern w:val="0"/>
          <w:sz w:val="24"/>
          <w:szCs w:val="24"/>
          <w:lang w:eastAsia="en-IN"/>
          <w14:ligatures w14:val="none"/>
        </w:rPr>
        <w:t xml:space="preserve"> (Groot </w:t>
      </w:r>
      <w:r w:rsidR="0099490E" w:rsidRPr="006502E8">
        <w:rPr>
          <w:rFonts w:ascii="Arial" w:eastAsia="Times New Roman" w:hAnsi="Arial" w:cs="Arial"/>
          <w:i/>
          <w:iCs/>
          <w:kern w:val="0"/>
          <w:sz w:val="24"/>
          <w:szCs w:val="24"/>
          <w:lang w:eastAsia="en-IN"/>
          <w14:ligatures w14:val="none"/>
        </w:rPr>
        <w:t>et al.,</w:t>
      </w:r>
      <w:r w:rsidR="0099490E" w:rsidRPr="006502E8">
        <w:rPr>
          <w:rFonts w:ascii="Arial" w:eastAsia="Times New Roman" w:hAnsi="Arial" w:cs="Arial"/>
          <w:kern w:val="0"/>
          <w:sz w:val="24"/>
          <w:szCs w:val="24"/>
          <w:lang w:eastAsia="en-IN"/>
          <w14:ligatures w14:val="none"/>
        </w:rPr>
        <w:t xml:space="preserve"> 2023)</w:t>
      </w:r>
      <w:r w:rsidRPr="006502E8">
        <w:rPr>
          <w:rFonts w:ascii="Arial" w:eastAsia="Times New Roman" w:hAnsi="Arial" w:cs="Arial"/>
          <w:kern w:val="0"/>
          <w:sz w:val="24"/>
          <w:szCs w:val="24"/>
          <w:lang w:eastAsia="en-IN"/>
          <w14:ligatures w14:val="none"/>
        </w:rPr>
        <w:t xml:space="preserve">. Moulds, such as Aspergillus and Penicillium moulds, are a microbiological hazard that can thrive in an indoor space that is damp and when exposed to high humidity, and pertain to the common characteristics of fungi by producing spores and mycotoxins that irritate the respiratory tract and promote inflammatory processes. Omebeyinje </w:t>
      </w:r>
      <w:r w:rsidRPr="006502E8">
        <w:rPr>
          <w:rFonts w:ascii="Arial" w:eastAsia="Times New Roman" w:hAnsi="Arial" w:cs="Arial"/>
          <w:i/>
          <w:iCs/>
          <w:kern w:val="0"/>
          <w:sz w:val="24"/>
          <w:szCs w:val="24"/>
          <w:lang w:eastAsia="en-IN"/>
          <w14:ligatures w14:val="none"/>
        </w:rPr>
        <w:t xml:space="preserve">et al., </w:t>
      </w:r>
      <w:r w:rsidRPr="006502E8">
        <w:rPr>
          <w:rFonts w:ascii="Arial" w:eastAsia="Times New Roman" w:hAnsi="Arial" w:cs="Arial"/>
          <w:kern w:val="0"/>
          <w:sz w:val="24"/>
          <w:szCs w:val="24"/>
          <w:lang w:eastAsia="en-IN"/>
          <w14:ligatures w14:val="none"/>
        </w:rPr>
        <w:t xml:space="preserve">(2021) reported that the impact of this microbiological hazard was the modulation of the microbial ecology within the indoor air microbiome due to the dampness, and this is the reason why respiratory illness and Asp-Pen health issues developed in adolescents. It is also recognised that microbial and fungal ecological environments were also diminished by the microbiological hazard of dampness. Therefore, the reason why respiratory illness developed was due to the residential dwelling. </w:t>
      </w:r>
    </w:p>
    <w:p w14:paraId="61E2EC64" w14:textId="3E75CDC0" w:rsidR="00D73316" w:rsidRPr="006502E8" w:rsidRDefault="0099490E"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 xml:space="preserve">However, many other additional health issues can also occur as a result of poor-quality housing, inadequate warmth and the dampness. The </w:t>
      </w:r>
      <w:r w:rsidR="00D73316" w:rsidRPr="006502E8">
        <w:rPr>
          <w:rFonts w:ascii="Arial" w:eastAsia="Times New Roman" w:hAnsi="Arial" w:cs="Arial"/>
          <w:kern w:val="0"/>
          <w:sz w:val="24"/>
          <w:szCs w:val="24"/>
          <w:lang w:eastAsia="en-IN"/>
          <w14:ligatures w14:val="none"/>
        </w:rPr>
        <w:t>dampness-related microbial hazard, which is attributable to the increase of dust mites and fungi due to the dampness, and therefore adds to the sustained exposure of allergenic properties that diminish the immune response and increase other vulnerabilities to health, such as respiratory illness and RTIs</w:t>
      </w:r>
      <w:r w:rsidRPr="006502E8">
        <w:rPr>
          <w:rFonts w:ascii="Arial" w:eastAsia="Times New Roman" w:hAnsi="Arial" w:cs="Arial"/>
          <w:kern w:val="0"/>
          <w:sz w:val="24"/>
          <w:szCs w:val="24"/>
          <w:lang w:eastAsia="en-IN"/>
          <w14:ligatures w14:val="none"/>
        </w:rPr>
        <w:t xml:space="preserve"> (Respiratory tract inflections)</w:t>
      </w:r>
      <w:r w:rsidR="00D73316" w:rsidRPr="006502E8">
        <w:rPr>
          <w:rFonts w:ascii="Arial" w:eastAsia="Times New Roman" w:hAnsi="Arial" w:cs="Arial"/>
          <w:kern w:val="0"/>
          <w:sz w:val="24"/>
          <w:szCs w:val="24"/>
          <w:lang w:eastAsia="en-IN"/>
          <w14:ligatures w14:val="none"/>
        </w:rPr>
        <w:t xml:space="preserve">. Holden </w:t>
      </w:r>
      <w:r w:rsidR="00D73316" w:rsidRPr="006502E8">
        <w:rPr>
          <w:rFonts w:ascii="Arial" w:eastAsia="Times New Roman" w:hAnsi="Arial" w:cs="Arial"/>
          <w:i/>
          <w:iCs/>
          <w:kern w:val="0"/>
          <w:sz w:val="24"/>
          <w:szCs w:val="24"/>
          <w:lang w:eastAsia="en-IN"/>
          <w14:ligatures w14:val="none"/>
        </w:rPr>
        <w:t xml:space="preserve">et al., </w:t>
      </w:r>
      <w:r w:rsidR="00D73316" w:rsidRPr="006502E8">
        <w:rPr>
          <w:rFonts w:ascii="Arial" w:eastAsia="Times New Roman" w:hAnsi="Arial" w:cs="Arial"/>
          <w:kern w:val="0"/>
          <w:sz w:val="24"/>
          <w:szCs w:val="24"/>
          <w:lang w:eastAsia="en-IN"/>
          <w14:ligatures w14:val="none"/>
        </w:rPr>
        <w:t>(2023) suggest that the major impact of dampness on the health of adolescents is manifested by the creation of RTIs.</w:t>
      </w:r>
    </w:p>
    <w:p w14:paraId="5993A5DF" w14:textId="4D3624D7" w:rsidR="00D73316" w:rsidRPr="006502E8" w:rsidRDefault="00D73316"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Among the others, mould exposure is likely to pose the most dangerous microbiological risk. It grows profusely in sub-standard housing across the UK, and it constantly produces airborne spores that people can easily inhale, which can create prolonged respiratory irritation and further health problems</w:t>
      </w:r>
      <w:r w:rsidR="0099490E" w:rsidRPr="006502E8">
        <w:rPr>
          <w:rFonts w:ascii="Arial" w:eastAsia="Times New Roman" w:hAnsi="Arial" w:cs="Arial"/>
          <w:kern w:val="0"/>
          <w:sz w:val="24"/>
          <w:szCs w:val="24"/>
          <w:lang w:eastAsia="en-IN"/>
          <w14:ligatures w14:val="none"/>
        </w:rPr>
        <w:t xml:space="preserve"> (Holden </w:t>
      </w:r>
      <w:r w:rsidR="0099490E" w:rsidRPr="006502E8">
        <w:rPr>
          <w:rFonts w:ascii="Arial" w:eastAsia="Times New Roman" w:hAnsi="Arial" w:cs="Arial"/>
          <w:i/>
          <w:iCs/>
          <w:kern w:val="0"/>
          <w:sz w:val="24"/>
          <w:szCs w:val="24"/>
          <w:lang w:eastAsia="en-IN"/>
          <w14:ligatures w14:val="none"/>
        </w:rPr>
        <w:t xml:space="preserve">et al., </w:t>
      </w:r>
      <w:r w:rsidR="0099490E" w:rsidRPr="006502E8">
        <w:rPr>
          <w:rFonts w:ascii="Arial" w:eastAsia="Times New Roman" w:hAnsi="Arial" w:cs="Arial"/>
          <w:kern w:val="0"/>
          <w:sz w:val="24"/>
          <w:szCs w:val="24"/>
          <w:lang w:eastAsia="en-IN"/>
          <w14:ligatures w14:val="none"/>
        </w:rPr>
        <w:t>2023)</w:t>
      </w:r>
      <w:r w:rsidRPr="006502E8">
        <w:rPr>
          <w:rFonts w:ascii="Arial" w:eastAsia="Times New Roman" w:hAnsi="Arial" w:cs="Arial"/>
          <w:kern w:val="0"/>
          <w:sz w:val="24"/>
          <w:szCs w:val="24"/>
          <w:lang w:eastAsia="en-IN"/>
          <w14:ligatures w14:val="none"/>
        </w:rPr>
        <w:t>. Therefore, tackling mould with suitable ventilation, moisture control systems, and structural upkeep should become a major public health concern.</w:t>
      </w:r>
    </w:p>
    <w:p w14:paraId="4D07D8E1" w14:textId="6FA3B3B2" w:rsidR="00D73316" w:rsidRPr="006502E8" w:rsidRDefault="00D73316" w:rsidP="003F3DAD">
      <w:pPr>
        <w:spacing w:before="240" w:after="0" w:line="360" w:lineRule="auto"/>
        <w:jc w:val="both"/>
        <w:rPr>
          <w:rFonts w:ascii="Arial" w:eastAsia="Times New Roman" w:hAnsi="Arial" w:cs="Arial"/>
          <w:kern w:val="0"/>
          <w:sz w:val="24"/>
          <w:szCs w:val="24"/>
          <w:lang w:eastAsia="en-IN"/>
          <w14:ligatures w14:val="none"/>
        </w:rPr>
      </w:pPr>
      <w:bookmarkStart w:id="46" w:name="_vqy1tsccp666" w:colFirst="0" w:colLast="0"/>
      <w:bookmarkEnd w:id="46"/>
      <w:r w:rsidRPr="006502E8">
        <w:rPr>
          <w:rFonts w:ascii="Arial" w:eastAsia="Times New Roman" w:hAnsi="Arial" w:cs="Arial"/>
          <w:kern w:val="0"/>
          <w:sz w:val="24"/>
          <w:szCs w:val="24"/>
          <w:lang w:eastAsia="en-IN"/>
          <w14:ligatures w14:val="none"/>
        </w:rPr>
        <w:t>Coordinated public health systems and social care services will be needed to address housing-related respiratory infections. An effective critical intervention is our housing public health-led housing improvement initiative (such as insulation upgrades, mould remediation and ventilation installation), which is critical because it will address the environmental antecedents for respiratory illness</w:t>
      </w:r>
      <w:r w:rsidR="0099490E" w:rsidRPr="006502E8">
        <w:rPr>
          <w:rFonts w:ascii="Arial" w:eastAsia="Times New Roman" w:hAnsi="Arial" w:cs="Arial"/>
          <w:kern w:val="0"/>
          <w:sz w:val="24"/>
          <w:szCs w:val="24"/>
          <w:lang w:eastAsia="en-IN"/>
          <w14:ligatures w14:val="none"/>
        </w:rPr>
        <w:t xml:space="preserve"> (McHugh and Macintyre, 2024)</w:t>
      </w:r>
      <w:r w:rsidRPr="006502E8">
        <w:rPr>
          <w:rFonts w:ascii="Arial" w:eastAsia="Times New Roman" w:hAnsi="Arial" w:cs="Arial"/>
          <w:kern w:val="0"/>
          <w:sz w:val="24"/>
          <w:szCs w:val="24"/>
          <w:lang w:eastAsia="en-IN"/>
          <w14:ligatures w14:val="none"/>
        </w:rPr>
        <w:t>. According to McHugh and Macintyre (2024), the intervention's main significance will be working on pathologies of adolescent people and impacting the risk factors associated with their respiratory vulnerability. Intervening with warm, dry and well-ventilated homes breaks the cycle of poor</w:t>
      </w:r>
      <w:r w:rsidR="0099490E" w:rsidRPr="006502E8">
        <w:rPr>
          <w:rFonts w:ascii="Arial" w:eastAsia="Times New Roman" w:hAnsi="Arial" w:cs="Arial"/>
          <w:kern w:val="0"/>
          <w:sz w:val="24"/>
          <w:szCs w:val="24"/>
          <w:lang w:eastAsia="en-IN"/>
          <w14:ligatures w14:val="none"/>
        </w:rPr>
        <w:t xml:space="preserve">-quality </w:t>
      </w:r>
      <w:r w:rsidRPr="006502E8">
        <w:rPr>
          <w:rFonts w:ascii="Arial" w:eastAsia="Times New Roman" w:hAnsi="Arial" w:cs="Arial"/>
          <w:kern w:val="0"/>
          <w:sz w:val="24"/>
          <w:szCs w:val="24"/>
          <w:lang w:eastAsia="en-IN"/>
          <w14:ligatures w14:val="none"/>
        </w:rPr>
        <w:t>housing, leading to respiratory morbidity.</w:t>
      </w:r>
    </w:p>
    <w:p w14:paraId="411813C5" w14:textId="77777777" w:rsidR="00D73316" w:rsidRPr="006502E8" w:rsidRDefault="00D73316"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 xml:space="preserve">Furthermore, social care interventions, including parenting support, foster care programs, and housing support, can provide invaluable protection for teens who are in unsafe or overcrowded living conditions (Brown </w:t>
      </w:r>
      <w:r w:rsidRPr="006502E8">
        <w:rPr>
          <w:rFonts w:ascii="Arial" w:eastAsia="Times New Roman" w:hAnsi="Arial" w:cs="Arial"/>
          <w:i/>
          <w:iCs/>
          <w:kern w:val="0"/>
          <w:sz w:val="24"/>
          <w:szCs w:val="24"/>
          <w:lang w:eastAsia="en-IN"/>
          <w14:ligatures w14:val="none"/>
        </w:rPr>
        <w:t>et al.,</w:t>
      </w:r>
      <w:r w:rsidRPr="006502E8">
        <w:rPr>
          <w:rFonts w:ascii="Arial" w:eastAsia="Times New Roman" w:hAnsi="Arial" w:cs="Arial"/>
          <w:kern w:val="0"/>
          <w:sz w:val="24"/>
          <w:szCs w:val="24"/>
          <w:lang w:eastAsia="en-IN"/>
          <w14:ligatures w14:val="none"/>
        </w:rPr>
        <w:t xml:space="preserve"> 2024). These programs can build resilience at the level of the family, in addition to providing health education and greater access to health care. These programs are targeting the social and behavioural aspects of health, but their effectiveness will positively depend on integration with the environmental interventions. </w:t>
      </w:r>
    </w:p>
    <w:p w14:paraId="52C116B5" w14:textId="5458F445" w:rsidR="00D73316" w:rsidRPr="006502E8" w:rsidRDefault="0099490E"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Overall, housing improvement programs from a holistic approach have the biggest impact because they deal with the source of the problem, the unhealthy physical environment, but delivering certain social care programs which has a longer-lasting effort addressing public health problems.</w:t>
      </w:r>
    </w:p>
    <w:p w14:paraId="54910E5F" w14:textId="0CA7010D" w:rsidR="00D73316" w:rsidRPr="006502E8" w:rsidRDefault="00D73316" w:rsidP="003F3DAD">
      <w:pPr>
        <w:pStyle w:val="Heading2"/>
      </w:pPr>
      <w:bookmarkStart w:id="47" w:name="_dp751ryw5nea" w:colFirst="0" w:colLast="0"/>
      <w:bookmarkStart w:id="48" w:name="_Toc213677793"/>
      <w:bookmarkStart w:id="49" w:name="_Toc218184498"/>
      <w:bookmarkEnd w:id="47"/>
      <w:r w:rsidRPr="006502E8">
        <w:t>1.</w:t>
      </w:r>
      <w:r w:rsidR="003F3DAD" w:rsidRPr="006502E8">
        <w:t>7</w:t>
      </w:r>
      <w:r w:rsidRPr="006502E8">
        <w:t xml:space="preserve"> Research gap</w:t>
      </w:r>
      <w:bookmarkEnd w:id="48"/>
      <w:bookmarkEnd w:id="49"/>
      <w:r w:rsidRPr="006502E8">
        <w:t xml:space="preserve"> </w:t>
      </w:r>
    </w:p>
    <w:p w14:paraId="5BE12C93" w14:textId="77777777" w:rsidR="00D73316" w:rsidRPr="006502E8" w:rsidRDefault="00D73316" w:rsidP="003F3DAD">
      <w:pPr>
        <w:spacing w:before="240" w:after="0" w:line="360" w:lineRule="auto"/>
        <w:jc w:val="both"/>
        <w:rPr>
          <w:rFonts w:ascii="Arial" w:eastAsia="Times New Roman" w:hAnsi="Arial" w:cs="Arial"/>
          <w:kern w:val="0"/>
          <w:sz w:val="24"/>
          <w:szCs w:val="24"/>
          <w:lang w:eastAsia="en-IN"/>
          <w14:ligatures w14:val="none"/>
        </w:rPr>
      </w:pPr>
      <w:r w:rsidRPr="006502E8">
        <w:rPr>
          <w:rFonts w:ascii="Arial" w:eastAsia="Times New Roman" w:hAnsi="Arial" w:cs="Arial"/>
          <w:kern w:val="0"/>
          <w:sz w:val="24"/>
          <w:szCs w:val="24"/>
          <w:lang w:eastAsia="en-IN"/>
          <w14:ligatures w14:val="none"/>
        </w:rPr>
        <w:t xml:space="preserve">While there is literature examining the link between housing difficulties and respiratory illness (Omebeyinje </w:t>
      </w:r>
      <w:r w:rsidRPr="006502E8">
        <w:rPr>
          <w:rFonts w:ascii="Arial" w:eastAsia="Times New Roman" w:hAnsi="Arial" w:cs="Arial"/>
          <w:i/>
          <w:iCs/>
          <w:kern w:val="0"/>
          <w:sz w:val="24"/>
          <w:szCs w:val="24"/>
          <w:lang w:eastAsia="en-IN"/>
          <w14:ligatures w14:val="none"/>
        </w:rPr>
        <w:t xml:space="preserve">et al., </w:t>
      </w:r>
      <w:r w:rsidRPr="006502E8">
        <w:rPr>
          <w:rFonts w:ascii="Arial" w:eastAsia="Times New Roman" w:hAnsi="Arial" w:cs="Arial"/>
          <w:kern w:val="0"/>
          <w:sz w:val="24"/>
          <w:szCs w:val="24"/>
          <w:lang w:eastAsia="en-IN"/>
          <w14:ligatures w14:val="none"/>
        </w:rPr>
        <w:t xml:space="preserve">2021; Holden </w:t>
      </w:r>
      <w:r w:rsidRPr="006502E8">
        <w:rPr>
          <w:rFonts w:ascii="Arial" w:eastAsia="Times New Roman" w:hAnsi="Arial" w:cs="Arial"/>
          <w:i/>
          <w:iCs/>
          <w:kern w:val="0"/>
          <w:sz w:val="24"/>
          <w:szCs w:val="24"/>
          <w:lang w:eastAsia="en-IN"/>
          <w14:ligatures w14:val="none"/>
        </w:rPr>
        <w:t xml:space="preserve">et al., </w:t>
      </w:r>
      <w:r w:rsidRPr="006502E8">
        <w:rPr>
          <w:rFonts w:ascii="Arial" w:eastAsia="Times New Roman" w:hAnsi="Arial" w:cs="Arial"/>
          <w:kern w:val="0"/>
          <w:sz w:val="24"/>
          <w:szCs w:val="24"/>
          <w:lang w:eastAsia="en-IN"/>
          <w14:ligatures w14:val="none"/>
        </w:rPr>
        <w:t>2023; Brown</w:t>
      </w:r>
      <w:r w:rsidRPr="006502E8">
        <w:rPr>
          <w:rFonts w:ascii="Arial" w:eastAsia="Times New Roman" w:hAnsi="Arial" w:cs="Arial"/>
          <w:i/>
          <w:iCs/>
          <w:kern w:val="0"/>
          <w:sz w:val="24"/>
          <w:szCs w:val="24"/>
          <w:lang w:eastAsia="en-IN"/>
          <w14:ligatures w14:val="none"/>
        </w:rPr>
        <w:t xml:space="preserve"> et al</w:t>
      </w:r>
      <w:r w:rsidRPr="006502E8">
        <w:rPr>
          <w:rFonts w:ascii="Arial" w:eastAsia="Times New Roman" w:hAnsi="Arial" w:cs="Arial"/>
          <w:kern w:val="0"/>
          <w:sz w:val="24"/>
          <w:szCs w:val="24"/>
          <w:lang w:eastAsia="en-IN"/>
          <w14:ligatures w14:val="none"/>
        </w:rPr>
        <w:t>., 2024), there is very little in the UK with a combined interdisciplinary microbiological, public health and social care focus on young people. In particular, there is an evidence gap for a combined interdisciplinary approach to assess in more holistic ways how interventions to housing quality can prevent respiratory infection among adolescents.</w:t>
      </w:r>
    </w:p>
    <w:p w14:paraId="7D53C797" w14:textId="484620BE" w:rsidR="009F64C5" w:rsidRPr="006502E8" w:rsidRDefault="009F64C5" w:rsidP="003F3DAD">
      <w:pPr>
        <w:spacing w:before="240" w:after="0" w:line="360" w:lineRule="auto"/>
        <w:rPr>
          <w:rFonts w:ascii="Arial" w:hAnsi="Arial" w:cs="Arial"/>
          <w:sz w:val="24"/>
          <w:szCs w:val="24"/>
        </w:rPr>
      </w:pPr>
      <w:r w:rsidRPr="006502E8">
        <w:rPr>
          <w:rFonts w:ascii="Arial" w:hAnsi="Arial" w:cs="Arial"/>
          <w:sz w:val="24"/>
          <w:szCs w:val="24"/>
        </w:rPr>
        <w:tab/>
        <w:t xml:space="preserve"> </w:t>
      </w:r>
    </w:p>
    <w:p w14:paraId="0F28B479" w14:textId="77777777" w:rsidR="009706D0" w:rsidRPr="006502E8" w:rsidRDefault="009706D0" w:rsidP="003F3DAD">
      <w:pPr>
        <w:spacing w:before="240" w:line="360" w:lineRule="auto"/>
        <w:rPr>
          <w:rFonts w:ascii="Arial" w:eastAsia="Times New Roman" w:hAnsi="Arial" w:cs="Arial"/>
          <w:b/>
          <w:sz w:val="24"/>
          <w:szCs w:val="24"/>
        </w:rPr>
      </w:pPr>
      <w:r w:rsidRPr="006502E8">
        <w:rPr>
          <w:rFonts w:ascii="Arial" w:hAnsi="Arial" w:cs="Arial"/>
          <w:sz w:val="24"/>
          <w:szCs w:val="24"/>
        </w:rPr>
        <w:br w:type="page"/>
      </w:r>
    </w:p>
    <w:p w14:paraId="767EE364" w14:textId="4DECA9C1" w:rsidR="009F64C5" w:rsidRPr="006502E8" w:rsidRDefault="008D6BF7" w:rsidP="003F3DAD">
      <w:pPr>
        <w:pStyle w:val="Heading1"/>
        <w:rPr>
          <w:color w:val="auto"/>
          <w:sz w:val="24"/>
        </w:rPr>
      </w:pPr>
      <w:bookmarkStart w:id="50" w:name="_Toc214899903"/>
      <w:bookmarkStart w:id="51" w:name="_Toc218184499"/>
      <w:r w:rsidRPr="006502E8">
        <w:rPr>
          <w:color w:val="auto"/>
          <w:sz w:val="24"/>
        </w:rPr>
        <w:t>Chapter</w:t>
      </w:r>
      <w:r w:rsidR="00DD7AA5" w:rsidRPr="006502E8">
        <w:rPr>
          <w:color w:val="auto"/>
          <w:sz w:val="24"/>
        </w:rPr>
        <w:t xml:space="preserve"> 2</w:t>
      </w:r>
      <w:r w:rsidRPr="006502E8">
        <w:rPr>
          <w:color w:val="auto"/>
          <w:sz w:val="24"/>
        </w:rPr>
        <w:t xml:space="preserve">: </w:t>
      </w:r>
      <w:r w:rsidR="009F64C5" w:rsidRPr="006502E8">
        <w:rPr>
          <w:color w:val="auto"/>
          <w:sz w:val="24"/>
        </w:rPr>
        <w:t>Literature review</w:t>
      </w:r>
      <w:bookmarkEnd w:id="50"/>
      <w:bookmarkEnd w:id="51"/>
      <w:r w:rsidR="009F64C5" w:rsidRPr="006502E8">
        <w:rPr>
          <w:color w:val="auto"/>
          <w:sz w:val="24"/>
        </w:rPr>
        <w:t xml:space="preserve">  </w:t>
      </w:r>
    </w:p>
    <w:p w14:paraId="032D0223" w14:textId="77777777" w:rsidR="004319F3" w:rsidRPr="006502E8" w:rsidRDefault="004319F3" w:rsidP="003F3DAD">
      <w:pPr>
        <w:pStyle w:val="Heading2"/>
      </w:pPr>
    </w:p>
    <w:p w14:paraId="20BC3B38" w14:textId="77777777" w:rsidR="004603A9" w:rsidRPr="006502E8" w:rsidRDefault="004603A9" w:rsidP="004603A9">
      <w:pPr>
        <w:pStyle w:val="Heading2"/>
      </w:pPr>
      <w:bookmarkStart w:id="52" w:name="_Toc218184500"/>
      <w:r w:rsidRPr="006502E8">
        <w:t>2.1 Introduction</w:t>
      </w:r>
      <w:bookmarkEnd w:id="52"/>
      <w:r w:rsidRPr="006502E8">
        <w:t xml:space="preserve"> </w:t>
      </w:r>
    </w:p>
    <w:p w14:paraId="7038A4F0" w14:textId="747DCA74" w:rsidR="004603A9" w:rsidRPr="006502E8" w:rsidRDefault="002D78DB" w:rsidP="004603A9">
      <w:pPr>
        <w:spacing w:line="360" w:lineRule="auto"/>
        <w:jc w:val="both"/>
        <w:rPr>
          <w:rFonts w:ascii="Arial" w:hAnsi="Arial" w:cs="Arial"/>
          <w:sz w:val="24"/>
          <w:szCs w:val="24"/>
        </w:rPr>
      </w:pPr>
      <w:r w:rsidRPr="006502E8">
        <w:rPr>
          <w:rFonts w:ascii="Arial" w:eastAsia="Times New Roman" w:hAnsi="Arial" w:cs="Arial"/>
          <w:sz w:val="24"/>
          <w:szCs w:val="24"/>
        </w:rPr>
        <w:t>This literature review investigates the literature on the effects of inadequate housing conditions on respiratory infections in the UK through microbiological hazards such as damp and mould. It reviews public health consequences, interventions and assesses social care support for the vulnerable population, and the theoretical framework that underpins this research. It presents a synthesis of the evidence available to date, highlights research gaps, and will contribute to the development of an integrated public health prevention framework.</w:t>
      </w:r>
    </w:p>
    <w:p w14:paraId="481C83F9" w14:textId="30597BF1" w:rsidR="004603A9" w:rsidRPr="006502E8" w:rsidRDefault="004603A9" w:rsidP="004603A9">
      <w:pPr>
        <w:pStyle w:val="Heading2"/>
      </w:pPr>
    </w:p>
    <w:p w14:paraId="7A4F368B" w14:textId="5B92EEFE" w:rsidR="001242CE" w:rsidRPr="001F65C9" w:rsidRDefault="001242CE" w:rsidP="004603A9">
      <w:pPr>
        <w:pStyle w:val="Heading3"/>
        <w:rPr>
          <w:rFonts w:eastAsia="Times New Roman"/>
          <w:b/>
          <w:bCs/>
          <w:kern w:val="0"/>
          <w:u w:val="none"/>
          <w:lang w:eastAsia="en-IN"/>
          <w14:ligatures w14:val="none"/>
          <w:rPrChange w:id="53" w:author="Diola Bijlhout" w:date="2026-01-14T09:39:00Z" w16du:dateUtc="2026-01-14T09:39:00Z">
            <w:rPr/>
          </w:rPrChange>
        </w:rPr>
      </w:pPr>
      <w:bookmarkStart w:id="54" w:name="_t0pckdfulmbj" w:colFirst="0" w:colLast="0"/>
      <w:bookmarkStart w:id="55" w:name="_Toc218184502"/>
      <w:bookmarkEnd w:id="54"/>
      <w:r w:rsidRPr="001F65C9">
        <w:rPr>
          <w:rFonts w:eastAsia="Times New Roman"/>
          <w:b/>
          <w:bCs/>
          <w:kern w:val="0"/>
          <w:u w:val="none"/>
          <w:lang w:eastAsia="en-IN"/>
          <w14:ligatures w14:val="none"/>
          <w:rPrChange w:id="56" w:author="Diola Bijlhout" w:date="2026-01-14T09:39:00Z" w16du:dateUtc="2026-01-14T09:39:00Z">
            <w:rPr/>
          </w:rPrChange>
        </w:rPr>
        <w:t>2.2.</w:t>
      </w:r>
      <w:del w:id="57" w:author="Diola Bijlhout" w:date="2026-01-14T09:39:00Z" w16du:dateUtc="2026-01-14T09:39:00Z">
        <w:r w:rsidRPr="001F65C9" w:rsidDel="001F65C9">
          <w:rPr>
            <w:rFonts w:eastAsia="Times New Roman"/>
            <w:b/>
            <w:bCs/>
            <w:kern w:val="0"/>
            <w:u w:val="none"/>
            <w:lang w:eastAsia="en-IN"/>
            <w14:ligatures w14:val="none"/>
            <w:rPrChange w:id="58" w:author="Diola Bijlhout" w:date="2026-01-14T09:39:00Z" w16du:dateUtc="2026-01-14T09:39:00Z">
              <w:rPr/>
            </w:rPrChange>
          </w:rPr>
          <w:delText>1</w:delText>
        </w:r>
      </w:del>
      <w:r w:rsidRPr="001F65C9">
        <w:rPr>
          <w:rFonts w:eastAsia="Times New Roman"/>
          <w:b/>
          <w:bCs/>
          <w:kern w:val="0"/>
          <w:u w:val="none"/>
          <w:lang w:eastAsia="en-IN"/>
          <w14:ligatures w14:val="none"/>
          <w:rPrChange w:id="59" w:author="Diola Bijlhout" w:date="2026-01-14T09:39:00Z" w16du:dateUtc="2026-01-14T09:39:00Z">
            <w:rPr/>
          </w:rPrChange>
        </w:rPr>
        <w:t xml:space="preserve"> Decent Home Standard for young people and their families</w:t>
      </w:r>
      <w:bookmarkEnd w:id="55"/>
    </w:p>
    <w:p w14:paraId="4EFF6FA0" w14:textId="1BBB0F4E" w:rsidR="00CD6996" w:rsidRPr="0010643F" w:rsidRDefault="00CD6996" w:rsidP="727F1D53">
      <w:pPr>
        <w:spacing w:line="360" w:lineRule="auto"/>
        <w:jc w:val="both"/>
        <w:rPr>
          <w:rFonts w:ascii="Arial" w:hAnsi="Arial" w:cs="Arial"/>
          <w:color w:val="000000" w:themeColor="text1"/>
          <w:sz w:val="24"/>
          <w:szCs w:val="24"/>
        </w:rPr>
      </w:pPr>
      <w:r w:rsidRPr="727F1D53">
        <w:rPr>
          <w:rFonts w:ascii="Arial" w:hAnsi="Arial" w:cs="Arial"/>
          <w:color w:val="000000" w:themeColor="text1"/>
          <w:sz w:val="24"/>
          <w:szCs w:val="24"/>
        </w:rPr>
        <w:t>Globally, housing is viewed as a major determinant of an individual’s health, social mobility and overall health and social well-being. The international community, led by bodies such as UN-Habitat, has developed frameworks that articulate the need for decent housing, which includes; the provision of safety, the ability to reside in a healthy environment, affordability and the ability to access a range of public services (de Madariaga and Boccia, 2025). However, many governments struggle to provide this level of housing to certain groups of people, especially vulnerable people, which includes those experiencing financial hardship and people in the younger age group.</w:t>
      </w:r>
    </w:p>
    <w:p w14:paraId="1417046A" w14:textId="7B1AC253" w:rsidR="00CD6996" w:rsidRPr="0010643F" w:rsidRDefault="00CD6996" w:rsidP="727F1D53">
      <w:pPr>
        <w:spacing w:line="360" w:lineRule="auto"/>
        <w:jc w:val="both"/>
        <w:rPr>
          <w:rFonts w:ascii="Arial" w:hAnsi="Arial" w:cs="Arial"/>
          <w:color w:val="000000" w:themeColor="text1"/>
          <w:sz w:val="24"/>
          <w:szCs w:val="24"/>
        </w:rPr>
      </w:pPr>
      <w:r w:rsidRPr="727F1D53">
        <w:rPr>
          <w:rFonts w:ascii="Arial" w:hAnsi="Arial" w:cs="Arial"/>
          <w:color w:val="000000" w:themeColor="text1"/>
          <w:sz w:val="24"/>
          <w:szCs w:val="24"/>
        </w:rPr>
        <w:t xml:space="preserve">In the UK, the Decent Homes Standard was developed to provide criteria for ensuring that all social housing meets certain standards. The DHS has made improvements to housing conditions, however, there continues to be criticism regarding the DHS being limited in its focus to the physical aspects of housing and not taking into account other factors such as affordability, overcrowding, and security of tenure (Iddi </w:t>
      </w:r>
      <w:r w:rsidRPr="727F1D53">
        <w:rPr>
          <w:rFonts w:ascii="Arial" w:hAnsi="Arial" w:cs="Arial"/>
          <w:i/>
          <w:iCs/>
          <w:color w:val="000000" w:themeColor="text1"/>
          <w:sz w:val="24"/>
          <w:szCs w:val="24"/>
        </w:rPr>
        <w:t>et al’</w:t>
      </w:r>
      <w:r w:rsidRPr="727F1D53">
        <w:rPr>
          <w:rFonts w:ascii="Arial" w:hAnsi="Arial" w:cs="Arial"/>
          <w:color w:val="000000" w:themeColor="text1"/>
          <w:sz w:val="24"/>
          <w:szCs w:val="24"/>
        </w:rPr>
        <w:t>, 2022). Many of the younger households and families are facing significant differences between the availability of housing and their ability to afford it due to increasing rents and decreasing availability of affordable housing stock that weakens the effectiveness of the Decent Homes Standard.</w:t>
      </w:r>
    </w:p>
    <w:p w14:paraId="6A51E6CF" w14:textId="521101D1" w:rsidR="001242CE" w:rsidRPr="006502E8" w:rsidRDefault="00CD6996" w:rsidP="727F1D53">
      <w:pPr>
        <w:spacing w:line="360" w:lineRule="auto"/>
        <w:jc w:val="both"/>
        <w:rPr>
          <w:rFonts w:ascii="Arial" w:hAnsi="Arial" w:cs="Arial"/>
          <w:color w:val="000000" w:themeColor="text1"/>
          <w:sz w:val="24"/>
          <w:szCs w:val="24"/>
        </w:rPr>
      </w:pPr>
      <w:r w:rsidRPr="727F1D53">
        <w:rPr>
          <w:rFonts w:ascii="Arial" w:hAnsi="Arial" w:cs="Arial"/>
          <w:color w:val="000000" w:themeColor="text1"/>
          <w:sz w:val="24"/>
          <w:szCs w:val="24"/>
        </w:rPr>
        <w:t>A decent home for younger households therefore must be more than just meeting the Decent Homes Standard, it should also provide emotional security for young people, opportunities for young people to create community and life-style stability and access to educational and employment opportunities as well as create opportunities for young people to actively engage in their community.</w:t>
      </w:r>
    </w:p>
    <w:p w14:paraId="09BD31BB" w14:textId="77777777" w:rsidR="001F65C9" w:rsidRDefault="001F65C9" w:rsidP="004603A9">
      <w:pPr>
        <w:pStyle w:val="Heading3"/>
      </w:pPr>
      <w:bookmarkStart w:id="60" w:name="_Toc218184503"/>
    </w:p>
    <w:p w14:paraId="08608340" w14:textId="5571ED77" w:rsidR="001F65C9" w:rsidRDefault="001F65C9" w:rsidP="001F65C9">
      <w:pPr>
        <w:rPr>
          <w:ins w:id="61" w:author="Diola Bijlhout" w:date="2026-01-14T09:39:00Z" w16du:dateUtc="2026-01-14T09:39:00Z"/>
          <w:rFonts w:ascii="Arial" w:eastAsia="Times New Roman" w:hAnsi="Arial" w:cs="Arial"/>
          <w:b/>
          <w:bCs/>
          <w:kern w:val="0"/>
          <w:sz w:val="24"/>
          <w:szCs w:val="24"/>
          <w:lang w:eastAsia="en-IN"/>
          <w14:ligatures w14:val="none"/>
        </w:rPr>
      </w:pPr>
      <w:bookmarkStart w:id="62" w:name="_Toc218184501"/>
      <w:ins w:id="63" w:author="Diola Bijlhout" w:date="2026-01-14T09:39:00Z" w16du:dateUtc="2026-01-14T09:39:00Z">
        <w:r w:rsidRPr="001F65C9">
          <w:rPr>
            <w:rFonts w:ascii="Arial" w:eastAsia="Times New Roman" w:hAnsi="Arial" w:cs="Arial"/>
            <w:b/>
            <w:bCs/>
            <w:kern w:val="0"/>
            <w:sz w:val="24"/>
            <w:szCs w:val="24"/>
            <w:lang w:eastAsia="en-IN"/>
            <w14:ligatures w14:val="none"/>
          </w:rPr>
          <w:t>2.</w:t>
        </w:r>
        <w:r>
          <w:rPr>
            <w:rFonts w:ascii="Arial" w:eastAsia="Times New Roman" w:hAnsi="Arial" w:cs="Arial"/>
            <w:b/>
            <w:bCs/>
            <w:kern w:val="0"/>
            <w:sz w:val="24"/>
            <w:szCs w:val="24"/>
            <w:lang w:eastAsia="en-IN"/>
            <w14:ligatures w14:val="none"/>
          </w:rPr>
          <w:t>3</w:t>
        </w:r>
        <w:r w:rsidRPr="001F65C9">
          <w:rPr>
            <w:rFonts w:ascii="Arial" w:eastAsia="Times New Roman" w:hAnsi="Arial" w:cs="Arial"/>
            <w:b/>
            <w:bCs/>
            <w:kern w:val="0"/>
            <w:sz w:val="24"/>
            <w:szCs w:val="24"/>
            <w:lang w:eastAsia="en-IN"/>
            <w14:ligatures w14:val="none"/>
          </w:rPr>
          <w:t xml:space="preserve"> Microbiological Hazards in Substandard Housing</w:t>
        </w:r>
        <w:bookmarkEnd w:id="62"/>
      </w:ins>
    </w:p>
    <w:p w14:paraId="10DFAA5C" w14:textId="77777777" w:rsidR="001F65C9" w:rsidRPr="001F65C9" w:rsidRDefault="001F65C9" w:rsidP="001F65C9">
      <w:pPr>
        <w:rPr>
          <w:rFonts w:ascii="Arial" w:eastAsia="Times New Roman" w:hAnsi="Arial" w:cs="Arial"/>
          <w:b/>
          <w:bCs/>
          <w:kern w:val="0"/>
          <w:sz w:val="24"/>
          <w:szCs w:val="24"/>
          <w:lang w:eastAsia="en-IN"/>
          <w14:ligatures w14:val="none"/>
        </w:rPr>
      </w:pPr>
    </w:p>
    <w:p w14:paraId="08FFB9CF" w14:textId="73F499CD" w:rsidR="004603A9" w:rsidRPr="006502E8" w:rsidRDefault="004603A9" w:rsidP="004603A9">
      <w:pPr>
        <w:pStyle w:val="Heading3"/>
      </w:pPr>
      <w:r w:rsidRPr="006502E8">
        <w:t>2.2.</w:t>
      </w:r>
      <w:r w:rsidR="001242CE" w:rsidRPr="006502E8">
        <w:t>2</w:t>
      </w:r>
      <w:r w:rsidRPr="006502E8">
        <w:t xml:space="preserve"> Overview of Microbiological Research on Housing Quality</w:t>
      </w:r>
      <w:bookmarkEnd w:id="60"/>
    </w:p>
    <w:p w14:paraId="5587DF36"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 xml:space="preserve">Microbiological studies have consistently shown a considerable association between poor housing conditions and respiratory risk, but the depth and coverage of existing research are disputed. Groot </w:t>
      </w:r>
      <w:r w:rsidRPr="006502E8">
        <w:rPr>
          <w:rFonts w:ascii="Arial" w:hAnsi="Arial" w:cs="Arial"/>
          <w:i/>
          <w:iCs/>
          <w:sz w:val="24"/>
          <w:szCs w:val="24"/>
        </w:rPr>
        <w:t>et al.,</w:t>
      </w:r>
      <w:r w:rsidRPr="006502E8">
        <w:rPr>
          <w:rFonts w:ascii="Arial" w:hAnsi="Arial" w:cs="Arial"/>
          <w:sz w:val="24"/>
          <w:szCs w:val="24"/>
        </w:rPr>
        <w:t xml:space="preserve"> (2023) noticed that dampness and mould are among the most significant microbiological causes of respiratory infection, noting there are clear causal pathways through airborne spores and bacterial growth. Conversely, Hil and Gilbert (2023) dispute the simplicity of this relationship, suggesting several studies ignore interacting environmental and behavioural variables, practices relating to ventilation and occupant density, that moderate microbial exposure. While a strong body of evidence links mould and dampness to asthma, bronchitis and recurrent infections, much of the literature presents cross-sectional designs, which limit making causal interpretations. In addition, some research is weighted towards mould, and the rest ignores bacterial contaminants and novel pathogens in overcrowded or poorly insulated homes. This raises a further issue, a substantial deficiency of multidisciplinary, microbiological studies that account for housing-related respiratory risk.</w:t>
      </w:r>
    </w:p>
    <w:p w14:paraId="588B107A" w14:textId="48563C2B" w:rsidR="004603A9" w:rsidRPr="006502E8" w:rsidRDefault="004603A9" w:rsidP="004603A9">
      <w:pPr>
        <w:pStyle w:val="Heading3"/>
      </w:pPr>
      <w:bookmarkStart w:id="64" w:name="_xrv8e5b6zf3w" w:colFirst="0" w:colLast="0"/>
      <w:bookmarkStart w:id="65" w:name="_Toc218184504"/>
      <w:bookmarkEnd w:id="64"/>
      <w:r w:rsidRPr="006502E8">
        <w:t>2.2.</w:t>
      </w:r>
      <w:r w:rsidR="00E6680D" w:rsidRPr="006502E8">
        <w:t>3</w:t>
      </w:r>
      <w:r w:rsidRPr="006502E8">
        <w:t xml:space="preserve"> Dampness, Mould and Fungal Contaminants</w:t>
      </w:r>
      <w:bookmarkEnd w:id="65"/>
    </w:p>
    <w:p w14:paraId="6A040DCE"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 xml:space="preserve">Dampness and mould are frequently considered a very significant contributor to respiratory illness in children, but the degree to which they contribute has been debated. Andrup </w:t>
      </w:r>
      <w:r w:rsidRPr="006502E8">
        <w:rPr>
          <w:rFonts w:ascii="Arial" w:hAnsi="Arial" w:cs="Arial"/>
          <w:i/>
          <w:iCs/>
          <w:sz w:val="24"/>
          <w:szCs w:val="24"/>
        </w:rPr>
        <w:t xml:space="preserve">et al. </w:t>
      </w:r>
      <w:r w:rsidRPr="006502E8">
        <w:rPr>
          <w:rFonts w:ascii="Arial" w:hAnsi="Arial" w:cs="Arial"/>
          <w:sz w:val="24"/>
          <w:szCs w:val="24"/>
        </w:rPr>
        <w:t xml:space="preserve">(2024) say that there is “consistent and persuasive” evidence to indicate increases in respiratory symptoms, asthma, and repeated infections following persistent damp, indoor environments. Their analysis of the selected literature suggests that some strains of fungi, such as Aspergillus and Penicillium, pose a microbiological threat to humans through the inhalation of spores and the release of toxins. However, the strength of the causal position is not supported by Coulburn and Miller (2022), who argue that many findings link dampness and mould with respiratory illness while ignoring other confounding influences related to living conditions, such as socio-economic disadvantage, inadequate heating, and the actions of household members in relation to indoor humidity. Banerji </w:t>
      </w:r>
      <w:r w:rsidRPr="006502E8">
        <w:rPr>
          <w:rFonts w:ascii="Arial" w:hAnsi="Arial" w:cs="Arial"/>
          <w:i/>
          <w:iCs/>
          <w:sz w:val="24"/>
          <w:szCs w:val="24"/>
        </w:rPr>
        <w:t xml:space="preserve">et al. </w:t>
      </w:r>
      <w:r w:rsidRPr="006502E8">
        <w:rPr>
          <w:rFonts w:ascii="Arial" w:hAnsi="Arial" w:cs="Arial"/>
          <w:sz w:val="24"/>
          <w:szCs w:val="24"/>
        </w:rPr>
        <w:t xml:space="preserve">(2024) warn that ascribing respiratory illness to fungal exposure alone could lead to inappropriate inferences regarding the solution to a multifactorial problem, such as building or living conditions. </w:t>
      </w:r>
    </w:p>
    <w:p w14:paraId="69CB95B8" w14:textId="089737CB" w:rsidR="004603A9" w:rsidRPr="006502E8" w:rsidRDefault="004603A9" w:rsidP="004603A9">
      <w:pPr>
        <w:pStyle w:val="Heading3"/>
      </w:pPr>
      <w:bookmarkStart w:id="66" w:name="_t5i0lbb91szi" w:colFirst="0" w:colLast="0"/>
      <w:bookmarkStart w:id="67" w:name="_Toc218184505"/>
      <w:bookmarkEnd w:id="66"/>
      <w:r w:rsidRPr="006502E8">
        <w:t>2.2.</w:t>
      </w:r>
      <w:r w:rsidR="00E6680D" w:rsidRPr="006502E8">
        <w:t>4</w:t>
      </w:r>
      <w:r w:rsidRPr="006502E8">
        <w:t xml:space="preserve"> Bacterial Contaminants and Indoor Air Quality</w:t>
      </w:r>
      <w:bookmarkEnd w:id="67"/>
    </w:p>
    <w:p w14:paraId="423B9939"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It is becoming increasingly clear that bacterial contaminants (e.g. Legionella, Mycobacteria, and organisms producing endotoxins) in poorly constructed housing are emerging factors associated with respiratory infections, yet the literature does not afford them the same level of importance in their interpretation. For example, Kumar and Singh</w:t>
      </w:r>
      <w:r w:rsidRPr="006502E8">
        <w:rPr>
          <w:rFonts w:ascii="Arial" w:hAnsi="Arial" w:cs="Arial"/>
          <w:i/>
          <w:iCs/>
          <w:sz w:val="24"/>
          <w:szCs w:val="24"/>
        </w:rPr>
        <w:t xml:space="preserve"> </w:t>
      </w:r>
      <w:r w:rsidRPr="006502E8">
        <w:rPr>
          <w:rFonts w:ascii="Arial" w:hAnsi="Arial" w:cs="Arial"/>
          <w:sz w:val="24"/>
          <w:szCs w:val="24"/>
        </w:rPr>
        <w:t>(2025) argued that bacterial load in indoor settings is an underlying and likely underestimated factor in respiratory morbidity, claiming there are poorly ventilated homes which create micro-environments where pathogenic bacteria proliferate in quantity. In their paper, they showed a link between the amount of endotoxins in the home and increased exacerbations of asthma, and concluded that poor indoor air quality represents a public health risk.</w:t>
      </w:r>
    </w:p>
    <w:p w14:paraId="2128A620" w14:textId="77777777" w:rsidR="004603A9" w:rsidRPr="006502E8" w:rsidRDefault="004603A9" w:rsidP="004603A9">
      <w:pPr>
        <w:pStyle w:val="Heading2"/>
      </w:pPr>
      <w:bookmarkStart w:id="68" w:name="_pjc41zmbjo9s" w:colFirst="0" w:colLast="0"/>
      <w:bookmarkStart w:id="69" w:name="_Toc218184506"/>
      <w:bookmarkEnd w:id="68"/>
      <w:r w:rsidRPr="006502E8">
        <w:t>2.3 Public Health Consequences of Poor Housing in the UK</w:t>
      </w:r>
      <w:bookmarkEnd w:id="69"/>
    </w:p>
    <w:p w14:paraId="2F79D3EC" w14:textId="77777777" w:rsidR="004603A9" w:rsidRPr="006502E8" w:rsidRDefault="004603A9" w:rsidP="004603A9">
      <w:pPr>
        <w:pStyle w:val="Heading3"/>
      </w:pPr>
      <w:bookmarkStart w:id="70" w:name="_ko6p7upcu303" w:colFirst="0" w:colLast="0"/>
      <w:bookmarkStart w:id="71" w:name="_Toc218184507"/>
      <w:bookmarkEnd w:id="70"/>
      <w:r w:rsidRPr="006502E8">
        <w:t>2.3.1 Respiratory Health Burden in the UK</w:t>
      </w:r>
      <w:bookmarkEnd w:id="71"/>
    </w:p>
    <w:p w14:paraId="5FB6C580"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The burden of respiratory illness associated with bad housing remains a considerable public health issue in the UK, but the degree to which housing conditions drive this burden is less clear. Clark</w:t>
      </w:r>
      <w:r w:rsidRPr="006502E8">
        <w:rPr>
          <w:rFonts w:ascii="Arial" w:hAnsi="Arial" w:cs="Arial"/>
          <w:i/>
          <w:iCs/>
          <w:sz w:val="24"/>
          <w:szCs w:val="24"/>
        </w:rPr>
        <w:t xml:space="preserve"> et al</w:t>
      </w:r>
      <w:r w:rsidRPr="006502E8">
        <w:rPr>
          <w:rFonts w:ascii="Arial" w:hAnsi="Arial" w:cs="Arial"/>
          <w:sz w:val="24"/>
          <w:szCs w:val="24"/>
        </w:rPr>
        <w:t xml:space="preserve">. (2023) highlight that the inadequate housing system in the UK generates the residential exposure categories of formaldehyde, damp and mould, which affect 10-18-year-old people and account for over 8500 lower respiratory infections. Respiratory illness occurs. The article also reports that the risk of asthma and chronic obstructive pulmonary disease exacerbations and recurrent infections is also estimated based on the inadequate housing process. The high rates of respiratory illness align with the type of housing. Tweed and Katikireddi (2023) argue respiratory health outcomes shouldn't be attributed to housing conditions alone, but the implication of co-occurring determinants like fuel poverty, smoking prevalence and urban air pollution, but warn, again, that attributing causation to housing alone may remove broader socio-economic influences that explain vulnerabilities. </w:t>
      </w:r>
    </w:p>
    <w:p w14:paraId="01C3B691"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 xml:space="preserve">The disagreements reinforce an understanding that either can lead to a complex, multi-factorial burden when assessing housing as a determinant of health, supporting the need for more robust, multi-dimensional research in the UK and other contexts. </w:t>
      </w:r>
    </w:p>
    <w:p w14:paraId="4C3F7DD7" w14:textId="77777777" w:rsidR="004603A9" w:rsidRPr="006502E8" w:rsidRDefault="004603A9" w:rsidP="004603A9">
      <w:pPr>
        <w:pStyle w:val="Heading3"/>
      </w:pPr>
      <w:bookmarkStart w:id="72" w:name="_vcj1k4kwqcey" w:colFirst="0" w:colLast="0"/>
      <w:bookmarkStart w:id="73" w:name="_Toc218184508"/>
      <w:bookmarkEnd w:id="72"/>
      <w:r w:rsidRPr="006502E8">
        <w:t>2.3.2 Determinants of Housing-Related Respiratory Illness</w:t>
      </w:r>
      <w:bookmarkEnd w:id="73"/>
    </w:p>
    <w:p w14:paraId="3ACB7E8B"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 xml:space="preserve">Determining the extent of respiratory illness associated with housing goes beyond simply the elements of physical housing deficiency relative to a structure and its condition. Nevertheless, the relative importance of environmental issues versus underlying socio-economic factors in shaping outcomes remains unchanged. Howden-Chapman </w:t>
      </w:r>
      <w:r w:rsidRPr="006502E8">
        <w:rPr>
          <w:rFonts w:ascii="Arial" w:hAnsi="Arial" w:cs="Arial"/>
          <w:i/>
          <w:iCs/>
          <w:sz w:val="24"/>
          <w:szCs w:val="24"/>
        </w:rPr>
        <w:t xml:space="preserve">et al. </w:t>
      </w:r>
      <w:r w:rsidRPr="006502E8">
        <w:rPr>
          <w:rFonts w:ascii="Arial" w:hAnsi="Arial" w:cs="Arial"/>
          <w:sz w:val="24"/>
          <w:szCs w:val="24"/>
        </w:rPr>
        <w:t>(2023) suggest that social determinants related to structural factors (particularly overcrowding, inadequate ventilation, and fuel poverty) are determinants of exposure to respiratory risk. They present housing, and its related deficiencies, as a principal social determinant of health.</w:t>
      </w:r>
    </w:p>
    <w:p w14:paraId="2BC27862"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On the other hand, Shwashreh</w:t>
      </w:r>
      <w:r w:rsidRPr="006502E8">
        <w:rPr>
          <w:rFonts w:ascii="Arial" w:hAnsi="Arial" w:cs="Arial"/>
          <w:i/>
          <w:iCs/>
          <w:sz w:val="24"/>
          <w:szCs w:val="24"/>
        </w:rPr>
        <w:t xml:space="preserve"> et al</w:t>
      </w:r>
      <w:r w:rsidRPr="006502E8">
        <w:rPr>
          <w:rFonts w:ascii="Arial" w:hAnsi="Arial" w:cs="Arial"/>
          <w:sz w:val="24"/>
          <w:szCs w:val="24"/>
        </w:rPr>
        <w:t>. (2024) argue that focusing primarily on structural deficiencies ignores other behavioural and contextual influences, such as heating habits, smoking indoors, and even humidity levels in households. They argue that behavioural determinants, too, moderate and compound the health effects of poor housing. These behavioural determinants complicate simplistic assumptions of causation.</w:t>
      </w:r>
    </w:p>
    <w:p w14:paraId="5E9111EE"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This tension illustrates a disjointed field of evidence, such as structural deficiencies will always nearly guarantee an increase in risk; however, behavioural and socio-economic influences interact with the physical environment in complex ways. Current research lacks a more integrated model that accounts for how layers of determinants come together to inform respiratory health outcomes in UK housing.</w:t>
      </w:r>
    </w:p>
    <w:p w14:paraId="7E69B87D" w14:textId="77777777" w:rsidR="004603A9" w:rsidRPr="006502E8" w:rsidRDefault="004603A9" w:rsidP="004603A9">
      <w:pPr>
        <w:pStyle w:val="Heading3"/>
      </w:pPr>
      <w:bookmarkStart w:id="74" w:name="_7g43ipokg2rf" w:colFirst="0" w:colLast="0"/>
      <w:bookmarkStart w:id="75" w:name="_Toc218184509"/>
      <w:bookmarkEnd w:id="74"/>
      <w:r w:rsidRPr="006502E8">
        <w:t>2.3.3 Public Health Strategies Addressing Housing Hazards</w:t>
      </w:r>
      <w:bookmarkEnd w:id="75"/>
    </w:p>
    <w:p w14:paraId="28424777" w14:textId="2D89B49A" w:rsidR="00465812" w:rsidRPr="0010643F" w:rsidRDefault="002D767C" w:rsidP="727F1D53">
      <w:pPr>
        <w:spacing w:line="360" w:lineRule="auto"/>
        <w:jc w:val="both"/>
        <w:rPr>
          <w:rFonts w:ascii="Arial" w:hAnsi="Arial" w:cs="Arial"/>
          <w:color w:val="000000" w:themeColor="text1"/>
          <w:sz w:val="24"/>
          <w:szCs w:val="24"/>
        </w:rPr>
      </w:pPr>
      <w:r w:rsidRPr="727F1D53">
        <w:rPr>
          <w:rFonts w:ascii="Arial" w:hAnsi="Arial" w:cs="Arial"/>
          <w:color w:val="000000" w:themeColor="text1"/>
          <w:sz w:val="24"/>
          <w:szCs w:val="24"/>
        </w:rPr>
        <w:t>The diagram shows (Figure 2.1) how poor housing conditions—such as inadequate ventilation, harmful substances, and overcrowding—produce health hazards affecting young families. These pathways support “Public Health Strategies, which target structural improvements, environmental hazard reduction, and affordability measures to prevent the cascading risks illustrated in the image”.</w:t>
      </w:r>
    </w:p>
    <w:p w14:paraId="38D79C3B" w14:textId="77777777" w:rsidR="004603A9" w:rsidRPr="006502E8" w:rsidRDefault="004603A9" w:rsidP="00D00B33">
      <w:pPr>
        <w:spacing w:line="360" w:lineRule="auto"/>
        <w:jc w:val="center"/>
        <w:rPr>
          <w:rFonts w:ascii="Arial" w:hAnsi="Arial" w:cs="Arial"/>
          <w:sz w:val="24"/>
          <w:szCs w:val="24"/>
        </w:rPr>
      </w:pPr>
      <w:r w:rsidRPr="006502E8">
        <w:rPr>
          <w:rFonts w:ascii="Arial" w:hAnsi="Arial" w:cs="Arial"/>
          <w:noProof/>
          <w:sz w:val="24"/>
          <w:szCs w:val="24"/>
        </w:rPr>
        <w:drawing>
          <wp:inline distT="114300" distB="114300" distL="114300" distR="114300" wp14:anchorId="03842F6A" wp14:editId="011B9FC6">
            <wp:extent cx="4633913" cy="2378536"/>
            <wp:effectExtent l="25400" t="25400" r="25400" b="25400"/>
            <wp:docPr id="27830559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4633913" cy="2378536"/>
                    </a:xfrm>
                    <a:prstGeom prst="rect">
                      <a:avLst/>
                    </a:prstGeom>
                    <a:ln w="25400">
                      <a:solidFill>
                        <a:srgbClr val="000000"/>
                      </a:solidFill>
                      <a:prstDash val="solid"/>
                    </a:ln>
                  </pic:spPr>
                </pic:pic>
              </a:graphicData>
            </a:graphic>
          </wp:inline>
        </w:drawing>
      </w:r>
    </w:p>
    <w:p w14:paraId="429150FC" w14:textId="4952FD3D" w:rsidR="004603A9" w:rsidRPr="006502E8" w:rsidRDefault="004603A9" w:rsidP="00D00B33">
      <w:pPr>
        <w:pStyle w:val="Heading4"/>
      </w:pPr>
      <w:bookmarkStart w:id="76" w:name="_Toc218187254"/>
      <w:r w:rsidRPr="006502E8">
        <w:t>Figure 2.</w:t>
      </w:r>
      <w:r w:rsidR="00E6680D" w:rsidRPr="006502E8">
        <w:t>1</w:t>
      </w:r>
      <w:r w:rsidRPr="006502E8">
        <w:t>: Housing pathways to health</w:t>
      </w:r>
      <w:bookmarkEnd w:id="76"/>
    </w:p>
    <w:p w14:paraId="5BDCAD4F" w14:textId="77777777" w:rsidR="004603A9" w:rsidRPr="006502E8" w:rsidRDefault="004603A9" w:rsidP="00D00B33">
      <w:pPr>
        <w:spacing w:line="360" w:lineRule="auto"/>
        <w:jc w:val="center"/>
        <w:rPr>
          <w:rFonts w:ascii="Arial" w:hAnsi="Arial" w:cs="Arial"/>
          <w:sz w:val="24"/>
          <w:szCs w:val="24"/>
        </w:rPr>
      </w:pPr>
      <w:r w:rsidRPr="006502E8">
        <w:rPr>
          <w:rFonts w:ascii="Arial" w:hAnsi="Arial" w:cs="Arial"/>
          <w:sz w:val="24"/>
          <w:szCs w:val="24"/>
        </w:rPr>
        <w:t xml:space="preserve">(Source: Howden-Chapman </w:t>
      </w:r>
      <w:r w:rsidRPr="006502E8">
        <w:rPr>
          <w:rFonts w:ascii="Arial" w:hAnsi="Arial" w:cs="Arial"/>
          <w:i/>
          <w:iCs/>
          <w:sz w:val="24"/>
          <w:szCs w:val="24"/>
        </w:rPr>
        <w:t>et al.,</w:t>
      </w:r>
      <w:r w:rsidRPr="006502E8">
        <w:rPr>
          <w:rFonts w:ascii="Arial" w:hAnsi="Arial" w:cs="Arial"/>
          <w:sz w:val="24"/>
          <w:szCs w:val="24"/>
        </w:rPr>
        <w:t xml:space="preserve"> 2023)</w:t>
      </w:r>
    </w:p>
    <w:p w14:paraId="3BF1A0C4" w14:textId="756424F8"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 xml:space="preserve">In the UK, public health approaches to address housing-related respiratory risks are focused primarily on regulatory approaches, especially the Housing Health and Safety Rating System (HHSRS) and Decent Homes Standard, which are nevertheless debated. For example, Dimitroulopoulou </w:t>
      </w:r>
      <w:r w:rsidRPr="006502E8">
        <w:rPr>
          <w:rFonts w:ascii="Arial" w:hAnsi="Arial" w:cs="Arial"/>
          <w:i/>
          <w:iCs/>
          <w:sz w:val="24"/>
          <w:szCs w:val="24"/>
        </w:rPr>
        <w:t xml:space="preserve">et al. </w:t>
      </w:r>
      <w:r w:rsidRPr="006502E8">
        <w:rPr>
          <w:rFonts w:ascii="Arial" w:hAnsi="Arial" w:cs="Arial"/>
          <w:sz w:val="24"/>
          <w:szCs w:val="24"/>
        </w:rPr>
        <w:t>(2023) contend that these policy frameworks provided enforceable criteria for a range of hazards (dampness, ventilation, structural risks) that have produced measurable improvements in indoor environmental quality. They argue that environmental health teams conduct inspections and enforce hazards to reduce exposure to microbial hazards, so regulation should be portrayed as an important public health intervention.</w:t>
      </w:r>
    </w:p>
    <w:p w14:paraId="123EA656" w14:textId="7C923107" w:rsidR="004603A9" w:rsidRPr="006502E8" w:rsidRDefault="004603A9" w:rsidP="004603A9">
      <w:pPr>
        <w:spacing w:line="360" w:lineRule="auto"/>
        <w:jc w:val="both"/>
        <w:rPr>
          <w:rFonts w:ascii="Arial" w:hAnsi="Arial" w:cs="Arial"/>
          <w:sz w:val="24"/>
          <w:szCs w:val="24"/>
        </w:rPr>
      </w:pPr>
      <w:r w:rsidRPr="008D72AC">
        <w:rPr>
          <w:rFonts w:ascii="Arial" w:hAnsi="Arial" w:cs="Arial"/>
          <w:sz w:val="24"/>
          <w:szCs w:val="24"/>
          <w:highlight w:val="yellow"/>
          <w:rPrChange w:id="77" w:author="Diola Bijlhout" w:date="2026-01-14T09:42:00Z" w16du:dateUtc="2026-01-14T09:42:00Z">
            <w:rPr>
              <w:rFonts w:ascii="Arial" w:hAnsi="Arial" w:cs="Arial"/>
              <w:sz w:val="24"/>
              <w:szCs w:val="24"/>
            </w:rPr>
          </w:rPrChange>
        </w:rPr>
        <w:t>In conclusion, despite</w:t>
      </w:r>
      <w:r w:rsidRPr="727F1D53">
        <w:rPr>
          <w:rFonts w:ascii="Arial" w:hAnsi="Arial" w:cs="Arial"/>
          <w:sz w:val="24"/>
          <w:szCs w:val="24"/>
        </w:rPr>
        <w:t xml:space="preserve"> being an obvious public health strategy selling itself as an accepted approach, the public health strategies are unlikely to have all of their strengths to adequately deal with housing-related respiratory </w:t>
      </w:r>
      <w:r w:rsidR="641EA6C8" w:rsidRPr="727F1D53">
        <w:rPr>
          <w:rFonts w:ascii="Arial" w:hAnsi="Arial" w:cs="Arial"/>
          <w:sz w:val="24"/>
          <w:szCs w:val="24"/>
        </w:rPr>
        <w:t>risks and</w:t>
      </w:r>
      <w:r w:rsidRPr="727F1D53">
        <w:rPr>
          <w:rFonts w:ascii="Arial" w:hAnsi="Arial" w:cs="Arial"/>
          <w:sz w:val="24"/>
          <w:szCs w:val="24"/>
        </w:rPr>
        <w:t xml:space="preserve"> will require some evidence incorporation and equalised returns.</w:t>
      </w:r>
    </w:p>
    <w:p w14:paraId="087FDA28" w14:textId="77777777" w:rsidR="004603A9" w:rsidRPr="006502E8" w:rsidRDefault="004603A9" w:rsidP="004603A9">
      <w:pPr>
        <w:pStyle w:val="Heading3"/>
      </w:pPr>
      <w:bookmarkStart w:id="78" w:name="_bluo59b9z3mv" w:colFirst="0" w:colLast="0"/>
      <w:bookmarkStart w:id="79" w:name="_Toc218184510"/>
      <w:bookmarkEnd w:id="78"/>
      <w:r w:rsidRPr="006502E8">
        <w:t>2.3.4 Effectiveness of Current Public Health Intervention</w:t>
      </w:r>
      <w:bookmarkEnd w:id="79"/>
    </w:p>
    <w:p w14:paraId="3DFC469B" w14:textId="64682134" w:rsidR="004603A9" w:rsidRPr="006502E8" w:rsidRDefault="004603A9" w:rsidP="00466928">
      <w:pPr>
        <w:spacing w:line="360" w:lineRule="auto"/>
        <w:jc w:val="both"/>
        <w:rPr>
          <w:rFonts w:ascii="Arial" w:hAnsi="Arial" w:cs="Arial"/>
          <w:sz w:val="24"/>
          <w:szCs w:val="24"/>
        </w:rPr>
      </w:pPr>
      <w:r w:rsidRPr="727F1D53">
        <w:rPr>
          <w:rFonts w:ascii="Arial" w:hAnsi="Arial" w:cs="Arial"/>
          <w:sz w:val="24"/>
          <w:szCs w:val="24"/>
        </w:rPr>
        <w:t xml:space="preserve">The effectiveness of public health interventions aimed specifically at housing-related respiratory risks in the UK is still contested. McGowan et al. (2021) observe that the utmost importance of public health interventions is simply to provide greater focus and support to public health as a vehicle for developing and enhancing health outcomes and addressing health inequalities as they are recognised. This article identifies that public health interventions continue to provide housing modifications, access to improved public space, parks and play spaces, supermarkets, transport, cycling routes, walkways, and outdoor exercise space – all amid a possible improvement to health outcomes. </w:t>
      </w:r>
      <w:r w:rsidRPr="727F1D53">
        <w:rPr>
          <w:rFonts w:ascii="Arial" w:hAnsi="Arial" w:cs="Arial"/>
          <w:color w:val="000000" w:themeColor="text1"/>
          <w:sz w:val="24"/>
          <w:szCs w:val="24"/>
        </w:rPr>
        <w:t>Well-thought-out public health interventions are effective at improving the indoor environment and reducing health consumption</w:t>
      </w:r>
      <w:r w:rsidR="00377FA0" w:rsidRPr="727F1D53">
        <w:rPr>
          <w:rFonts w:ascii="Arial" w:hAnsi="Arial" w:cs="Arial"/>
          <w:color w:val="000000" w:themeColor="text1"/>
          <w:sz w:val="24"/>
          <w:szCs w:val="24"/>
        </w:rPr>
        <w:t xml:space="preserve"> (Tsarkov </w:t>
      </w:r>
      <w:r w:rsidR="00377FA0" w:rsidRPr="727F1D53">
        <w:rPr>
          <w:rFonts w:ascii="Arial" w:hAnsi="Arial" w:cs="Arial"/>
          <w:i/>
          <w:iCs/>
          <w:color w:val="000000" w:themeColor="text1"/>
          <w:sz w:val="24"/>
          <w:szCs w:val="24"/>
        </w:rPr>
        <w:t>et al.,</w:t>
      </w:r>
      <w:r w:rsidR="00377FA0" w:rsidRPr="727F1D53">
        <w:rPr>
          <w:rFonts w:ascii="Arial" w:hAnsi="Arial" w:cs="Arial"/>
          <w:color w:val="000000" w:themeColor="text1"/>
          <w:sz w:val="24"/>
          <w:szCs w:val="24"/>
        </w:rPr>
        <w:t xml:space="preserve"> 2024)</w:t>
      </w:r>
      <w:r w:rsidRPr="727F1D53">
        <w:rPr>
          <w:rFonts w:ascii="Arial" w:hAnsi="Arial" w:cs="Arial"/>
          <w:color w:val="000000" w:themeColor="text1"/>
          <w:sz w:val="24"/>
          <w:szCs w:val="24"/>
        </w:rPr>
        <w:t>.</w:t>
      </w:r>
      <w:r w:rsidRPr="727F1D53">
        <w:rPr>
          <w:rFonts w:ascii="Arial" w:hAnsi="Arial" w:cs="Arial"/>
          <w:color w:val="4472C4" w:themeColor="accent1"/>
          <w:sz w:val="24"/>
          <w:szCs w:val="24"/>
        </w:rPr>
        <w:t xml:space="preserve"> </w:t>
      </w:r>
      <w:r w:rsidRPr="727F1D53">
        <w:rPr>
          <w:rFonts w:ascii="Arial" w:hAnsi="Arial" w:cs="Arial"/>
          <w:sz w:val="24"/>
          <w:szCs w:val="24"/>
        </w:rPr>
        <w:t xml:space="preserve">It does find, however, that the interventions are not necessarily successful in a long-term sense; they can be enforced inconsistently, introduced through fragmented local authority channels, and are often unfunded altogether. </w:t>
      </w:r>
    </w:p>
    <w:p w14:paraId="122D71F7" w14:textId="77777777" w:rsidR="004603A9" w:rsidRPr="006502E8" w:rsidRDefault="004603A9" w:rsidP="004603A9">
      <w:pPr>
        <w:pStyle w:val="Heading2"/>
      </w:pPr>
      <w:bookmarkStart w:id="80" w:name="_evuwqxm7zb4n" w:colFirst="0" w:colLast="0"/>
      <w:bookmarkStart w:id="81" w:name="_Toc218184511"/>
      <w:bookmarkEnd w:id="80"/>
      <w:r w:rsidRPr="006502E8">
        <w:t>2.4 Social Care Responses for Vulnerable Populations</w:t>
      </w:r>
      <w:bookmarkEnd w:id="81"/>
    </w:p>
    <w:p w14:paraId="7479D968" w14:textId="77777777" w:rsidR="004603A9" w:rsidRPr="006502E8" w:rsidRDefault="004603A9" w:rsidP="004603A9">
      <w:pPr>
        <w:pStyle w:val="Heading3"/>
      </w:pPr>
      <w:bookmarkStart w:id="82" w:name="_5rs5u8lx8ahb" w:colFirst="0" w:colLast="0"/>
      <w:bookmarkStart w:id="83" w:name="_Toc218184512"/>
      <w:bookmarkEnd w:id="82"/>
      <w:r w:rsidRPr="006502E8">
        <w:t>2.4.1 Housing Instability and Vulnerability in Adolescents</w:t>
      </w:r>
      <w:bookmarkEnd w:id="83"/>
    </w:p>
    <w:p w14:paraId="01967255"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 xml:space="preserve">Young people experiencing housing instability are more likely to exhibit symptoms of respiratory disease, but it is contested whether housing instability is a principal causal pathway for poorer health. Soltan </w:t>
      </w:r>
      <w:r w:rsidRPr="006502E8">
        <w:rPr>
          <w:rFonts w:ascii="Arial" w:hAnsi="Arial" w:cs="Arial"/>
          <w:i/>
          <w:iCs/>
          <w:sz w:val="24"/>
          <w:szCs w:val="24"/>
        </w:rPr>
        <w:t xml:space="preserve">et al. </w:t>
      </w:r>
      <w:r w:rsidRPr="006502E8">
        <w:rPr>
          <w:rFonts w:ascii="Arial" w:hAnsi="Arial" w:cs="Arial"/>
          <w:sz w:val="24"/>
          <w:szCs w:val="24"/>
        </w:rPr>
        <w:t xml:space="preserve">(2021) propose that housing instability could contribute primarily to respiratory illness and associated poor health outcomes through more frequent changes in housing, overcrowded living conditions, or living in temporary housing, which is often linked to chronic stress, exposure to dampness and mould, and poor ventilation, all of which expose adolescents to greater respiratory illness risk. In contrast, Chen </w:t>
      </w:r>
      <w:r w:rsidRPr="006502E8">
        <w:rPr>
          <w:rFonts w:ascii="Arial" w:hAnsi="Arial" w:cs="Arial"/>
          <w:i/>
          <w:iCs/>
          <w:sz w:val="24"/>
          <w:szCs w:val="24"/>
        </w:rPr>
        <w:t>et al.,</w:t>
      </w:r>
      <w:r w:rsidRPr="006502E8">
        <w:rPr>
          <w:rFonts w:ascii="Arial" w:hAnsi="Arial" w:cs="Arial"/>
          <w:sz w:val="24"/>
          <w:szCs w:val="24"/>
        </w:rPr>
        <w:t xml:space="preserve"> (2022) dispute the linear relationship and claim housing instability is often associated with more entrenched circumstances of structural disadvantage, such as poverty, family conflict, and limited access to appropriate health services, with the burden of housing instability. This debate reflects an area of research that is missing: findings from current research rarely disentangle housing instability or some combination of instability and structural disadvantage alongside each other as a mechanism for shaping adolescent vulnerability.</w:t>
      </w:r>
    </w:p>
    <w:p w14:paraId="03ACCAA0" w14:textId="77777777" w:rsidR="004603A9" w:rsidRPr="006502E8" w:rsidRDefault="004603A9" w:rsidP="004603A9">
      <w:pPr>
        <w:pStyle w:val="Heading3"/>
      </w:pPr>
      <w:bookmarkStart w:id="84" w:name="_wcyetk2ctuid" w:colFirst="0" w:colLast="0"/>
      <w:bookmarkStart w:id="85" w:name="_Toc218184513"/>
      <w:bookmarkEnd w:id="84"/>
      <w:r w:rsidRPr="006502E8">
        <w:t>2.4.2 Role of Social Care Service</w:t>
      </w:r>
      <w:bookmarkEnd w:id="85"/>
    </w:p>
    <w:p w14:paraId="5590CA17" w14:textId="1D17778F" w:rsidR="004603A9" w:rsidRPr="0010643F" w:rsidRDefault="004603A9" w:rsidP="004603A9">
      <w:pPr>
        <w:spacing w:line="360" w:lineRule="auto"/>
        <w:jc w:val="both"/>
        <w:rPr>
          <w:rFonts w:ascii="Arial" w:hAnsi="Arial" w:cs="Arial"/>
          <w:color w:val="4472C4" w:themeColor="accent1"/>
          <w:sz w:val="24"/>
          <w:szCs w:val="24"/>
        </w:rPr>
      </w:pPr>
      <w:r w:rsidRPr="727F1D53">
        <w:rPr>
          <w:rFonts w:ascii="Arial" w:hAnsi="Arial" w:cs="Arial"/>
          <w:sz w:val="24"/>
          <w:szCs w:val="24"/>
        </w:rPr>
        <w:t xml:space="preserve">The importance of social care services is well-recognised in addressing housing-related respiratory risk for adolescents, but it is unclear how effective it is. Cross (2022) argues that any intervention by social care, family support, parenting interventions, or safeguarding assessments is necessary because inadequate housing can compound vulnerabilities, and young people's health appears to worsen under conditions of inadequate housing. However, Beach </w:t>
      </w:r>
      <w:r w:rsidRPr="727F1D53">
        <w:rPr>
          <w:rFonts w:ascii="Arial" w:hAnsi="Arial" w:cs="Arial"/>
          <w:i/>
          <w:iCs/>
          <w:sz w:val="24"/>
          <w:szCs w:val="24"/>
        </w:rPr>
        <w:t xml:space="preserve">et al., </w:t>
      </w:r>
      <w:r w:rsidRPr="727F1D53">
        <w:rPr>
          <w:rFonts w:ascii="Arial" w:hAnsi="Arial" w:cs="Arial"/>
          <w:sz w:val="24"/>
          <w:szCs w:val="24"/>
        </w:rPr>
        <w:t>(2022) argue that social care can have a limited impact in isolation from public health or housing teams. Social care is by its very nature crisis-driven and fragmented - many of the challenges that government might "offload" onto social care are related to structural issues around housing that, for the most part, remain unaddressed, thereby obstructing sustainable health outcomes.</w:t>
      </w:r>
      <w:r w:rsidR="00377FA0" w:rsidRPr="727F1D53">
        <w:rPr>
          <w:rFonts w:ascii="Arial" w:hAnsi="Arial" w:cs="Arial"/>
          <w:sz w:val="24"/>
          <w:szCs w:val="24"/>
        </w:rPr>
        <w:t xml:space="preserve"> </w:t>
      </w:r>
      <w:r w:rsidR="00377FA0" w:rsidRPr="727F1D53">
        <w:rPr>
          <w:rFonts w:ascii="Arial" w:hAnsi="Arial" w:cs="Arial"/>
          <w:color w:val="000000" w:themeColor="text1"/>
          <w:sz w:val="24"/>
          <w:szCs w:val="24"/>
        </w:rPr>
        <w:t xml:space="preserve">Social care services from local authorities are responsible for home inspections, assessments and outcomes as well as providing financial assistance for repairs (Chinn </w:t>
      </w:r>
      <w:r w:rsidR="00377FA0" w:rsidRPr="727F1D53">
        <w:rPr>
          <w:rFonts w:ascii="Arial" w:hAnsi="Arial" w:cs="Arial"/>
          <w:i/>
          <w:iCs/>
          <w:color w:val="000000" w:themeColor="text1"/>
          <w:sz w:val="24"/>
          <w:szCs w:val="24"/>
        </w:rPr>
        <w:t>et al.,</w:t>
      </w:r>
      <w:r w:rsidR="00377FA0" w:rsidRPr="727F1D53">
        <w:rPr>
          <w:rFonts w:ascii="Arial" w:hAnsi="Arial" w:cs="Arial"/>
          <w:color w:val="000000" w:themeColor="text1"/>
          <w:sz w:val="24"/>
          <w:szCs w:val="24"/>
        </w:rPr>
        <w:t xml:space="preserve"> 2024)</w:t>
      </w:r>
      <w:r w:rsidR="00377FA0" w:rsidRPr="727F1D53">
        <w:rPr>
          <w:rFonts w:ascii="Arial" w:hAnsi="Arial" w:cs="Arial"/>
          <w:color w:val="4472C4" w:themeColor="accent1"/>
          <w:sz w:val="24"/>
          <w:szCs w:val="24"/>
        </w:rPr>
        <w:t>.</w:t>
      </w:r>
    </w:p>
    <w:p w14:paraId="2EA5C5B9" w14:textId="77777777" w:rsidR="004603A9" w:rsidRPr="006502E8" w:rsidRDefault="004603A9" w:rsidP="004603A9">
      <w:pPr>
        <w:pStyle w:val="Heading3"/>
      </w:pPr>
      <w:bookmarkStart w:id="86" w:name="_z1fwxgj3cpqz" w:colFirst="0" w:colLast="0"/>
      <w:bookmarkStart w:id="87" w:name="_Toc218184514"/>
      <w:bookmarkEnd w:id="86"/>
      <w:r w:rsidRPr="006502E8">
        <w:t>2.4.3 Interagency Collaboration Models</w:t>
      </w:r>
      <w:bookmarkEnd w:id="87"/>
    </w:p>
    <w:p w14:paraId="289F1D3B" w14:textId="77777777" w:rsidR="004603A9" w:rsidRPr="006502E8" w:rsidRDefault="004603A9" w:rsidP="004603A9">
      <w:pPr>
        <w:spacing w:line="360" w:lineRule="auto"/>
        <w:jc w:val="both"/>
        <w:rPr>
          <w:rFonts w:ascii="Arial" w:hAnsi="Arial" w:cs="Arial"/>
          <w:sz w:val="24"/>
          <w:szCs w:val="24"/>
        </w:rPr>
      </w:pPr>
      <w:r w:rsidRPr="006502E8">
        <w:rPr>
          <w:rFonts w:ascii="Arial" w:hAnsi="Arial" w:cs="Arial"/>
          <w:sz w:val="24"/>
          <w:szCs w:val="24"/>
        </w:rPr>
        <w:t xml:space="preserve">Collaboration between agencies is frequently proposed as a requisite response to housing-related respiratory risks for at-risk adolescents, but its utility remains contested. Reed </w:t>
      </w:r>
      <w:r w:rsidRPr="006502E8">
        <w:rPr>
          <w:rFonts w:ascii="Arial" w:hAnsi="Arial" w:cs="Arial"/>
          <w:i/>
          <w:iCs/>
          <w:sz w:val="24"/>
          <w:szCs w:val="24"/>
        </w:rPr>
        <w:t>et al.,</w:t>
      </w:r>
      <w:r w:rsidRPr="006502E8">
        <w:rPr>
          <w:rFonts w:ascii="Arial" w:hAnsi="Arial" w:cs="Arial"/>
          <w:sz w:val="24"/>
          <w:szCs w:val="24"/>
        </w:rPr>
        <w:t xml:space="preserve"> (2021) argue that agreed forms of coordinated working between social care, public health, and housing service delivery support case management and reduce potential repeat service delivery. In contrast, Daou </w:t>
      </w:r>
      <w:r w:rsidRPr="006502E8">
        <w:rPr>
          <w:rFonts w:ascii="Arial" w:hAnsi="Arial" w:cs="Arial"/>
          <w:i/>
          <w:iCs/>
          <w:sz w:val="24"/>
          <w:szCs w:val="24"/>
        </w:rPr>
        <w:t xml:space="preserve">et al. </w:t>
      </w:r>
      <w:r w:rsidRPr="006502E8">
        <w:rPr>
          <w:rFonts w:ascii="Arial" w:hAnsi="Arial" w:cs="Arial"/>
          <w:sz w:val="24"/>
          <w:szCs w:val="24"/>
        </w:rPr>
        <w:t>(2025) argue that the model of working is inconsistent and poorly operationalised, maintaining that information sharing and a lack of clarity in professional boundaries can negatively affect outcomes. In general, collaboration is discussed as conceptually meaningful but practically limited by organisational fragmentation and imbalance of resources.</w:t>
      </w:r>
    </w:p>
    <w:p w14:paraId="7B311DCC" w14:textId="77777777" w:rsidR="004603A9" w:rsidRPr="006502E8" w:rsidRDefault="004603A9" w:rsidP="004603A9">
      <w:pPr>
        <w:pStyle w:val="Heading3"/>
      </w:pPr>
      <w:bookmarkStart w:id="88" w:name="_vg06qj4m9z6x" w:colFirst="0" w:colLast="0"/>
      <w:bookmarkStart w:id="89" w:name="_Toc218184515"/>
      <w:bookmarkEnd w:id="88"/>
      <w:r w:rsidRPr="006502E8">
        <w:t>2.4.4 Effectiveness of Social Care Interventions</w:t>
      </w:r>
      <w:bookmarkEnd w:id="89"/>
    </w:p>
    <w:p w14:paraId="6921C4D3" w14:textId="10778C1D" w:rsidR="00B70228" w:rsidRPr="006502E8" w:rsidRDefault="004603A9" w:rsidP="004603A9">
      <w:pPr>
        <w:spacing w:line="360" w:lineRule="auto"/>
        <w:jc w:val="both"/>
        <w:rPr>
          <w:rFonts w:ascii="Arial" w:hAnsi="Arial" w:cs="Arial"/>
          <w:sz w:val="24"/>
          <w:szCs w:val="24"/>
        </w:rPr>
      </w:pPr>
      <w:r w:rsidRPr="727F1D53">
        <w:rPr>
          <w:rFonts w:ascii="Arial" w:hAnsi="Arial" w:cs="Arial"/>
          <w:sz w:val="24"/>
          <w:szCs w:val="24"/>
        </w:rPr>
        <w:t xml:space="preserve">There continues to be some contention around the extent to which social care interventions can address housing-related respiratory vulnerability for young people. Gardner </w:t>
      </w:r>
      <w:r w:rsidRPr="727F1D53">
        <w:rPr>
          <w:rFonts w:ascii="Arial" w:hAnsi="Arial" w:cs="Arial"/>
          <w:i/>
          <w:iCs/>
          <w:sz w:val="24"/>
          <w:szCs w:val="24"/>
        </w:rPr>
        <w:t xml:space="preserve">et al., </w:t>
      </w:r>
      <w:r w:rsidRPr="727F1D53">
        <w:rPr>
          <w:rFonts w:ascii="Arial" w:hAnsi="Arial" w:cs="Arial"/>
          <w:sz w:val="24"/>
          <w:szCs w:val="24"/>
        </w:rPr>
        <w:t xml:space="preserve">(2023) contend that 'targeted programmes', such as family support interventions, parenting programmes and adolescent case management, seek to reduce adverse exposures while promoting ongoing health stability. On the other hand, Miller </w:t>
      </w:r>
      <w:r w:rsidRPr="727F1D53">
        <w:rPr>
          <w:rFonts w:ascii="Arial" w:hAnsi="Arial" w:cs="Arial"/>
          <w:i/>
          <w:iCs/>
          <w:sz w:val="24"/>
          <w:szCs w:val="24"/>
        </w:rPr>
        <w:t xml:space="preserve">et al., </w:t>
      </w:r>
      <w:r w:rsidRPr="727F1D53">
        <w:rPr>
          <w:rFonts w:ascii="Arial" w:hAnsi="Arial" w:cs="Arial"/>
          <w:sz w:val="24"/>
          <w:szCs w:val="24"/>
        </w:rPr>
        <w:t xml:space="preserve">(2021) state that these types of interventions are likely to lack consistency in delivery, adequate funding, and to rarely link to either housing services or the public health sector. This </w:t>
      </w:r>
      <w:r w:rsidR="7B2DB3F8" w:rsidRPr="727F1D53">
        <w:rPr>
          <w:rFonts w:ascii="Arial" w:hAnsi="Arial" w:cs="Arial"/>
          <w:sz w:val="24"/>
          <w:szCs w:val="24"/>
        </w:rPr>
        <w:t>disconnects</w:t>
      </w:r>
      <w:r w:rsidRPr="727F1D53">
        <w:rPr>
          <w:rFonts w:ascii="Arial" w:hAnsi="Arial" w:cs="Arial"/>
          <w:sz w:val="24"/>
          <w:szCs w:val="24"/>
        </w:rPr>
        <w:t xml:space="preserve"> compromises sustainability across long-term outcomes, </w:t>
      </w:r>
      <w:r w:rsidR="4213F1C7" w:rsidRPr="727F1D53">
        <w:rPr>
          <w:rFonts w:ascii="Arial" w:hAnsi="Arial" w:cs="Arial"/>
          <w:sz w:val="24"/>
          <w:szCs w:val="24"/>
        </w:rPr>
        <w:t>and without</w:t>
      </w:r>
      <w:r w:rsidRPr="727F1D53">
        <w:rPr>
          <w:rFonts w:ascii="Arial" w:hAnsi="Arial" w:cs="Arial"/>
          <w:sz w:val="24"/>
          <w:szCs w:val="24"/>
        </w:rPr>
        <w:t xml:space="preserve"> programmatic alignment across funding and activity of multiple agencies, social care will not develop meaningful opportunities to mitigate housing-related respiratory vulnerability.</w:t>
      </w:r>
    </w:p>
    <w:p w14:paraId="7FA0A3AD" w14:textId="6B61ACA4" w:rsidR="004319F3" w:rsidRPr="006502E8" w:rsidRDefault="00EB2BA4" w:rsidP="00466928">
      <w:pPr>
        <w:pStyle w:val="Heading2"/>
      </w:pPr>
      <w:bookmarkStart w:id="90" w:name="_Toc218184516"/>
      <w:r w:rsidRPr="006502E8">
        <w:t>2.</w:t>
      </w:r>
      <w:r w:rsidR="004319F3" w:rsidRPr="006502E8">
        <w:t>5</w:t>
      </w:r>
      <w:r w:rsidRPr="006502E8">
        <w:t xml:space="preserve"> Theoretical framework</w:t>
      </w:r>
      <w:bookmarkEnd w:id="90"/>
      <w:r w:rsidRPr="006502E8">
        <w:t xml:space="preserve"> </w:t>
      </w:r>
    </w:p>
    <w:p w14:paraId="63C5FABE" w14:textId="77777777" w:rsidR="004319F3" w:rsidRPr="006502E8" w:rsidRDefault="004319F3" w:rsidP="004319F3">
      <w:pPr>
        <w:spacing w:before="240" w:after="158" w:line="360" w:lineRule="auto"/>
        <w:jc w:val="both"/>
        <w:rPr>
          <w:rFonts w:ascii="Arial" w:hAnsi="Arial" w:cs="Arial"/>
          <w:b/>
          <w:bCs/>
          <w:i/>
          <w:iCs/>
          <w:sz w:val="24"/>
          <w:szCs w:val="24"/>
          <w:lang w:val="en-IN"/>
        </w:rPr>
      </w:pPr>
      <w:r w:rsidRPr="006502E8">
        <w:rPr>
          <w:rFonts w:ascii="Arial" w:hAnsi="Arial" w:cs="Arial"/>
          <w:b/>
          <w:bCs/>
          <w:i/>
          <w:iCs/>
          <w:sz w:val="24"/>
          <w:szCs w:val="24"/>
          <w:lang w:val="en-IN"/>
        </w:rPr>
        <w:t>Ecological systems theory</w:t>
      </w:r>
    </w:p>
    <w:p w14:paraId="501B8EA5" w14:textId="77777777" w:rsidR="002D767C" w:rsidRPr="0010643F" w:rsidRDefault="002D767C" w:rsidP="727F1D53">
      <w:pPr>
        <w:spacing w:before="240" w:after="158" w:line="360" w:lineRule="auto"/>
        <w:jc w:val="both"/>
        <w:rPr>
          <w:rFonts w:ascii="Arial" w:hAnsi="Arial" w:cs="Arial"/>
          <w:color w:val="000000" w:themeColor="text1"/>
          <w:sz w:val="24"/>
          <w:szCs w:val="24"/>
          <w:lang w:val="en-IN"/>
        </w:rPr>
      </w:pPr>
      <w:r w:rsidRPr="727F1D53">
        <w:rPr>
          <w:rFonts w:ascii="Arial" w:hAnsi="Arial" w:cs="Arial"/>
          <w:color w:val="000000" w:themeColor="text1"/>
          <w:sz w:val="24"/>
          <w:szCs w:val="24"/>
          <w:lang w:val="en-IN"/>
        </w:rPr>
        <w:t>The image highlights (Figure 2.2) how building characteristics mediate outdoor and indoor environmental quality, shaping residents’ health through air quality and occupant behaviours. This reinforces that decent housing for young families must address structural design, ventilation, and organisational responsibilities to reduce indoor pollutants and support healthier living conditions.</w:t>
      </w:r>
    </w:p>
    <w:p w14:paraId="3D3136B2" w14:textId="370EDC05" w:rsidR="004319F3" w:rsidRPr="006502E8" w:rsidRDefault="004319F3" w:rsidP="004319F3">
      <w:pPr>
        <w:spacing w:before="240" w:after="158" w:line="360" w:lineRule="auto"/>
        <w:jc w:val="center"/>
        <w:rPr>
          <w:rFonts w:ascii="Arial" w:hAnsi="Arial" w:cs="Arial"/>
          <w:sz w:val="24"/>
          <w:szCs w:val="24"/>
          <w:lang w:val="en-IN"/>
        </w:rPr>
      </w:pPr>
      <w:r w:rsidRPr="006502E8">
        <w:rPr>
          <w:rFonts w:ascii="Arial" w:hAnsi="Arial" w:cs="Arial"/>
          <w:noProof/>
          <w:sz w:val="24"/>
          <w:szCs w:val="24"/>
          <w:lang w:val="en-IN"/>
        </w:rPr>
        <w:drawing>
          <wp:inline distT="0" distB="0" distL="0" distR="0" wp14:anchorId="53C5C070" wp14:editId="609E422A">
            <wp:extent cx="4137660" cy="2103120"/>
            <wp:effectExtent l="76200" t="76200" r="129540" b="125730"/>
            <wp:docPr id="10009252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37660" cy="2103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0C252E" w14:textId="515EE946" w:rsidR="004319F3" w:rsidRPr="006502E8" w:rsidRDefault="004319F3" w:rsidP="00D00B33">
      <w:pPr>
        <w:pStyle w:val="Heading4"/>
        <w:rPr>
          <w:lang w:val="en-IN"/>
        </w:rPr>
      </w:pPr>
      <w:bookmarkStart w:id="91" w:name="_Toc218187255"/>
      <w:r w:rsidRPr="006502E8">
        <w:rPr>
          <w:lang w:val="en-IN"/>
        </w:rPr>
        <w:t>Figure 2.</w:t>
      </w:r>
      <w:r w:rsidR="00E6680D" w:rsidRPr="006502E8">
        <w:rPr>
          <w:lang w:val="en-IN"/>
        </w:rPr>
        <w:t>2</w:t>
      </w:r>
      <w:r w:rsidRPr="006502E8">
        <w:rPr>
          <w:lang w:val="en-IN"/>
        </w:rPr>
        <w:t>: Social ecological system of indoor housing environment</w:t>
      </w:r>
      <w:bookmarkEnd w:id="91"/>
    </w:p>
    <w:p w14:paraId="00FB1960" w14:textId="77777777" w:rsidR="004319F3" w:rsidRPr="006502E8" w:rsidRDefault="004319F3" w:rsidP="004319F3">
      <w:pPr>
        <w:spacing w:before="240" w:after="158" w:line="360" w:lineRule="auto"/>
        <w:jc w:val="center"/>
        <w:rPr>
          <w:rFonts w:ascii="Arial" w:hAnsi="Arial" w:cs="Arial"/>
          <w:sz w:val="24"/>
          <w:szCs w:val="24"/>
          <w:lang w:val="en-IN"/>
        </w:rPr>
      </w:pPr>
      <w:r w:rsidRPr="006502E8">
        <w:rPr>
          <w:rFonts w:ascii="Arial" w:hAnsi="Arial" w:cs="Arial"/>
          <w:sz w:val="24"/>
          <w:szCs w:val="24"/>
          <w:lang w:val="en-IN"/>
        </w:rPr>
        <w:t xml:space="preserve">(Source: Tsoulou </w:t>
      </w:r>
      <w:r w:rsidRPr="006502E8">
        <w:rPr>
          <w:rFonts w:ascii="Arial" w:hAnsi="Arial" w:cs="Arial"/>
          <w:i/>
          <w:iCs/>
          <w:sz w:val="24"/>
          <w:szCs w:val="24"/>
          <w:lang w:val="en-IN"/>
        </w:rPr>
        <w:t>et al.,</w:t>
      </w:r>
      <w:r w:rsidRPr="006502E8">
        <w:rPr>
          <w:rFonts w:ascii="Arial" w:hAnsi="Arial" w:cs="Arial"/>
          <w:sz w:val="24"/>
          <w:szCs w:val="24"/>
          <w:lang w:val="en-IN"/>
        </w:rPr>
        <w:t xml:space="preserve"> 2021)</w:t>
      </w:r>
    </w:p>
    <w:p w14:paraId="3C092C2D" w14:textId="54AD06F2" w:rsidR="004319F3" w:rsidRPr="006502E8" w:rsidRDefault="004319F3" w:rsidP="004319F3">
      <w:pPr>
        <w:spacing w:before="240" w:after="158" w:line="360" w:lineRule="auto"/>
        <w:jc w:val="both"/>
        <w:rPr>
          <w:rFonts w:ascii="Arial" w:hAnsi="Arial" w:cs="Arial"/>
          <w:sz w:val="24"/>
          <w:szCs w:val="24"/>
          <w:lang w:val="en-IN"/>
        </w:rPr>
      </w:pPr>
      <w:r w:rsidRPr="006502E8">
        <w:rPr>
          <w:rFonts w:ascii="Arial" w:hAnsi="Arial" w:cs="Arial"/>
          <w:sz w:val="24"/>
          <w:szCs w:val="24"/>
          <w:lang w:val="en-IN"/>
        </w:rPr>
        <w:t xml:space="preserve">Urie Bronfenbrenner's Ecological Systems Theory provides a useful framework to conceptually explore how housing quality relates to respiratory health through different layers of environmental influences that are interlinked (Tsoulou </w:t>
      </w:r>
      <w:r w:rsidRPr="006502E8">
        <w:rPr>
          <w:rFonts w:ascii="Arial" w:hAnsi="Arial" w:cs="Arial"/>
          <w:i/>
          <w:iCs/>
          <w:sz w:val="24"/>
          <w:szCs w:val="24"/>
          <w:lang w:val="en-IN"/>
        </w:rPr>
        <w:t>et al.,</w:t>
      </w:r>
      <w:r w:rsidRPr="006502E8">
        <w:rPr>
          <w:rFonts w:ascii="Arial" w:hAnsi="Arial" w:cs="Arial"/>
          <w:sz w:val="24"/>
          <w:szCs w:val="24"/>
          <w:lang w:val="en-IN"/>
        </w:rPr>
        <w:t xml:space="preserve"> 2021). Moving from the ecological levels, at the level of the microsystem, dampness, mould, indoor ventilation and air quality are pertinent to people's daily environmental exposure to respiratory risk. At the mesosystem level, the interconnections across home, school and health services, where poor housing may lead to school absence and more frequent use of health services at a practice level, are also contextualised. At the exosystem level, housing policy set by local government, inspections by environmental health and the addition to social care provision may indirectly influence families' rights to housing (Easton </w:t>
      </w:r>
      <w:r w:rsidRPr="006502E8">
        <w:rPr>
          <w:rFonts w:ascii="Arial" w:hAnsi="Arial" w:cs="Arial"/>
          <w:i/>
          <w:iCs/>
          <w:sz w:val="24"/>
          <w:szCs w:val="24"/>
          <w:lang w:val="en-IN"/>
        </w:rPr>
        <w:t>et al.,</w:t>
      </w:r>
      <w:r w:rsidRPr="006502E8">
        <w:rPr>
          <w:rFonts w:ascii="Arial" w:hAnsi="Arial" w:cs="Arial"/>
          <w:sz w:val="24"/>
          <w:szCs w:val="24"/>
          <w:lang w:val="en-IN"/>
        </w:rPr>
        <w:t xml:space="preserve"> 2024). Finally, the macrosystem, social inequality, national standards for housing, and public health legislation ultimately influence how structures operate to shape living conditions and their associated risks of respiratory harm. In this approach, it attends to the notion of coproduction from different functional domains of microbiological, social and policy domains which come together to relate to respiratory infections rather than putting full culpability on poorer housing. </w:t>
      </w:r>
    </w:p>
    <w:p w14:paraId="46F08BF2" w14:textId="77777777" w:rsidR="004319F3" w:rsidRPr="006502E8" w:rsidRDefault="004319F3" w:rsidP="004319F3">
      <w:pPr>
        <w:pStyle w:val="Heading2"/>
        <w:rPr>
          <w:lang w:val="en-IN"/>
        </w:rPr>
      </w:pPr>
      <w:bookmarkStart w:id="92" w:name="_Toc218184517"/>
      <w:r w:rsidRPr="006502E8">
        <w:rPr>
          <w:lang w:val="en-IN"/>
        </w:rPr>
        <w:t>2.6 Identified Research Gaps</w:t>
      </w:r>
      <w:bookmarkEnd w:id="92"/>
      <w:r w:rsidRPr="006502E8">
        <w:rPr>
          <w:lang w:val="en-IN"/>
        </w:rPr>
        <w:t> </w:t>
      </w:r>
    </w:p>
    <w:p w14:paraId="79B85D30" w14:textId="68940595" w:rsidR="004319F3" w:rsidRPr="006502E8" w:rsidRDefault="004319F3" w:rsidP="00037BCA">
      <w:pPr>
        <w:spacing w:before="240" w:after="158" w:line="360" w:lineRule="auto"/>
        <w:jc w:val="both"/>
        <w:rPr>
          <w:rFonts w:ascii="Arial" w:hAnsi="Arial" w:cs="Arial"/>
          <w:sz w:val="24"/>
          <w:szCs w:val="24"/>
          <w:lang w:val="en-IN"/>
        </w:rPr>
      </w:pPr>
      <w:r w:rsidRPr="006502E8">
        <w:rPr>
          <w:rFonts w:ascii="Arial" w:hAnsi="Arial" w:cs="Arial"/>
          <w:sz w:val="24"/>
          <w:szCs w:val="24"/>
          <w:lang w:val="en-IN"/>
        </w:rPr>
        <w:t>There are significant gaps in the literature, consisting of inconsistent methods of microbial exposures, limited evidence about UK bacterial ecology, and a failure to consider structural, behavioural and socio-economic factors (Aveyard</w:t>
      </w:r>
      <w:r w:rsidRPr="006502E8">
        <w:rPr>
          <w:rFonts w:ascii="Arial" w:hAnsi="Arial" w:cs="Arial"/>
          <w:i/>
          <w:iCs/>
          <w:sz w:val="24"/>
          <w:szCs w:val="24"/>
          <w:lang w:val="en-IN"/>
        </w:rPr>
        <w:t xml:space="preserve"> et al., </w:t>
      </w:r>
      <w:r w:rsidRPr="006502E8">
        <w:rPr>
          <w:rFonts w:ascii="Arial" w:hAnsi="Arial" w:cs="Arial"/>
          <w:sz w:val="24"/>
          <w:szCs w:val="24"/>
          <w:lang w:val="en-IN"/>
        </w:rPr>
        <w:t xml:space="preserve">2021; Brackley </w:t>
      </w:r>
      <w:r w:rsidRPr="006502E8">
        <w:rPr>
          <w:rFonts w:ascii="Arial" w:hAnsi="Arial" w:cs="Arial"/>
          <w:i/>
          <w:iCs/>
          <w:sz w:val="24"/>
          <w:szCs w:val="24"/>
          <w:lang w:val="en-IN"/>
        </w:rPr>
        <w:t xml:space="preserve">et al., </w:t>
      </w:r>
      <w:r w:rsidRPr="006502E8">
        <w:rPr>
          <w:rFonts w:ascii="Arial" w:hAnsi="Arial" w:cs="Arial"/>
          <w:sz w:val="24"/>
          <w:szCs w:val="24"/>
          <w:lang w:val="en-IN"/>
        </w:rPr>
        <w:t>2021). To date, studies rarely take an integrated approach and consider the microbiological, public health and social care lenses and thus only provide a partial view of the public health issue. We require multi-disciplinary, context-specific models which enable us to explore the relationship between housing conditions, behaviour, and policy to respiratory infections, particularly in high-risk populations.</w:t>
      </w:r>
    </w:p>
    <w:p w14:paraId="30DBECA1" w14:textId="4AF3F6C9" w:rsidR="004319F3" w:rsidRPr="006502E8" w:rsidRDefault="004319F3" w:rsidP="004319F3">
      <w:pPr>
        <w:pStyle w:val="Heading2"/>
        <w:rPr>
          <w:lang w:val="en-IN"/>
        </w:rPr>
      </w:pPr>
      <w:bookmarkStart w:id="93" w:name="_Toc218184518"/>
      <w:r w:rsidRPr="006502E8">
        <w:rPr>
          <w:lang w:val="en-IN"/>
        </w:rPr>
        <w:t>2.</w:t>
      </w:r>
      <w:r w:rsidR="00E6680D" w:rsidRPr="006502E8">
        <w:rPr>
          <w:lang w:val="en-IN"/>
        </w:rPr>
        <w:t>7</w:t>
      </w:r>
      <w:r w:rsidRPr="006502E8">
        <w:rPr>
          <w:lang w:val="en-IN"/>
        </w:rPr>
        <w:t xml:space="preserve"> Research summary</w:t>
      </w:r>
      <w:bookmarkEnd w:id="93"/>
      <w:r w:rsidRPr="006502E8">
        <w:rPr>
          <w:lang w:val="en-IN"/>
        </w:rPr>
        <w:t> </w:t>
      </w:r>
    </w:p>
    <w:p w14:paraId="4C5FFF9D" w14:textId="5D5DB8D7" w:rsidR="009706D0" w:rsidRPr="006502E8" w:rsidRDefault="004319F3" w:rsidP="00D00B33">
      <w:pPr>
        <w:spacing w:before="240" w:after="158" w:line="360" w:lineRule="auto"/>
        <w:jc w:val="both"/>
        <w:rPr>
          <w:rFonts w:ascii="Arial" w:hAnsi="Arial" w:cs="Arial"/>
          <w:sz w:val="24"/>
          <w:szCs w:val="24"/>
          <w:lang w:val="en-IN"/>
        </w:rPr>
      </w:pPr>
      <w:r w:rsidRPr="006502E8">
        <w:rPr>
          <w:rFonts w:ascii="Arial" w:hAnsi="Arial" w:cs="Arial"/>
          <w:sz w:val="24"/>
          <w:szCs w:val="24"/>
          <w:lang w:val="en-IN"/>
        </w:rPr>
        <w:t>This exploration demonstrates how inadequate housing impacts respiratory infections in the UK through the coalescence of environmental microbiological, public health, and social care perspectives. It highlights the dissimilar state of evidence, inadequately examined risk approaches, policy strands that are not associated with one another and limitations in support provided for vulnerable young people which demonstrates the need for integrated multidisciplinary approaches that acknowledge the intersections of environmental, behavioural, and structural determinants in a holistic way to address overarching themes.</w:t>
      </w:r>
      <w:r w:rsidR="009F64C5" w:rsidRPr="006502E8">
        <w:rPr>
          <w:rFonts w:ascii="Arial" w:hAnsi="Arial" w:cs="Arial"/>
          <w:sz w:val="24"/>
          <w:szCs w:val="24"/>
        </w:rPr>
        <w:tab/>
        <w:t xml:space="preserve"> </w:t>
      </w:r>
      <w:r w:rsidR="009706D0" w:rsidRPr="006502E8">
        <w:rPr>
          <w:rFonts w:ascii="Arial" w:hAnsi="Arial" w:cs="Arial"/>
          <w:sz w:val="24"/>
          <w:szCs w:val="24"/>
        </w:rPr>
        <w:br w:type="page"/>
      </w:r>
    </w:p>
    <w:p w14:paraId="33CEEA8E" w14:textId="2EA7FDB8" w:rsidR="003F3DAD" w:rsidRPr="006502E8" w:rsidRDefault="00DD7AA5" w:rsidP="003F3DAD">
      <w:pPr>
        <w:pStyle w:val="Heading1"/>
        <w:rPr>
          <w:color w:val="auto"/>
          <w:sz w:val="24"/>
        </w:rPr>
      </w:pPr>
      <w:bookmarkStart w:id="94" w:name="_Toc214899904"/>
      <w:bookmarkStart w:id="95" w:name="_Toc218184519"/>
      <w:r w:rsidRPr="006502E8">
        <w:rPr>
          <w:color w:val="auto"/>
          <w:sz w:val="24"/>
        </w:rPr>
        <w:t xml:space="preserve">Chapter 3: </w:t>
      </w:r>
      <w:r w:rsidR="009F64C5" w:rsidRPr="006502E8">
        <w:rPr>
          <w:color w:val="auto"/>
          <w:sz w:val="24"/>
        </w:rPr>
        <w:t>Research Methodology</w:t>
      </w:r>
      <w:bookmarkEnd w:id="94"/>
      <w:bookmarkEnd w:id="95"/>
      <w:r w:rsidR="009F64C5" w:rsidRPr="006502E8">
        <w:rPr>
          <w:color w:val="auto"/>
          <w:sz w:val="24"/>
        </w:rPr>
        <w:t xml:space="preserve"> </w:t>
      </w:r>
    </w:p>
    <w:p w14:paraId="240919FC" w14:textId="18D0964C" w:rsidR="003F3DAD" w:rsidRPr="006502E8" w:rsidRDefault="003F3DAD" w:rsidP="003F3DAD">
      <w:pPr>
        <w:pStyle w:val="Heading2"/>
        <w:rPr>
          <w:rFonts w:eastAsia="Calibri"/>
        </w:rPr>
      </w:pPr>
      <w:bookmarkStart w:id="96" w:name="_Toc218184520"/>
      <w:r w:rsidRPr="006502E8">
        <w:rPr>
          <w:rFonts w:eastAsia="Calibri"/>
        </w:rPr>
        <w:t>3.1</w:t>
      </w:r>
      <w:del w:id="97" w:author="Diola Bijlhout" w:date="2026-01-14T10:16:00Z" w16du:dateUtc="2026-01-14T10:16:00Z">
        <w:r w:rsidRPr="006502E8" w:rsidDel="00E13D36">
          <w:rPr>
            <w:rFonts w:eastAsia="Calibri"/>
          </w:rPr>
          <w:delText xml:space="preserve"> Overview</w:delText>
        </w:r>
      </w:del>
      <w:bookmarkEnd w:id="96"/>
      <w:ins w:id="98" w:author="Diola Bijlhout" w:date="2026-01-14T10:16:00Z" w16du:dateUtc="2026-01-14T10:16:00Z">
        <w:r w:rsidR="00E13D36">
          <w:rPr>
            <w:rFonts w:eastAsia="Calibri"/>
          </w:rPr>
          <w:t xml:space="preserve"> Introduction</w:t>
        </w:r>
      </w:ins>
    </w:p>
    <w:p w14:paraId="0C36AE91" w14:textId="4377462A"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 xml:space="preserve">This research utilises a </w:t>
      </w:r>
      <w:del w:id="99" w:author="Diola Bijlhout" w:date="2026-01-14T10:17:00Z" w16du:dateUtc="2026-01-14T10:17:00Z">
        <w:r w:rsidRPr="006502E8" w:rsidDel="00B759A9">
          <w:rPr>
            <w:rFonts w:ascii="Arial" w:eastAsia="Calibri" w:hAnsi="Arial" w:cs="Arial"/>
            <w:sz w:val="24"/>
            <w:szCs w:val="24"/>
          </w:rPr>
          <w:delText xml:space="preserve">qualitative </w:delText>
        </w:r>
      </w:del>
      <w:ins w:id="100" w:author="Diola Bijlhout" w:date="2026-01-14T10:17:00Z" w16du:dateUtc="2026-01-14T10:17:00Z">
        <w:r w:rsidR="00B759A9">
          <w:rPr>
            <w:rFonts w:ascii="Arial" w:eastAsia="Calibri" w:hAnsi="Arial" w:cs="Arial"/>
            <w:sz w:val="24"/>
            <w:szCs w:val="24"/>
          </w:rPr>
          <w:t xml:space="preserve">secondary research </w:t>
        </w:r>
      </w:ins>
      <w:r w:rsidRPr="006502E8">
        <w:rPr>
          <w:rFonts w:ascii="Arial" w:eastAsia="Calibri" w:hAnsi="Arial" w:cs="Arial"/>
          <w:sz w:val="24"/>
          <w:szCs w:val="24"/>
        </w:rPr>
        <w:t>methodology to strategically evaluate and analyse the impact of housing quality on respiratory infection in the context of the UK environment. The studies focus on microbiological effects on public health and interventions associated with social care and prevention. It requires a careful and detailed investigation of what factors contribute towards linking housing quality and respiratory challenges, and what interventions exist to address the public health concern. The following chapter first identifies the philosophical as well as desig</w:t>
      </w:r>
      <w:r w:rsidR="005527EB" w:rsidRPr="006502E8">
        <w:rPr>
          <w:rFonts w:ascii="Arial" w:eastAsia="Calibri" w:hAnsi="Arial" w:cs="Arial"/>
          <w:sz w:val="24"/>
          <w:szCs w:val="24"/>
        </w:rPr>
        <w:t>n</w:t>
      </w:r>
      <w:r w:rsidR="003813B1" w:rsidRPr="006502E8">
        <w:rPr>
          <w:rFonts w:ascii="Arial" w:eastAsia="Calibri" w:hAnsi="Arial" w:cs="Arial"/>
          <w:sz w:val="24"/>
          <w:szCs w:val="24"/>
        </w:rPr>
        <w:t xml:space="preserve"> </w:t>
      </w:r>
      <w:r w:rsidRPr="006502E8">
        <w:rPr>
          <w:rFonts w:ascii="Arial" w:eastAsia="Calibri" w:hAnsi="Arial" w:cs="Arial"/>
          <w:sz w:val="24"/>
          <w:szCs w:val="24"/>
        </w:rPr>
        <w:t>related paradigms of this research, justifying his choice before moving on to detailing the exact process of data collection, appraisal and synthesis that has been utilised to complete the research findings.</w:t>
      </w:r>
    </w:p>
    <w:p w14:paraId="28D3B83C" w14:textId="77777777" w:rsidR="003F3DAD" w:rsidRPr="006502E8" w:rsidRDefault="003F3DAD" w:rsidP="003F3DAD">
      <w:pPr>
        <w:pStyle w:val="Heading2"/>
        <w:rPr>
          <w:rFonts w:eastAsia="Calibri"/>
        </w:rPr>
      </w:pPr>
      <w:bookmarkStart w:id="101" w:name="_Toc218184521"/>
      <w:r w:rsidRPr="006502E8">
        <w:rPr>
          <w:rFonts w:eastAsia="Calibri"/>
        </w:rPr>
        <w:t>3.2 Research Method Design</w:t>
      </w:r>
      <w:bookmarkEnd w:id="101"/>
    </w:p>
    <w:p w14:paraId="5D4F9B2E" w14:textId="77777777" w:rsidR="003F3DAD" w:rsidRPr="006502E8" w:rsidRDefault="003F3DAD" w:rsidP="003F3DAD">
      <w:pPr>
        <w:pStyle w:val="Heading3"/>
      </w:pPr>
      <w:bookmarkStart w:id="102" w:name="_Toc218184522"/>
      <w:r w:rsidRPr="006502E8">
        <w:t>3.2.1 Philosophy</w:t>
      </w:r>
      <w:bookmarkEnd w:id="102"/>
    </w:p>
    <w:p w14:paraId="52011531" w14:textId="0DE8407C"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This research has proposed an interpretivism philosophy of research. The philosophy of the research refers to the belief system of the researcher that dictates the argument and the study's focus on the subject matter (Holden and Lynch, 2004). This research has selected an Interpretivism philosophy due to interpretivism's focus on detailed investigation of human experience (Alharahsheh and Pius, 2020). Conducting research on the subject of respiratory infection being linked to housing quality, detailed observations were required to report on what findings in the current subject domain supported or disproved the relations. This required a multi-perspective angle to be reviewed in detail, instead of a statistical relationship between the two. With the help of the interpretivist philosophy, this research has identified not only the contextual evidence that links housing quality to respiratory infections but has also brought attention to the implications of social and care species intervention needs behind the health concern.</w:t>
      </w:r>
    </w:p>
    <w:p w14:paraId="0E96DEB5" w14:textId="77777777" w:rsidR="003F3DAD" w:rsidRPr="006502E8" w:rsidRDefault="003F3DAD" w:rsidP="003F3DAD">
      <w:pPr>
        <w:pStyle w:val="Heading3"/>
      </w:pPr>
      <w:bookmarkStart w:id="103" w:name="_Toc218184523"/>
      <w:r w:rsidRPr="006502E8">
        <w:t>3.2.2 Approach</w:t>
      </w:r>
      <w:bookmarkEnd w:id="103"/>
    </w:p>
    <w:p w14:paraId="4CEA7A6E" w14:textId="7A0E341D" w:rsidR="003F3DAD" w:rsidRPr="006502E8" w:rsidRDefault="008D72AC" w:rsidP="003F3DAD">
      <w:pPr>
        <w:spacing w:before="200" w:line="360" w:lineRule="auto"/>
        <w:jc w:val="both"/>
        <w:rPr>
          <w:rFonts w:ascii="Arial" w:eastAsia="Calibri" w:hAnsi="Arial" w:cs="Arial"/>
          <w:sz w:val="24"/>
          <w:szCs w:val="24"/>
        </w:rPr>
      </w:pPr>
      <w:ins w:id="104" w:author="Diola Bijlhout" w:date="2026-01-14T09:44:00Z" w16du:dateUtc="2026-01-14T09:44:00Z">
        <w:r>
          <w:rPr>
            <w:rFonts w:ascii="Arial" w:eastAsia="Calibri" w:hAnsi="Arial" w:cs="Arial"/>
            <w:color w:val="000000" w:themeColor="text1"/>
            <w:sz w:val="24"/>
            <w:szCs w:val="24"/>
          </w:rPr>
          <w:t xml:space="preserve">This </w:t>
        </w:r>
      </w:ins>
      <w:del w:id="105" w:author="Diola Bijlhout" w:date="2026-01-14T09:44:00Z" w16du:dateUtc="2026-01-14T09:44:00Z">
        <w:r w:rsidR="00E6680D" w:rsidRPr="727F1D53" w:rsidDel="008D72AC">
          <w:rPr>
            <w:rFonts w:ascii="Arial" w:eastAsia="Calibri" w:hAnsi="Arial" w:cs="Arial"/>
            <w:color w:val="000000" w:themeColor="text1"/>
            <w:sz w:val="24"/>
            <w:szCs w:val="24"/>
          </w:rPr>
          <w:delText>R</w:delText>
        </w:r>
      </w:del>
      <w:ins w:id="106" w:author="Diola Bijlhout" w:date="2026-01-14T09:44:00Z" w16du:dateUtc="2026-01-14T09:44:00Z">
        <w:r>
          <w:rPr>
            <w:rFonts w:ascii="Arial" w:eastAsia="Calibri" w:hAnsi="Arial" w:cs="Arial"/>
            <w:color w:val="000000" w:themeColor="text1"/>
            <w:sz w:val="24"/>
            <w:szCs w:val="24"/>
          </w:rPr>
          <w:t>r</w:t>
        </w:r>
      </w:ins>
      <w:r w:rsidR="00E6680D" w:rsidRPr="727F1D53">
        <w:rPr>
          <w:rFonts w:ascii="Arial" w:eastAsia="Calibri" w:hAnsi="Arial" w:cs="Arial"/>
          <w:color w:val="000000" w:themeColor="text1"/>
          <w:sz w:val="24"/>
          <w:szCs w:val="24"/>
        </w:rPr>
        <w:t>esearch</w:t>
      </w:r>
      <w:r w:rsidR="003F3DAD" w:rsidRPr="727F1D53">
        <w:rPr>
          <w:rFonts w:ascii="Arial" w:eastAsia="Calibri" w:hAnsi="Arial" w:cs="Arial"/>
          <w:color w:val="000000" w:themeColor="text1"/>
          <w:sz w:val="24"/>
          <w:szCs w:val="24"/>
        </w:rPr>
        <w:t xml:space="preserve"> </w:t>
      </w:r>
      <w:r w:rsidR="003813B1" w:rsidRPr="727F1D53">
        <w:rPr>
          <w:rFonts w:ascii="Arial" w:eastAsia="Calibri" w:hAnsi="Arial" w:cs="Arial"/>
          <w:color w:val="000000" w:themeColor="text1"/>
          <w:sz w:val="24"/>
          <w:szCs w:val="24"/>
        </w:rPr>
        <w:t>follows a secondary research</w:t>
      </w:r>
      <w:r w:rsidR="003813B1" w:rsidRPr="727F1D53">
        <w:rPr>
          <w:rFonts w:ascii="Arial" w:eastAsia="Calibri" w:hAnsi="Arial" w:cs="Arial"/>
          <w:color w:val="4472C4" w:themeColor="accent1"/>
          <w:sz w:val="24"/>
          <w:szCs w:val="24"/>
        </w:rPr>
        <w:t xml:space="preserve"> </w:t>
      </w:r>
      <w:r w:rsidR="003F3DAD" w:rsidRPr="727F1D53">
        <w:rPr>
          <w:rFonts w:ascii="Arial" w:eastAsia="Calibri" w:hAnsi="Arial" w:cs="Arial"/>
          <w:sz w:val="24"/>
          <w:szCs w:val="24"/>
        </w:rPr>
        <w:t xml:space="preserve">approach </w:t>
      </w:r>
      <w:r w:rsidR="003813B1" w:rsidRPr="727F1D53">
        <w:rPr>
          <w:rFonts w:ascii="Arial" w:eastAsia="Calibri" w:hAnsi="Arial" w:cs="Arial"/>
          <w:sz w:val="24"/>
          <w:szCs w:val="24"/>
        </w:rPr>
        <w:t xml:space="preserve">which </w:t>
      </w:r>
      <w:r w:rsidR="003F3DAD" w:rsidRPr="727F1D53">
        <w:rPr>
          <w:rFonts w:ascii="Arial" w:eastAsia="Calibri" w:hAnsi="Arial" w:cs="Arial"/>
          <w:sz w:val="24"/>
          <w:szCs w:val="24"/>
        </w:rPr>
        <w:t>has been finalised for this investigation into the link between housing quality and respiratory infection. This research used the approach due to having the freedom to first interpret the research findings and then analyse the findings to build its theoretical implications (Liu, 2016). Had this research focused on deductive reasoning, the research would have required a predetermined set of theoretical principles before collecting the data to test the same (Azungah, 2018). This would have limited the capacity of this research to examine deeper into the subject (Yuwono and Rachmawati, 2023). As a result, the interpretivism philosophy offered the required flexibility to analyse the research findings from a bottom-up approach and conclude on the impact of housing quality on respiratory infection first before coming up with any theoretical implications worth noting.</w:t>
      </w:r>
    </w:p>
    <w:p w14:paraId="5A679C09" w14:textId="77777777" w:rsidR="003F3DAD" w:rsidRPr="006502E8" w:rsidRDefault="003F3DAD" w:rsidP="003F3DAD">
      <w:pPr>
        <w:pStyle w:val="Heading3"/>
      </w:pPr>
      <w:bookmarkStart w:id="107" w:name="_Toc218184524"/>
      <w:r w:rsidRPr="006502E8">
        <w:t>3.2.3 Design</w:t>
      </w:r>
      <w:bookmarkEnd w:id="107"/>
    </w:p>
    <w:p w14:paraId="53D9E973" w14:textId="05415296" w:rsidR="003F3DAD" w:rsidRPr="006502E8" w:rsidRDefault="003F3DAD" w:rsidP="003F3DAD">
      <w:pPr>
        <w:spacing w:before="200" w:line="360" w:lineRule="auto"/>
        <w:jc w:val="both"/>
        <w:rPr>
          <w:rFonts w:ascii="Arial" w:eastAsia="Calibri" w:hAnsi="Arial" w:cs="Arial"/>
          <w:sz w:val="24"/>
          <w:szCs w:val="24"/>
        </w:rPr>
      </w:pPr>
      <w:r w:rsidRPr="727F1D53">
        <w:rPr>
          <w:rFonts w:ascii="Arial" w:eastAsia="Calibri" w:hAnsi="Arial" w:cs="Arial"/>
          <w:sz w:val="24"/>
          <w:szCs w:val="24"/>
        </w:rPr>
        <w:t>This research has decidedly adopted a</w:t>
      </w:r>
      <w:r w:rsidR="003813B1" w:rsidRPr="727F1D53">
        <w:rPr>
          <w:rFonts w:ascii="Arial" w:eastAsia="Calibri" w:hAnsi="Arial" w:cs="Arial"/>
          <w:sz w:val="24"/>
          <w:szCs w:val="24"/>
        </w:rPr>
        <w:t xml:space="preserve"> secondary </w:t>
      </w:r>
      <w:r w:rsidRPr="727F1D53">
        <w:rPr>
          <w:rFonts w:ascii="Arial" w:eastAsia="Calibri" w:hAnsi="Arial" w:cs="Arial"/>
          <w:sz w:val="24"/>
          <w:szCs w:val="24"/>
        </w:rPr>
        <w:t xml:space="preserve">research design by virtue of </w:t>
      </w:r>
      <w:ins w:id="108" w:author="Diola Bijlhout" w:date="2026-01-14T09:45:00Z" w16du:dateUtc="2026-01-14T09:45:00Z">
        <w:r w:rsidR="00D13BCD">
          <w:rPr>
            <w:rFonts w:ascii="Arial" w:eastAsia="Calibri" w:hAnsi="Arial" w:cs="Arial"/>
            <w:sz w:val="24"/>
            <w:szCs w:val="24"/>
          </w:rPr>
          <w:t xml:space="preserve">conducting </w:t>
        </w:r>
      </w:ins>
      <w:del w:id="109" w:author="Diola Bijlhout" w:date="2026-01-14T09:45:00Z" w16du:dateUtc="2026-01-14T09:45:00Z">
        <w:r w:rsidRPr="727F1D53" w:rsidDel="00D13BCD">
          <w:rPr>
            <w:rFonts w:ascii="Arial" w:eastAsia="Calibri" w:hAnsi="Arial" w:cs="Arial"/>
            <w:sz w:val="24"/>
            <w:szCs w:val="24"/>
          </w:rPr>
          <w:delText>tackling</w:delText>
        </w:r>
      </w:del>
      <w:r w:rsidRPr="727F1D53">
        <w:rPr>
          <w:rFonts w:ascii="Arial" w:eastAsia="Calibri" w:hAnsi="Arial" w:cs="Arial"/>
          <w:sz w:val="24"/>
          <w:szCs w:val="24"/>
        </w:rPr>
        <w:t xml:space="preserve"> a comprehensive public health concern issue, such as respiratory infection-related challenges and complexities, under the influence of housing quality factors. This study has immensely limited the opportunity for examining first-hand clinician and patient data without conducting a longitudinal study to explore its effect nationwide and not isolated into a single region or a healthcare centre (von Maurice </w:t>
      </w:r>
      <w:r w:rsidRPr="727F1D53">
        <w:rPr>
          <w:rFonts w:ascii="Arial" w:eastAsia="Calibri" w:hAnsi="Arial" w:cs="Arial"/>
          <w:i/>
          <w:iCs/>
          <w:sz w:val="24"/>
          <w:szCs w:val="24"/>
        </w:rPr>
        <w:t>et al.</w:t>
      </w:r>
      <w:r w:rsidRPr="727F1D53">
        <w:rPr>
          <w:rFonts w:ascii="Arial" w:eastAsia="Calibri" w:hAnsi="Arial" w:cs="Arial"/>
          <w:sz w:val="24"/>
          <w:szCs w:val="24"/>
        </w:rPr>
        <w:t xml:space="preserve"> 2017). The scale and complexity of such a longitudinal study have meant that</w:t>
      </w:r>
      <w:r w:rsidRPr="727F1D53">
        <w:rPr>
          <w:rFonts w:ascii="Arial" w:eastAsia="Calibri" w:hAnsi="Arial" w:cs="Arial"/>
          <w:color w:val="4472C4" w:themeColor="accent1"/>
          <w:sz w:val="24"/>
          <w:szCs w:val="24"/>
        </w:rPr>
        <w:t xml:space="preserve"> </w:t>
      </w:r>
      <w:r w:rsidR="003813B1" w:rsidRPr="727F1D53">
        <w:rPr>
          <w:rFonts w:ascii="Arial" w:eastAsia="Calibri" w:hAnsi="Arial" w:cs="Arial"/>
          <w:color w:val="000000" w:themeColor="text1"/>
          <w:sz w:val="24"/>
          <w:szCs w:val="24"/>
        </w:rPr>
        <w:t xml:space="preserve">secondary systematic review </w:t>
      </w:r>
      <w:r w:rsidRPr="727F1D53">
        <w:rPr>
          <w:rFonts w:ascii="Arial" w:eastAsia="Calibri" w:hAnsi="Arial" w:cs="Arial"/>
          <w:color w:val="000000" w:themeColor="text1"/>
          <w:sz w:val="24"/>
          <w:szCs w:val="24"/>
        </w:rPr>
        <w:t xml:space="preserve">option </w:t>
      </w:r>
      <w:r w:rsidR="003813B1" w:rsidRPr="727F1D53">
        <w:rPr>
          <w:rFonts w:ascii="Arial" w:eastAsia="Calibri" w:hAnsi="Arial" w:cs="Arial"/>
          <w:color w:val="000000" w:themeColor="text1"/>
          <w:sz w:val="24"/>
          <w:szCs w:val="24"/>
        </w:rPr>
        <w:t xml:space="preserve">was </w:t>
      </w:r>
      <w:r w:rsidRPr="727F1D53">
        <w:rPr>
          <w:rFonts w:ascii="Arial" w:eastAsia="Calibri" w:hAnsi="Arial" w:cs="Arial"/>
          <w:color w:val="000000" w:themeColor="text1"/>
          <w:sz w:val="24"/>
          <w:szCs w:val="24"/>
        </w:rPr>
        <w:t>required</w:t>
      </w:r>
      <w:r w:rsidRPr="727F1D53">
        <w:rPr>
          <w:rFonts w:ascii="Arial" w:eastAsia="Calibri" w:hAnsi="Arial" w:cs="Arial"/>
          <w:color w:val="4472C4" w:themeColor="accent1"/>
          <w:sz w:val="24"/>
          <w:szCs w:val="24"/>
        </w:rPr>
        <w:t xml:space="preserve"> </w:t>
      </w:r>
      <w:r w:rsidRPr="727F1D53">
        <w:rPr>
          <w:rFonts w:ascii="Arial" w:eastAsia="Calibri" w:hAnsi="Arial" w:cs="Arial"/>
          <w:sz w:val="24"/>
          <w:szCs w:val="24"/>
        </w:rPr>
        <w:t>to offer both detailed interpretations supporting the discussion between housing quality and respiratory infection-related challenges, while also being of a limited scale that could be addressed through an academic research setting.</w:t>
      </w:r>
    </w:p>
    <w:p w14:paraId="2AF3B321" w14:textId="77777777" w:rsidR="003F3DAD" w:rsidRPr="006502E8" w:rsidRDefault="003F3DAD" w:rsidP="003F3DAD">
      <w:pPr>
        <w:pStyle w:val="Heading2"/>
        <w:rPr>
          <w:rFonts w:eastAsia="Calibri"/>
        </w:rPr>
      </w:pPr>
      <w:bookmarkStart w:id="110" w:name="_Toc218184525"/>
      <w:r w:rsidRPr="006502E8">
        <w:rPr>
          <w:rFonts w:eastAsia="Calibri"/>
        </w:rPr>
        <w:t>3.3 Data Collection</w:t>
      </w:r>
      <w:bookmarkEnd w:id="110"/>
    </w:p>
    <w:p w14:paraId="622BD1A0" w14:textId="77777777" w:rsidR="003F3DAD" w:rsidRPr="006502E8" w:rsidRDefault="003F3DAD" w:rsidP="003F3DAD">
      <w:pPr>
        <w:pStyle w:val="Heading3"/>
      </w:pPr>
      <w:bookmarkStart w:id="111" w:name="_Toc218184526"/>
      <w:r w:rsidRPr="006502E8">
        <w:t>3.3.1 Boolean Operators</w:t>
      </w:r>
      <w:bookmarkEnd w:id="111"/>
    </w:p>
    <w:p w14:paraId="4615E2C2" w14:textId="380ED5FA"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This research utilised a secondary data collection process with a systematic review method of data analysis to conduct the study. As such, the research data collection process required a clear outline of the article selection screening and synthesis process to inform the reliability and validity of the research. The first step of achieving this has been establishing the Boolean operators. Boolean operators are a string of search terms combined with “AND” along “OR” to specify the research focus (Aliyu, 2017). As such, the following Table 3.1 showcases the Boolean operator-based search strings utilised for searching the databases.</w:t>
      </w:r>
    </w:p>
    <w:tbl>
      <w:tblPr>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675"/>
        <w:gridCol w:w="2340"/>
        <w:gridCol w:w="840"/>
        <w:gridCol w:w="2505"/>
      </w:tblGrid>
      <w:tr w:rsidR="006502E8" w:rsidRPr="006502E8" w14:paraId="08E37FEC" w14:textId="77777777" w:rsidTr="00673353">
        <w:trPr>
          <w:jc w:val="center"/>
        </w:trPr>
        <w:tc>
          <w:tcPr>
            <w:tcW w:w="2640" w:type="dxa"/>
            <w:tcMar>
              <w:top w:w="100" w:type="dxa"/>
              <w:left w:w="100" w:type="dxa"/>
              <w:bottom w:w="100" w:type="dxa"/>
              <w:right w:w="100" w:type="dxa"/>
            </w:tcMar>
            <w:vAlign w:val="center"/>
          </w:tcPr>
          <w:p w14:paraId="50A8FB13" w14:textId="77777777" w:rsidR="003F3DAD" w:rsidRPr="006502E8" w:rsidRDefault="003F3DAD" w:rsidP="00673353">
            <w:pPr>
              <w:widowControl w:val="0"/>
              <w:pBdr>
                <w:top w:val="nil"/>
                <w:left w:val="nil"/>
                <w:bottom w:val="nil"/>
                <w:right w:val="nil"/>
                <w:between w:val="nil"/>
              </w:pBdr>
              <w:spacing w:line="240" w:lineRule="auto"/>
              <w:jc w:val="center"/>
              <w:rPr>
                <w:rFonts w:ascii="Arial" w:eastAsia="Calibri" w:hAnsi="Arial" w:cs="Arial"/>
                <w:sz w:val="24"/>
                <w:szCs w:val="24"/>
              </w:rPr>
            </w:pPr>
            <w:r w:rsidRPr="006502E8">
              <w:rPr>
                <w:rFonts w:ascii="Arial" w:eastAsia="Calibri" w:hAnsi="Arial" w:cs="Arial"/>
                <w:sz w:val="24"/>
                <w:szCs w:val="24"/>
              </w:rPr>
              <w:t>“Housing Quality” OR “Housing Conditions” OR “</w:t>
            </w:r>
            <w:r w:rsidRPr="006502E8">
              <w:rPr>
                <w:rFonts w:ascii="Arial" w:eastAsia="Calibri" w:hAnsi="Arial" w:cs="Arial"/>
                <w:i/>
                <w:iCs/>
                <w:sz w:val="24"/>
                <w:szCs w:val="24"/>
              </w:rPr>
              <w:t>Indoor Air Quality</w:t>
            </w:r>
            <w:r w:rsidRPr="006502E8">
              <w:rPr>
                <w:rFonts w:ascii="Arial" w:eastAsia="Calibri" w:hAnsi="Arial" w:cs="Arial"/>
                <w:sz w:val="24"/>
                <w:szCs w:val="24"/>
              </w:rPr>
              <w:t>” OR “</w:t>
            </w:r>
            <w:r w:rsidRPr="006502E8">
              <w:rPr>
                <w:rFonts w:ascii="Arial" w:eastAsia="Calibri" w:hAnsi="Arial" w:cs="Arial"/>
                <w:i/>
                <w:iCs/>
                <w:sz w:val="24"/>
                <w:szCs w:val="24"/>
              </w:rPr>
              <w:t>Mould</w:t>
            </w:r>
            <w:r w:rsidRPr="006502E8">
              <w:rPr>
                <w:rFonts w:ascii="Arial" w:eastAsia="Calibri" w:hAnsi="Arial" w:cs="Arial"/>
                <w:sz w:val="24"/>
                <w:szCs w:val="24"/>
              </w:rPr>
              <w:t>” OR “</w:t>
            </w:r>
            <w:r w:rsidRPr="006502E8">
              <w:rPr>
                <w:rFonts w:ascii="Arial" w:eastAsia="Calibri" w:hAnsi="Arial" w:cs="Arial"/>
                <w:i/>
                <w:iCs/>
                <w:sz w:val="24"/>
                <w:szCs w:val="24"/>
              </w:rPr>
              <w:t>Ventilation</w:t>
            </w:r>
            <w:r w:rsidRPr="006502E8">
              <w:rPr>
                <w:rFonts w:ascii="Arial" w:eastAsia="Calibri" w:hAnsi="Arial" w:cs="Arial"/>
                <w:sz w:val="24"/>
                <w:szCs w:val="24"/>
              </w:rPr>
              <w:t>”</w:t>
            </w:r>
          </w:p>
        </w:tc>
        <w:tc>
          <w:tcPr>
            <w:tcW w:w="675" w:type="dxa"/>
            <w:tcMar>
              <w:top w:w="100" w:type="dxa"/>
              <w:left w:w="100" w:type="dxa"/>
              <w:bottom w:w="100" w:type="dxa"/>
              <w:right w:w="100" w:type="dxa"/>
            </w:tcMar>
            <w:vAlign w:val="center"/>
          </w:tcPr>
          <w:p w14:paraId="7DB4F67E" w14:textId="77777777" w:rsidR="003F3DAD" w:rsidRPr="006502E8" w:rsidRDefault="003F3DAD" w:rsidP="00673353">
            <w:pPr>
              <w:widowControl w:val="0"/>
              <w:pBdr>
                <w:top w:val="nil"/>
                <w:left w:val="nil"/>
                <w:bottom w:val="nil"/>
                <w:right w:val="nil"/>
                <w:between w:val="nil"/>
              </w:pBdr>
              <w:spacing w:line="240" w:lineRule="auto"/>
              <w:jc w:val="center"/>
              <w:rPr>
                <w:rFonts w:ascii="Arial" w:eastAsia="Calibri" w:hAnsi="Arial" w:cs="Arial"/>
                <w:sz w:val="24"/>
                <w:szCs w:val="24"/>
              </w:rPr>
            </w:pPr>
            <w:r w:rsidRPr="006502E8">
              <w:rPr>
                <w:rFonts w:ascii="Arial" w:eastAsia="Calibri" w:hAnsi="Arial" w:cs="Arial"/>
                <w:sz w:val="24"/>
                <w:szCs w:val="24"/>
              </w:rPr>
              <w:t>AND</w:t>
            </w:r>
          </w:p>
        </w:tc>
        <w:tc>
          <w:tcPr>
            <w:tcW w:w="2340" w:type="dxa"/>
            <w:tcMar>
              <w:top w:w="100" w:type="dxa"/>
              <w:left w:w="100" w:type="dxa"/>
              <w:bottom w:w="100" w:type="dxa"/>
              <w:right w:w="100" w:type="dxa"/>
            </w:tcMar>
            <w:vAlign w:val="center"/>
          </w:tcPr>
          <w:p w14:paraId="226143E0" w14:textId="12B14EC6" w:rsidR="003F3DAD" w:rsidRPr="006502E8" w:rsidRDefault="003F3DAD" w:rsidP="00673353">
            <w:pPr>
              <w:widowControl w:val="0"/>
              <w:pBdr>
                <w:top w:val="nil"/>
                <w:left w:val="nil"/>
                <w:bottom w:val="nil"/>
                <w:right w:val="nil"/>
                <w:between w:val="nil"/>
              </w:pBdr>
              <w:spacing w:line="240" w:lineRule="auto"/>
              <w:jc w:val="center"/>
              <w:rPr>
                <w:rFonts w:ascii="Arial" w:eastAsia="Calibri" w:hAnsi="Arial" w:cs="Arial"/>
                <w:sz w:val="24"/>
                <w:szCs w:val="24"/>
              </w:rPr>
            </w:pPr>
            <w:r w:rsidRPr="006502E8">
              <w:rPr>
                <w:rFonts w:ascii="Arial" w:eastAsia="Calibri" w:hAnsi="Arial" w:cs="Arial"/>
                <w:sz w:val="24"/>
                <w:szCs w:val="24"/>
              </w:rPr>
              <w:t>“Respiratory Infection” OR “</w:t>
            </w:r>
            <w:r w:rsidR="00CF29BC" w:rsidRPr="006502E8">
              <w:rPr>
                <w:rFonts w:ascii="Arial" w:eastAsia="Calibri" w:hAnsi="Arial" w:cs="Arial"/>
                <w:sz w:val="24"/>
                <w:szCs w:val="24"/>
              </w:rPr>
              <w:t>respiratory disease</w:t>
            </w:r>
            <w:r w:rsidRPr="006502E8">
              <w:rPr>
                <w:rFonts w:ascii="Arial" w:eastAsia="Calibri" w:hAnsi="Arial" w:cs="Arial"/>
                <w:sz w:val="24"/>
                <w:szCs w:val="24"/>
              </w:rPr>
              <w:t>” OR "Acute</w:t>
            </w:r>
            <w:r w:rsidRPr="006502E8">
              <w:rPr>
                <w:rFonts w:ascii="Arial" w:eastAsia="Calibri" w:hAnsi="Arial" w:cs="Arial"/>
                <w:i/>
                <w:iCs/>
                <w:sz w:val="24"/>
                <w:szCs w:val="24"/>
              </w:rPr>
              <w:t xml:space="preserve"> Respiratory Infection</w:t>
            </w:r>
            <w:r w:rsidRPr="006502E8">
              <w:rPr>
                <w:rFonts w:ascii="Arial" w:eastAsia="Calibri" w:hAnsi="Arial" w:cs="Arial"/>
                <w:sz w:val="24"/>
                <w:szCs w:val="24"/>
              </w:rPr>
              <w:t>” OR “</w:t>
            </w:r>
            <w:r w:rsidRPr="006502E8">
              <w:rPr>
                <w:rFonts w:ascii="Arial" w:eastAsia="Calibri" w:hAnsi="Arial" w:cs="Arial"/>
                <w:i/>
                <w:iCs/>
                <w:sz w:val="24"/>
                <w:szCs w:val="24"/>
              </w:rPr>
              <w:t>ARI</w:t>
            </w:r>
            <w:r w:rsidRPr="006502E8">
              <w:rPr>
                <w:rFonts w:ascii="Arial" w:eastAsia="Calibri" w:hAnsi="Arial" w:cs="Arial"/>
                <w:sz w:val="24"/>
                <w:szCs w:val="24"/>
              </w:rPr>
              <w:t>” OR “</w:t>
            </w:r>
            <w:r w:rsidRPr="006502E8">
              <w:rPr>
                <w:rFonts w:ascii="Arial" w:eastAsia="Calibri" w:hAnsi="Arial" w:cs="Arial"/>
                <w:i/>
                <w:iCs/>
                <w:sz w:val="24"/>
                <w:szCs w:val="24"/>
              </w:rPr>
              <w:t>Asthma</w:t>
            </w:r>
            <w:r w:rsidRPr="006502E8">
              <w:rPr>
                <w:rFonts w:ascii="Arial" w:eastAsia="Calibri" w:hAnsi="Arial" w:cs="Arial"/>
                <w:sz w:val="24"/>
                <w:szCs w:val="24"/>
              </w:rPr>
              <w:t>” OR “</w:t>
            </w:r>
            <w:r w:rsidRPr="006502E8">
              <w:rPr>
                <w:rFonts w:ascii="Arial" w:eastAsia="Calibri" w:hAnsi="Arial" w:cs="Arial"/>
                <w:i/>
                <w:iCs/>
                <w:sz w:val="24"/>
                <w:szCs w:val="24"/>
              </w:rPr>
              <w:t>Bronchitis</w:t>
            </w:r>
            <w:r w:rsidRPr="006502E8">
              <w:rPr>
                <w:rFonts w:ascii="Arial" w:eastAsia="Calibri" w:hAnsi="Arial" w:cs="Arial"/>
                <w:sz w:val="24"/>
                <w:szCs w:val="24"/>
              </w:rPr>
              <w:t>”</w:t>
            </w:r>
          </w:p>
        </w:tc>
        <w:tc>
          <w:tcPr>
            <w:tcW w:w="840" w:type="dxa"/>
            <w:tcMar>
              <w:top w:w="100" w:type="dxa"/>
              <w:left w:w="100" w:type="dxa"/>
              <w:bottom w:w="100" w:type="dxa"/>
              <w:right w:w="100" w:type="dxa"/>
            </w:tcMar>
            <w:vAlign w:val="center"/>
          </w:tcPr>
          <w:p w14:paraId="0875A4D9" w14:textId="77777777" w:rsidR="003F3DAD" w:rsidRPr="006502E8" w:rsidRDefault="003F3DAD" w:rsidP="00673353">
            <w:pPr>
              <w:widowControl w:val="0"/>
              <w:pBdr>
                <w:top w:val="nil"/>
                <w:left w:val="nil"/>
                <w:bottom w:val="nil"/>
                <w:right w:val="nil"/>
                <w:between w:val="nil"/>
              </w:pBdr>
              <w:spacing w:line="240" w:lineRule="auto"/>
              <w:jc w:val="center"/>
              <w:rPr>
                <w:rFonts w:ascii="Arial" w:eastAsia="Calibri" w:hAnsi="Arial" w:cs="Arial"/>
                <w:sz w:val="24"/>
                <w:szCs w:val="24"/>
              </w:rPr>
            </w:pPr>
            <w:r w:rsidRPr="006502E8">
              <w:rPr>
                <w:rFonts w:ascii="Arial" w:eastAsia="Calibri" w:hAnsi="Arial" w:cs="Arial"/>
                <w:sz w:val="24"/>
                <w:szCs w:val="24"/>
              </w:rPr>
              <w:t>AND</w:t>
            </w:r>
          </w:p>
        </w:tc>
        <w:tc>
          <w:tcPr>
            <w:tcW w:w="2505" w:type="dxa"/>
            <w:tcMar>
              <w:top w:w="100" w:type="dxa"/>
              <w:left w:w="100" w:type="dxa"/>
              <w:bottom w:w="100" w:type="dxa"/>
              <w:right w:w="100" w:type="dxa"/>
            </w:tcMar>
            <w:vAlign w:val="center"/>
          </w:tcPr>
          <w:p w14:paraId="2441BC5A" w14:textId="77777777" w:rsidR="003F3DAD" w:rsidRPr="006502E8" w:rsidRDefault="003F3DAD" w:rsidP="00673353">
            <w:pPr>
              <w:widowControl w:val="0"/>
              <w:pBdr>
                <w:top w:val="nil"/>
                <w:left w:val="nil"/>
                <w:bottom w:val="nil"/>
                <w:right w:val="nil"/>
                <w:between w:val="nil"/>
              </w:pBdr>
              <w:spacing w:line="240" w:lineRule="auto"/>
              <w:jc w:val="center"/>
              <w:rPr>
                <w:rFonts w:ascii="Arial" w:eastAsia="Calibri" w:hAnsi="Arial" w:cs="Arial"/>
                <w:sz w:val="24"/>
                <w:szCs w:val="24"/>
              </w:rPr>
            </w:pPr>
            <w:r w:rsidRPr="006502E8">
              <w:rPr>
                <w:rFonts w:ascii="Arial" w:eastAsia="Calibri" w:hAnsi="Arial" w:cs="Arial"/>
                <w:sz w:val="24"/>
                <w:szCs w:val="24"/>
              </w:rPr>
              <w:t>“UK” OR “United Kingdom” OR “England” OR “</w:t>
            </w:r>
            <w:r w:rsidRPr="006502E8">
              <w:rPr>
                <w:rFonts w:ascii="Arial" w:eastAsia="Calibri" w:hAnsi="Arial" w:cs="Arial"/>
                <w:i/>
                <w:iCs/>
                <w:sz w:val="24"/>
                <w:szCs w:val="24"/>
              </w:rPr>
              <w:t>Scotland</w:t>
            </w:r>
            <w:r w:rsidRPr="006502E8">
              <w:rPr>
                <w:rFonts w:ascii="Arial" w:eastAsia="Calibri" w:hAnsi="Arial" w:cs="Arial"/>
                <w:sz w:val="24"/>
                <w:szCs w:val="24"/>
              </w:rPr>
              <w:t>” OR “</w:t>
            </w:r>
            <w:r w:rsidRPr="006502E8">
              <w:rPr>
                <w:rFonts w:ascii="Arial" w:eastAsia="Calibri" w:hAnsi="Arial" w:cs="Arial"/>
                <w:i/>
                <w:iCs/>
                <w:sz w:val="24"/>
                <w:szCs w:val="24"/>
              </w:rPr>
              <w:t>Wales</w:t>
            </w:r>
            <w:r w:rsidRPr="006502E8">
              <w:rPr>
                <w:rFonts w:ascii="Arial" w:eastAsia="Calibri" w:hAnsi="Arial" w:cs="Arial"/>
                <w:sz w:val="24"/>
                <w:szCs w:val="24"/>
              </w:rPr>
              <w:t>”</w:t>
            </w:r>
          </w:p>
        </w:tc>
      </w:tr>
    </w:tbl>
    <w:p w14:paraId="1AAF2F31" w14:textId="77777777" w:rsidR="003F3DAD" w:rsidRPr="006502E8" w:rsidRDefault="003F3DAD" w:rsidP="003F3DAD">
      <w:pPr>
        <w:pStyle w:val="Heading5"/>
      </w:pPr>
      <w:bookmarkStart w:id="112" w:name="_Toc218187279"/>
      <w:r w:rsidRPr="006502E8">
        <w:t>Table 3.1: Boolean Search Strings</w:t>
      </w:r>
      <w:bookmarkEnd w:id="112"/>
    </w:p>
    <w:p w14:paraId="4DB235F4" w14:textId="77777777" w:rsidR="003F3DAD" w:rsidRPr="006502E8" w:rsidRDefault="003F3DAD" w:rsidP="003F3DAD">
      <w:pPr>
        <w:spacing w:before="200" w:line="360" w:lineRule="auto"/>
        <w:jc w:val="center"/>
        <w:rPr>
          <w:rFonts w:ascii="Arial" w:eastAsia="Calibri" w:hAnsi="Arial" w:cs="Arial"/>
          <w:sz w:val="24"/>
          <w:szCs w:val="24"/>
        </w:rPr>
      </w:pPr>
      <w:r w:rsidRPr="006502E8">
        <w:rPr>
          <w:rFonts w:ascii="Arial" w:eastAsia="Calibri" w:hAnsi="Arial" w:cs="Arial"/>
          <w:sz w:val="24"/>
          <w:szCs w:val="24"/>
        </w:rPr>
        <w:t>(Source: Made independently in MS Word)</w:t>
      </w:r>
    </w:p>
    <w:p w14:paraId="48CCB299" w14:textId="07A72FE0"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 xml:space="preserve">The Boolean operator initially identified key strings like housing quality, respiratory infection, and UK, along with a few more synonyms, to initially search for articles. Later on, additional articles were screened using more synonyms and a similar range of keywords (highlighted in </w:t>
      </w:r>
      <w:r w:rsidRPr="006502E8">
        <w:rPr>
          <w:rFonts w:ascii="Arial" w:eastAsia="Calibri" w:hAnsi="Arial" w:cs="Arial"/>
          <w:i/>
          <w:iCs/>
          <w:sz w:val="24"/>
          <w:szCs w:val="24"/>
        </w:rPr>
        <w:t xml:space="preserve">italics </w:t>
      </w:r>
      <w:r w:rsidRPr="006502E8">
        <w:rPr>
          <w:rFonts w:ascii="Arial" w:eastAsia="Calibri" w:hAnsi="Arial" w:cs="Arial"/>
          <w:sz w:val="24"/>
          <w:szCs w:val="24"/>
        </w:rPr>
        <w:t>in Table 3.1).</w:t>
      </w:r>
    </w:p>
    <w:p w14:paraId="58FA0427" w14:textId="11AC92CA" w:rsidR="003813B1" w:rsidRPr="006502E8" w:rsidRDefault="003813B1" w:rsidP="003813B1">
      <w:pPr>
        <w:spacing w:before="200" w:line="360" w:lineRule="auto"/>
        <w:jc w:val="both"/>
        <w:rPr>
          <w:rFonts w:ascii="Arial" w:eastAsia="Calibri" w:hAnsi="Arial" w:cs="Arial"/>
          <w:sz w:val="24"/>
          <w:szCs w:val="24"/>
        </w:rPr>
      </w:pPr>
      <w:r w:rsidRPr="006502E8">
        <w:rPr>
          <w:rFonts w:ascii="Arial" w:eastAsia="Calibri" w:hAnsi="Arial" w:cs="Arial"/>
          <w:sz w:val="24"/>
          <w:szCs w:val="24"/>
        </w:rPr>
        <w:t xml:space="preserve">Once the inclusion and exclusion criteria have been set and the Boolean operators have been established, the databases selected for the article screening and filtering process were also chosen. The research has acknowledged the potential for Grey literary databases to contribute towards the research domain immensely. According to Paez (2017), grey literary databases offer a broader scope for information search that may not be possible in academic databases like Scopus, Medline and PubMed. As such, the database searching criteria have incorporated both traditional academic journal databases as well as more </w:t>
      </w:r>
      <w:r w:rsidR="00CF29BC" w:rsidRPr="006502E8">
        <w:rPr>
          <w:rFonts w:ascii="Arial" w:eastAsia="Calibri" w:hAnsi="Arial" w:cs="Arial"/>
          <w:sz w:val="24"/>
          <w:szCs w:val="24"/>
        </w:rPr>
        <w:t>g</w:t>
      </w:r>
      <w:r w:rsidRPr="006502E8">
        <w:rPr>
          <w:rFonts w:ascii="Arial" w:eastAsia="Calibri" w:hAnsi="Arial" w:cs="Arial"/>
          <w:sz w:val="24"/>
          <w:szCs w:val="24"/>
        </w:rPr>
        <w:t>rey search sites like Google Scholar and Proquest. The following Table 3.2 showcases the rationale for each of the databases utilised.</w:t>
      </w:r>
    </w:p>
    <w:tbl>
      <w:tblPr>
        <w:tblW w:w="82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75"/>
        <w:gridCol w:w="5460"/>
      </w:tblGrid>
      <w:tr w:rsidR="006502E8" w:rsidRPr="006502E8" w14:paraId="3FA8D19F" w14:textId="77777777" w:rsidTr="00673353">
        <w:trPr>
          <w:jc w:val="center"/>
        </w:trPr>
        <w:tc>
          <w:tcPr>
            <w:tcW w:w="2775" w:type="dxa"/>
            <w:tcMar>
              <w:top w:w="100" w:type="dxa"/>
              <w:left w:w="100" w:type="dxa"/>
              <w:bottom w:w="100" w:type="dxa"/>
              <w:right w:w="100" w:type="dxa"/>
            </w:tcMar>
            <w:vAlign w:val="center"/>
          </w:tcPr>
          <w:p w14:paraId="0A7E2D6E" w14:textId="77777777" w:rsidR="003813B1" w:rsidRPr="006502E8" w:rsidRDefault="003813B1" w:rsidP="00673353">
            <w:pPr>
              <w:widowControl w:val="0"/>
              <w:pBdr>
                <w:top w:val="nil"/>
                <w:left w:val="nil"/>
                <w:bottom w:val="nil"/>
                <w:right w:val="nil"/>
                <w:between w:val="nil"/>
              </w:pBdr>
              <w:spacing w:line="240" w:lineRule="auto"/>
              <w:jc w:val="center"/>
              <w:rPr>
                <w:rFonts w:ascii="Arial" w:eastAsia="Calibri" w:hAnsi="Arial" w:cs="Arial"/>
                <w:b/>
                <w:bCs/>
                <w:i/>
                <w:iCs/>
                <w:sz w:val="24"/>
                <w:szCs w:val="24"/>
              </w:rPr>
            </w:pPr>
            <w:r w:rsidRPr="006502E8">
              <w:rPr>
                <w:rFonts w:ascii="Arial" w:eastAsia="Calibri" w:hAnsi="Arial" w:cs="Arial"/>
                <w:b/>
                <w:bCs/>
                <w:i/>
                <w:iCs/>
                <w:sz w:val="24"/>
                <w:szCs w:val="24"/>
              </w:rPr>
              <w:t>Database</w:t>
            </w:r>
          </w:p>
        </w:tc>
        <w:tc>
          <w:tcPr>
            <w:tcW w:w="5460" w:type="dxa"/>
            <w:tcMar>
              <w:top w:w="100" w:type="dxa"/>
              <w:left w:w="100" w:type="dxa"/>
              <w:bottom w:w="100" w:type="dxa"/>
              <w:right w:w="100" w:type="dxa"/>
            </w:tcMar>
            <w:vAlign w:val="center"/>
          </w:tcPr>
          <w:p w14:paraId="25A17F99" w14:textId="77777777" w:rsidR="003813B1" w:rsidRPr="006502E8" w:rsidRDefault="003813B1" w:rsidP="00673353">
            <w:pPr>
              <w:widowControl w:val="0"/>
              <w:pBdr>
                <w:top w:val="nil"/>
                <w:left w:val="nil"/>
                <w:bottom w:val="nil"/>
                <w:right w:val="nil"/>
                <w:between w:val="nil"/>
              </w:pBdr>
              <w:spacing w:line="240" w:lineRule="auto"/>
              <w:jc w:val="center"/>
              <w:rPr>
                <w:rFonts w:ascii="Arial" w:eastAsia="Calibri" w:hAnsi="Arial" w:cs="Arial"/>
                <w:b/>
                <w:bCs/>
                <w:sz w:val="24"/>
                <w:szCs w:val="24"/>
              </w:rPr>
            </w:pPr>
            <w:r w:rsidRPr="006502E8">
              <w:rPr>
                <w:rFonts w:ascii="Arial" w:eastAsia="Calibri" w:hAnsi="Arial" w:cs="Arial"/>
                <w:b/>
                <w:bCs/>
                <w:sz w:val="24"/>
                <w:szCs w:val="24"/>
              </w:rPr>
              <w:t>Reason</w:t>
            </w:r>
          </w:p>
        </w:tc>
      </w:tr>
      <w:tr w:rsidR="006502E8" w:rsidRPr="006502E8" w14:paraId="0EF67C99" w14:textId="77777777" w:rsidTr="00673353">
        <w:trPr>
          <w:jc w:val="center"/>
        </w:trPr>
        <w:tc>
          <w:tcPr>
            <w:tcW w:w="2775" w:type="dxa"/>
            <w:tcMar>
              <w:top w:w="100" w:type="dxa"/>
              <w:left w:w="100" w:type="dxa"/>
              <w:bottom w:w="100" w:type="dxa"/>
              <w:right w:w="100" w:type="dxa"/>
            </w:tcMar>
            <w:vAlign w:val="center"/>
          </w:tcPr>
          <w:p w14:paraId="4A7E8DB6" w14:textId="77777777" w:rsidR="003813B1" w:rsidRPr="006502E8" w:rsidRDefault="003813B1" w:rsidP="00673353">
            <w:pPr>
              <w:widowControl w:val="0"/>
              <w:pBdr>
                <w:top w:val="nil"/>
                <w:left w:val="nil"/>
                <w:bottom w:val="nil"/>
                <w:right w:val="nil"/>
                <w:between w:val="nil"/>
              </w:pBdr>
              <w:spacing w:line="240" w:lineRule="auto"/>
              <w:rPr>
                <w:rFonts w:ascii="Arial" w:eastAsia="Calibri" w:hAnsi="Arial" w:cs="Arial"/>
                <w:sz w:val="24"/>
                <w:szCs w:val="24"/>
              </w:rPr>
            </w:pPr>
            <w:r w:rsidRPr="006502E8">
              <w:rPr>
                <w:rFonts w:ascii="Arial" w:eastAsia="Calibri" w:hAnsi="Arial" w:cs="Arial"/>
                <w:sz w:val="24"/>
                <w:szCs w:val="24"/>
              </w:rPr>
              <w:t>Google Scholar</w:t>
            </w:r>
          </w:p>
        </w:tc>
        <w:tc>
          <w:tcPr>
            <w:tcW w:w="5460" w:type="dxa"/>
            <w:tcMar>
              <w:top w:w="100" w:type="dxa"/>
              <w:left w:w="100" w:type="dxa"/>
              <w:bottom w:w="100" w:type="dxa"/>
              <w:right w:w="100" w:type="dxa"/>
            </w:tcMar>
            <w:vAlign w:val="center"/>
          </w:tcPr>
          <w:p w14:paraId="740F6DDC" w14:textId="77777777" w:rsidR="003813B1" w:rsidRPr="006502E8" w:rsidRDefault="003813B1" w:rsidP="00673353">
            <w:pPr>
              <w:widowControl w:val="0"/>
              <w:pBdr>
                <w:top w:val="nil"/>
                <w:left w:val="nil"/>
                <w:bottom w:val="nil"/>
                <w:right w:val="nil"/>
                <w:between w:val="nil"/>
              </w:pBdr>
              <w:spacing w:line="240" w:lineRule="auto"/>
              <w:jc w:val="both"/>
              <w:rPr>
                <w:rFonts w:ascii="Arial" w:eastAsia="Calibri" w:hAnsi="Arial" w:cs="Arial"/>
                <w:sz w:val="24"/>
                <w:szCs w:val="24"/>
              </w:rPr>
            </w:pPr>
            <w:r w:rsidRPr="006502E8">
              <w:rPr>
                <w:rFonts w:ascii="Arial" w:eastAsia="Calibri" w:hAnsi="Arial" w:cs="Arial"/>
                <w:sz w:val="24"/>
                <w:szCs w:val="24"/>
              </w:rPr>
              <w:t>Ideal for broader search coverage and accessing otherwise paywalled research articles.</w:t>
            </w:r>
          </w:p>
        </w:tc>
      </w:tr>
      <w:tr w:rsidR="006502E8" w:rsidRPr="006502E8" w14:paraId="4657A38F" w14:textId="77777777" w:rsidTr="00673353">
        <w:trPr>
          <w:jc w:val="center"/>
        </w:trPr>
        <w:tc>
          <w:tcPr>
            <w:tcW w:w="2775" w:type="dxa"/>
            <w:tcMar>
              <w:top w:w="100" w:type="dxa"/>
              <w:left w:w="100" w:type="dxa"/>
              <w:bottom w:w="100" w:type="dxa"/>
              <w:right w:w="100" w:type="dxa"/>
            </w:tcMar>
            <w:vAlign w:val="center"/>
          </w:tcPr>
          <w:p w14:paraId="2116ADCF" w14:textId="77777777" w:rsidR="003813B1" w:rsidRPr="006502E8" w:rsidRDefault="003813B1" w:rsidP="00673353">
            <w:pPr>
              <w:widowControl w:val="0"/>
              <w:pBdr>
                <w:top w:val="nil"/>
                <w:left w:val="nil"/>
                <w:bottom w:val="nil"/>
                <w:right w:val="nil"/>
                <w:between w:val="nil"/>
              </w:pBdr>
              <w:spacing w:line="240" w:lineRule="auto"/>
              <w:rPr>
                <w:rFonts w:ascii="Arial" w:eastAsia="Calibri" w:hAnsi="Arial" w:cs="Arial"/>
                <w:sz w:val="24"/>
                <w:szCs w:val="24"/>
              </w:rPr>
            </w:pPr>
            <w:r w:rsidRPr="00D13BCD">
              <w:rPr>
                <w:rFonts w:ascii="Arial" w:eastAsia="Calibri" w:hAnsi="Arial" w:cs="Arial"/>
                <w:sz w:val="24"/>
                <w:szCs w:val="24"/>
                <w:highlight w:val="yellow"/>
                <w:rPrChange w:id="113" w:author="Diola Bijlhout" w:date="2026-01-14T09:46:00Z" w16du:dateUtc="2026-01-14T09:46:00Z">
                  <w:rPr>
                    <w:rFonts w:ascii="Arial" w:eastAsia="Calibri" w:hAnsi="Arial" w:cs="Arial"/>
                    <w:sz w:val="24"/>
                    <w:szCs w:val="24"/>
                  </w:rPr>
                </w:rPrChange>
              </w:rPr>
              <w:t>ProQuest</w:t>
            </w:r>
          </w:p>
        </w:tc>
        <w:tc>
          <w:tcPr>
            <w:tcW w:w="5460" w:type="dxa"/>
            <w:tcMar>
              <w:top w:w="100" w:type="dxa"/>
              <w:left w:w="100" w:type="dxa"/>
              <w:bottom w:w="100" w:type="dxa"/>
              <w:right w:w="100" w:type="dxa"/>
            </w:tcMar>
            <w:vAlign w:val="center"/>
          </w:tcPr>
          <w:p w14:paraId="7E16A8D3" w14:textId="77777777" w:rsidR="003813B1" w:rsidRPr="006502E8" w:rsidRDefault="003813B1" w:rsidP="00673353">
            <w:pPr>
              <w:widowControl w:val="0"/>
              <w:pBdr>
                <w:top w:val="nil"/>
                <w:left w:val="nil"/>
                <w:bottom w:val="nil"/>
                <w:right w:val="nil"/>
                <w:between w:val="nil"/>
              </w:pBdr>
              <w:spacing w:line="240" w:lineRule="auto"/>
              <w:jc w:val="both"/>
              <w:rPr>
                <w:rFonts w:ascii="Arial" w:eastAsia="Calibri" w:hAnsi="Arial" w:cs="Arial"/>
                <w:sz w:val="24"/>
                <w:szCs w:val="24"/>
              </w:rPr>
            </w:pPr>
            <w:r w:rsidRPr="006502E8">
              <w:rPr>
                <w:rFonts w:ascii="Arial" w:eastAsia="Calibri" w:hAnsi="Arial" w:cs="Arial"/>
                <w:sz w:val="24"/>
                <w:szCs w:val="24"/>
              </w:rPr>
              <w:t>Useful for screening peer-reviewed articles with specific control over exclusion and inclusion filters.</w:t>
            </w:r>
          </w:p>
        </w:tc>
      </w:tr>
      <w:tr w:rsidR="006502E8" w:rsidRPr="006502E8" w14:paraId="57E836D8" w14:textId="77777777" w:rsidTr="00673353">
        <w:trPr>
          <w:trHeight w:val="312"/>
          <w:jc w:val="center"/>
        </w:trPr>
        <w:tc>
          <w:tcPr>
            <w:tcW w:w="2775" w:type="dxa"/>
            <w:tcMar>
              <w:top w:w="100" w:type="dxa"/>
              <w:left w:w="100" w:type="dxa"/>
              <w:bottom w:w="100" w:type="dxa"/>
              <w:right w:w="100" w:type="dxa"/>
            </w:tcMar>
            <w:vAlign w:val="center"/>
          </w:tcPr>
          <w:p w14:paraId="2B2A76FF" w14:textId="77777777" w:rsidR="003813B1" w:rsidRPr="006502E8" w:rsidRDefault="003813B1" w:rsidP="00673353">
            <w:pPr>
              <w:widowControl w:val="0"/>
              <w:pBdr>
                <w:top w:val="nil"/>
                <w:left w:val="nil"/>
                <w:bottom w:val="nil"/>
                <w:right w:val="nil"/>
                <w:between w:val="nil"/>
              </w:pBdr>
              <w:spacing w:line="240" w:lineRule="auto"/>
              <w:rPr>
                <w:rFonts w:ascii="Arial" w:eastAsia="Calibri" w:hAnsi="Arial" w:cs="Arial"/>
                <w:sz w:val="24"/>
                <w:szCs w:val="24"/>
              </w:rPr>
            </w:pPr>
            <w:r w:rsidRPr="006502E8">
              <w:rPr>
                <w:rFonts w:ascii="Arial" w:eastAsia="Calibri" w:hAnsi="Arial" w:cs="Arial"/>
                <w:sz w:val="24"/>
                <w:szCs w:val="24"/>
              </w:rPr>
              <w:t>PubMed</w:t>
            </w:r>
          </w:p>
        </w:tc>
        <w:tc>
          <w:tcPr>
            <w:tcW w:w="5460" w:type="dxa"/>
            <w:vMerge w:val="restart"/>
            <w:tcMar>
              <w:top w:w="100" w:type="dxa"/>
              <w:left w:w="100" w:type="dxa"/>
              <w:bottom w:w="100" w:type="dxa"/>
              <w:right w:w="100" w:type="dxa"/>
            </w:tcMar>
            <w:vAlign w:val="center"/>
          </w:tcPr>
          <w:p w14:paraId="1723EA82" w14:textId="77777777" w:rsidR="003813B1" w:rsidRPr="006502E8" w:rsidRDefault="003813B1" w:rsidP="00673353">
            <w:pPr>
              <w:widowControl w:val="0"/>
              <w:pBdr>
                <w:top w:val="nil"/>
                <w:left w:val="nil"/>
                <w:bottom w:val="nil"/>
                <w:right w:val="nil"/>
                <w:between w:val="nil"/>
              </w:pBdr>
              <w:spacing w:line="240" w:lineRule="auto"/>
              <w:jc w:val="both"/>
              <w:rPr>
                <w:rFonts w:ascii="Arial" w:eastAsia="Calibri" w:hAnsi="Arial" w:cs="Arial"/>
                <w:sz w:val="24"/>
                <w:szCs w:val="24"/>
              </w:rPr>
            </w:pPr>
            <w:r w:rsidRPr="006502E8">
              <w:rPr>
                <w:rFonts w:ascii="Arial" w:eastAsia="Calibri" w:hAnsi="Arial" w:cs="Arial"/>
                <w:sz w:val="24"/>
                <w:szCs w:val="24"/>
              </w:rPr>
              <w:t>Relevant for specifically searching medical research contributions.</w:t>
            </w:r>
          </w:p>
        </w:tc>
      </w:tr>
      <w:tr w:rsidR="006502E8" w:rsidRPr="006502E8" w14:paraId="16907FBF" w14:textId="77777777" w:rsidTr="00673353">
        <w:trPr>
          <w:trHeight w:val="285"/>
          <w:jc w:val="center"/>
        </w:trPr>
        <w:tc>
          <w:tcPr>
            <w:tcW w:w="2775" w:type="dxa"/>
            <w:tcMar>
              <w:top w:w="100" w:type="dxa"/>
              <w:left w:w="100" w:type="dxa"/>
              <w:bottom w:w="100" w:type="dxa"/>
              <w:right w:w="100" w:type="dxa"/>
            </w:tcMar>
            <w:vAlign w:val="center"/>
          </w:tcPr>
          <w:p w14:paraId="028CF076" w14:textId="77777777" w:rsidR="003813B1" w:rsidRPr="006502E8" w:rsidRDefault="003813B1" w:rsidP="00673353">
            <w:pPr>
              <w:widowControl w:val="0"/>
              <w:pBdr>
                <w:top w:val="nil"/>
                <w:left w:val="nil"/>
                <w:bottom w:val="nil"/>
                <w:right w:val="nil"/>
                <w:between w:val="nil"/>
              </w:pBdr>
              <w:spacing w:line="240" w:lineRule="auto"/>
              <w:rPr>
                <w:rFonts w:ascii="Arial" w:eastAsia="Calibri" w:hAnsi="Arial" w:cs="Arial"/>
                <w:sz w:val="24"/>
                <w:szCs w:val="24"/>
              </w:rPr>
            </w:pPr>
            <w:r w:rsidRPr="00D13BCD">
              <w:rPr>
                <w:rFonts w:ascii="Arial" w:eastAsia="Calibri" w:hAnsi="Arial" w:cs="Arial"/>
                <w:sz w:val="24"/>
                <w:szCs w:val="24"/>
                <w:highlight w:val="yellow"/>
                <w:rPrChange w:id="114" w:author="Diola Bijlhout" w:date="2026-01-14T09:46:00Z" w16du:dateUtc="2026-01-14T09:46:00Z">
                  <w:rPr>
                    <w:rFonts w:ascii="Arial" w:eastAsia="Calibri" w:hAnsi="Arial" w:cs="Arial"/>
                    <w:sz w:val="24"/>
                    <w:szCs w:val="24"/>
                  </w:rPr>
                </w:rPrChange>
              </w:rPr>
              <w:t>Medline</w:t>
            </w:r>
          </w:p>
        </w:tc>
        <w:tc>
          <w:tcPr>
            <w:tcW w:w="5460" w:type="dxa"/>
            <w:vMerge/>
            <w:tcMar>
              <w:top w:w="100" w:type="dxa"/>
              <w:left w:w="100" w:type="dxa"/>
              <w:bottom w:w="100" w:type="dxa"/>
              <w:right w:w="100" w:type="dxa"/>
            </w:tcMar>
            <w:vAlign w:val="center"/>
          </w:tcPr>
          <w:p w14:paraId="73F1993C" w14:textId="77777777" w:rsidR="003813B1" w:rsidRPr="006502E8" w:rsidRDefault="003813B1" w:rsidP="00673353">
            <w:pPr>
              <w:widowControl w:val="0"/>
              <w:pBdr>
                <w:top w:val="nil"/>
                <w:left w:val="nil"/>
                <w:bottom w:val="nil"/>
                <w:right w:val="nil"/>
                <w:between w:val="nil"/>
              </w:pBdr>
              <w:spacing w:line="240" w:lineRule="auto"/>
              <w:jc w:val="both"/>
              <w:rPr>
                <w:rFonts w:ascii="Arial" w:eastAsia="Calibri" w:hAnsi="Arial" w:cs="Arial"/>
                <w:sz w:val="24"/>
                <w:szCs w:val="24"/>
              </w:rPr>
            </w:pPr>
          </w:p>
        </w:tc>
      </w:tr>
    </w:tbl>
    <w:p w14:paraId="33E450BC" w14:textId="67D99A51" w:rsidR="003813B1" w:rsidRPr="006502E8" w:rsidRDefault="003813B1" w:rsidP="003813B1">
      <w:pPr>
        <w:pStyle w:val="Heading5"/>
      </w:pPr>
      <w:bookmarkStart w:id="115" w:name="_Toc218187280"/>
      <w:r w:rsidRPr="006502E8">
        <w:t>Table 3.2: Rationale for Database Inclusion</w:t>
      </w:r>
      <w:bookmarkEnd w:id="115"/>
    </w:p>
    <w:p w14:paraId="6FEC7311" w14:textId="77777777" w:rsidR="003F3DAD" w:rsidRPr="006502E8" w:rsidRDefault="003F3DAD" w:rsidP="003F3DAD">
      <w:pPr>
        <w:pStyle w:val="Heading3"/>
      </w:pPr>
      <w:bookmarkStart w:id="116" w:name="_Toc218184527"/>
      <w:r w:rsidRPr="006502E8">
        <w:t>3.3.2 Inclusion and Exclusion Criteria</w:t>
      </w:r>
      <w:bookmarkEnd w:id="116"/>
    </w:p>
    <w:p w14:paraId="5D074B0F" w14:textId="0F9891B4"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The inclusion and exclusion criteria were set to ensure further validity and reliability of research and added clarification behind the search result filtering process (Meline, 2006). Based on the research inquiry of housing quality and its impact on respiratory infection-related challenges, the following inclusion and exclusion criteria were chosen (See Table 3.</w:t>
      </w:r>
      <w:r w:rsidR="003813B1" w:rsidRPr="006502E8">
        <w:rPr>
          <w:rFonts w:ascii="Arial" w:eastAsia="Calibri" w:hAnsi="Arial" w:cs="Arial"/>
          <w:sz w:val="24"/>
          <w:szCs w:val="24"/>
        </w:rPr>
        <w:t>3</w:t>
      </w:r>
      <w:r w:rsidRPr="006502E8">
        <w:rPr>
          <w:rFonts w:ascii="Arial" w:eastAsia="Calibri" w:hAnsi="Arial" w:cs="Arial"/>
          <w:sz w:val="24"/>
          <w:szCs w:val="24"/>
        </w:rPr>
        <w:t>).</w:t>
      </w: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502E8" w:rsidRPr="006502E8" w14:paraId="3751DE23" w14:textId="77777777" w:rsidTr="727F1D53">
        <w:trPr>
          <w:jc w:val="center"/>
        </w:trPr>
        <w:tc>
          <w:tcPr>
            <w:tcW w:w="4514" w:type="dxa"/>
            <w:tcMar>
              <w:top w:w="100" w:type="dxa"/>
              <w:left w:w="100" w:type="dxa"/>
              <w:bottom w:w="100" w:type="dxa"/>
              <w:right w:w="100" w:type="dxa"/>
            </w:tcMar>
            <w:vAlign w:val="center"/>
          </w:tcPr>
          <w:p w14:paraId="7BD77043" w14:textId="77777777" w:rsidR="003F3DAD" w:rsidRPr="006502E8" w:rsidRDefault="003F3DAD" w:rsidP="00673353">
            <w:pPr>
              <w:widowControl w:val="0"/>
              <w:pBdr>
                <w:top w:val="nil"/>
                <w:left w:val="nil"/>
                <w:bottom w:val="nil"/>
                <w:right w:val="nil"/>
                <w:between w:val="nil"/>
              </w:pBdr>
              <w:spacing w:line="240" w:lineRule="auto"/>
              <w:jc w:val="center"/>
              <w:rPr>
                <w:rFonts w:ascii="Arial" w:eastAsia="Calibri" w:hAnsi="Arial" w:cs="Arial"/>
                <w:b/>
                <w:bCs/>
                <w:i/>
                <w:iCs/>
                <w:sz w:val="24"/>
                <w:szCs w:val="24"/>
              </w:rPr>
            </w:pPr>
            <w:r w:rsidRPr="006502E8">
              <w:rPr>
                <w:rFonts w:ascii="Arial" w:eastAsia="Calibri" w:hAnsi="Arial" w:cs="Arial"/>
                <w:b/>
                <w:bCs/>
                <w:i/>
                <w:iCs/>
                <w:sz w:val="24"/>
                <w:szCs w:val="24"/>
              </w:rPr>
              <w:t>Inclusion Conditions</w:t>
            </w:r>
          </w:p>
        </w:tc>
        <w:tc>
          <w:tcPr>
            <w:tcW w:w="4514" w:type="dxa"/>
            <w:tcMar>
              <w:top w:w="100" w:type="dxa"/>
              <w:left w:w="100" w:type="dxa"/>
              <w:bottom w:w="100" w:type="dxa"/>
              <w:right w:w="100" w:type="dxa"/>
            </w:tcMar>
            <w:vAlign w:val="center"/>
          </w:tcPr>
          <w:p w14:paraId="12FAB72C" w14:textId="77777777" w:rsidR="003F3DAD" w:rsidRPr="006502E8" w:rsidRDefault="003F3DAD" w:rsidP="00673353">
            <w:pPr>
              <w:widowControl w:val="0"/>
              <w:pBdr>
                <w:top w:val="nil"/>
                <w:left w:val="nil"/>
                <w:bottom w:val="nil"/>
                <w:right w:val="nil"/>
                <w:between w:val="nil"/>
              </w:pBdr>
              <w:spacing w:line="240" w:lineRule="auto"/>
              <w:jc w:val="center"/>
              <w:rPr>
                <w:rFonts w:ascii="Arial" w:eastAsia="Calibri" w:hAnsi="Arial" w:cs="Arial"/>
                <w:b/>
                <w:bCs/>
                <w:i/>
                <w:iCs/>
                <w:sz w:val="24"/>
                <w:szCs w:val="24"/>
              </w:rPr>
            </w:pPr>
            <w:r w:rsidRPr="006502E8">
              <w:rPr>
                <w:rFonts w:ascii="Arial" w:eastAsia="Calibri" w:hAnsi="Arial" w:cs="Arial"/>
                <w:b/>
                <w:bCs/>
                <w:i/>
                <w:iCs/>
                <w:sz w:val="24"/>
                <w:szCs w:val="24"/>
              </w:rPr>
              <w:t>Exclusion Condition</w:t>
            </w:r>
          </w:p>
        </w:tc>
      </w:tr>
      <w:tr w:rsidR="006502E8" w:rsidRPr="006502E8" w14:paraId="56869C8C" w14:textId="77777777" w:rsidTr="727F1D53">
        <w:trPr>
          <w:jc w:val="center"/>
        </w:trPr>
        <w:tc>
          <w:tcPr>
            <w:tcW w:w="4514" w:type="dxa"/>
            <w:tcMar>
              <w:top w:w="100" w:type="dxa"/>
              <w:left w:w="100" w:type="dxa"/>
              <w:bottom w:w="100" w:type="dxa"/>
              <w:right w:w="100" w:type="dxa"/>
            </w:tcMar>
            <w:vAlign w:val="center"/>
          </w:tcPr>
          <w:p w14:paraId="5AC3C5AC" w14:textId="77777777" w:rsidR="003F3DAD" w:rsidRPr="006502E8" w:rsidRDefault="003F3DAD" w:rsidP="003F3DAD">
            <w:pPr>
              <w:widowControl w:val="0"/>
              <w:numPr>
                <w:ilvl w:val="0"/>
                <w:numId w:val="11"/>
              </w:numPr>
              <w:pBdr>
                <w:top w:val="nil"/>
                <w:left w:val="nil"/>
                <w:bottom w:val="nil"/>
                <w:right w:val="nil"/>
                <w:between w:val="nil"/>
              </w:pBdr>
              <w:spacing w:after="0" w:line="240" w:lineRule="auto"/>
              <w:jc w:val="both"/>
              <w:rPr>
                <w:rFonts w:ascii="Arial" w:eastAsia="Calibri" w:hAnsi="Arial" w:cs="Arial"/>
                <w:sz w:val="24"/>
                <w:szCs w:val="24"/>
              </w:rPr>
            </w:pPr>
            <w:r w:rsidRPr="006502E8">
              <w:rPr>
                <w:rFonts w:ascii="Arial" w:eastAsia="Calibri" w:hAnsi="Arial" w:cs="Arial"/>
                <w:sz w:val="24"/>
                <w:szCs w:val="24"/>
              </w:rPr>
              <w:t>Published from 2015 to 2025 (10 years)</w:t>
            </w:r>
          </w:p>
          <w:p w14:paraId="238332F9" w14:textId="77777777" w:rsidR="003F3DAD" w:rsidRPr="006502E8" w:rsidRDefault="003F3DAD" w:rsidP="003F3DAD">
            <w:pPr>
              <w:widowControl w:val="0"/>
              <w:numPr>
                <w:ilvl w:val="0"/>
                <w:numId w:val="11"/>
              </w:numPr>
              <w:pBdr>
                <w:top w:val="nil"/>
                <w:left w:val="nil"/>
                <w:bottom w:val="nil"/>
                <w:right w:val="nil"/>
                <w:between w:val="nil"/>
              </w:pBdr>
              <w:spacing w:after="0" w:line="240" w:lineRule="auto"/>
              <w:jc w:val="both"/>
              <w:rPr>
                <w:rFonts w:ascii="Arial" w:eastAsia="Calibri" w:hAnsi="Arial" w:cs="Arial"/>
                <w:sz w:val="24"/>
                <w:szCs w:val="24"/>
              </w:rPr>
            </w:pPr>
            <w:r w:rsidRPr="006502E8">
              <w:rPr>
                <w:rFonts w:ascii="Arial" w:eastAsia="Calibri" w:hAnsi="Arial" w:cs="Arial"/>
                <w:sz w:val="24"/>
                <w:szCs w:val="24"/>
              </w:rPr>
              <w:t>In English or Translated to English</w:t>
            </w:r>
          </w:p>
          <w:p w14:paraId="0D996A7A" w14:textId="77777777" w:rsidR="003F3DAD" w:rsidRPr="006502E8" w:rsidRDefault="003F3DAD" w:rsidP="003F3DAD">
            <w:pPr>
              <w:widowControl w:val="0"/>
              <w:numPr>
                <w:ilvl w:val="0"/>
                <w:numId w:val="11"/>
              </w:numPr>
              <w:pBdr>
                <w:top w:val="nil"/>
                <w:left w:val="nil"/>
                <w:bottom w:val="nil"/>
                <w:right w:val="nil"/>
                <w:between w:val="nil"/>
              </w:pBdr>
              <w:spacing w:after="0" w:line="240" w:lineRule="auto"/>
              <w:jc w:val="both"/>
              <w:rPr>
                <w:rFonts w:ascii="Arial" w:eastAsia="Calibri" w:hAnsi="Arial" w:cs="Arial"/>
                <w:sz w:val="24"/>
                <w:szCs w:val="24"/>
              </w:rPr>
            </w:pPr>
            <w:r w:rsidRPr="006502E8">
              <w:rPr>
                <w:rFonts w:ascii="Arial" w:eastAsia="Calibri" w:hAnsi="Arial" w:cs="Arial"/>
                <w:sz w:val="24"/>
                <w:szCs w:val="24"/>
              </w:rPr>
              <w:t>Available in Full PDF Format</w:t>
            </w:r>
          </w:p>
          <w:p w14:paraId="31AE08C0" w14:textId="77777777" w:rsidR="003813B1" w:rsidRPr="0010643F" w:rsidRDefault="003813B1" w:rsidP="727F1D53">
            <w:pPr>
              <w:widowControl w:val="0"/>
              <w:numPr>
                <w:ilvl w:val="0"/>
                <w:numId w:val="11"/>
              </w:numPr>
              <w:pBdr>
                <w:top w:val="nil"/>
                <w:left w:val="nil"/>
                <w:bottom w:val="nil"/>
                <w:right w:val="nil"/>
                <w:between w:val="nil"/>
              </w:pBdr>
              <w:spacing w:after="0" w:line="240" w:lineRule="auto"/>
              <w:jc w:val="both"/>
              <w:rPr>
                <w:rFonts w:ascii="Arial" w:eastAsia="Calibri" w:hAnsi="Arial" w:cs="Arial"/>
                <w:color w:val="000000" w:themeColor="text1"/>
                <w:sz w:val="24"/>
                <w:szCs w:val="24"/>
              </w:rPr>
            </w:pPr>
            <w:r w:rsidRPr="727F1D53">
              <w:rPr>
                <w:rFonts w:ascii="Arial" w:eastAsia="Calibri" w:hAnsi="Arial" w:cs="Arial"/>
                <w:color w:val="000000" w:themeColor="text1"/>
                <w:sz w:val="24"/>
                <w:szCs w:val="24"/>
              </w:rPr>
              <w:t>Peer Reviewed</w:t>
            </w:r>
          </w:p>
          <w:p w14:paraId="3CF779BD" w14:textId="77777777" w:rsidR="00465812" w:rsidRPr="00D13BCD" w:rsidRDefault="00CF29BC" w:rsidP="727F1D53">
            <w:pPr>
              <w:widowControl w:val="0"/>
              <w:numPr>
                <w:ilvl w:val="0"/>
                <w:numId w:val="11"/>
              </w:numPr>
              <w:pBdr>
                <w:top w:val="nil"/>
                <w:left w:val="nil"/>
                <w:bottom w:val="nil"/>
                <w:right w:val="nil"/>
                <w:between w:val="nil"/>
              </w:pBdr>
              <w:spacing w:after="0" w:line="240" w:lineRule="auto"/>
              <w:jc w:val="both"/>
              <w:rPr>
                <w:ins w:id="117" w:author="Diola Bijlhout" w:date="2026-01-14T09:46:00Z" w16du:dateUtc="2026-01-14T09:46:00Z"/>
                <w:rFonts w:ascii="Arial" w:eastAsia="Calibri" w:hAnsi="Arial" w:cs="Arial"/>
                <w:sz w:val="24"/>
                <w:szCs w:val="24"/>
                <w:rPrChange w:id="118" w:author="Diola Bijlhout" w:date="2026-01-14T09:46:00Z" w16du:dateUtc="2026-01-14T09:46:00Z">
                  <w:rPr>
                    <w:ins w:id="119" w:author="Diola Bijlhout" w:date="2026-01-14T09:46:00Z" w16du:dateUtc="2026-01-14T09:46:00Z"/>
                    <w:rFonts w:ascii="Arial" w:eastAsia="Calibri" w:hAnsi="Arial" w:cs="Arial"/>
                    <w:color w:val="000000" w:themeColor="text1"/>
                    <w:sz w:val="24"/>
                    <w:szCs w:val="24"/>
                  </w:rPr>
                </w:rPrChange>
              </w:rPr>
            </w:pPr>
            <w:r w:rsidRPr="727F1D53">
              <w:rPr>
                <w:rFonts w:ascii="Arial" w:eastAsia="Calibri" w:hAnsi="Arial" w:cs="Arial"/>
                <w:color w:val="000000" w:themeColor="text1"/>
                <w:sz w:val="24"/>
                <w:szCs w:val="24"/>
              </w:rPr>
              <w:t>Research papers on housing quality and its impact on respiratory infection-related in adolescents</w:t>
            </w:r>
          </w:p>
          <w:p w14:paraId="7B474BFA" w14:textId="6A598463" w:rsidR="00D13BCD" w:rsidRPr="006502E8" w:rsidRDefault="00D13BCD" w:rsidP="727F1D53">
            <w:pPr>
              <w:widowControl w:val="0"/>
              <w:numPr>
                <w:ilvl w:val="0"/>
                <w:numId w:val="11"/>
              </w:numPr>
              <w:pBdr>
                <w:top w:val="nil"/>
                <w:left w:val="nil"/>
                <w:bottom w:val="nil"/>
                <w:right w:val="nil"/>
                <w:between w:val="nil"/>
              </w:pBdr>
              <w:spacing w:after="0" w:line="240" w:lineRule="auto"/>
              <w:jc w:val="both"/>
              <w:rPr>
                <w:rFonts w:ascii="Arial" w:eastAsia="Calibri" w:hAnsi="Arial" w:cs="Arial"/>
                <w:sz w:val="24"/>
                <w:szCs w:val="24"/>
              </w:rPr>
            </w:pPr>
            <w:ins w:id="120" w:author="Diola Bijlhout" w:date="2026-01-14T09:46:00Z" w16du:dateUtc="2026-01-14T09:46:00Z">
              <w:r>
                <w:rPr>
                  <w:rFonts w:ascii="Arial" w:eastAsia="Calibri" w:hAnsi="Arial" w:cs="Arial"/>
                  <w:color w:val="000000" w:themeColor="text1"/>
                  <w:sz w:val="24"/>
                  <w:szCs w:val="24"/>
                </w:rPr>
                <w:t xml:space="preserve">All types of </w:t>
              </w:r>
            </w:ins>
            <w:ins w:id="121" w:author="Diola Bijlhout" w:date="2026-01-14T09:47:00Z" w16du:dateUtc="2026-01-14T09:47:00Z">
              <w:r>
                <w:rPr>
                  <w:rFonts w:ascii="Arial" w:eastAsia="Calibri" w:hAnsi="Arial" w:cs="Arial"/>
                  <w:color w:val="000000" w:themeColor="text1"/>
                  <w:sz w:val="24"/>
                  <w:szCs w:val="24"/>
                </w:rPr>
                <w:t xml:space="preserve">studies are regarded except, opinion papers, </w:t>
              </w:r>
            </w:ins>
          </w:p>
        </w:tc>
        <w:tc>
          <w:tcPr>
            <w:tcW w:w="4514" w:type="dxa"/>
            <w:tcMar>
              <w:top w:w="100" w:type="dxa"/>
              <w:left w:w="100" w:type="dxa"/>
              <w:bottom w:w="100" w:type="dxa"/>
              <w:right w:w="100" w:type="dxa"/>
            </w:tcMar>
            <w:vAlign w:val="center"/>
          </w:tcPr>
          <w:p w14:paraId="793AA7A2" w14:textId="77777777" w:rsidR="003F3DAD" w:rsidRPr="006502E8" w:rsidRDefault="003F3DAD" w:rsidP="003F3DAD">
            <w:pPr>
              <w:widowControl w:val="0"/>
              <w:numPr>
                <w:ilvl w:val="0"/>
                <w:numId w:val="11"/>
              </w:numPr>
              <w:pBdr>
                <w:top w:val="nil"/>
                <w:left w:val="nil"/>
                <w:bottom w:val="nil"/>
                <w:right w:val="nil"/>
                <w:between w:val="nil"/>
              </w:pBdr>
              <w:spacing w:after="0" w:line="240" w:lineRule="auto"/>
              <w:jc w:val="both"/>
              <w:rPr>
                <w:rFonts w:ascii="Arial" w:eastAsia="Calibri" w:hAnsi="Arial" w:cs="Arial"/>
                <w:sz w:val="24"/>
                <w:szCs w:val="24"/>
              </w:rPr>
            </w:pPr>
            <w:r w:rsidRPr="006502E8">
              <w:rPr>
                <w:rFonts w:ascii="Arial" w:eastAsia="Calibri" w:hAnsi="Arial" w:cs="Arial"/>
                <w:sz w:val="24"/>
                <w:szCs w:val="24"/>
              </w:rPr>
              <w:t>Published before 2015</w:t>
            </w:r>
          </w:p>
          <w:p w14:paraId="5A3DEEC1" w14:textId="77777777" w:rsidR="003F3DAD" w:rsidRPr="006502E8" w:rsidRDefault="003F3DAD" w:rsidP="003F3DAD">
            <w:pPr>
              <w:widowControl w:val="0"/>
              <w:numPr>
                <w:ilvl w:val="0"/>
                <w:numId w:val="11"/>
              </w:numPr>
              <w:pBdr>
                <w:top w:val="nil"/>
                <w:left w:val="nil"/>
                <w:bottom w:val="nil"/>
                <w:right w:val="nil"/>
                <w:between w:val="nil"/>
              </w:pBdr>
              <w:spacing w:after="0" w:line="240" w:lineRule="auto"/>
              <w:jc w:val="both"/>
              <w:rPr>
                <w:rFonts w:ascii="Arial" w:eastAsia="Calibri" w:hAnsi="Arial" w:cs="Arial"/>
                <w:sz w:val="24"/>
                <w:szCs w:val="24"/>
              </w:rPr>
            </w:pPr>
            <w:r w:rsidRPr="006502E8">
              <w:rPr>
                <w:rFonts w:ascii="Arial" w:eastAsia="Calibri" w:hAnsi="Arial" w:cs="Arial"/>
                <w:sz w:val="24"/>
                <w:szCs w:val="24"/>
              </w:rPr>
              <w:t>Written in Foreign Languages other than English.</w:t>
            </w:r>
          </w:p>
          <w:p w14:paraId="4D0A28BB" w14:textId="77777777" w:rsidR="003F3DAD" w:rsidRPr="0010643F" w:rsidRDefault="003813B1" w:rsidP="727F1D53">
            <w:pPr>
              <w:widowControl w:val="0"/>
              <w:numPr>
                <w:ilvl w:val="0"/>
                <w:numId w:val="11"/>
              </w:numPr>
              <w:pBdr>
                <w:top w:val="nil"/>
                <w:left w:val="nil"/>
                <w:bottom w:val="nil"/>
                <w:right w:val="nil"/>
                <w:between w:val="nil"/>
              </w:pBdr>
              <w:spacing w:after="0" w:line="240" w:lineRule="auto"/>
              <w:jc w:val="both"/>
              <w:rPr>
                <w:rFonts w:ascii="Arial" w:eastAsia="Calibri" w:hAnsi="Arial" w:cs="Arial"/>
                <w:color w:val="000000" w:themeColor="text1"/>
                <w:sz w:val="24"/>
                <w:szCs w:val="24"/>
              </w:rPr>
            </w:pPr>
            <w:r w:rsidRPr="727F1D53">
              <w:rPr>
                <w:rFonts w:ascii="Arial" w:eastAsia="Calibri" w:hAnsi="Arial" w:cs="Arial"/>
                <w:color w:val="000000" w:themeColor="text1"/>
                <w:sz w:val="24"/>
                <w:szCs w:val="24"/>
              </w:rPr>
              <w:t>Not Peer Reviewed</w:t>
            </w:r>
          </w:p>
          <w:p w14:paraId="74ACD85E" w14:textId="77777777" w:rsidR="00465812" w:rsidRDefault="00CF29BC" w:rsidP="727F1D53">
            <w:pPr>
              <w:widowControl w:val="0"/>
              <w:numPr>
                <w:ilvl w:val="0"/>
                <w:numId w:val="11"/>
              </w:numPr>
              <w:pBdr>
                <w:top w:val="nil"/>
                <w:left w:val="nil"/>
                <w:bottom w:val="nil"/>
                <w:right w:val="nil"/>
                <w:between w:val="nil"/>
              </w:pBdr>
              <w:spacing w:after="0" w:line="240" w:lineRule="auto"/>
              <w:jc w:val="both"/>
              <w:rPr>
                <w:ins w:id="122" w:author="Diola Bijlhout" w:date="2026-01-14T09:47:00Z" w16du:dateUtc="2026-01-14T09:47:00Z"/>
                <w:rFonts w:ascii="Arial" w:eastAsia="Calibri" w:hAnsi="Arial" w:cs="Arial"/>
                <w:color w:val="000000" w:themeColor="text1"/>
                <w:sz w:val="24"/>
                <w:szCs w:val="24"/>
              </w:rPr>
            </w:pPr>
            <w:r w:rsidRPr="727F1D53">
              <w:rPr>
                <w:rFonts w:ascii="Arial" w:eastAsia="Calibri" w:hAnsi="Arial" w:cs="Arial"/>
                <w:color w:val="000000" w:themeColor="text1"/>
                <w:sz w:val="24"/>
                <w:szCs w:val="24"/>
              </w:rPr>
              <w:t>Research papers on housing quality and its impact on respiratory infection-related in all other age groups and other illnesses</w:t>
            </w:r>
          </w:p>
          <w:p w14:paraId="14FD5A87" w14:textId="52F2264E" w:rsidR="00D13BCD" w:rsidRPr="006502E8" w:rsidRDefault="00D13BCD" w:rsidP="727F1D53">
            <w:pPr>
              <w:widowControl w:val="0"/>
              <w:numPr>
                <w:ilvl w:val="0"/>
                <w:numId w:val="11"/>
              </w:numPr>
              <w:pBdr>
                <w:top w:val="nil"/>
                <w:left w:val="nil"/>
                <w:bottom w:val="nil"/>
                <w:right w:val="nil"/>
                <w:between w:val="nil"/>
              </w:pBdr>
              <w:spacing w:after="0" w:line="240" w:lineRule="auto"/>
              <w:jc w:val="both"/>
              <w:rPr>
                <w:rFonts w:ascii="Arial" w:eastAsia="Calibri" w:hAnsi="Arial" w:cs="Arial"/>
                <w:color w:val="000000" w:themeColor="text1"/>
                <w:sz w:val="24"/>
                <w:szCs w:val="24"/>
              </w:rPr>
            </w:pPr>
            <w:ins w:id="123" w:author="Diola Bijlhout" w:date="2026-01-14T09:47:00Z" w16du:dateUtc="2026-01-14T09:47:00Z">
              <w:r>
                <w:rPr>
                  <w:rFonts w:ascii="Arial" w:eastAsia="Calibri" w:hAnsi="Arial" w:cs="Arial"/>
                  <w:color w:val="000000" w:themeColor="text1"/>
                  <w:sz w:val="24"/>
                  <w:szCs w:val="24"/>
                </w:rPr>
                <w:t>Opinion papers</w:t>
              </w:r>
            </w:ins>
          </w:p>
        </w:tc>
      </w:tr>
    </w:tbl>
    <w:p w14:paraId="053086D9" w14:textId="4194FABC" w:rsidR="003F3DAD" w:rsidRPr="006502E8" w:rsidRDefault="003F3DAD" w:rsidP="003F3DAD">
      <w:pPr>
        <w:pStyle w:val="Heading5"/>
      </w:pPr>
      <w:bookmarkStart w:id="124" w:name="_Toc218187281"/>
      <w:r w:rsidRPr="006502E8">
        <w:t>Table 3.</w:t>
      </w:r>
      <w:r w:rsidR="003813B1" w:rsidRPr="006502E8">
        <w:t>3</w:t>
      </w:r>
      <w:r w:rsidRPr="006502E8">
        <w:t>: Inclusion and Exclusion Criteria</w:t>
      </w:r>
      <w:bookmarkEnd w:id="124"/>
    </w:p>
    <w:p w14:paraId="0F08AB74" w14:textId="77777777"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 xml:space="preserve">The inclusion criteria's choice to include articles from the past 10 years has allowed broader search potential and successful inclusion of established research contributions before and after the events of COVID-19 impacted respiratory complication-related research. Similarly, the research has acknowledged the potential limitation of avoiding research contributions written in foreign languages, which could have carried significant contributing evidence to the domain. However, the interpretation of foreign languages may have added additional concerns of subjectivity and erroneous input, leading to reliability concerns (Morrison </w:t>
      </w:r>
      <w:r w:rsidRPr="006502E8">
        <w:rPr>
          <w:rFonts w:ascii="Arial" w:eastAsia="Calibri" w:hAnsi="Arial" w:cs="Arial"/>
          <w:i/>
          <w:iCs/>
          <w:sz w:val="24"/>
          <w:szCs w:val="24"/>
        </w:rPr>
        <w:t>et al.</w:t>
      </w:r>
      <w:r w:rsidRPr="006502E8">
        <w:rPr>
          <w:rFonts w:ascii="Arial" w:eastAsia="Calibri" w:hAnsi="Arial" w:cs="Arial"/>
          <w:sz w:val="24"/>
          <w:szCs w:val="24"/>
        </w:rPr>
        <w:t xml:space="preserve"> 2012).</w:t>
      </w:r>
    </w:p>
    <w:p w14:paraId="747F9AE1" w14:textId="0EB46181" w:rsidR="003F3DAD" w:rsidRPr="006502E8" w:rsidRDefault="003F3DAD" w:rsidP="003F3DAD">
      <w:pPr>
        <w:pStyle w:val="Heading3"/>
      </w:pPr>
      <w:bookmarkStart w:id="125" w:name="_Toc218184528"/>
      <w:r w:rsidRPr="006502E8">
        <w:t>3.3.</w:t>
      </w:r>
      <w:r w:rsidR="003813B1" w:rsidRPr="006502E8">
        <w:t>3</w:t>
      </w:r>
      <w:r w:rsidRPr="006502E8">
        <w:t xml:space="preserve"> Search Strategy</w:t>
      </w:r>
      <w:bookmarkEnd w:id="125"/>
    </w:p>
    <w:p w14:paraId="5D05C188" w14:textId="00283300"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1st, an initial screening using the title of the research where conducted, where the research scope was investigated using the title to identify whether the research contributes to the same domain as the proposed study, investigating the link between housing quality impact on respiratory infections. After the following screening, a second layer of screening was conducted using the abstracts of the relevant articles, establishing further clarification on the research contribution and key findings, along with the preferred method. Once the articles have been screened, duplicates across the database have been removed.</w:t>
      </w:r>
    </w:p>
    <w:p w14:paraId="40DE5F37" w14:textId="4D4C6ABA" w:rsidR="003F3DAD" w:rsidRPr="006502E8" w:rsidRDefault="003F3DAD" w:rsidP="003F3DAD">
      <w:pPr>
        <w:pStyle w:val="Heading3"/>
      </w:pPr>
      <w:bookmarkStart w:id="126" w:name="_Toc218184529"/>
      <w:r w:rsidRPr="006502E8">
        <w:t>3.3.</w:t>
      </w:r>
      <w:r w:rsidR="003813B1" w:rsidRPr="006502E8">
        <w:t>4</w:t>
      </w:r>
      <w:r w:rsidRPr="006502E8">
        <w:t xml:space="preserve"> Quality Evaluation</w:t>
      </w:r>
      <w:bookmarkEnd w:id="126"/>
    </w:p>
    <w:p w14:paraId="2DF78E88" w14:textId="521AD887"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 xml:space="preserve">In order to evaluate the quality of the </w:t>
      </w:r>
      <w:r w:rsidR="00E1733D" w:rsidRPr="006502E8">
        <w:rPr>
          <w:rFonts w:ascii="Arial" w:eastAsia="Calibri" w:hAnsi="Arial" w:cs="Arial"/>
          <w:sz w:val="24"/>
          <w:szCs w:val="24"/>
        </w:rPr>
        <w:t>research,</w:t>
      </w:r>
      <w:r w:rsidRPr="006502E8">
        <w:rPr>
          <w:rFonts w:ascii="Arial" w:eastAsia="Calibri" w:hAnsi="Arial" w:cs="Arial"/>
          <w:sz w:val="24"/>
          <w:szCs w:val="24"/>
        </w:rPr>
        <w:t xml:space="preserve"> articles finalized the CASP qualitative appraisal has been applied to critique and navigate the research articles' potential relevance and validity in contributing to the research domain. According to Long </w:t>
      </w:r>
      <w:r w:rsidRPr="006502E8">
        <w:rPr>
          <w:rFonts w:ascii="Arial" w:eastAsia="Calibri" w:hAnsi="Arial" w:cs="Arial"/>
          <w:i/>
          <w:iCs/>
          <w:sz w:val="24"/>
          <w:szCs w:val="24"/>
        </w:rPr>
        <w:t>et al.</w:t>
      </w:r>
      <w:r w:rsidRPr="006502E8">
        <w:rPr>
          <w:rFonts w:ascii="Arial" w:eastAsia="Calibri" w:hAnsi="Arial" w:cs="Arial"/>
          <w:sz w:val="24"/>
          <w:szCs w:val="24"/>
        </w:rPr>
        <w:t xml:space="preserve"> (2020), a CASP qualitative appraisal tool offers 10 checkpoint-based screens that help to ascertain whether a research paper included in the study meets more of the selected quality parameters or fewer (</w:t>
      </w:r>
      <w:r w:rsidRPr="0010643F">
        <w:rPr>
          <w:rFonts w:ascii="Arial" w:eastAsia="Calibri" w:hAnsi="Arial" w:cs="Arial"/>
          <w:color w:val="4472C4" w:themeColor="accent1"/>
          <w:sz w:val="24"/>
          <w:szCs w:val="24"/>
        </w:rPr>
        <w:t xml:space="preserve">See </w:t>
      </w:r>
      <w:r w:rsidR="00116E81" w:rsidRPr="0010643F">
        <w:rPr>
          <w:rFonts w:ascii="Arial" w:eastAsia="Calibri" w:hAnsi="Arial" w:cs="Arial"/>
          <w:color w:val="4472C4" w:themeColor="accent1"/>
          <w:sz w:val="24"/>
          <w:szCs w:val="24"/>
        </w:rPr>
        <w:t xml:space="preserve">Appendix </w:t>
      </w:r>
      <w:r w:rsidR="00BB7E2E" w:rsidRPr="0010643F">
        <w:rPr>
          <w:rFonts w:ascii="Arial" w:eastAsia="Calibri" w:hAnsi="Arial" w:cs="Arial"/>
          <w:color w:val="4472C4" w:themeColor="accent1"/>
          <w:sz w:val="24"/>
          <w:szCs w:val="24"/>
        </w:rPr>
        <w:t>4</w:t>
      </w:r>
      <w:r w:rsidRPr="006502E8">
        <w:rPr>
          <w:rFonts w:ascii="Arial" w:eastAsia="Calibri" w:hAnsi="Arial" w:cs="Arial"/>
          <w:sz w:val="24"/>
          <w:szCs w:val="24"/>
        </w:rPr>
        <w:t>).</w:t>
      </w:r>
    </w:p>
    <w:p w14:paraId="0D23D12C" w14:textId="77777777" w:rsidR="003F3DAD" w:rsidRPr="006502E8" w:rsidRDefault="003F3DAD" w:rsidP="003F3DAD">
      <w:pPr>
        <w:spacing w:before="200" w:line="360" w:lineRule="auto"/>
        <w:jc w:val="center"/>
        <w:rPr>
          <w:rFonts w:ascii="Arial" w:eastAsia="Calibri" w:hAnsi="Arial" w:cs="Arial"/>
          <w:sz w:val="24"/>
          <w:szCs w:val="24"/>
        </w:rPr>
      </w:pPr>
      <w:r w:rsidRPr="006502E8">
        <w:rPr>
          <w:rFonts w:ascii="Arial" w:eastAsia="Calibri" w:hAnsi="Arial" w:cs="Arial"/>
          <w:noProof/>
          <w:sz w:val="24"/>
          <w:szCs w:val="24"/>
        </w:rPr>
        <w:drawing>
          <wp:inline distT="114300" distB="114300" distL="114300" distR="114300" wp14:anchorId="2E280F4D" wp14:editId="516121D3">
            <wp:extent cx="3726180" cy="3604260"/>
            <wp:effectExtent l="0" t="0" r="762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3726535" cy="3604603"/>
                    </a:xfrm>
                    <a:prstGeom prst="rect">
                      <a:avLst/>
                    </a:prstGeom>
                    <a:ln/>
                  </pic:spPr>
                </pic:pic>
              </a:graphicData>
            </a:graphic>
          </wp:inline>
        </w:drawing>
      </w:r>
    </w:p>
    <w:p w14:paraId="321C4FB0" w14:textId="77777777" w:rsidR="003F3DAD" w:rsidRPr="006502E8" w:rsidRDefault="003F3DAD" w:rsidP="003077FE">
      <w:pPr>
        <w:pStyle w:val="Heading4"/>
      </w:pPr>
      <w:bookmarkStart w:id="127" w:name="_Toc218187256"/>
      <w:r w:rsidRPr="006502E8">
        <w:t>Figure 3.2: CASP Qualitative Checklist</w:t>
      </w:r>
      <w:bookmarkEnd w:id="127"/>
    </w:p>
    <w:p w14:paraId="0329F074" w14:textId="77777777" w:rsidR="003F3DAD" w:rsidRPr="006502E8" w:rsidRDefault="003F3DAD" w:rsidP="003F3DAD">
      <w:pPr>
        <w:spacing w:before="200" w:line="360" w:lineRule="auto"/>
        <w:jc w:val="center"/>
        <w:rPr>
          <w:rFonts w:ascii="Arial" w:eastAsia="Calibri" w:hAnsi="Arial" w:cs="Arial"/>
          <w:sz w:val="24"/>
          <w:szCs w:val="24"/>
        </w:rPr>
      </w:pPr>
      <w:r w:rsidRPr="006502E8">
        <w:rPr>
          <w:rFonts w:ascii="Arial" w:eastAsia="Calibri" w:hAnsi="Arial" w:cs="Arial"/>
          <w:sz w:val="24"/>
          <w:szCs w:val="24"/>
        </w:rPr>
        <w:t xml:space="preserve">(Source: Long </w:t>
      </w:r>
      <w:r w:rsidRPr="006502E8">
        <w:rPr>
          <w:rFonts w:ascii="Arial" w:eastAsia="Calibri" w:hAnsi="Arial" w:cs="Arial"/>
          <w:i/>
          <w:iCs/>
          <w:sz w:val="24"/>
          <w:szCs w:val="24"/>
        </w:rPr>
        <w:t>et al</w:t>
      </w:r>
      <w:r w:rsidRPr="006502E8">
        <w:rPr>
          <w:rFonts w:ascii="Arial" w:eastAsia="Calibri" w:hAnsi="Arial" w:cs="Arial"/>
          <w:sz w:val="24"/>
          <w:szCs w:val="24"/>
        </w:rPr>
        <w:t>. 2020)</w:t>
      </w:r>
    </w:p>
    <w:p w14:paraId="7AFA39A0" w14:textId="1D23CCF7"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Utilising these ten enquiries, the following Table 3.4 measures and outlines the qualitative relevance of the included 10 articles for the research findings.</w:t>
      </w:r>
      <w:r w:rsidR="00465812" w:rsidRPr="006502E8">
        <w:rPr>
          <w:rFonts w:ascii="Arial" w:eastAsia="Calibri" w:hAnsi="Arial" w:cs="Arial"/>
          <w:sz w:val="24"/>
          <w:szCs w:val="24"/>
        </w:rPr>
        <w:t xml:space="preserve"> </w:t>
      </w:r>
      <w:r w:rsidR="00E1733D" w:rsidRPr="006502E8">
        <w:rPr>
          <w:rFonts w:ascii="Arial" w:eastAsia="Calibri" w:hAnsi="Arial" w:cs="Arial"/>
          <w:sz w:val="24"/>
          <w:szCs w:val="24"/>
        </w:rPr>
        <w:t>PRISMA reporting will be followed for the discussion of the research findings.</w:t>
      </w:r>
    </w:p>
    <w:p w14:paraId="08549D50" w14:textId="77777777" w:rsidR="003F3DAD" w:rsidRPr="006502E8" w:rsidRDefault="003F3DAD" w:rsidP="003F3DAD">
      <w:pPr>
        <w:pStyle w:val="Heading2"/>
        <w:rPr>
          <w:rFonts w:eastAsia="Calibri"/>
        </w:rPr>
      </w:pPr>
      <w:bookmarkStart w:id="128" w:name="_Toc218184530"/>
      <w:r w:rsidRPr="006502E8">
        <w:rPr>
          <w:rFonts w:eastAsia="Calibri"/>
        </w:rPr>
        <w:t>3.4 Data Analysis</w:t>
      </w:r>
      <w:bookmarkEnd w:id="128"/>
    </w:p>
    <w:p w14:paraId="3123B532" w14:textId="392209D7" w:rsidR="003F3DAD" w:rsidRPr="0010643F" w:rsidRDefault="003F3DAD" w:rsidP="727F1D53">
      <w:pPr>
        <w:spacing w:before="200" w:line="360" w:lineRule="auto"/>
        <w:jc w:val="both"/>
        <w:rPr>
          <w:rFonts w:ascii="Arial" w:eastAsia="Calibri" w:hAnsi="Arial" w:cs="Arial"/>
          <w:color w:val="000000" w:themeColor="text1"/>
          <w:sz w:val="24"/>
          <w:szCs w:val="24"/>
        </w:rPr>
      </w:pPr>
      <w:r w:rsidRPr="727F1D53">
        <w:rPr>
          <w:rFonts w:ascii="Arial" w:eastAsia="Calibri" w:hAnsi="Arial" w:cs="Arial"/>
          <w:color w:val="000000" w:themeColor="text1"/>
          <w:sz w:val="24"/>
          <w:szCs w:val="24"/>
        </w:rPr>
        <w:t xml:space="preserve">Due to the research design and secondary qualitative data collection, this research has adopted a </w:t>
      </w:r>
      <w:r w:rsidR="00BB7E2E" w:rsidRPr="727F1D53">
        <w:rPr>
          <w:rFonts w:ascii="Arial" w:eastAsia="Calibri" w:hAnsi="Arial" w:cs="Arial"/>
          <w:color w:val="000000" w:themeColor="text1"/>
          <w:sz w:val="24"/>
          <w:szCs w:val="24"/>
        </w:rPr>
        <w:t xml:space="preserve">thematic </w:t>
      </w:r>
      <w:ins w:id="129" w:author="Diola Bijlhout" w:date="2026-01-14T09:49:00Z" w16du:dateUtc="2026-01-14T09:49:00Z">
        <w:r w:rsidR="00D13BCD">
          <w:rPr>
            <w:rFonts w:ascii="Arial" w:eastAsia="Calibri" w:hAnsi="Arial" w:cs="Arial"/>
            <w:color w:val="000000" w:themeColor="text1"/>
            <w:sz w:val="24"/>
            <w:szCs w:val="24"/>
          </w:rPr>
          <w:t xml:space="preserve">analysing </w:t>
        </w:r>
      </w:ins>
      <w:r w:rsidRPr="727F1D53">
        <w:rPr>
          <w:rFonts w:ascii="Arial" w:eastAsia="Calibri" w:hAnsi="Arial" w:cs="Arial"/>
          <w:color w:val="000000" w:themeColor="text1"/>
          <w:sz w:val="24"/>
          <w:szCs w:val="24"/>
        </w:rPr>
        <w:t>literature review method as its preferred data analysis technique. Utilising the systematic literature</w:t>
      </w:r>
      <w:r w:rsidR="00BB7E2E" w:rsidRPr="727F1D53">
        <w:rPr>
          <w:rFonts w:ascii="Arial" w:eastAsia="Calibri" w:hAnsi="Arial" w:cs="Arial"/>
          <w:color w:val="000000" w:themeColor="text1"/>
          <w:sz w:val="24"/>
          <w:szCs w:val="24"/>
        </w:rPr>
        <w:t>, the thematic</w:t>
      </w:r>
      <w:r w:rsidRPr="727F1D53">
        <w:rPr>
          <w:rFonts w:ascii="Arial" w:eastAsia="Calibri" w:hAnsi="Arial" w:cs="Arial"/>
          <w:color w:val="000000" w:themeColor="text1"/>
          <w:sz w:val="24"/>
          <w:szCs w:val="24"/>
        </w:rPr>
        <w:t xml:space="preserve"> </w:t>
      </w:r>
      <w:r w:rsidR="00BB7E2E" w:rsidRPr="727F1D53">
        <w:rPr>
          <w:rFonts w:ascii="Arial" w:eastAsia="Calibri" w:hAnsi="Arial" w:cs="Arial"/>
          <w:color w:val="000000" w:themeColor="text1"/>
          <w:sz w:val="24"/>
          <w:szCs w:val="24"/>
        </w:rPr>
        <w:t xml:space="preserve">analysis </w:t>
      </w:r>
      <w:r w:rsidRPr="727F1D53">
        <w:rPr>
          <w:rFonts w:ascii="Arial" w:eastAsia="Calibri" w:hAnsi="Arial" w:cs="Arial"/>
          <w:color w:val="000000" w:themeColor="text1"/>
          <w:sz w:val="24"/>
          <w:szCs w:val="24"/>
        </w:rPr>
        <w:t xml:space="preserve">has offered a </w:t>
      </w:r>
      <w:r w:rsidR="00BB7E2E" w:rsidRPr="727F1D53">
        <w:rPr>
          <w:rFonts w:ascii="Arial" w:eastAsia="Calibri" w:hAnsi="Arial" w:cs="Arial"/>
          <w:color w:val="000000" w:themeColor="text1"/>
          <w:sz w:val="24"/>
          <w:szCs w:val="24"/>
        </w:rPr>
        <w:t xml:space="preserve">way for this study to first interpret the evidence and then assign codes to the key observations and then group them into relevant subthemes and interpret the most dominant and recurring themes to </w:t>
      </w:r>
      <w:r w:rsidRPr="727F1D53">
        <w:rPr>
          <w:rFonts w:ascii="Arial" w:eastAsia="Calibri" w:hAnsi="Arial" w:cs="Arial"/>
          <w:color w:val="000000" w:themeColor="text1"/>
          <w:sz w:val="24"/>
          <w:szCs w:val="24"/>
        </w:rPr>
        <w:t xml:space="preserve">producible </w:t>
      </w:r>
      <w:r w:rsidR="00BB7E2E" w:rsidRPr="727F1D53">
        <w:rPr>
          <w:rFonts w:ascii="Arial" w:eastAsia="Calibri" w:hAnsi="Arial" w:cs="Arial"/>
          <w:color w:val="000000" w:themeColor="text1"/>
          <w:sz w:val="24"/>
          <w:szCs w:val="24"/>
        </w:rPr>
        <w:t xml:space="preserve">evidence </w:t>
      </w:r>
      <w:r w:rsidRPr="727F1D53">
        <w:rPr>
          <w:rFonts w:ascii="Arial" w:eastAsia="Calibri" w:hAnsi="Arial" w:cs="Arial"/>
          <w:color w:val="000000" w:themeColor="text1"/>
          <w:sz w:val="24"/>
          <w:szCs w:val="24"/>
        </w:rPr>
        <w:t>on the subject of UK housing quality, having an impact on respiratory infection-related complexities, and supporting research contributions for further public healthcare intervention regarding the same</w:t>
      </w:r>
      <w:r w:rsidR="00BB7E2E" w:rsidRPr="727F1D53">
        <w:rPr>
          <w:rFonts w:ascii="Arial" w:eastAsia="Calibri" w:hAnsi="Arial" w:cs="Arial"/>
          <w:color w:val="000000" w:themeColor="text1"/>
          <w:sz w:val="24"/>
          <w:szCs w:val="24"/>
        </w:rPr>
        <w:t xml:space="preserve"> (Braun and Clarke, 2019).</w:t>
      </w:r>
    </w:p>
    <w:p w14:paraId="5A477F89" w14:textId="2E15A88F" w:rsidR="003F3DAD" w:rsidRPr="006502E8" w:rsidRDefault="003F3DAD" w:rsidP="003F3DAD">
      <w:pPr>
        <w:pStyle w:val="Heading2"/>
        <w:rPr>
          <w:rFonts w:eastAsia="Calibri"/>
        </w:rPr>
      </w:pPr>
      <w:bookmarkStart w:id="130" w:name="_Toc218184531"/>
      <w:r w:rsidRPr="006502E8">
        <w:rPr>
          <w:rFonts w:eastAsia="Calibri"/>
        </w:rPr>
        <w:t>3.</w:t>
      </w:r>
      <w:r w:rsidR="00BB7E2E" w:rsidRPr="006502E8">
        <w:rPr>
          <w:rFonts w:eastAsia="Calibri"/>
        </w:rPr>
        <w:t>5</w:t>
      </w:r>
      <w:r w:rsidRPr="006502E8">
        <w:rPr>
          <w:rFonts w:eastAsia="Calibri"/>
        </w:rPr>
        <w:t xml:space="preserve"> Ethical Considerations</w:t>
      </w:r>
      <w:bookmarkEnd w:id="130"/>
    </w:p>
    <w:p w14:paraId="03F4831D" w14:textId="77777777" w:rsidR="003F3DAD" w:rsidRPr="006502E8" w:rsidRDefault="003F3DAD" w:rsidP="003F3DAD">
      <w:pPr>
        <w:spacing w:before="200" w:line="360" w:lineRule="auto"/>
        <w:jc w:val="both"/>
        <w:rPr>
          <w:rFonts w:ascii="Arial" w:eastAsia="Calibri" w:hAnsi="Arial" w:cs="Arial"/>
          <w:sz w:val="24"/>
          <w:szCs w:val="24"/>
        </w:rPr>
      </w:pPr>
      <w:r w:rsidRPr="006502E8">
        <w:rPr>
          <w:rFonts w:ascii="Arial" w:eastAsia="Calibri" w:hAnsi="Arial" w:cs="Arial"/>
          <w:sz w:val="24"/>
          <w:szCs w:val="24"/>
        </w:rPr>
        <w:t xml:space="preserve">On account of incorporating secondary qualitative research articles for a systematic literature review synthesis, this research abides by the critical ethical considerations, Fair use of public information, and due diligence on preventing researcher bias in its interpretation by cross-referencing and critical evaluation of the research against the stated objectives (Suri, 2020). As for GDPR compliance, the research has secured the relevant documentation and datasets in an encrypted device and is awaiting disposal as the research has been successfully submitted (Peloquin </w:t>
      </w:r>
      <w:r w:rsidRPr="006502E8">
        <w:rPr>
          <w:rFonts w:ascii="Arial" w:eastAsia="Calibri" w:hAnsi="Arial" w:cs="Arial"/>
          <w:i/>
          <w:iCs/>
          <w:sz w:val="24"/>
          <w:szCs w:val="24"/>
        </w:rPr>
        <w:t>et al.</w:t>
      </w:r>
      <w:r w:rsidRPr="006502E8">
        <w:rPr>
          <w:rFonts w:ascii="Arial" w:eastAsia="Calibri" w:hAnsi="Arial" w:cs="Arial"/>
          <w:sz w:val="24"/>
          <w:szCs w:val="24"/>
        </w:rPr>
        <w:t xml:space="preserve"> 2020).</w:t>
      </w:r>
    </w:p>
    <w:p w14:paraId="5656A8EE" w14:textId="0F885D33" w:rsidR="003F3DAD" w:rsidRPr="006502E8" w:rsidRDefault="003F3DAD" w:rsidP="003F3DAD">
      <w:pPr>
        <w:pStyle w:val="Heading2"/>
        <w:rPr>
          <w:rFonts w:eastAsia="Calibri"/>
        </w:rPr>
      </w:pPr>
      <w:bookmarkStart w:id="131" w:name="_Toc218184532"/>
      <w:r w:rsidRPr="006502E8">
        <w:rPr>
          <w:rFonts w:eastAsia="Calibri"/>
        </w:rPr>
        <w:t>3.</w:t>
      </w:r>
      <w:r w:rsidR="00BB7E2E" w:rsidRPr="006502E8">
        <w:rPr>
          <w:rFonts w:eastAsia="Calibri"/>
        </w:rPr>
        <w:t>6</w:t>
      </w:r>
      <w:r w:rsidRPr="006502E8">
        <w:rPr>
          <w:rFonts w:eastAsia="Calibri"/>
        </w:rPr>
        <w:t xml:space="preserve"> Methodical Limitations</w:t>
      </w:r>
      <w:bookmarkEnd w:id="131"/>
    </w:p>
    <w:p w14:paraId="6A35FA44" w14:textId="559B918B" w:rsidR="003F3DAD" w:rsidRPr="006502E8" w:rsidRDefault="003F3DAD" w:rsidP="003F3DAD">
      <w:pPr>
        <w:spacing w:line="360" w:lineRule="auto"/>
        <w:jc w:val="both"/>
        <w:rPr>
          <w:rFonts w:ascii="Arial" w:hAnsi="Arial" w:cs="Arial"/>
          <w:sz w:val="24"/>
          <w:szCs w:val="24"/>
        </w:rPr>
      </w:pPr>
      <w:r w:rsidRPr="006502E8">
        <w:rPr>
          <w:rFonts w:ascii="Arial" w:eastAsia="Calibri" w:hAnsi="Arial" w:cs="Arial"/>
          <w:sz w:val="24"/>
          <w:szCs w:val="24"/>
        </w:rPr>
        <w:t>Despite contributing towards a more robust subject of healthcare intervention by contextualising housing quality with respiratory infection-related challenges in the UK, this research is methodologically limited in its ability to contribute to the research domain by utilising primary participant data. This research has observed limitations in the scope of synthesis, incorporating a final sample of 10 articles, which affects generalizability and reliability.</w:t>
      </w:r>
    </w:p>
    <w:p w14:paraId="2B2C58A4" w14:textId="165B7DBD" w:rsidR="009F64C5" w:rsidRPr="006502E8" w:rsidRDefault="003F3DAD" w:rsidP="003F3DAD">
      <w:pPr>
        <w:rPr>
          <w:rFonts w:ascii="Arial" w:eastAsia="Times New Roman" w:hAnsi="Arial" w:cs="Arial"/>
          <w:b/>
          <w:sz w:val="24"/>
          <w:szCs w:val="24"/>
        </w:rPr>
      </w:pPr>
      <w:r w:rsidRPr="006502E8">
        <w:rPr>
          <w:rFonts w:ascii="Arial" w:eastAsia="Times New Roman" w:hAnsi="Arial" w:cs="Arial"/>
          <w:b/>
          <w:sz w:val="24"/>
          <w:szCs w:val="24"/>
        </w:rPr>
        <w:br w:type="page"/>
      </w:r>
    </w:p>
    <w:p w14:paraId="1DC68205" w14:textId="15CA892C" w:rsidR="009F64C5" w:rsidRPr="006502E8" w:rsidRDefault="00DD7AA5" w:rsidP="00A15DBE">
      <w:pPr>
        <w:pStyle w:val="Heading1"/>
        <w:ind w:left="0" w:firstLine="0"/>
        <w:rPr>
          <w:color w:val="auto"/>
          <w:sz w:val="24"/>
        </w:rPr>
      </w:pPr>
      <w:bookmarkStart w:id="132" w:name="_Toc214899905"/>
      <w:bookmarkStart w:id="133" w:name="_Toc218184533"/>
      <w:r w:rsidRPr="006502E8">
        <w:rPr>
          <w:color w:val="auto"/>
          <w:sz w:val="24"/>
        </w:rPr>
        <w:t xml:space="preserve">Chapter 4: </w:t>
      </w:r>
      <w:r w:rsidR="009F64C5" w:rsidRPr="006502E8">
        <w:rPr>
          <w:color w:val="auto"/>
          <w:sz w:val="24"/>
        </w:rPr>
        <w:t>Results</w:t>
      </w:r>
      <w:bookmarkEnd w:id="132"/>
      <w:bookmarkEnd w:id="133"/>
    </w:p>
    <w:p w14:paraId="2474C241" w14:textId="22500111" w:rsidR="0064474E" w:rsidRPr="006502E8" w:rsidRDefault="0064474E" w:rsidP="0064474E">
      <w:pPr>
        <w:pStyle w:val="Heading2"/>
      </w:pPr>
      <w:bookmarkStart w:id="134" w:name="_Toc216367736"/>
      <w:bookmarkStart w:id="135" w:name="_Toc218184534"/>
      <w:r w:rsidRPr="006502E8">
        <w:t xml:space="preserve">4.1 </w:t>
      </w:r>
      <w:del w:id="136" w:author="Diola Bijlhout" w:date="2026-01-14T10:17:00Z" w16du:dateUtc="2026-01-14T10:17:00Z">
        <w:r w:rsidRPr="006502E8" w:rsidDel="00C04AF4">
          <w:delText>Overview of the section</w:delText>
        </w:r>
      </w:del>
      <w:bookmarkEnd w:id="134"/>
      <w:bookmarkEnd w:id="135"/>
      <w:r w:rsidRPr="006502E8">
        <w:t xml:space="preserve"> </w:t>
      </w:r>
      <w:ins w:id="137" w:author="Diola Bijlhout" w:date="2026-01-14T10:17:00Z" w16du:dateUtc="2026-01-14T10:17:00Z">
        <w:r w:rsidR="00C04AF4">
          <w:t>Introduction</w:t>
        </w:r>
      </w:ins>
    </w:p>
    <w:p w14:paraId="4FDA9A5D" w14:textId="316E8408" w:rsidR="0064474E" w:rsidRPr="0010643F" w:rsidRDefault="0064474E" w:rsidP="0064474E">
      <w:pPr>
        <w:spacing w:line="360" w:lineRule="auto"/>
        <w:jc w:val="both"/>
        <w:rPr>
          <w:rFonts w:ascii="Arial" w:hAnsi="Arial" w:cs="Arial"/>
          <w:color w:val="4472C4" w:themeColor="accent1"/>
          <w:sz w:val="24"/>
          <w:szCs w:val="24"/>
        </w:rPr>
      </w:pPr>
      <w:r w:rsidRPr="727F1D53">
        <w:rPr>
          <w:rFonts w:ascii="Arial" w:eastAsia="Times New Roman" w:hAnsi="Arial" w:cs="Arial"/>
          <w:color w:val="000000" w:themeColor="text1"/>
          <w:sz w:val="24"/>
          <w:szCs w:val="24"/>
        </w:rPr>
        <w:t xml:space="preserve">The </w:t>
      </w:r>
      <w:del w:id="138" w:author="Diola Bijlhout" w:date="2026-01-14T10:17:00Z" w16du:dateUtc="2026-01-14T10:17:00Z">
        <w:r w:rsidRPr="727F1D53" w:rsidDel="00C04AF4">
          <w:rPr>
            <w:rFonts w:ascii="Arial" w:eastAsia="Times New Roman" w:hAnsi="Arial" w:cs="Arial"/>
            <w:color w:val="000000" w:themeColor="text1"/>
            <w:sz w:val="24"/>
            <w:szCs w:val="24"/>
          </w:rPr>
          <w:delText xml:space="preserve">qualitative </w:delText>
        </w:r>
      </w:del>
      <w:r w:rsidRPr="727F1D53">
        <w:rPr>
          <w:rFonts w:ascii="Arial" w:eastAsia="Times New Roman" w:hAnsi="Arial" w:cs="Arial"/>
          <w:color w:val="000000" w:themeColor="text1"/>
          <w:sz w:val="24"/>
          <w:szCs w:val="24"/>
        </w:rPr>
        <w:t>results in this section describe</w:t>
      </w:r>
      <w:ins w:id="139" w:author="Diola Bijlhout" w:date="2026-01-14T10:18:00Z" w16du:dateUtc="2026-01-14T10:18:00Z">
        <w:r w:rsidR="00B92864">
          <w:rPr>
            <w:rFonts w:ascii="Arial" w:eastAsia="Times New Roman" w:hAnsi="Arial" w:cs="Arial"/>
            <w:color w:val="000000" w:themeColor="text1"/>
            <w:sz w:val="24"/>
            <w:szCs w:val="24"/>
          </w:rPr>
          <w:t xml:space="preserve"> the findings following the investigate about</w:t>
        </w:r>
      </w:ins>
      <w:r w:rsidR="00E1733D" w:rsidRPr="727F1D53">
        <w:rPr>
          <w:rFonts w:ascii="Arial" w:eastAsia="Times New Roman" w:hAnsi="Arial" w:cs="Arial"/>
          <w:color w:val="000000" w:themeColor="text1"/>
          <w:sz w:val="24"/>
          <w:szCs w:val="24"/>
        </w:rPr>
        <w:t xml:space="preserve"> </w:t>
      </w:r>
      <w:r w:rsidRPr="727F1D53">
        <w:rPr>
          <w:rFonts w:ascii="Arial" w:eastAsia="Times New Roman" w:hAnsi="Arial" w:cs="Arial"/>
          <w:color w:val="000000" w:themeColor="text1"/>
          <w:sz w:val="24"/>
          <w:szCs w:val="24"/>
        </w:rPr>
        <w:t xml:space="preserve">inadequate housing </w:t>
      </w:r>
      <w:r w:rsidR="00E1733D" w:rsidRPr="727F1D53">
        <w:rPr>
          <w:rFonts w:ascii="Arial" w:eastAsia="Times New Roman" w:hAnsi="Arial" w:cs="Arial"/>
          <w:color w:val="000000" w:themeColor="text1"/>
          <w:sz w:val="24"/>
          <w:szCs w:val="24"/>
        </w:rPr>
        <w:t>and</w:t>
      </w:r>
      <w:r w:rsidRPr="727F1D53">
        <w:rPr>
          <w:rFonts w:ascii="Arial" w:eastAsia="Times New Roman" w:hAnsi="Arial" w:cs="Arial"/>
          <w:color w:val="000000" w:themeColor="text1"/>
          <w:sz w:val="24"/>
          <w:szCs w:val="24"/>
        </w:rPr>
        <w:t xml:space="preserve"> Respiratory Infections</w:t>
      </w:r>
      <w:r w:rsidR="00E1733D" w:rsidRPr="727F1D53">
        <w:rPr>
          <w:rFonts w:ascii="Arial" w:eastAsia="Times New Roman" w:hAnsi="Arial" w:cs="Arial"/>
          <w:color w:val="000000" w:themeColor="text1"/>
          <w:sz w:val="24"/>
          <w:szCs w:val="24"/>
        </w:rPr>
        <w:t xml:space="preserve"> in adolescents living in the UK</w:t>
      </w:r>
      <w:r w:rsidRPr="727F1D53">
        <w:rPr>
          <w:rFonts w:ascii="Arial" w:eastAsia="Times New Roman" w:hAnsi="Arial" w:cs="Arial"/>
          <w:color w:val="000000" w:themeColor="text1"/>
          <w:sz w:val="24"/>
          <w:szCs w:val="24"/>
        </w:rPr>
        <w:t xml:space="preserve">. Emerging themes are presented in terms of microbiological risk, public health and social care implications. Characteristics </w:t>
      </w:r>
      <w:r w:rsidR="00E1733D" w:rsidRPr="727F1D53">
        <w:rPr>
          <w:rFonts w:ascii="Arial" w:eastAsia="Times New Roman" w:hAnsi="Arial" w:cs="Arial"/>
          <w:color w:val="000000" w:themeColor="text1"/>
          <w:sz w:val="24"/>
          <w:szCs w:val="24"/>
        </w:rPr>
        <w:t xml:space="preserve">from the selected research papers are presented in discussing </w:t>
      </w:r>
      <w:r w:rsidRPr="727F1D53">
        <w:rPr>
          <w:rFonts w:ascii="Arial" w:eastAsia="Times New Roman" w:hAnsi="Arial" w:cs="Arial"/>
          <w:color w:val="000000" w:themeColor="text1"/>
          <w:sz w:val="24"/>
          <w:szCs w:val="24"/>
        </w:rPr>
        <w:t xml:space="preserve">how housing affects residents' health; they consist of repeating patterns, issues of concern, and linked factors that affect </w:t>
      </w:r>
      <w:r w:rsidR="00E1733D" w:rsidRPr="727F1D53">
        <w:rPr>
          <w:rFonts w:ascii="Arial" w:eastAsia="Times New Roman" w:hAnsi="Arial" w:cs="Arial"/>
          <w:color w:val="000000" w:themeColor="text1"/>
          <w:sz w:val="24"/>
          <w:szCs w:val="24"/>
        </w:rPr>
        <w:t xml:space="preserve">families and adolescent </w:t>
      </w:r>
      <w:r w:rsidRPr="727F1D53">
        <w:rPr>
          <w:rFonts w:ascii="Arial" w:eastAsia="Times New Roman" w:hAnsi="Arial" w:cs="Arial"/>
          <w:color w:val="000000" w:themeColor="text1"/>
          <w:sz w:val="24"/>
          <w:szCs w:val="24"/>
        </w:rPr>
        <w:t>residents' risk of exposure to illnesses related to housing</w:t>
      </w:r>
      <w:r w:rsidRPr="727F1D53">
        <w:rPr>
          <w:rFonts w:ascii="Arial" w:eastAsia="Times New Roman" w:hAnsi="Arial" w:cs="Arial"/>
          <w:color w:val="4472C4" w:themeColor="accent1"/>
          <w:sz w:val="24"/>
          <w:szCs w:val="24"/>
        </w:rPr>
        <w:t>.</w:t>
      </w:r>
      <w:ins w:id="140" w:author="Diola Bijlhout" w:date="2026-01-14T10:18:00Z" w16du:dateUtc="2026-01-14T10:18:00Z">
        <w:r w:rsidR="00B92864">
          <w:rPr>
            <w:rFonts w:ascii="Arial" w:eastAsia="Times New Roman" w:hAnsi="Arial" w:cs="Arial"/>
            <w:color w:val="4472C4" w:themeColor="accent1"/>
            <w:sz w:val="24"/>
            <w:szCs w:val="24"/>
          </w:rPr>
          <w:t xml:space="preserve"> </w:t>
        </w:r>
      </w:ins>
      <w:ins w:id="141" w:author="Diola Bijlhout" w:date="2026-01-14T10:22:00Z" w16du:dateUtc="2026-01-14T10:22:00Z">
        <w:r w:rsidR="007E2277">
          <w:rPr>
            <w:rFonts w:ascii="Arial" w:eastAsia="Times New Roman" w:hAnsi="Arial" w:cs="Arial"/>
            <w:color w:val="4472C4" w:themeColor="accent1"/>
            <w:sz w:val="24"/>
            <w:szCs w:val="24"/>
          </w:rPr>
          <w:t xml:space="preserve">To </w:t>
        </w:r>
      </w:ins>
      <w:ins w:id="142" w:author="Diola Bijlhout" w:date="2026-01-14T10:19:00Z" w16du:dateUtc="2026-01-14T10:19:00Z">
        <w:r w:rsidR="00B92864">
          <w:rPr>
            <w:rFonts w:ascii="Arial" w:eastAsia="Times New Roman" w:hAnsi="Arial" w:cs="Arial"/>
            <w:color w:val="4472C4" w:themeColor="accent1"/>
            <w:sz w:val="24"/>
            <w:szCs w:val="24"/>
          </w:rPr>
          <w:t>start, t</w:t>
        </w:r>
      </w:ins>
      <w:ins w:id="143" w:author="Diola Bijlhout" w:date="2026-01-14T10:18:00Z" w16du:dateUtc="2026-01-14T10:18:00Z">
        <w:r w:rsidR="00B92864">
          <w:rPr>
            <w:rFonts w:ascii="Arial" w:eastAsia="Times New Roman" w:hAnsi="Arial" w:cs="Arial"/>
            <w:color w:val="4472C4" w:themeColor="accent1"/>
            <w:sz w:val="24"/>
            <w:szCs w:val="24"/>
          </w:rPr>
          <w:t>he results</w:t>
        </w:r>
      </w:ins>
      <w:ins w:id="144" w:author="Diola Bijlhout" w:date="2026-01-14T10:19:00Z" w16du:dateUtc="2026-01-14T10:19:00Z">
        <w:r w:rsidR="00BF458B">
          <w:rPr>
            <w:rFonts w:ascii="Arial" w:eastAsia="Times New Roman" w:hAnsi="Arial" w:cs="Arial"/>
            <w:color w:val="4472C4" w:themeColor="accent1"/>
            <w:sz w:val="24"/>
            <w:szCs w:val="24"/>
          </w:rPr>
          <w:t xml:space="preserve"> form the systematic review using t</w:t>
        </w:r>
      </w:ins>
      <w:ins w:id="145" w:author="Diola Bijlhout" w:date="2026-01-14T10:18:00Z" w16du:dateUtc="2026-01-14T10:18:00Z">
        <w:r w:rsidR="00B92864">
          <w:rPr>
            <w:rFonts w:ascii="Arial" w:eastAsia="Times New Roman" w:hAnsi="Arial" w:cs="Arial"/>
            <w:color w:val="4472C4" w:themeColor="accent1"/>
            <w:sz w:val="24"/>
            <w:szCs w:val="24"/>
          </w:rPr>
          <w:t>he PRISMA flow diagram are discussed.</w:t>
        </w:r>
      </w:ins>
    </w:p>
    <w:p w14:paraId="6376B95B" w14:textId="25ABEE1D" w:rsidR="009F64C5" w:rsidRPr="006502E8" w:rsidRDefault="00116E81" w:rsidP="00116E81">
      <w:pPr>
        <w:pStyle w:val="Heading2"/>
      </w:pPr>
      <w:bookmarkStart w:id="146" w:name="_Toc218184535"/>
      <w:r w:rsidRPr="006502E8">
        <w:rPr>
          <w:rFonts w:eastAsia="Calibri"/>
        </w:rPr>
        <w:t>4.</w:t>
      </w:r>
      <w:r w:rsidR="0064474E" w:rsidRPr="006502E8">
        <w:rPr>
          <w:rFonts w:eastAsia="Calibri"/>
        </w:rPr>
        <w:t>2</w:t>
      </w:r>
      <w:r w:rsidR="009F64C5" w:rsidRPr="006502E8">
        <w:rPr>
          <w:rFonts w:eastAsia="Calibri"/>
        </w:rPr>
        <w:t xml:space="preserve"> </w:t>
      </w:r>
      <w:r w:rsidRPr="006502E8">
        <w:rPr>
          <w:rFonts w:eastAsia="Calibri"/>
        </w:rPr>
        <w:t>Overview</w:t>
      </w:r>
      <w:r w:rsidR="0064474E" w:rsidRPr="006502E8">
        <w:rPr>
          <w:rFonts w:eastAsia="Calibri"/>
        </w:rPr>
        <w:t xml:space="preserve"> of Prisma</w:t>
      </w:r>
      <w:bookmarkEnd w:id="146"/>
    </w:p>
    <w:p w14:paraId="21392439" w14:textId="74FBF9E2" w:rsidR="00BE6003" w:rsidRDefault="00BE6003" w:rsidP="727F1D53">
      <w:pPr>
        <w:spacing w:before="200" w:line="360" w:lineRule="auto"/>
        <w:jc w:val="both"/>
        <w:rPr>
          <w:rFonts w:ascii="Arial" w:eastAsia="Calibri" w:hAnsi="Arial" w:cs="Arial"/>
          <w:color w:val="000000" w:themeColor="text1"/>
          <w:sz w:val="24"/>
          <w:szCs w:val="24"/>
        </w:rPr>
      </w:pPr>
      <w:r w:rsidRPr="727F1D53">
        <w:rPr>
          <w:rFonts w:ascii="Arial" w:eastAsia="Calibri" w:hAnsi="Arial" w:cs="Arial"/>
          <w:color w:val="000000" w:themeColor="text1"/>
          <w:sz w:val="24"/>
          <w:szCs w:val="24"/>
        </w:rPr>
        <w:t xml:space="preserve">This is where the Prisma framework offers valuable clarity in outlining the data collection, filtration, and screening process in the search strategy (Sarkis-Onofre </w:t>
      </w:r>
      <w:r w:rsidRPr="727F1D53">
        <w:rPr>
          <w:rFonts w:ascii="Arial" w:eastAsia="Calibri" w:hAnsi="Arial" w:cs="Arial"/>
          <w:i/>
          <w:iCs/>
          <w:color w:val="000000" w:themeColor="text1"/>
          <w:sz w:val="24"/>
          <w:szCs w:val="24"/>
        </w:rPr>
        <w:t>et al.</w:t>
      </w:r>
      <w:r w:rsidRPr="727F1D53">
        <w:rPr>
          <w:rFonts w:ascii="Arial" w:eastAsia="Calibri" w:hAnsi="Arial" w:cs="Arial"/>
          <w:color w:val="000000" w:themeColor="text1"/>
          <w:sz w:val="24"/>
          <w:szCs w:val="24"/>
        </w:rPr>
        <w:t xml:space="preserve"> 2021). The PRISMA framework outlined in Figure 4.1 below showcases an overview of how the articles were reduced to the final set of 10 papers using the set of inclusion and exclusion criteria, as well as further observational screening of other literature.</w:t>
      </w:r>
      <w:ins w:id="147" w:author="Diola Bijlhout" w:date="2026-01-14T10:22:00Z" w16du:dateUtc="2026-01-14T10:22:00Z">
        <w:r w:rsidR="00880CD4">
          <w:rPr>
            <w:rFonts w:ascii="Arial" w:eastAsia="Calibri" w:hAnsi="Arial" w:cs="Arial"/>
            <w:color w:val="000000" w:themeColor="text1"/>
            <w:sz w:val="24"/>
            <w:szCs w:val="24"/>
          </w:rPr>
          <w:t xml:space="preserve"> </w:t>
        </w:r>
      </w:ins>
    </w:p>
    <w:p w14:paraId="4F2E5A04" w14:textId="77777777" w:rsidR="001939A6" w:rsidRPr="0010643F" w:rsidRDefault="001939A6" w:rsidP="001939A6">
      <w:pPr>
        <w:spacing w:after="169" w:line="360" w:lineRule="auto"/>
        <w:jc w:val="both"/>
        <w:rPr>
          <w:ins w:id="148" w:author="Diola Bijlhout" w:date="2026-01-14T10:24:00Z" w16du:dateUtc="2026-01-14T10:24:00Z"/>
          <w:rFonts w:ascii="Arial" w:eastAsia="Calibri" w:hAnsi="Arial" w:cs="Arial"/>
          <w:color w:val="000000" w:themeColor="text1"/>
          <w:sz w:val="24"/>
          <w:szCs w:val="24"/>
        </w:rPr>
      </w:pPr>
      <w:ins w:id="149" w:author="Diola Bijlhout" w:date="2026-01-14T10:24:00Z" w16du:dateUtc="2026-01-14T10:24:00Z">
        <w:r w:rsidRPr="727F1D53">
          <w:rPr>
            <w:rFonts w:ascii="Arial" w:eastAsia="Calibri" w:hAnsi="Arial" w:cs="Arial"/>
            <w:color w:val="000000" w:themeColor="text1"/>
            <w:sz w:val="24"/>
            <w:szCs w:val="24"/>
          </w:rPr>
          <w:t>The initial screening accepted 172 articles that could be realistically screened for further refinement to a manageable number of articles to be reviewed systematically. This led to the removal of duplicates of around 38 papers, which were found commonly across the databases. 11 records were found with irrelevant contributions not relevant to the research findings, despite having an initial scope-specific relevance. Paywall-related restrictions impacted eight articles, while 23 articles could not be retrieved in their full PDF version due to either technical errors or publication site-related issues. This left 90 articles, which could be further processed through the eligibility criteria, where 64 articles had to be removed due to their publication date being before 2015, while eleven had incorrect methodology that did not align with the qualitative research focus of the study. After removing the seven articles that were written in foreign languages, this left the final 10 articles that were reviewed for the research findings.</w:t>
        </w:r>
      </w:ins>
    </w:p>
    <w:p w14:paraId="5FE733C5" w14:textId="77777777" w:rsidR="007420E6" w:rsidRPr="0010643F" w:rsidRDefault="007420E6" w:rsidP="727F1D53">
      <w:pPr>
        <w:spacing w:before="200" w:line="360" w:lineRule="auto"/>
        <w:jc w:val="both"/>
        <w:rPr>
          <w:rFonts w:ascii="Arial" w:eastAsia="Calibri" w:hAnsi="Arial" w:cs="Arial"/>
          <w:color w:val="000000" w:themeColor="text1"/>
          <w:sz w:val="24"/>
          <w:szCs w:val="24"/>
        </w:rPr>
      </w:pPr>
    </w:p>
    <w:p w14:paraId="1B4E1F2C" w14:textId="77777777" w:rsidR="00BE6003" w:rsidRPr="006502E8" w:rsidRDefault="00BE6003" w:rsidP="00BE6003">
      <w:pPr>
        <w:spacing w:before="200" w:line="360" w:lineRule="auto"/>
        <w:jc w:val="center"/>
        <w:rPr>
          <w:rFonts w:ascii="Arial" w:eastAsia="Calibri" w:hAnsi="Arial" w:cs="Arial"/>
          <w:sz w:val="24"/>
          <w:szCs w:val="24"/>
        </w:rPr>
      </w:pPr>
      <w:r w:rsidRPr="006502E8">
        <w:rPr>
          <w:rFonts w:ascii="Arial" w:eastAsia="Calibri" w:hAnsi="Arial" w:cs="Arial"/>
          <w:noProof/>
          <w:sz w:val="24"/>
          <w:szCs w:val="24"/>
        </w:rPr>
        <w:drawing>
          <wp:inline distT="114300" distB="114300" distL="114300" distR="114300" wp14:anchorId="117F86B2" wp14:editId="645F1E06">
            <wp:extent cx="5731200" cy="62611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731200" cy="6261100"/>
                    </a:xfrm>
                    <a:prstGeom prst="rect">
                      <a:avLst/>
                    </a:prstGeom>
                    <a:ln/>
                  </pic:spPr>
                </pic:pic>
              </a:graphicData>
            </a:graphic>
          </wp:inline>
        </w:drawing>
      </w:r>
    </w:p>
    <w:p w14:paraId="1F0E8C4A" w14:textId="77777777" w:rsidR="00BE6003" w:rsidRPr="006502E8" w:rsidRDefault="00BE6003" w:rsidP="00BE6003">
      <w:pPr>
        <w:pStyle w:val="Heading4"/>
      </w:pPr>
      <w:bookmarkStart w:id="150" w:name="_Toc218187257"/>
      <w:r w:rsidRPr="006502E8">
        <w:t>Figure 4.1: PRISMA Framework</w:t>
      </w:r>
      <w:bookmarkEnd w:id="150"/>
    </w:p>
    <w:p w14:paraId="2F4E681E" w14:textId="6F9EE823" w:rsidR="00275DE6" w:rsidRDefault="00275DE6" w:rsidP="00E1733D">
      <w:pPr>
        <w:pStyle w:val="Heading2"/>
      </w:pPr>
      <w:bookmarkStart w:id="151" w:name="_Toc216367746"/>
      <w:bookmarkStart w:id="152" w:name="_Toc218184536"/>
      <w:r w:rsidRPr="006502E8">
        <w:t>4.6 Systematic literature review table for data extraction</w:t>
      </w:r>
      <w:bookmarkEnd w:id="151"/>
      <w:r w:rsidRPr="006502E8">
        <w:t xml:space="preserve"> </w:t>
      </w:r>
      <w:bookmarkEnd w:id="152"/>
      <w:ins w:id="153" w:author="Diola Bijlhout" w:date="2026-01-14T09:52:00Z" w16du:dateUtc="2026-01-14T09:52:00Z">
        <w:r w:rsidR="00D13BCD">
          <w:t>Change font size 8</w:t>
        </w:r>
      </w:ins>
    </w:p>
    <w:p w14:paraId="19DABC36" w14:textId="7ADE2E34" w:rsidR="001939A6" w:rsidRPr="001939A6" w:rsidRDefault="001939A6" w:rsidP="001939A6">
      <w:pPr>
        <w:rPr>
          <w:lang w:eastAsia="en-IN"/>
        </w:rPr>
      </w:pPr>
      <w:ins w:id="154" w:author="Diola Bijlhout" w:date="2026-01-14T10:24:00Z" w16du:dateUtc="2026-01-14T10:24:00Z">
        <w:r>
          <w:rPr>
            <w:lang w:eastAsia="en-IN"/>
          </w:rPr>
          <w:t>Write an introductory sentence about the below table here.</w:t>
        </w:r>
      </w:ins>
    </w:p>
    <w:tbl>
      <w:tblPr>
        <w:tblW w:w="5000" w:type="pct"/>
        <w:tblBorders>
          <w:top w:val="nil"/>
          <w:left w:val="nil"/>
          <w:bottom w:val="nil"/>
          <w:right w:val="nil"/>
          <w:insideH w:val="nil"/>
          <w:insideV w:val="nil"/>
        </w:tblBorders>
        <w:tblLook w:val="0600" w:firstRow="0" w:lastRow="0" w:firstColumn="0" w:lastColumn="0" w:noHBand="1" w:noVBand="1"/>
      </w:tblPr>
      <w:tblGrid>
        <w:gridCol w:w="1521"/>
        <w:gridCol w:w="1491"/>
        <w:gridCol w:w="1491"/>
        <w:gridCol w:w="1365"/>
        <w:gridCol w:w="1392"/>
        <w:gridCol w:w="1756"/>
      </w:tblGrid>
      <w:tr w:rsidR="006502E8" w:rsidRPr="006502E8" w14:paraId="64EDC956" w14:textId="77777777" w:rsidTr="727F1D53">
        <w:trPr>
          <w:trHeight w:val="20"/>
        </w:trPr>
        <w:tc>
          <w:tcPr>
            <w:tcW w:w="84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Mar>
              <w:top w:w="0" w:type="dxa"/>
              <w:left w:w="100" w:type="dxa"/>
              <w:bottom w:w="0" w:type="dxa"/>
              <w:right w:w="100" w:type="dxa"/>
            </w:tcMar>
          </w:tcPr>
          <w:p w14:paraId="1759EC6F" w14:textId="0CE98FE2" w:rsidR="00275DE6" w:rsidRPr="00D13BCD" w:rsidRDefault="00275DE6" w:rsidP="006502E8">
            <w:pPr>
              <w:spacing w:after="0" w:line="276" w:lineRule="auto"/>
              <w:jc w:val="both"/>
              <w:rPr>
                <w:rFonts w:ascii="Arial" w:hAnsi="Arial" w:cs="Arial"/>
                <w:b/>
                <w:bCs/>
                <w:i/>
                <w:iCs/>
                <w:sz w:val="16"/>
                <w:szCs w:val="16"/>
              </w:rPr>
            </w:pPr>
            <w:r w:rsidRPr="00D13BCD">
              <w:rPr>
                <w:rFonts w:ascii="Arial" w:hAnsi="Arial" w:cs="Arial"/>
                <w:b/>
                <w:bCs/>
                <w:i/>
                <w:iCs/>
                <w:sz w:val="16"/>
                <w:szCs w:val="16"/>
              </w:rPr>
              <w:t>Author(s) &amp; Year</w:t>
            </w:r>
            <w:ins w:id="155" w:author="Diola Bijlhout" w:date="2026-01-14T09:51:00Z" w16du:dateUtc="2026-01-14T09:51:00Z">
              <w:r w:rsidR="00D13BCD" w:rsidRPr="00D13BCD">
                <w:rPr>
                  <w:rFonts w:ascii="Arial" w:hAnsi="Arial" w:cs="Arial"/>
                  <w:b/>
                  <w:bCs/>
                  <w:i/>
                  <w:iCs/>
                  <w:sz w:val="16"/>
                  <w:szCs w:val="16"/>
                </w:rPr>
                <w:t xml:space="preserve"> + Title</w:t>
              </w:r>
            </w:ins>
          </w:p>
        </w:tc>
        <w:tc>
          <w:tcPr>
            <w:tcW w:w="827" w:type="pct"/>
            <w:tcBorders>
              <w:top w:val="single" w:sz="4" w:space="0" w:color="000000" w:themeColor="text1"/>
              <w:left w:val="nil"/>
              <w:bottom w:val="single" w:sz="4" w:space="0" w:color="000000" w:themeColor="text1"/>
              <w:right w:val="single" w:sz="4" w:space="0" w:color="000000" w:themeColor="text1"/>
            </w:tcBorders>
            <w:shd w:val="clear" w:color="auto" w:fill="FFFFFF" w:themeFill="background1"/>
            <w:tcMar>
              <w:top w:w="0" w:type="dxa"/>
              <w:left w:w="100" w:type="dxa"/>
              <w:bottom w:w="0" w:type="dxa"/>
              <w:right w:w="100" w:type="dxa"/>
            </w:tcMar>
          </w:tcPr>
          <w:p w14:paraId="6FD00CC7" w14:textId="77777777" w:rsidR="00275DE6" w:rsidRPr="00D13BCD" w:rsidRDefault="00275DE6" w:rsidP="006502E8">
            <w:pPr>
              <w:spacing w:after="0" w:line="276" w:lineRule="auto"/>
              <w:jc w:val="both"/>
              <w:rPr>
                <w:rFonts w:ascii="Arial" w:hAnsi="Arial" w:cs="Arial"/>
                <w:b/>
                <w:bCs/>
                <w:i/>
                <w:iCs/>
                <w:sz w:val="16"/>
                <w:szCs w:val="16"/>
              </w:rPr>
            </w:pPr>
            <w:r w:rsidRPr="00D13BCD">
              <w:rPr>
                <w:rFonts w:ascii="Arial" w:hAnsi="Arial" w:cs="Arial"/>
                <w:b/>
                <w:bCs/>
                <w:i/>
                <w:iCs/>
                <w:sz w:val="16"/>
                <w:szCs w:val="16"/>
              </w:rPr>
              <w:t>Article name</w:t>
            </w:r>
          </w:p>
        </w:tc>
        <w:tc>
          <w:tcPr>
            <w:tcW w:w="827" w:type="pct"/>
            <w:tcBorders>
              <w:top w:val="single" w:sz="4" w:space="0" w:color="000000" w:themeColor="text1"/>
              <w:left w:val="nil"/>
              <w:bottom w:val="single" w:sz="4" w:space="0" w:color="000000" w:themeColor="text1"/>
              <w:right w:val="single" w:sz="4" w:space="0" w:color="000000" w:themeColor="text1"/>
            </w:tcBorders>
            <w:shd w:val="clear" w:color="auto" w:fill="FFFFFF" w:themeFill="background1"/>
            <w:tcMar>
              <w:top w:w="0" w:type="dxa"/>
              <w:left w:w="100" w:type="dxa"/>
              <w:bottom w:w="0" w:type="dxa"/>
              <w:right w:w="100" w:type="dxa"/>
            </w:tcMar>
          </w:tcPr>
          <w:p w14:paraId="1B871FD0" w14:textId="77777777" w:rsidR="00275DE6" w:rsidRPr="00D13BCD" w:rsidRDefault="00275DE6" w:rsidP="006502E8">
            <w:pPr>
              <w:spacing w:after="0" w:line="276" w:lineRule="auto"/>
              <w:jc w:val="both"/>
              <w:rPr>
                <w:rFonts w:ascii="Arial" w:hAnsi="Arial" w:cs="Arial"/>
                <w:b/>
                <w:bCs/>
                <w:i/>
                <w:iCs/>
                <w:sz w:val="16"/>
                <w:szCs w:val="16"/>
              </w:rPr>
            </w:pPr>
            <w:r w:rsidRPr="00D13BCD">
              <w:rPr>
                <w:rFonts w:ascii="Arial" w:hAnsi="Arial" w:cs="Arial"/>
                <w:b/>
                <w:bCs/>
                <w:i/>
                <w:iCs/>
                <w:sz w:val="16"/>
                <w:szCs w:val="16"/>
              </w:rPr>
              <w:t>Study design</w:t>
            </w:r>
          </w:p>
        </w:tc>
        <w:tc>
          <w:tcPr>
            <w:tcW w:w="757" w:type="pct"/>
            <w:tcBorders>
              <w:top w:val="single" w:sz="4" w:space="0" w:color="000000" w:themeColor="text1"/>
              <w:left w:val="nil"/>
              <w:bottom w:val="single" w:sz="4" w:space="0" w:color="000000" w:themeColor="text1"/>
              <w:right w:val="single" w:sz="4" w:space="0" w:color="000000" w:themeColor="text1"/>
            </w:tcBorders>
            <w:shd w:val="clear" w:color="auto" w:fill="FFFFFF" w:themeFill="background1"/>
            <w:tcMar>
              <w:top w:w="0" w:type="dxa"/>
              <w:left w:w="100" w:type="dxa"/>
              <w:bottom w:w="0" w:type="dxa"/>
              <w:right w:w="100" w:type="dxa"/>
            </w:tcMar>
          </w:tcPr>
          <w:p w14:paraId="29DC293C" w14:textId="77777777" w:rsidR="00275DE6" w:rsidRPr="00D13BCD" w:rsidRDefault="00275DE6" w:rsidP="006502E8">
            <w:pPr>
              <w:spacing w:after="0" w:line="276" w:lineRule="auto"/>
              <w:jc w:val="both"/>
              <w:rPr>
                <w:rFonts w:ascii="Arial" w:hAnsi="Arial" w:cs="Arial"/>
                <w:b/>
                <w:bCs/>
                <w:i/>
                <w:iCs/>
                <w:sz w:val="16"/>
                <w:szCs w:val="16"/>
              </w:rPr>
            </w:pPr>
            <w:r w:rsidRPr="00D13BCD">
              <w:rPr>
                <w:rFonts w:ascii="Arial" w:hAnsi="Arial" w:cs="Arial"/>
                <w:b/>
                <w:bCs/>
                <w:i/>
                <w:iCs/>
                <w:sz w:val="16"/>
                <w:szCs w:val="16"/>
              </w:rPr>
              <w:t>Sample</w:t>
            </w:r>
          </w:p>
        </w:tc>
        <w:tc>
          <w:tcPr>
            <w:tcW w:w="772" w:type="pct"/>
            <w:tcBorders>
              <w:top w:val="single" w:sz="4" w:space="0" w:color="000000" w:themeColor="text1"/>
              <w:left w:val="nil"/>
              <w:bottom w:val="single" w:sz="4" w:space="0" w:color="000000" w:themeColor="text1"/>
              <w:right w:val="single" w:sz="4" w:space="0" w:color="000000" w:themeColor="text1"/>
            </w:tcBorders>
            <w:shd w:val="clear" w:color="auto" w:fill="FFFFFF" w:themeFill="background1"/>
            <w:tcMar>
              <w:top w:w="0" w:type="dxa"/>
              <w:left w:w="100" w:type="dxa"/>
              <w:bottom w:w="0" w:type="dxa"/>
              <w:right w:w="100" w:type="dxa"/>
            </w:tcMar>
          </w:tcPr>
          <w:p w14:paraId="7E269EE3" w14:textId="77777777" w:rsidR="00275DE6" w:rsidRPr="00D13BCD" w:rsidRDefault="00275DE6" w:rsidP="006502E8">
            <w:pPr>
              <w:spacing w:after="0" w:line="276" w:lineRule="auto"/>
              <w:jc w:val="both"/>
              <w:rPr>
                <w:rFonts w:ascii="Arial" w:hAnsi="Arial" w:cs="Arial"/>
                <w:b/>
                <w:bCs/>
                <w:i/>
                <w:iCs/>
                <w:sz w:val="16"/>
                <w:szCs w:val="16"/>
              </w:rPr>
            </w:pPr>
            <w:r w:rsidRPr="00D13BCD">
              <w:rPr>
                <w:rFonts w:ascii="Arial" w:hAnsi="Arial" w:cs="Arial"/>
                <w:b/>
                <w:bCs/>
                <w:i/>
                <w:iCs/>
                <w:sz w:val="16"/>
                <w:szCs w:val="16"/>
              </w:rPr>
              <w:t>Data Collection Method</w:t>
            </w:r>
          </w:p>
        </w:tc>
        <w:tc>
          <w:tcPr>
            <w:tcW w:w="974" w:type="pct"/>
            <w:tcBorders>
              <w:top w:val="single" w:sz="4" w:space="0" w:color="000000" w:themeColor="text1"/>
              <w:left w:val="nil"/>
              <w:bottom w:val="single" w:sz="4" w:space="0" w:color="000000" w:themeColor="text1"/>
              <w:right w:val="single" w:sz="4" w:space="0" w:color="000000" w:themeColor="text1"/>
            </w:tcBorders>
            <w:shd w:val="clear" w:color="auto" w:fill="FFFFFF" w:themeFill="background1"/>
            <w:tcMar>
              <w:top w:w="0" w:type="dxa"/>
              <w:left w:w="100" w:type="dxa"/>
              <w:bottom w:w="0" w:type="dxa"/>
              <w:right w:w="100" w:type="dxa"/>
            </w:tcMar>
          </w:tcPr>
          <w:p w14:paraId="2AAA5E3B" w14:textId="77777777" w:rsidR="00275DE6" w:rsidRPr="00D13BCD" w:rsidRDefault="00275DE6" w:rsidP="006502E8">
            <w:pPr>
              <w:spacing w:after="0" w:line="276" w:lineRule="auto"/>
              <w:jc w:val="both"/>
              <w:rPr>
                <w:rFonts w:ascii="Arial" w:hAnsi="Arial" w:cs="Arial"/>
                <w:b/>
                <w:bCs/>
                <w:i/>
                <w:iCs/>
                <w:sz w:val="16"/>
                <w:szCs w:val="16"/>
              </w:rPr>
            </w:pPr>
            <w:r w:rsidRPr="00D13BCD">
              <w:rPr>
                <w:rFonts w:ascii="Arial" w:hAnsi="Arial" w:cs="Arial"/>
                <w:b/>
                <w:bCs/>
                <w:i/>
                <w:iCs/>
                <w:sz w:val="16"/>
                <w:szCs w:val="16"/>
              </w:rPr>
              <w:t>Outcome</w:t>
            </w:r>
          </w:p>
        </w:tc>
      </w:tr>
      <w:tr w:rsidR="727F1D53" w14:paraId="4B3CAFEE" w14:textId="77777777" w:rsidTr="727F1D53">
        <w:trPr>
          <w:trHeight w:val="20"/>
        </w:trPr>
        <w:tc>
          <w:tcPr>
            <w:tcW w:w="1371" w:type="dxa"/>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61618ECF"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Butler and Sherriff (2017)</w:t>
            </w:r>
          </w:p>
        </w:tc>
        <w:tc>
          <w:tcPr>
            <w:tcW w:w="1623"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2D19D12"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'It's normal to have damp': Using a qualitative psychological approach to analyse the lived experience of energy vulnerability among young adult households.</w:t>
            </w:r>
          </w:p>
        </w:tc>
        <w:tc>
          <w:tcPr>
            <w:tcW w:w="1225"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5965819"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1310"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115E31EC"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30 people</w:t>
            </w:r>
          </w:p>
        </w:tc>
        <w:tc>
          <w:tcPr>
            <w:tcW w:w="1249"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4292CE4"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Primary qualitative</w:t>
            </w:r>
          </w:p>
        </w:tc>
        <w:tc>
          <w:tcPr>
            <w:tcW w:w="2238"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818A621"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Participants accepted poor conditions (damp, cold, disconnection) due to fuel poverty and housing insecurity/precarity.</w:t>
            </w:r>
          </w:p>
        </w:tc>
      </w:tr>
      <w:tr w:rsidR="727F1D53" w14:paraId="69D067F5" w14:textId="77777777" w:rsidTr="727F1D53">
        <w:trPr>
          <w:trHeight w:val="20"/>
        </w:trPr>
        <w:tc>
          <w:tcPr>
            <w:tcW w:w="1371" w:type="dxa"/>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5A34FDBB"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Dawes et al. (2022)</w:t>
            </w:r>
          </w:p>
        </w:tc>
        <w:tc>
          <w:tcPr>
            <w:tcW w:w="1623"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217A74C8"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The Impact of the COVID-19 Pandemic and Associated Societal Restrictions on People Experiencing Homelessness (PEH): A Qualitative Interview Study with PEH and Service Providers in the UK.</w:t>
            </w:r>
          </w:p>
        </w:tc>
        <w:tc>
          <w:tcPr>
            <w:tcW w:w="1225"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0489FA7"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1310"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D6E8D4D"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15 people and 11 service providers </w:t>
            </w:r>
          </w:p>
        </w:tc>
        <w:tc>
          <w:tcPr>
            <w:tcW w:w="1249"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56C466DF"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Primary qualitative</w:t>
            </w:r>
          </w:p>
        </w:tc>
        <w:tc>
          <w:tcPr>
            <w:tcW w:w="2238"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18EE9E9A"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COVID-19 worsened mental health, isolation, and access to support for people experiencing homelessness (PEH).</w:t>
            </w:r>
          </w:p>
        </w:tc>
      </w:tr>
      <w:tr w:rsidR="727F1D53" w14:paraId="0890B2D9" w14:textId="77777777" w:rsidTr="727F1D53">
        <w:trPr>
          <w:trHeight w:val="20"/>
        </w:trPr>
        <w:tc>
          <w:tcPr>
            <w:tcW w:w="1371" w:type="dxa"/>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0A21A879"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El-Hoss et al. (2024)</w:t>
            </w:r>
          </w:p>
        </w:tc>
        <w:tc>
          <w:tcPr>
            <w:tcW w:w="1623"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617F1722"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Housing and children's social care in England: learning from embedded research.</w:t>
            </w:r>
          </w:p>
        </w:tc>
        <w:tc>
          <w:tcPr>
            <w:tcW w:w="1225"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6BBA6FAC"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1310"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11B6CC1D"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12 people </w:t>
            </w:r>
          </w:p>
        </w:tc>
        <w:tc>
          <w:tcPr>
            <w:tcW w:w="1249"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155B2F34"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Primary qualitative</w:t>
            </w:r>
          </w:p>
        </w:tc>
        <w:tc>
          <w:tcPr>
            <w:tcW w:w="2238"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419505C7"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Poor housing is critically linked to children's social care; practice needs to be housing-aware and trauma-informed.</w:t>
            </w:r>
          </w:p>
        </w:tc>
      </w:tr>
      <w:tr w:rsidR="727F1D53" w14:paraId="7F907989" w14:textId="77777777" w:rsidTr="727F1D53">
        <w:trPr>
          <w:trHeight w:val="20"/>
        </w:trPr>
        <w:tc>
          <w:tcPr>
            <w:tcW w:w="1371" w:type="dxa"/>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6ABC1B6B"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McKee, K. and Harris (2025)</w:t>
            </w:r>
          </w:p>
        </w:tc>
        <w:tc>
          <w:tcPr>
            <w:tcW w:w="1623"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6ACAABEF"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The role of landlords in shaping private renters’ uneven experiences of home: towards a relational approach.</w:t>
            </w:r>
          </w:p>
        </w:tc>
        <w:tc>
          <w:tcPr>
            <w:tcW w:w="1225"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4CC3749D"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1310"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6C38E8A7"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53 people </w:t>
            </w:r>
          </w:p>
        </w:tc>
        <w:tc>
          <w:tcPr>
            <w:tcW w:w="1249"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17FA55D5"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Primary qualitative</w:t>
            </w:r>
          </w:p>
        </w:tc>
        <w:tc>
          <w:tcPr>
            <w:tcW w:w="2238"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49CE7902"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Landlord behaviour, communication, and discretion significantly impact tenants' feelings of security and belonging in rented homes.</w:t>
            </w:r>
          </w:p>
        </w:tc>
      </w:tr>
      <w:tr w:rsidR="727F1D53" w14:paraId="4D29390E" w14:textId="77777777" w:rsidTr="727F1D53">
        <w:trPr>
          <w:trHeight w:val="20"/>
        </w:trPr>
        <w:tc>
          <w:tcPr>
            <w:tcW w:w="1371" w:type="dxa"/>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47BABBF6"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McClatchey et al. (2024)</w:t>
            </w:r>
          </w:p>
        </w:tc>
        <w:tc>
          <w:tcPr>
            <w:tcW w:w="1623"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56B91C3D"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Local government interventions for improving the health and well-being of tenants in private rented housing: developing initial program theory to inform evaluation in the United Kingdom.</w:t>
            </w:r>
          </w:p>
        </w:tc>
        <w:tc>
          <w:tcPr>
            <w:tcW w:w="1225"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FF824C4"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1310"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640F9F23"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11 people </w:t>
            </w:r>
          </w:p>
        </w:tc>
        <w:tc>
          <w:tcPr>
            <w:tcW w:w="1249"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6AA1C51D"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Primary qualitative</w:t>
            </w:r>
          </w:p>
        </w:tc>
        <w:tc>
          <w:tcPr>
            <w:tcW w:w="2238"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8202359"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Initial Programme Theories (IPTs) were developed for local government action to improve Private Rented Sector (PRS) housing quality.</w:t>
            </w:r>
          </w:p>
        </w:tc>
      </w:tr>
      <w:tr w:rsidR="727F1D53" w14:paraId="56FB62D8" w14:textId="77777777" w:rsidTr="727F1D53">
        <w:trPr>
          <w:trHeight w:val="20"/>
        </w:trPr>
        <w:tc>
          <w:tcPr>
            <w:tcW w:w="1371" w:type="dxa"/>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5B1BCB19"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Phillips et al. (2024)</w:t>
            </w:r>
          </w:p>
        </w:tc>
        <w:tc>
          <w:tcPr>
            <w:tcW w:w="1623"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55E359E5" w14:textId="148E77FD"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Bringing the voice of social housing tenants into shaping the health and care research agenda.</w:t>
            </w:r>
          </w:p>
        </w:tc>
        <w:tc>
          <w:tcPr>
            <w:tcW w:w="1225"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3B0AAF55"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1310"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A5F46F8"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 xml:space="preserve">25 people </w:t>
            </w:r>
          </w:p>
        </w:tc>
        <w:tc>
          <w:tcPr>
            <w:tcW w:w="1249"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1F4756EA"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Interview method</w:t>
            </w:r>
          </w:p>
        </w:tc>
        <w:tc>
          <w:tcPr>
            <w:tcW w:w="2238" w:type="dxa"/>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E2D6DEE" w14:textId="77777777" w:rsidR="00275DE6" w:rsidRPr="00D13BCD" w:rsidRDefault="00275DE6" w:rsidP="727F1D53">
            <w:pPr>
              <w:spacing w:after="0" w:line="276" w:lineRule="auto"/>
              <w:jc w:val="both"/>
              <w:rPr>
                <w:rFonts w:ascii="Arial" w:hAnsi="Arial" w:cs="Arial"/>
                <w:sz w:val="16"/>
                <w:szCs w:val="16"/>
              </w:rPr>
            </w:pPr>
            <w:r w:rsidRPr="00D13BCD">
              <w:rPr>
                <w:rFonts w:ascii="Arial" w:hAnsi="Arial" w:cs="Arial"/>
                <w:sz w:val="16"/>
                <w:szCs w:val="16"/>
              </w:rPr>
              <w:t>32 social housing tenants joined the advisory group; 15 actively contributed to prioritisation discussions (online/in-person).</w:t>
            </w:r>
          </w:p>
        </w:tc>
      </w:tr>
      <w:tr w:rsidR="006502E8" w:rsidRPr="006502E8" w14:paraId="44C44D6B" w14:textId="77777777" w:rsidTr="727F1D53">
        <w:trPr>
          <w:trHeight w:val="20"/>
        </w:trPr>
        <w:tc>
          <w:tcPr>
            <w:tcW w:w="843" w:type="pct"/>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1151C229"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Sherriff et al., (2024)</w:t>
            </w:r>
          </w:p>
        </w:tc>
        <w:tc>
          <w:tcPr>
            <w:tcW w:w="82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892512D"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Greater Manchester Social Housing Quality Fund,</w:t>
            </w:r>
          </w:p>
        </w:tc>
        <w:tc>
          <w:tcPr>
            <w:tcW w:w="82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040DA40"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75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301BE38"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15 people and 5 volunteers</w:t>
            </w:r>
          </w:p>
        </w:tc>
        <w:tc>
          <w:tcPr>
            <w:tcW w:w="772"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4EB0C49" w14:textId="5232FF6D" w:rsidR="00275DE6" w:rsidRPr="00D13BCD" w:rsidRDefault="00D27CBB" w:rsidP="006502E8">
            <w:pPr>
              <w:spacing w:after="0" w:line="276" w:lineRule="auto"/>
              <w:jc w:val="both"/>
              <w:rPr>
                <w:rFonts w:ascii="Arial" w:hAnsi="Arial" w:cs="Arial"/>
                <w:sz w:val="16"/>
                <w:szCs w:val="16"/>
              </w:rPr>
            </w:pPr>
            <w:r w:rsidRPr="00D13BCD">
              <w:rPr>
                <w:rFonts w:ascii="Arial" w:hAnsi="Arial" w:cs="Arial"/>
                <w:sz w:val="16"/>
                <w:szCs w:val="16"/>
              </w:rPr>
              <w:t>Interview</w:t>
            </w:r>
          </w:p>
        </w:tc>
        <w:tc>
          <w:tcPr>
            <w:tcW w:w="974"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8433139"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Structural inequalities (poverty, ethnicity, and disability) majorly drive access to quality housing and health outcomes.</w:t>
            </w:r>
          </w:p>
        </w:tc>
      </w:tr>
      <w:tr w:rsidR="006502E8" w:rsidRPr="006502E8" w14:paraId="00461B47" w14:textId="77777777" w:rsidTr="727F1D53">
        <w:trPr>
          <w:trHeight w:val="20"/>
        </w:trPr>
        <w:tc>
          <w:tcPr>
            <w:tcW w:w="843" w:type="pct"/>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0E88626E"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Sheringham et al. (2024)</w:t>
            </w:r>
          </w:p>
        </w:tc>
        <w:tc>
          <w:tcPr>
            <w:tcW w:w="82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2134C458"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Understanding place-based pathways by which housing is related to health inequalities: a qualitative interview study in London.</w:t>
            </w:r>
          </w:p>
        </w:tc>
        <w:tc>
          <w:tcPr>
            <w:tcW w:w="82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05D2828"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75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10DA4540"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 xml:space="preserve">19 people </w:t>
            </w:r>
          </w:p>
        </w:tc>
        <w:tc>
          <w:tcPr>
            <w:tcW w:w="772"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209F5D01"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Interview method</w:t>
            </w:r>
          </w:p>
        </w:tc>
        <w:tc>
          <w:tcPr>
            <w:tcW w:w="974"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1CBFAC6A"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Four pathways link housing to health: financial stress, temperature extremes, poor conditions, and housing insecurity.</w:t>
            </w:r>
          </w:p>
        </w:tc>
      </w:tr>
      <w:tr w:rsidR="006502E8" w:rsidRPr="006502E8" w14:paraId="2D75B464" w14:textId="77777777" w:rsidTr="727F1D53">
        <w:trPr>
          <w:trHeight w:val="20"/>
        </w:trPr>
        <w:tc>
          <w:tcPr>
            <w:tcW w:w="843" w:type="pct"/>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1C91322F"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Simpson et al. (2025)</w:t>
            </w:r>
          </w:p>
        </w:tc>
        <w:tc>
          <w:tcPr>
            <w:tcW w:w="82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93F022E"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Hostile environments: Mould, race and blame amidst Birmingham's housing crisis.</w:t>
            </w:r>
          </w:p>
        </w:tc>
        <w:tc>
          <w:tcPr>
            <w:tcW w:w="82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51435D0D"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75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20559A5C"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 xml:space="preserve">50 people </w:t>
            </w:r>
          </w:p>
        </w:tc>
        <w:tc>
          <w:tcPr>
            <w:tcW w:w="772"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F0F7EB6"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Interview method</w:t>
            </w:r>
          </w:p>
        </w:tc>
        <w:tc>
          <w:tcPr>
            <w:tcW w:w="974"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607CC3F0"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Overcrowded families face significant mould and damp; state officials often unfairly blame families' daily actions.</w:t>
            </w:r>
          </w:p>
        </w:tc>
      </w:tr>
      <w:tr w:rsidR="006502E8" w:rsidRPr="006502E8" w14:paraId="6A57E37E" w14:textId="77777777" w:rsidTr="727F1D53">
        <w:trPr>
          <w:trHeight w:val="20"/>
        </w:trPr>
        <w:tc>
          <w:tcPr>
            <w:tcW w:w="843" w:type="pct"/>
            <w:tcBorders>
              <w:top w:val="nil"/>
              <w:left w:val="single" w:sz="4" w:space="0" w:color="000000" w:themeColor="text1"/>
              <w:bottom w:val="single" w:sz="4" w:space="0" w:color="000000" w:themeColor="text1"/>
              <w:right w:val="single" w:sz="4" w:space="0" w:color="000000" w:themeColor="text1"/>
            </w:tcBorders>
            <w:tcMar>
              <w:top w:w="100" w:type="dxa"/>
              <w:left w:w="100" w:type="dxa"/>
              <w:bottom w:w="100" w:type="dxa"/>
              <w:right w:w="100" w:type="dxa"/>
            </w:tcMar>
          </w:tcPr>
          <w:p w14:paraId="179630E1"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Tod et al. (2016)</w:t>
            </w:r>
          </w:p>
        </w:tc>
        <w:tc>
          <w:tcPr>
            <w:tcW w:w="82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77DDE554"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Understanding influences and decisions of households with children with asthma regarding temperature and humidity in the home in winter: a qualitative study.</w:t>
            </w:r>
          </w:p>
        </w:tc>
        <w:tc>
          <w:tcPr>
            <w:tcW w:w="82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16B3AD32"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 xml:space="preserve">Qualitative interview study </w:t>
            </w:r>
          </w:p>
        </w:tc>
        <w:tc>
          <w:tcPr>
            <w:tcW w:w="757"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6081D60"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 xml:space="preserve">28 people and 17 households </w:t>
            </w:r>
          </w:p>
        </w:tc>
        <w:tc>
          <w:tcPr>
            <w:tcW w:w="772"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005BA6EC"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Interview method</w:t>
            </w:r>
          </w:p>
        </w:tc>
        <w:tc>
          <w:tcPr>
            <w:tcW w:w="974" w:type="pct"/>
            <w:tcBorders>
              <w:top w:val="nil"/>
              <w:left w:val="nil"/>
              <w:bottom w:val="single" w:sz="4" w:space="0" w:color="000000" w:themeColor="text1"/>
              <w:right w:val="single" w:sz="4" w:space="0" w:color="000000" w:themeColor="text1"/>
            </w:tcBorders>
            <w:tcMar>
              <w:top w:w="100" w:type="dxa"/>
              <w:left w:w="100" w:type="dxa"/>
              <w:bottom w:w="100" w:type="dxa"/>
              <w:right w:w="100" w:type="dxa"/>
            </w:tcMar>
          </w:tcPr>
          <w:p w14:paraId="571F644E" w14:textId="77777777" w:rsidR="00275DE6" w:rsidRPr="00D13BCD" w:rsidRDefault="00275DE6" w:rsidP="006502E8">
            <w:pPr>
              <w:spacing w:after="0" w:line="276" w:lineRule="auto"/>
              <w:jc w:val="both"/>
              <w:rPr>
                <w:rFonts w:ascii="Arial" w:hAnsi="Arial" w:cs="Arial"/>
                <w:sz w:val="16"/>
                <w:szCs w:val="16"/>
              </w:rPr>
            </w:pPr>
            <w:r w:rsidRPr="00D13BCD">
              <w:rPr>
                <w:rFonts w:ascii="Arial" w:hAnsi="Arial" w:cs="Arial"/>
                <w:sz w:val="16"/>
                <w:szCs w:val="16"/>
              </w:rPr>
              <w:t>Households prioritised children's health (warmth) over saving costs, facing challenges managing temperature/humidity affecting asthma.</w:t>
            </w:r>
          </w:p>
        </w:tc>
      </w:tr>
    </w:tbl>
    <w:p w14:paraId="48BF5B39" w14:textId="77777777" w:rsidR="00275DE6" w:rsidRPr="006502E8" w:rsidRDefault="00275DE6" w:rsidP="00275DE6">
      <w:pPr>
        <w:pStyle w:val="Heading5"/>
      </w:pPr>
      <w:bookmarkStart w:id="156" w:name="_Toc218187282"/>
      <w:r w:rsidRPr="006502E8">
        <w:t>Table 4.1: Data extraction table</w:t>
      </w:r>
      <w:bookmarkEnd w:id="156"/>
    </w:p>
    <w:p w14:paraId="701B7C9C" w14:textId="77777777" w:rsidR="00275DE6" w:rsidRPr="006502E8" w:rsidRDefault="00275DE6" w:rsidP="00275DE6">
      <w:pPr>
        <w:spacing w:line="360" w:lineRule="auto"/>
        <w:jc w:val="center"/>
        <w:rPr>
          <w:rFonts w:ascii="Arial" w:hAnsi="Arial" w:cs="Arial"/>
          <w:sz w:val="24"/>
          <w:szCs w:val="24"/>
        </w:rPr>
      </w:pPr>
      <w:r w:rsidRPr="006502E8">
        <w:rPr>
          <w:rFonts w:ascii="Arial" w:hAnsi="Arial" w:cs="Arial"/>
          <w:sz w:val="24"/>
          <w:szCs w:val="24"/>
        </w:rPr>
        <w:t>(Source: Self-developed via MS Word)</w:t>
      </w:r>
    </w:p>
    <w:p w14:paraId="5B4F8281" w14:textId="223CE0F2" w:rsidR="00D27CBB" w:rsidRPr="0010643F" w:rsidRDefault="00D27CBB" w:rsidP="00D27CBB">
      <w:pPr>
        <w:spacing w:line="360" w:lineRule="auto"/>
        <w:jc w:val="both"/>
        <w:rPr>
          <w:rFonts w:ascii="Arial" w:hAnsi="Arial" w:cs="Arial"/>
          <w:color w:val="4472C4" w:themeColor="accent1"/>
          <w:sz w:val="24"/>
          <w:szCs w:val="24"/>
          <w:lang w:val="en-IN"/>
        </w:rPr>
      </w:pPr>
      <w:r w:rsidRPr="0010643F">
        <w:rPr>
          <w:rFonts w:ascii="Arial" w:hAnsi="Arial" w:cs="Arial"/>
          <w:color w:val="4472C4" w:themeColor="accent1"/>
          <w:sz w:val="24"/>
          <w:szCs w:val="24"/>
          <w:lang w:val="en-IN"/>
        </w:rPr>
        <w:t>Most of the studies included are qualitative, with interviews being the main method used to gather data on housing and health through the lens of individuals lived experiences. Many studies had small to moderate sample sizes, ranging from 11 to 53 individuals. Sample populations included individuals who rent in social housing, privately, those without stable housing, and families with children, plus individuals who work with these vulnerable groups (service providers). The primary data collection method was through in-depth interviews, which provided rich detail on how people perceive quality and security of their home, as well as how poor housing conditions and insecurity affect their health. The vast majority of studies were conducted in the UK and many targeted urban settings such as Greater Manchester, London and Birmingham. Through analysing all studies, it became apparent that poor housing conditions such as damp, mould, cold and overcrowding along with housing insecurity have a significant connection with detrimental physical and mental health. Additionally, structural factors such as poverty, ethnicity, landlord's practices, and policy environments were identified as major elements that contribute to unequal housing experiences and subsequent health disparities.</w:t>
      </w:r>
    </w:p>
    <w:p w14:paraId="2843D56E" w14:textId="7B0F3F41" w:rsidR="0064474E" w:rsidRPr="006502E8" w:rsidRDefault="0064474E" w:rsidP="0064474E">
      <w:pPr>
        <w:pStyle w:val="Heading2"/>
      </w:pPr>
      <w:bookmarkStart w:id="157" w:name="_Toc216367737"/>
      <w:bookmarkStart w:id="158" w:name="_Toc218184537"/>
      <w:r w:rsidRPr="006502E8">
        <w:t xml:space="preserve">4.3 Theme 1: Microbial Risks Associated </w:t>
      </w:r>
      <w:r w:rsidR="00665861" w:rsidRPr="006502E8">
        <w:t>w</w:t>
      </w:r>
      <w:r w:rsidRPr="006502E8">
        <w:t>ith Poor-Quality Housing</w:t>
      </w:r>
      <w:bookmarkEnd w:id="157"/>
      <w:bookmarkEnd w:id="158"/>
      <w:r w:rsidRPr="006502E8">
        <w:t xml:space="preserve"> </w:t>
      </w:r>
    </w:p>
    <w:p w14:paraId="4D5FB800" w14:textId="77777777" w:rsidR="0064474E" w:rsidRPr="006502E8" w:rsidRDefault="0064474E" w:rsidP="0064474E">
      <w:pPr>
        <w:pStyle w:val="Heading3"/>
      </w:pPr>
      <w:bookmarkStart w:id="159" w:name="_6wt94dgf1gab" w:colFirst="0" w:colLast="0"/>
      <w:bookmarkStart w:id="160" w:name="_Toc216367738"/>
      <w:bookmarkStart w:id="161" w:name="_Toc218184538"/>
      <w:bookmarkEnd w:id="159"/>
      <w:r w:rsidRPr="006502E8">
        <w:t>4.3.1 Persistent Damp and Mould as Key Drivers of Respiratory Illness</w:t>
      </w:r>
      <w:bookmarkEnd w:id="160"/>
      <w:bookmarkEnd w:id="161"/>
    </w:p>
    <w:p w14:paraId="0036AD5F" w14:textId="23E5F7E5" w:rsidR="00A15DBE" w:rsidRPr="0010643F" w:rsidRDefault="00D27CBB" w:rsidP="00D27CBB">
      <w:pPr>
        <w:spacing w:line="360" w:lineRule="auto"/>
        <w:jc w:val="both"/>
        <w:rPr>
          <w:rFonts w:ascii="Arial" w:hAnsi="Arial" w:cs="Arial"/>
          <w:color w:val="4472C4" w:themeColor="accent1"/>
          <w:sz w:val="24"/>
          <w:szCs w:val="24"/>
        </w:rPr>
      </w:pPr>
      <w:r w:rsidRPr="0010643F">
        <w:rPr>
          <w:rFonts w:ascii="Arial" w:hAnsi="Arial" w:cs="Arial"/>
          <w:color w:val="4472C4" w:themeColor="accent1"/>
          <w:sz w:val="24"/>
          <w:szCs w:val="24"/>
        </w:rPr>
        <w:t xml:space="preserve">Based on the selected research on dampness, mould and respiratory illness (particularly among vulnerable populations) in the UK, </w:t>
      </w:r>
      <w:ins w:id="162" w:author="Diola Bijlhout" w:date="2026-01-14T10:26:00Z" w16du:dateUtc="2026-01-14T10:26:00Z">
        <w:r w:rsidR="00B05202">
          <w:rPr>
            <w:rFonts w:ascii="Arial" w:hAnsi="Arial" w:cs="Arial"/>
            <w:color w:val="4472C4" w:themeColor="accent1"/>
            <w:sz w:val="24"/>
            <w:szCs w:val="24"/>
          </w:rPr>
          <w:t xml:space="preserve">they show </w:t>
        </w:r>
      </w:ins>
      <w:r w:rsidRPr="0010643F">
        <w:rPr>
          <w:rFonts w:ascii="Arial" w:hAnsi="Arial" w:cs="Arial"/>
          <w:color w:val="4472C4" w:themeColor="accent1"/>
          <w:sz w:val="24"/>
          <w:szCs w:val="24"/>
        </w:rPr>
        <w:t>the relationships between the three variables are strong and consistent (see Figure 4.2).</w:t>
      </w:r>
    </w:p>
    <w:p w14:paraId="6C22A613" w14:textId="77777777" w:rsidR="0064474E" w:rsidRPr="006502E8" w:rsidRDefault="0064474E" w:rsidP="0064474E">
      <w:pPr>
        <w:jc w:val="center"/>
        <w:rPr>
          <w:sz w:val="24"/>
          <w:szCs w:val="24"/>
        </w:rPr>
      </w:pPr>
      <w:r w:rsidRPr="006502E8">
        <w:rPr>
          <w:noProof/>
          <w:sz w:val="24"/>
          <w:szCs w:val="24"/>
        </w:rPr>
        <w:drawing>
          <wp:inline distT="114300" distB="114300" distL="114300" distR="114300" wp14:anchorId="4B2479E6" wp14:editId="516557ED">
            <wp:extent cx="5062538" cy="2968564"/>
            <wp:effectExtent l="25400" t="25400" r="25400" b="25400"/>
            <wp:docPr id="96447658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062538" cy="2968564"/>
                    </a:xfrm>
                    <a:prstGeom prst="rect">
                      <a:avLst/>
                    </a:prstGeom>
                    <a:ln w="25400">
                      <a:solidFill>
                        <a:srgbClr val="000000"/>
                      </a:solidFill>
                      <a:prstDash val="solid"/>
                    </a:ln>
                  </pic:spPr>
                </pic:pic>
              </a:graphicData>
            </a:graphic>
          </wp:inline>
        </w:drawing>
      </w:r>
    </w:p>
    <w:p w14:paraId="084A0B16" w14:textId="36049DA9" w:rsidR="0064474E" w:rsidRPr="006502E8" w:rsidRDefault="0064474E" w:rsidP="0064474E">
      <w:pPr>
        <w:pStyle w:val="Heading4"/>
      </w:pPr>
      <w:bookmarkStart w:id="163" w:name="_Toc218187258"/>
      <w:r w:rsidRPr="006502E8">
        <w:t>Figure 4.</w:t>
      </w:r>
      <w:r w:rsidR="00665861" w:rsidRPr="006502E8">
        <w:t>2</w:t>
      </w:r>
      <w:r w:rsidRPr="006502E8">
        <w:t>: Coding tree for theme 1</w:t>
      </w:r>
      <w:bookmarkEnd w:id="163"/>
    </w:p>
    <w:p w14:paraId="30355CD6" w14:textId="314F9514"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Butler and Sherriff (2017) noted that young adults living in the UK had such widespread issues of dampness that it was normalised behaviour. The participants viewed mould as "something you just live with," in part due to the normalisation of dampness, which discouraged early reports, allowing for extensive growth of mould and exposure to toxic spores. Participants reported experiencing respiratory discomfort, coughs, and recurrent chest symptoms, all of which are indicative of the lived experiences associated with dampness as an environmental trigger of respiratory health effects.</w:t>
      </w:r>
    </w:p>
    <w:p w14:paraId="0A375530"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 xml:space="preserve">Tod </w:t>
      </w:r>
      <w:r w:rsidRPr="006502E8">
        <w:rPr>
          <w:rFonts w:ascii="Arial" w:eastAsia="Times New Roman" w:hAnsi="Arial" w:cs="Arial"/>
          <w:i/>
          <w:iCs/>
          <w:sz w:val="24"/>
          <w:szCs w:val="24"/>
        </w:rPr>
        <w:t>et al.</w:t>
      </w:r>
      <w:r w:rsidRPr="006502E8">
        <w:rPr>
          <w:rFonts w:ascii="Arial" w:eastAsia="Times New Roman" w:hAnsi="Arial" w:cs="Arial"/>
          <w:sz w:val="24"/>
          <w:szCs w:val="24"/>
        </w:rPr>
        <w:t xml:space="preserve"> (2016) reiterated the connection between indoor humidity, dampness, and respiratory impacts (particularly the impact of dampness on children with asthma). Fuel poverty made it difficult for parents to maintain proper humidity and temperature levels, which causes moisture and mould growth in their homes. Many of the parents who took part in the study thought that dampness increased the likelihood of frequent medication use by their children, having to take their children to a doctor more often, and requiring repeated physician visits. Sheringham </w:t>
      </w:r>
      <w:r w:rsidRPr="006502E8">
        <w:rPr>
          <w:rFonts w:ascii="Arial" w:eastAsia="Times New Roman" w:hAnsi="Arial" w:cs="Arial"/>
          <w:i/>
          <w:iCs/>
          <w:sz w:val="24"/>
          <w:szCs w:val="24"/>
        </w:rPr>
        <w:t>et al.,</w:t>
      </w:r>
      <w:r w:rsidRPr="006502E8">
        <w:rPr>
          <w:rFonts w:ascii="Arial" w:eastAsia="Times New Roman" w:hAnsi="Arial" w:cs="Arial"/>
          <w:sz w:val="24"/>
          <w:szCs w:val="24"/>
        </w:rPr>
        <w:t xml:space="preserve"> (2021) also looked at how these issues were part of a larger structural problem in London Boroughs, as well as looking at some of the larger structural issues that affected residents of the various London Boroughs, including overcrowded housing and a lack of adequate ventilation that created the conditions necessary for dampness and mould to thrive. During the public and community stakeholder interviews, mould was often identified by the majority of respondents as one of the greatest contributors to the health problems that residents of the London Boroughs have to deal with.</w:t>
      </w:r>
    </w:p>
    <w:p w14:paraId="07CBC4F1" w14:textId="6B8808C6" w:rsidR="0064474E" w:rsidRPr="006502E8" w:rsidRDefault="0064474E" w:rsidP="0064474E">
      <w:pPr>
        <w:spacing w:line="360" w:lineRule="auto"/>
        <w:jc w:val="both"/>
        <w:rPr>
          <w:rFonts w:ascii="Arial" w:eastAsia="Times New Roman" w:hAnsi="Arial" w:cs="Arial"/>
          <w:sz w:val="24"/>
          <w:szCs w:val="24"/>
        </w:rPr>
      </w:pPr>
      <w:r w:rsidRPr="006502E8">
        <w:rPr>
          <w:rFonts w:ascii="Arial" w:eastAsia="Times New Roman" w:hAnsi="Arial" w:cs="Arial"/>
          <w:sz w:val="24"/>
          <w:szCs w:val="24"/>
        </w:rPr>
        <w:t>According to Simpson</w:t>
      </w:r>
      <w:r w:rsidRPr="006502E8">
        <w:rPr>
          <w:rFonts w:ascii="Arial" w:eastAsia="Times New Roman" w:hAnsi="Arial" w:cs="Arial"/>
          <w:i/>
          <w:iCs/>
          <w:sz w:val="24"/>
          <w:szCs w:val="24"/>
        </w:rPr>
        <w:t xml:space="preserve"> et al. </w:t>
      </w:r>
      <w:r w:rsidRPr="006502E8">
        <w:rPr>
          <w:rFonts w:ascii="Arial" w:eastAsia="Times New Roman" w:hAnsi="Arial" w:cs="Arial"/>
          <w:sz w:val="24"/>
          <w:szCs w:val="24"/>
        </w:rPr>
        <w:t xml:space="preserve">(2025), the findings point to an additional social dimension to mould exposure, demonstrating how mould exposure is entangled with racial, class and power inequalities within Birmingham’s housing crisis. Interview participants described feeling blamed for mould when the real cause of mould was attributed to structural deficiencies. Many also reported </w:t>
      </w:r>
      <w:r w:rsidR="00665861" w:rsidRPr="006502E8">
        <w:rPr>
          <w:rFonts w:ascii="Arial" w:eastAsia="Times New Roman" w:hAnsi="Arial" w:cs="Arial"/>
          <w:sz w:val="24"/>
          <w:szCs w:val="24"/>
        </w:rPr>
        <w:t>sufferings</w:t>
      </w:r>
      <w:r w:rsidRPr="006502E8">
        <w:rPr>
          <w:rFonts w:ascii="Arial" w:eastAsia="Times New Roman" w:hAnsi="Arial" w:cs="Arial"/>
          <w:sz w:val="24"/>
          <w:szCs w:val="24"/>
        </w:rPr>
        <w:t xml:space="preserve"> from long-term respiratory illness due to chronic mould exposure that they have no means of controlling and/or eliminating. When looking at both studies as a whole, we can conclude that persistent dampness and mould not only present microbiological hazards but also indicate structural disinvestment, inequities and environmental vulnerability; these attributes collectively lead to respiratory illness among various populations across the UK.</w:t>
      </w:r>
    </w:p>
    <w:p w14:paraId="2F4F155D" w14:textId="77777777" w:rsidR="0064474E" w:rsidRPr="006502E8" w:rsidRDefault="0064474E" w:rsidP="0064474E">
      <w:pPr>
        <w:pStyle w:val="Heading3"/>
      </w:pPr>
      <w:bookmarkStart w:id="164" w:name="_9mdcqfpbq9cl" w:colFirst="0" w:colLast="0"/>
      <w:bookmarkStart w:id="165" w:name="_Toc216367739"/>
      <w:bookmarkStart w:id="166" w:name="_Toc218184539"/>
      <w:bookmarkEnd w:id="164"/>
      <w:r w:rsidRPr="006502E8">
        <w:t>4.3.2 Bacterial Growth Resulting From Structural Defects and Inadequate Sanitation</w:t>
      </w:r>
      <w:bookmarkEnd w:id="165"/>
      <w:bookmarkEnd w:id="166"/>
    </w:p>
    <w:p w14:paraId="07F35307"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 xml:space="preserve">Much of the existing research focuses primarily on the effects of moisture and mould; however, the results of the selected study indicate that there are other sources of contamination. In their paper, Sheringham </w:t>
      </w:r>
      <w:r w:rsidRPr="006502E8">
        <w:rPr>
          <w:rFonts w:ascii="Arial" w:eastAsia="Times New Roman" w:hAnsi="Arial" w:cs="Arial"/>
          <w:i/>
          <w:iCs/>
          <w:sz w:val="24"/>
          <w:szCs w:val="24"/>
        </w:rPr>
        <w:t xml:space="preserve">et al. </w:t>
      </w:r>
      <w:r w:rsidRPr="006502E8">
        <w:rPr>
          <w:rFonts w:ascii="Arial" w:eastAsia="Times New Roman" w:hAnsi="Arial" w:cs="Arial"/>
          <w:sz w:val="24"/>
          <w:szCs w:val="24"/>
        </w:rPr>
        <w:t>(2024) found that poorly maintained housing with excessive numbers of people often has multiple microbiological dangers in one building. The authors reported that participants mentioned instances of excess moisture due to leaking pipes, stagnant water, and failing infrastructure. It also suggests that these environmental problems add to the risks of respiratory illness because they may be a source of excess moisture and thus contribute to the growth of mould, which will aid in the growth of bacteria that affect air quality.</w:t>
      </w:r>
    </w:p>
    <w:p w14:paraId="1CC4D689"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 xml:space="preserve">Although participants did not characterize these environmental hazards specifically as being the result of mould contamination, Sheringham </w:t>
      </w:r>
      <w:r w:rsidRPr="006502E8">
        <w:rPr>
          <w:rFonts w:ascii="Arial" w:eastAsia="Times New Roman" w:hAnsi="Arial" w:cs="Arial"/>
          <w:i/>
          <w:iCs/>
          <w:sz w:val="24"/>
          <w:szCs w:val="24"/>
        </w:rPr>
        <w:t xml:space="preserve">et al. </w:t>
      </w:r>
      <w:r w:rsidRPr="006502E8">
        <w:rPr>
          <w:rFonts w:ascii="Arial" w:eastAsia="Times New Roman" w:hAnsi="Arial" w:cs="Arial"/>
          <w:sz w:val="24"/>
          <w:szCs w:val="24"/>
        </w:rPr>
        <w:t>(2024) used these descriptors as indicators that many microbiological hazards come from the same cluster of environmental issues associated with energy poverty, limited ventilation, and lack of property maintenance; therefore they concluded that such clusters can increase the risk of developing illnesses associated with exposure to airborne and surface-dwelling bacteria by further aggravating symptoms of respiratory illness.</w:t>
      </w:r>
    </w:p>
    <w:p w14:paraId="466718F1"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 xml:space="preserve">Tod </w:t>
      </w:r>
      <w:r w:rsidRPr="006502E8">
        <w:rPr>
          <w:rFonts w:ascii="Arial" w:eastAsia="Times New Roman" w:hAnsi="Arial" w:cs="Arial"/>
          <w:i/>
          <w:iCs/>
          <w:sz w:val="24"/>
          <w:szCs w:val="24"/>
        </w:rPr>
        <w:t>et al.,</w:t>
      </w:r>
      <w:r w:rsidRPr="006502E8">
        <w:rPr>
          <w:rFonts w:ascii="Arial" w:eastAsia="Times New Roman" w:hAnsi="Arial" w:cs="Arial"/>
          <w:sz w:val="24"/>
          <w:szCs w:val="24"/>
        </w:rPr>
        <w:t xml:space="preserve"> (2016) indicate that households have difficulty with condensation, moisture in patches and faulty building systems. Families regularly report experiencing repeated wintertime respiratory illnesses in their children. Although bacterial species were not evaluated, the association between infested building systems and the occurrence of repeated illnesses suggests that they provide an environment that fosters microbial growth. Parents are frustrated as they clean their homes; yet, their structures continue to be moist. </w:t>
      </w:r>
    </w:p>
    <w:p w14:paraId="7C34A0DA" w14:textId="77777777" w:rsidR="0064474E" w:rsidRPr="006502E8" w:rsidRDefault="0064474E" w:rsidP="0064474E">
      <w:pPr>
        <w:spacing w:line="360" w:lineRule="auto"/>
        <w:jc w:val="both"/>
        <w:rPr>
          <w:rFonts w:ascii="Arial" w:eastAsia="Times New Roman" w:hAnsi="Arial" w:cs="Arial"/>
          <w:sz w:val="24"/>
          <w:szCs w:val="24"/>
        </w:rPr>
      </w:pPr>
      <w:r w:rsidRPr="006502E8">
        <w:rPr>
          <w:rFonts w:ascii="Arial" w:eastAsia="Times New Roman" w:hAnsi="Arial" w:cs="Arial"/>
          <w:sz w:val="24"/>
          <w:szCs w:val="24"/>
        </w:rPr>
        <w:t xml:space="preserve">Simpson </w:t>
      </w:r>
      <w:r w:rsidRPr="006502E8">
        <w:rPr>
          <w:rFonts w:ascii="Arial" w:eastAsia="Times New Roman" w:hAnsi="Arial" w:cs="Arial"/>
          <w:i/>
          <w:iCs/>
          <w:sz w:val="24"/>
          <w:szCs w:val="24"/>
        </w:rPr>
        <w:t xml:space="preserve">et al., </w:t>
      </w:r>
      <w:r w:rsidRPr="006502E8">
        <w:rPr>
          <w:rFonts w:ascii="Arial" w:eastAsia="Times New Roman" w:hAnsi="Arial" w:cs="Arial"/>
          <w:sz w:val="24"/>
          <w:szCs w:val="24"/>
        </w:rPr>
        <w:t>(2025) added a socio-political dimension to the water-damaged and mould-affected tenants in that they were severely reprimanded rather than helped. For instance, participants mentioned being told to "clean more" or "keep windows open" as a response to negligence on behalf of their landlords. Taken together, these findings indicate that the sources of bacterial hazards associated with substandard housing are due to structural failures of the building itself, rather than the behaviour of the occupant, and that these hazards contribute to repeated illness from respiratory infection, especially when the household is overcrowded and low-income.</w:t>
      </w:r>
    </w:p>
    <w:p w14:paraId="58E82095" w14:textId="77777777" w:rsidR="00EE1468" w:rsidRPr="006502E8" w:rsidRDefault="00EE1468" w:rsidP="00EE1468">
      <w:pPr>
        <w:spacing w:line="360" w:lineRule="auto"/>
        <w:jc w:val="both"/>
        <w:rPr>
          <w:rFonts w:ascii="Arial" w:eastAsia="Times New Roman" w:hAnsi="Arial" w:cs="Arial"/>
          <w:b/>
          <w:bCs/>
          <w:i/>
          <w:iCs/>
          <w:sz w:val="24"/>
          <w:szCs w:val="24"/>
        </w:rPr>
      </w:pPr>
      <w:r w:rsidRPr="006502E8">
        <w:rPr>
          <w:rFonts w:ascii="Arial" w:eastAsia="Times New Roman" w:hAnsi="Arial" w:cs="Arial"/>
          <w:b/>
          <w:bCs/>
          <w:i/>
          <w:iCs/>
          <w:sz w:val="24"/>
          <w:szCs w:val="24"/>
        </w:rPr>
        <w:t xml:space="preserve">Key findings </w:t>
      </w:r>
    </w:p>
    <w:p w14:paraId="4DE13F02" w14:textId="3DCD71AA" w:rsidR="00EE1468" w:rsidRPr="0010643F" w:rsidRDefault="00EE1468" w:rsidP="0064474E">
      <w:pPr>
        <w:spacing w:line="360" w:lineRule="auto"/>
        <w:jc w:val="both"/>
        <w:rPr>
          <w:rFonts w:ascii="Arial" w:hAnsi="Arial" w:cs="Arial"/>
          <w:color w:val="4472C4" w:themeColor="accent1"/>
          <w:sz w:val="24"/>
          <w:szCs w:val="24"/>
        </w:rPr>
      </w:pPr>
      <w:r w:rsidRPr="0010643F">
        <w:rPr>
          <w:rFonts w:ascii="Arial" w:hAnsi="Arial" w:cs="Arial"/>
          <w:color w:val="4472C4" w:themeColor="accent1"/>
          <w:sz w:val="24"/>
          <w:szCs w:val="24"/>
        </w:rPr>
        <w:t>A substantial number of the key findings suggest that UK Housing research supports the established association of dampness, poor ventilation, overcrowding, and physical instability of housing types to the promotion of microbial growth contributing to repeated instances of respiratory illness. Additionally, structural inequality, housing poverty and insecurity are enhancing the risk factors for repeated instances of respiratory illness rather than simply an individual tenant's behaviour.</w:t>
      </w:r>
    </w:p>
    <w:p w14:paraId="0A0BBA18" w14:textId="77777777" w:rsidR="0064474E" w:rsidRPr="006502E8" w:rsidRDefault="0064474E" w:rsidP="0064474E">
      <w:pPr>
        <w:pStyle w:val="Heading2"/>
      </w:pPr>
      <w:bookmarkStart w:id="167" w:name="_8mf6n3ectt3y" w:colFirst="0" w:colLast="0"/>
      <w:bookmarkStart w:id="168" w:name="_Toc216367740"/>
      <w:bookmarkStart w:id="169" w:name="_Toc218184540"/>
      <w:bookmarkEnd w:id="167"/>
      <w:r w:rsidRPr="006502E8">
        <w:t>4.4 Theme 2: Public Health Views on Housing Conditions and Respiratory Disease</w:t>
      </w:r>
      <w:bookmarkEnd w:id="168"/>
      <w:bookmarkEnd w:id="169"/>
      <w:r w:rsidRPr="006502E8">
        <w:t xml:space="preserve"> </w:t>
      </w:r>
    </w:p>
    <w:p w14:paraId="7EEED799" w14:textId="77777777" w:rsidR="0064474E" w:rsidRPr="006502E8" w:rsidRDefault="0064474E" w:rsidP="0064474E">
      <w:pPr>
        <w:pStyle w:val="Heading3"/>
      </w:pPr>
      <w:bookmarkStart w:id="170" w:name="_b0fhivzdgljd" w:colFirst="0" w:colLast="0"/>
      <w:bookmarkStart w:id="171" w:name="_Toc216367741"/>
      <w:bookmarkStart w:id="172" w:name="_Toc218184541"/>
      <w:bookmarkEnd w:id="170"/>
      <w:r w:rsidRPr="006502E8">
        <w:t>4.4.1 Understanding Housing Quality as a Critical Public Health Factor</w:t>
      </w:r>
      <w:bookmarkEnd w:id="171"/>
      <w:bookmarkEnd w:id="172"/>
    </w:p>
    <w:p w14:paraId="008F4F16" w14:textId="58283C36" w:rsidR="00A15DBE" w:rsidRPr="0010643F" w:rsidRDefault="00D27CBB" w:rsidP="00D27CBB">
      <w:pPr>
        <w:spacing w:line="360" w:lineRule="auto"/>
        <w:jc w:val="both"/>
        <w:rPr>
          <w:rFonts w:ascii="Arial" w:hAnsi="Arial" w:cs="Arial"/>
          <w:color w:val="4472C4" w:themeColor="accent1"/>
          <w:sz w:val="24"/>
          <w:szCs w:val="24"/>
        </w:rPr>
      </w:pPr>
      <w:r w:rsidRPr="0010643F">
        <w:rPr>
          <w:rFonts w:ascii="Arial" w:hAnsi="Arial" w:cs="Arial"/>
          <w:color w:val="4472C4" w:themeColor="accent1"/>
          <w:sz w:val="24"/>
          <w:szCs w:val="24"/>
        </w:rPr>
        <w:t>Housing quality is increasingly recognised as a critical public health factor, as poor living conditions directly and indirectly influence physical health, mental wellbeing, and overall quality of life</w:t>
      </w:r>
      <w:r w:rsidR="00EE1468" w:rsidRPr="0010643F">
        <w:rPr>
          <w:rFonts w:ascii="Arial" w:hAnsi="Arial" w:cs="Arial"/>
          <w:color w:val="4472C4" w:themeColor="accent1"/>
          <w:sz w:val="24"/>
          <w:szCs w:val="24"/>
        </w:rPr>
        <w:t xml:space="preserve"> (see figure 4.3)</w:t>
      </w:r>
      <w:r w:rsidRPr="0010643F">
        <w:rPr>
          <w:rFonts w:ascii="Arial" w:hAnsi="Arial" w:cs="Arial"/>
          <w:color w:val="4472C4" w:themeColor="accent1"/>
          <w:sz w:val="24"/>
          <w:szCs w:val="24"/>
        </w:rPr>
        <w:t>.</w:t>
      </w:r>
    </w:p>
    <w:p w14:paraId="2BD20138" w14:textId="77777777" w:rsidR="0064474E" w:rsidRPr="006502E8" w:rsidRDefault="0064474E" w:rsidP="0064474E">
      <w:pPr>
        <w:spacing w:line="360" w:lineRule="auto"/>
        <w:jc w:val="center"/>
        <w:rPr>
          <w:rFonts w:ascii="Arial" w:hAnsi="Arial" w:cs="Arial"/>
          <w:sz w:val="24"/>
          <w:szCs w:val="24"/>
        </w:rPr>
      </w:pPr>
      <w:r w:rsidRPr="006502E8">
        <w:rPr>
          <w:rFonts w:ascii="Arial" w:hAnsi="Arial" w:cs="Arial"/>
          <w:noProof/>
          <w:sz w:val="24"/>
          <w:szCs w:val="24"/>
        </w:rPr>
        <w:drawing>
          <wp:inline distT="114300" distB="114300" distL="114300" distR="114300" wp14:anchorId="37EB041A" wp14:editId="4E092D97">
            <wp:extent cx="4710113" cy="2722789"/>
            <wp:effectExtent l="25400" t="25400" r="25400" b="25400"/>
            <wp:docPr id="131303156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4710113" cy="2722789"/>
                    </a:xfrm>
                    <a:prstGeom prst="rect">
                      <a:avLst/>
                    </a:prstGeom>
                    <a:ln w="25400">
                      <a:solidFill>
                        <a:srgbClr val="000000"/>
                      </a:solidFill>
                      <a:prstDash val="solid"/>
                    </a:ln>
                  </pic:spPr>
                </pic:pic>
              </a:graphicData>
            </a:graphic>
          </wp:inline>
        </w:drawing>
      </w:r>
    </w:p>
    <w:p w14:paraId="328585E7" w14:textId="20414B96" w:rsidR="0064474E" w:rsidRPr="006502E8" w:rsidRDefault="0064474E" w:rsidP="0064474E">
      <w:pPr>
        <w:pStyle w:val="Heading4"/>
      </w:pPr>
      <w:bookmarkStart w:id="173" w:name="_Toc218187259"/>
      <w:r w:rsidRPr="006502E8">
        <w:t>Figure 4.</w:t>
      </w:r>
      <w:r w:rsidR="00665861" w:rsidRPr="006502E8">
        <w:t>3</w:t>
      </w:r>
      <w:r w:rsidRPr="006502E8">
        <w:t>: Coding tree for theme 2</w:t>
      </w:r>
      <w:bookmarkEnd w:id="173"/>
    </w:p>
    <w:p w14:paraId="01409ED5"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 xml:space="preserve">It has been identified that housing quality is not just about social good; it is the most important public-health determinant. According to McClatchey </w:t>
      </w:r>
      <w:r w:rsidRPr="006502E8">
        <w:rPr>
          <w:rFonts w:ascii="Arial" w:eastAsia="Times New Roman" w:hAnsi="Arial" w:cs="Arial"/>
          <w:i/>
          <w:iCs/>
          <w:sz w:val="24"/>
          <w:szCs w:val="24"/>
        </w:rPr>
        <w:t>et al.</w:t>
      </w:r>
      <w:r w:rsidRPr="006502E8">
        <w:rPr>
          <w:rFonts w:ascii="Arial" w:eastAsia="Times New Roman" w:hAnsi="Arial" w:cs="Arial"/>
          <w:sz w:val="24"/>
          <w:szCs w:val="24"/>
        </w:rPr>
        <w:t xml:space="preserve"> (2024), local government actors use the term “upstream” to refer to how housing interventions such as energy efficiency, repairs and enforcement are aimed at reducing health problems and healthcare usage. They also provide insight into how programme-theory development identifies the pathways from poor housing to physical and mental health problems and the anticipated impact of place-based interventions on health outcomes. As per the view of Phillips </w:t>
      </w:r>
      <w:r w:rsidRPr="006502E8">
        <w:rPr>
          <w:rFonts w:ascii="Arial" w:eastAsia="Times New Roman" w:hAnsi="Arial" w:cs="Arial"/>
          <w:i/>
          <w:iCs/>
          <w:sz w:val="24"/>
          <w:szCs w:val="24"/>
        </w:rPr>
        <w:t xml:space="preserve">et al. </w:t>
      </w:r>
      <w:r w:rsidRPr="006502E8">
        <w:rPr>
          <w:rFonts w:ascii="Arial" w:eastAsia="Times New Roman" w:hAnsi="Arial" w:cs="Arial"/>
          <w:sz w:val="24"/>
          <w:szCs w:val="24"/>
        </w:rPr>
        <w:t>(2024), it has been noticed that new insight regarding tenant priorities, such as the poor quality of their rental properties, their mental well-being and their access to services, to inform research and practice. Both sets of research demonstrate that dampness and cold conditions are positively correlated with respiratory health problems; that housing insecurity is associated with increased stress and service utilisation; and that the inclusion of tenant voices can drive research agendas in the direction of prevention and equity.</w:t>
      </w:r>
    </w:p>
    <w:p w14:paraId="271A01EF"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The critical contribution of both papers is that they expose the current gap between the evidence of the relationship between housing improvements and public health outcomes and the fact that very few studies have produced rigorous, robust evidence demonstrating sustained health outcomes as a result of housing improvements. Hence, both sets of authors caution that although there is a strong logical connection between enhancing housing quality and improving overall population health, the current lack of evidence demonstrating sustained public health outcomes will continue to be a challenge to improving population health outcomes without establishing stronger funding mechanisms and conducting robust evaluations of the impact of housing on public health.</w:t>
      </w:r>
    </w:p>
    <w:p w14:paraId="2BC8FC47" w14:textId="77777777" w:rsidR="0064474E" w:rsidRPr="006502E8" w:rsidRDefault="0064474E" w:rsidP="0064474E">
      <w:pPr>
        <w:pStyle w:val="Heading3"/>
      </w:pPr>
      <w:bookmarkStart w:id="174" w:name="_xxf704j6aqsr" w:colFirst="0" w:colLast="0"/>
      <w:bookmarkStart w:id="175" w:name="_Toc216367742"/>
      <w:bookmarkStart w:id="176" w:name="_Toc218184542"/>
      <w:bookmarkEnd w:id="174"/>
      <w:r w:rsidRPr="006502E8">
        <w:t>4.4.2 Obstacles to Delivering Effective Preventive Health Measures</w:t>
      </w:r>
      <w:bookmarkEnd w:id="175"/>
      <w:bookmarkEnd w:id="176"/>
    </w:p>
    <w:p w14:paraId="5882F596"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Dawes</w:t>
      </w:r>
      <w:r w:rsidRPr="006502E8">
        <w:rPr>
          <w:rFonts w:ascii="Arial" w:eastAsia="Times New Roman" w:hAnsi="Arial" w:cs="Arial"/>
          <w:i/>
          <w:iCs/>
          <w:sz w:val="24"/>
          <w:szCs w:val="24"/>
        </w:rPr>
        <w:t xml:space="preserve"> et al.</w:t>
      </w:r>
      <w:r w:rsidRPr="006502E8">
        <w:rPr>
          <w:rFonts w:ascii="Arial" w:eastAsia="Times New Roman" w:hAnsi="Arial" w:cs="Arial"/>
          <w:sz w:val="24"/>
          <w:szCs w:val="24"/>
        </w:rPr>
        <w:t xml:space="preserve"> (2022) and McKee and Harris (2025) discuss the structural and relational obstacles that prevent individuals from accessing preventative public health measures, specifically those related to housing. During the COVID-19 pandemic, Dawes</w:t>
      </w:r>
      <w:r w:rsidRPr="006502E8">
        <w:rPr>
          <w:rFonts w:ascii="Arial" w:eastAsia="Times New Roman" w:hAnsi="Arial" w:cs="Arial"/>
          <w:i/>
          <w:iCs/>
          <w:sz w:val="24"/>
          <w:szCs w:val="24"/>
        </w:rPr>
        <w:t xml:space="preserve"> et al.,</w:t>
      </w:r>
      <w:r w:rsidRPr="006502E8">
        <w:rPr>
          <w:rFonts w:ascii="Arial" w:eastAsia="Times New Roman" w:hAnsi="Arial" w:cs="Arial"/>
          <w:sz w:val="24"/>
          <w:szCs w:val="24"/>
        </w:rPr>
        <w:t xml:space="preserve"> (2022) spoke to people experiencing homelessness and to service providers (who help people experiencing homelessness) about their accounts of how the pandemic impacted people experiencing homelessness. Services for people experiencing homelessness are normally fragmented into separate areas, but during a time of crisis, when emergency response systems usually dominate, these were not able to address the issues faced by people experiencing homelessness. Service provider respondents stated that, as they were operating within an emergency response system, they were not able to offer long-term solutions to the issues which caused homelessness. Hence, they were required to provide people experiencing homelessness with temporary emergency accommodation and short-term financial support. </w:t>
      </w:r>
    </w:p>
    <w:p w14:paraId="3314701F"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McKee and Harris (2025) highlight that tenants' ability to find safe homes is contingent upon their relationships with landlords in the private rental sector; their relationships with landlords are mediated through the landlords' discretionary behaviours (responsiveness to repairs, tolerance of noise or occupation, communication) that are necessary to secure safe homes. Poor or exploitative landlord behaviours violate statutory protections and negatively affect tenants' compliance with preventative measures (the timeliness of mould remediation, ventilation improvements). These papers highlight the existence of power asymmetries in the ability to discuss problems; the fear of eviction prevents tenants from discussing issues, which results in problems not being resolved promptly.</w:t>
      </w:r>
    </w:p>
    <w:p w14:paraId="321E115B" w14:textId="77777777" w:rsidR="0064474E" w:rsidRPr="006502E8" w:rsidRDefault="0064474E" w:rsidP="0064474E">
      <w:pPr>
        <w:spacing w:line="360" w:lineRule="auto"/>
        <w:jc w:val="both"/>
        <w:rPr>
          <w:rFonts w:ascii="Arial" w:eastAsia="Times New Roman" w:hAnsi="Arial" w:cs="Arial"/>
          <w:sz w:val="24"/>
          <w:szCs w:val="24"/>
        </w:rPr>
      </w:pPr>
      <w:r w:rsidRPr="006502E8">
        <w:rPr>
          <w:rFonts w:ascii="Arial" w:eastAsia="Times New Roman" w:hAnsi="Arial" w:cs="Arial"/>
          <w:sz w:val="24"/>
          <w:szCs w:val="24"/>
        </w:rPr>
        <w:t xml:space="preserve">Together, these studies describe two barriers: the first, institutional fragmentation and the second, failure to implement the policy (policy failure). To achieve effective prevention, there are two requirements: structural reform (joined-up funding, enforcement of existing regulatory standards and programmes evaluated for efficacy) and mechanisms to equalise power (tenant protections, access to appropriate complaint mechanisms and incentives to encourage compliance of landlords). </w:t>
      </w:r>
    </w:p>
    <w:p w14:paraId="26B88650" w14:textId="082F6826" w:rsidR="00EE1468" w:rsidRPr="006502E8" w:rsidRDefault="00EE1468" w:rsidP="0064474E">
      <w:pPr>
        <w:spacing w:line="360" w:lineRule="auto"/>
        <w:jc w:val="both"/>
        <w:rPr>
          <w:rFonts w:ascii="Arial" w:eastAsia="Times New Roman" w:hAnsi="Arial" w:cs="Arial"/>
          <w:b/>
          <w:bCs/>
          <w:i/>
          <w:iCs/>
          <w:sz w:val="24"/>
          <w:szCs w:val="24"/>
        </w:rPr>
      </w:pPr>
      <w:r w:rsidRPr="006502E8">
        <w:rPr>
          <w:rFonts w:ascii="Arial" w:eastAsia="Times New Roman" w:hAnsi="Arial" w:cs="Arial"/>
          <w:b/>
          <w:bCs/>
          <w:i/>
          <w:iCs/>
          <w:sz w:val="24"/>
          <w:szCs w:val="24"/>
        </w:rPr>
        <w:t xml:space="preserve">Key findings </w:t>
      </w:r>
    </w:p>
    <w:p w14:paraId="328280C9" w14:textId="0B8922C6" w:rsidR="00EE1468" w:rsidRPr="0010643F" w:rsidRDefault="00EE1468" w:rsidP="0064474E">
      <w:pPr>
        <w:spacing w:line="360" w:lineRule="auto"/>
        <w:jc w:val="both"/>
        <w:rPr>
          <w:rFonts w:ascii="Arial" w:hAnsi="Arial" w:cs="Arial"/>
          <w:color w:val="4472C4" w:themeColor="accent1"/>
          <w:sz w:val="24"/>
          <w:szCs w:val="24"/>
        </w:rPr>
      </w:pPr>
      <w:r w:rsidRPr="0010643F">
        <w:rPr>
          <w:rFonts w:ascii="Arial" w:hAnsi="Arial" w:cs="Arial"/>
          <w:color w:val="4472C4" w:themeColor="accent1"/>
          <w:sz w:val="24"/>
          <w:szCs w:val="24"/>
        </w:rPr>
        <w:t>The findings demonstrate that housing quality should be characterised as an increasingly important upstream public health factor associated with respiratory and mental health outcomes resulting from dampness, cold housing, lack of housing stability, etc. However, limited programmes of service delivery, insufficient and inconsistent implementation of government regulatory policies along with unequal power between landlords and tenants have hampered housing health improvement programmes from being effectively implemented on an ongoing basis.</w:t>
      </w:r>
    </w:p>
    <w:p w14:paraId="468C9D76" w14:textId="77777777" w:rsidR="0064474E" w:rsidRPr="006502E8" w:rsidRDefault="0064474E" w:rsidP="0064474E">
      <w:pPr>
        <w:pStyle w:val="Heading2"/>
      </w:pPr>
      <w:bookmarkStart w:id="177" w:name="_w3h2mxoynu64" w:colFirst="0" w:colLast="0"/>
      <w:bookmarkStart w:id="178" w:name="_Toc216367743"/>
      <w:bookmarkStart w:id="179" w:name="_Toc218184543"/>
      <w:bookmarkEnd w:id="177"/>
      <w:r w:rsidRPr="006502E8">
        <w:t>4.5 Theme 3: Social Care Insights into Vulnerable Residents’ Exposure</w:t>
      </w:r>
      <w:bookmarkEnd w:id="178"/>
      <w:bookmarkEnd w:id="179"/>
      <w:r w:rsidRPr="006502E8">
        <w:t xml:space="preserve"> </w:t>
      </w:r>
    </w:p>
    <w:p w14:paraId="1B8183B2" w14:textId="77777777" w:rsidR="0064474E" w:rsidRPr="006502E8" w:rsidRDefault="0064474E" w:rsidP="0064474E">
      <w:pPr>
        <w:pStyle w:val="Heading3"/>
      </w:pPr>
      <w:bookmarkStart w:id="180" w:name="_ikqepn15yoxe" w:colFirst="0" w:colLast="0"/>
      <w:bookmarkStart w:id="181" w:name="_Toc216367744"/>
      <w:bookmarkStart w:id="182" w:name="_Toc218184544"/>
      <w:bookmarkEnd w:id="180"/>
      <w:r w:rsidRPr="006502E8">
        <w:t>4.5.1 Effects on High-Risk Populations: Young adults who are in Economically Disadvantaged Households</w:t>
      </w:r>
      <w:bookmarkEnd w:id="181"/>
      <w:bookmarkEnd w:id="182"/>
    </w:p>
    <w:p w14:paraId="5CF98C2C" w14:textId="65011E4D" w:rsidR="00A15DBE" w:rsidRPr="0010643F" w:rsidRDefault="00D27CBB" w:rsidP="00D27CBB">
      <w:pPr>
        <w:spacing w:line="360" w:lineRule="auto"/>
        <w:jc w:val="both"/>
        <w:rPr>
          <w:rFonts w:ascii="Arial" w:hAnsi="Arial" w:cs="Arial"/>
          <w:color w:val="4472C4" w:themeColor="accent1"/>
          <w:sz w:val="24"/>
          <w:szCs w:val="24"/>
        </w:rPr>
      </w:pPr>
      <w:r w:rsidRPr="0010643F">
        <w:rPr>
          <w:rFonts w:ascii="Arial" w:hAnsi="Arial" w:cs="Arial"/>
          <w:color w:val="4472C4" w:themeColor="accent1"/>
          <w:sz w:val="24"/>
          <w:szCs w:val="24"/>
        </w:rPr>
        <w:t>Young adults from economically disadvantaged households represent a high-risk population, as financial insecurity, limited access to resources, and social inequality significantly intensify their vulnerability to adverse educational, health, and socio-economic outcomes</w:t>
      </w:r>
      <w:r w:rsidR="00EE1468" w:rsidRPr="0010643F">
        <w:rPr>
          <w:rFonts w:ascii="Arial" w:hAnsi="Arial" w:cs="Arial"/>
          <w:color w:val="4472C4" w:themeColor="accent1"/>
          <w:sz w:val="24"/>
          <w:szCs w:val="24"/>
        </w:rPr>
        <w:t xml:space="preserve"> (see figure 4.4)</w:t>
      </w:r>
      <w:r w:rsidRPr="0010643F">
        <w:rPr>
          <w:rFonts w:ascii="Arial" w:hAnsi="Arial" w:cs="Arial"/>
          <w:color w:val="4472C4" w:themeColor="accent1"/>
          <w:sz w:val="24"/>
          <w:szCs w:val="24"/>
        </w:rPr>
        <w:t>.</w:t>
      </w:r>
    </w:p>
    <w:p w14:paraId="52A6169C" w14:textId="77777777" w:rsidR="0064474E" w:rsidRPr="006502E8" w:rsidRDefault="0064474E" w:rsidP="0064474E">
      <w:pPr>
        <w:spacing w:line="360" w:lineRule="auto"/>
        <w:jc w:val="center"/>
        <w:rPr>
          <w:rFonts w:ascii="Arial" w:hAnsi="Arial" w:cs="Arial"/>
          <w:sz w:val="24"/>
          <w:szCs w:val="24"/>
        </w:rPr>
      </w:pPr>
      <w:r w:rsidRPr="006502E8">
        <w:rPr>
          <w:rFonts w:ascii="Arial" w:hAnsi="Arial" w:cs="Arial"/>
          <w:noProof/>
          <w:sz w:val="24"/>
          <w:szCs w:val="24"/>
        </w:rPr>
        <w:drawing>
          <wp:inline distT="114300" distB="114300" distL="114300" distR="114300" wp14:anchorId="5126D305" wp14:editId="597A4680">
            <wp:extent cx="4367213" cy="2524568"/>
            <wp:effectExtent l="25400" t="25400" r="25400" b="25400"/>
            <wp:docPr id="18503211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4367213" cy="2524568"/>
                    </a:xfrm>
                    <a:prstGeom prst="rect">
                      <a:avLst/>
                    </a:prstGeom>
                    <a:ln w="25400">
                      <a:solidFill>
                        <a:srgbClr val="000000"/>
                      </a:solidFill>
                      <a:prstDash val="solid"/>
                    </a:ln>
                  </pic:spPr>
                </pic:pic>
              </a:graphicData>
            </a:graphic>
          </wp:inline>
        </w:drawing>
      </w:r>
    </w:p>
    <w:p w14:paraId="48BE3B6F" w14:textId="3018ABED" w:rsidR="0064474E" w:rsidRPr="006502E8" w:rsidRDefault="0064474E" w:rsidP="0064474E">
      <w:pPr>
        <w:pStyle w:val="Heading4"/>
      </w:pPr>
      <w:bookmarkStart w:id="183" w:name="_Toc218187260"/>
      <w:r w:rsidRPr="006502E8">
        <w:t>Figure 4.</w:t>
      </w:r>
      <w:r w:rsidR="00665861" w:rsidRPr="006502E8">
        <w:t>4</w:t>
      </w:r>
      <w:r w:rsidRPr="006502E8">
        <w:t>: Coding tree for theme 3</w:t>
      </w:r>
      <w:bookmarkEnd w:id="183"/>
    </w:p>
    <w:p w14:paraId="685EC477"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 xml:space="preserve">Research conducted by Sherriff </w:t>
      </w:r>
      <w:r w:rsidRPr="006502E8">
        <w:rPr>
          <w:rFonts w:ascii="Arial" w:eastAsia="Times New Roman" w:hAnsi="Arial" w:cs="Arial"/>
          <w:i/>
          <w:iCs/>
          <w:sz w:val="24"/>
          <w:szCs w:val="24"/>
        </w:rPr>
        <w:t xml:space="preserve">et al. </w:t>
      </w:r>
      <w:r w:rsidRPr="006502E8">
        <w:rPr>
          <w:rFonts w:ascii="Arial" w:eastAsia="Times New Roman" w:hAnsi="Arial" w:cs="Arial"/>
          <w:sz w:val="24"/>
          <w:szCs w:val="24"/>
        </w:rPr>
        <w:t xml:space="preserve">(2024) and Phillips </w:t>
      </w:r>
      <w:r w:rsidRPr="006502E8">
        <w:rPr>
          <w:rFonts w:ascii="Arial" w:eastAsia="Times New Roman" w:hAnsi="Arial" w:cs="Arial"/>
          <w:i/>
          <w:iCs/>
          <w:sz w:val="24"/>
          <w:szCs w:val="24"/>
        </w:rPr>
        <w:t xml:space="preserve">et al. </w:t>
      </w:r>
      <w:r w:rsidRPr="006502E8">
        <w:rPr>
          <w:rFonts w:ascii="Arial" w:eastAsia="Times New Roman" w:hAnsi="Arial" w:cs="Arial"/>
          <w:sz w:val="24"/>
          <w:szCs w:val="24"/>
        </w:rPr>
        <w:t>(2024) indicated that lower socioeconomic young adults face disproportionately high levels of harmful housing conditions and increased risk for respiratory-related illnesses. Young adult's living conditions include consistently damp, mouldy and crowded houses mostly because of the poverty of tenants and their reduced negotiating power to find better quality or affordable housing; as a result, the authors assert that young adults perceived the health-related issues (breathing problems and recurring infections) associated with these housing conditions were not adequately considered by the mainstream health and social care system.</w:t>
      </w:r>
    </w:p>
    <w:p w14:paraId="16A3E612"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The results were confirmed by Sherriff</w:t>
      </w:r>
      <w:r w:rsidRPr="006502E8">
        <w:rPr>
          <w:rFonts w:ascii="Arial" w:eastAsia="Times New Roman" w:hAnsi="Arial" w:cs="Arial"/>
          <w:i/>
          <w:iCs/>
          <w:sz w:val="24"/>
          <w:szCs w:val="24"/>
        </w:rPr>
        <w:t xml:space="preserve"> et al.</w:t>
      </w:r>
      <w:r w:rsidRPr="006502E8">
        <w:rPr>
          <w:rFonts w:ascii="Arial" w:eastAsia="Times New Roman" w:hAnsi="Arial" w:cs="Arial"/>
          <w:sz w:val="24"/>
          <w:szCs w:val="24"/>
        </w:rPr>
        <w:t xml:space="preserve"> (2024), who identified young adults living in shelter-supported, deprived social housing facing challenges caused by the presence of hazardous conditions in the environment and the need for repairs and prolonged maintenance (due to the commercial under-pricing of the needed services). This study provides compelling evidence that people who spend long periods of time in an unhealthy indoor environment are at risk of developing respiratory problems. Also, the two studies indicate that people in their 20s are facing challenges associated with helplessness, anxiety and frustration. These emotions will further contribute to the negative impact of poor living standards on the health of these young adults. In summary, young adults from economically disadvantaged backgrounds are socio-economically and structurally positioned to be more susceptible to respiratory illness because of their exposure to socio-economically related inequities and limitations experienced.</w:t>
      </w:r>
    </w:p>
    <w:p w14:paraId="28BDF60A" w14:textId="77777777" w:rsidR="0064474E" w:rsidRPr="006502E8" w:rsidRDefault="0064474E" w:rsidP="0064474E">
      <w:pPr>
        <w:pStyle w:val="Heading3"/>
      </w:pPr>
      <w:bookmarkStart w:id="184" w:name="_4z7w16vs3i9u" w:colFirst="0" w:colLast="0"/>
      <w:bookmarkStart w:id="185" w:name="_Toc216367745"/>
      <w:bookmarkStart w:id="186" w:name="_Toc218184545"/>
      <w:bookmarkEnd w:id="184"/>
      <w:r w:rsidRPr="006502E8">
        <w:t>4.5.2 Limitations Hindering Timely Assistance and Preventive Support</w:t>
      </w:r>
      <w:bookmarkEnd w:id="185"/>
      <w:bookmarkEnd w:id="186"/>
    </w:p>
    <w:p w14:paraId="1A94ABA3"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 xml:space="preserve">Evidence presented by El-Hoss </w:t>
      </w:r>
      <w:r w:rsidRPr="006502E8">
        <w:rPr>
          <w:rFonts w:ascii="Arial" w:eastAsia="Times New Roman" w:hAnsi="Arial" w:cs="Arial"/>
          <w:i/>
          <w:iCs/>
          <w:sz w:val="24"/>
          <w:szCs w:val="24"/>
        </w:rPr>
        <w:t>et al.</w:t>
      </w:r>
      <w:r w:rsidRPr="006502E8">
        <w:rPr>
          <w:rFonts w:ascii="Arial" w:eastAsia="Times New Roman" w:hAnsi="Arial" w:cs="Arial"/>
          <w:sz w:val="24"/>
          <w:szCs w:val="24"/>
        </w:rPr>
        <w:t xml:space="preserve"> (2024) and Phillips </w:t>
      </w:r>
      <w:r w:rsidRPr="006502E8">
        <w:rPr>
          <w:rFonts w:ascii="Arial" w:eastAsia="Times New Roman" w:hAnsi="Arial" w:cs="Arial"/>
          <w:i/>
          <w:iCs/>
          <w:sz w:val="24"/>
          <w:szCs w:val="24"/>
        </w:rPr>
        <w:t>et al</w:t>
      </w:r>
      <w:r w:rsidRPr="006502E8">
        <w:rPr>
          <w:rFonts w:ascii="Arial" w:eastAsia="Times New Roman" w:hAnsi="Arial" w:cs="Arial"/>
          <w:sz w:val="24"/>
          <w:szCs w:val="24"/>
        </w:rPr>
        <w:t xml:space="preserve">. (2024) demonstrates that social care systems are significantly hampered from providing timely and preventative care support to people living in unsafe housing conditions. El-Hoss </w:t>
      </w:r>
      <w:r w:rsidRPr="006502E8">
        <w:rPr>
          <w:rFonts w:ascii="Arial" w:eastAsia="Times New Roman" w:hAnsi="Arial" w:cs="Arial"/>
          <w:i/>
          <w:iCs/>
          <w:sz w:val="24"/>
          <w:szCs w:val="24"/>
        </w:rPr>
        <w:t xml:space="preserve">et al. </w:t>
      </w:r>
      <w:r w:rsidRPr="006502E8">
        <w:rPr>
          <w:rFonts w:ascii="Arial" w:eastAsia="Times New Roman" w:hAnsi="Arial" w:cs="Arial"/>
          <w:sz w:val="24"/>
          <w:szCs w:val="24"/>
        </w:rPr>
        <w:t>(2024) provide a clear example of how the fragmented relationship between housing and children’s social care makes it impossible to identify environmental risks early. Case managers do not usually have enough resources, time or cross-agency information to address hazards such as dampness or overcrowding before they become serious health threats. The evidence produced through embedded research with practitioners shows that, as a result, practitioners tend to be reactive rather than preventative; they intervene after a crisis has already developed.</w:t>
      </w:r>
    </w:p>
    <w:p w14:paraId="54894310" w14:textId="77777777" w:rsidR="0064474E" w:rsidRPr="006502E8" w:rsidRDefault="0064474E" w:rsidP="0064474E">
      <w:pPr>
        <w:spacing w:line="360" w:lineRule="auto"/>
        <w:jc w:val="both"/>
        <w:rPr>
          <w:rFonts w:ascii="Arial" w:hAnsi="Arial" w:cs="Arial"/>
          <w:sz w:val="24"/>
          <w:szCs w:val="24"/>
        </w:rPr>
      </w:pPr>
      <w:r w:rsidRPr="006502E8">
        <w:rPr>
          <w:rFonts w:ascii="Arial" w:eastAsia="Times New Roman" w:hAnsi="Arial" w:cs="Arial"/>
          <w:sz w:val="24"/>
          <w:szCs w:val="24"/>
        </w:rPr>
        <w:t xml:space="preserve">According to Phillips </w:t>
      </w:r>
      <w:r w:rsidRPr="006502E8">
        <w:rPr>
          <w:rFonts w:ascii="Arial" w:eastAsia="Times New Roman" w:hAnsi="Arial" w:cs="Arial"/>
          <w:i/>
          <w:iCs/>
          <w:sz w:val="24"/>
          <w:szCs w:val="24"/>
        </w:rPr>
        <w:t xml:space="preserve">et al. </w:t>
      </w:r>
      <w:r w:rsidRPr="006502E8">
        <w:rPr>
          <w:rFonts w:ascii="Arial" w:eastAsia="Times New Roman" w:hAnsi="Arial" w:cs="Arial"/>
          <w:sz w:val="24"/>
          <w:szCs w:val="24"/>
        </w:rPr>
        <w:t>(2024), many tenants, especially those living in social housing, feel neglected by their housing provider due to a lack of responsiveness from the system. This stems from a slow repair process and a lack of effective communication, and ultimately, limits tenants' ability to communicate or express their concerns. As a result of these delays, the number of tenants who formally report their issues will decline, resulting in an increase in the prolongation of the tenants' stay in unhealthy housing and creating even more issues related to respiratory health. Additionally, social care professionals acknowledge that the workload and lack of funding that they currently experience prevent them from carrying out the proper, proactive, holistic assessments of housing-related health risks.</w:t>
      </w:r>
    </w:p>
    <w:p w14:paraId="30DE9527" w14:textId="77777777" w:rsidR="0064474E" w:rsidRPr="006502E8" w:rsidRDefault="0064474E" w:rsidP="0064474E">
      <w:pPr>
        <w:spacing w:line="360" w:lineRule="auto"/>
        <w:jc w:val="both"/>
        <w:rPr>
          <w:rFonts w:ascii="Arial" w:eastAsia="Times New Roman" w:hAnsi="Arial" w:cs="Arial"/>
          <w:sz w:val="24"/>
          <w:szCs w:val="24"/>
        </w:rPr>
      </w:pPr>
      <w:r w:rsidRPr="006502E8">
        <w:rPr>
          <w:rFonts w:ascii="Arial" w:eastAsia="Times New Roman" w:hAnsi="Arial" w:cs="Arial"/>
          <w:sz w:val="24"/>
          <w:szCs w:val="24"/>
        </w:rPr>
        <w:t>Both studies thus illustrate that there is a systemic mismatch between the stated policy objectives and the operational capacity of social care systems. Even though prevention is referred to as a priority in policy language, systemic barriers such as underfunding, siloed services and a lack of adequate engagement of tenants prevent real-world implementation of this intention. As a consequence of this mismatch, timely assistance to tenants living in hazardous housing conditions is suboptimal.</w:t>
      </w:r>
    </w:p>
    <w:p w14:paraId="331BB74C" w14:textId="21E39CB5" w:rsidR="00EE1468" w:rsidRPr="006502E8" w:rsidRDefault="00EE1468" w:rsidP="0064474E">
      <w:pPr>
        <w:spacing w:line="360" w:lineRule="auto"/>
        <w:jc w:val="both"/>
        <w:rPr>
          <w:rFonts w:ascii="Arial" w:eastAsia="Times New Roman" w:hAnsi="Arial" w:cs="Arial"/>
          <w:b/>
          <w:bCs/>
          <w:i/>
          <w:iCs/>
          <w:sz w:val="24"/>
          <w:szCs w:val="24"/>
        </w:rPr>
      </w:pPr>
      <w:r w:rsidRPr="006502E8">
        <w:rPr>
          <w:rFonts w:ascii="Arial" w:eastAsia="Times New Roman" w:hAnsi="Arial" w:cs="Arial"/>
          <w:b/>
          <w:bCs/>
          <w:i/>
          <w:iCs/>
          <w:sz w:val="24"/>
          <w:szCs w:val="24"/>
        </w:rPr>
        <w:t xml:space="preserve">Key findings </w:t>
      </w:r>
    </w:p>
    <w:p w14:paraId="6B8FFBF0" w14:textId="22F427C9" w:rsidR="00EE1468" w:rsidRPr="0010643F" w:rsidRDefault="00EE1468" w:rsidP="0064474E">
      <w:pPr>
        <w:spacing w:line="360" w:lineRule="auto"/>
        <w:jc w:val="both"/>
        <w:rPr>
          <w:rFonts w:ascii="Arial" w:hAnsi="Arial" w:cs="Arial"/>
          <w:color w:val="4472C4" w:themeColor="accent1"/>
          <w:sz w:val="24"/>
          <w:szCs w:val="24"/>
          <w:lang w:val="en-IN"/>
        </w:rPr>
      </w:pPr>
      <w:r w:rsidRPr="0010643F">
        <w:rPr>
          <w:rFonts w:ascii="Arial" w:hAnsi="Arial" w:cs="Arial"/>
          <w:color w:val="4472C4" w:themeColor="accent1"/>
          <w:sz w:val="24"/>
          <w:szCs w:val="24"/>
          <w:lang w:val="en-IN"/>
        </w:rPr>
        <w:t>A significant number of the key findings illustrate the significant discrepancy in risk exposures for the economically disadvantaged populations of young adults to damp, mould, and overcrowded housing conditions contributing to the high probability of these individuals being diagnosed with respiratory illness. Due to the structural nature of poverty, lack of tenant voice/power and fragmented social care support systems providing timely preventive support; these populations subject to long durations of exposure to these housing conditions and resulting in repeated diagnosis of respiratory illness will experience worsening physical and mental health.</w:t>
      </w:r>
    </w:p>
    <w:p w14:paraId="49F437EC" w14:textId="6F5AB133" w:rsidR="0064474E" w:rsidRPr="006502E8" w:rsidRDefault="0064474E" w:rsidP="0064474E">
      <w:pPr>
        <w:pStyle w:val="Heading2"/>
      </w:pPr>
      <w:bookmarkStart w:id="187" w:name="_6ign87hai9ib" w:colFirst="0" w:colLast="0"/>
      <w:bookmarkStart w:id="188" w:name="_l5cm5wdg57gr" w:colFirst="0" w:colLast="0"/>
      <w:bookmarkStart w:id="189" w:name="_Toc216367747"/>
      <w:bookmarkStart w:id="190" w:name="_Toc218184546"/>
      <w:bookmarkEnd w:id="187"/>
      <w:bookmarkEnd w:id="188"/>
      <w:r w:rsidRPr="006502E8">
        <w:t>4.</w:t>
      </w:r>
      <w:r w:rsidR="00EE1468" w:rsidRPr="006502E8">
        <w:t>6</w:t>
      </w:r>
      <w:r w:rsidRPr="006502E8">
        <w:t xml:space="preserve"> Cross-Theme Synthesis</w:t>
      </w:r>
      <w:bookmarkEnd w:id="189"/>
      <w:bookmarkEnd w:id="190"/>
      <w:r w:rsidRPr="006502E8">
        <w:t xml:space="preserve"> </w:t>
      </w:r>
    </w:p>
    <w:p w14:paraId="39123AF7" w14:textId="77777777" w:rsidR="0064474E" w:rsidRPr="006502E8" w:rsidRDefault="0064474E" w:rsidP="0064474E">
      <w:pPr>
        <w:spacing w:line="360" w:lineRule="auto"/>
        <w:jc w:val="both"/>
        <w:rPr>
          <w:rFonts w:ascii="Arial" w:hAnsi="Arial" w:cs="Arial"/>
          <w:sz w:val="24"/>
          <w:szCs w:val="24"/>
        </w:rPr>
      </w:pPr>
      <w:r w:rsidRPr="006502E8">
        <w:rPr>
          <w:rFonts w:ascii="Arial" w:hAnsi="Arial" w:cs="Arial"/>
          <w:sz w:val="24"/>
          <w:szCs w:val="24"/>
        </w:rPr>
        <w:t>Throughout all three categories of research, there is a clear and concerning trend emerging among these studies: The relationship between respiratory illness and inadequate housing conditions is not just the consequence of solely environmental hazards; instead, these illnesses are predominantly created due to systemic and structural inequalities, failures of social policies, and ongoing gaps between available scientific knowledge and actual practice.</w:t>
      </w:r>
    </w:p>
    <w:p w14:paraId="0B6CF498" w14:textId="77777777" w:rsidR="0064474E" w:rsidRPr="006502E8" w:rsidRDefault="0064474E" w:rsidP="0064474E">
      <w:pPr>
        <w:spacing w:line="360" w:lineRule="auto"/>
        <w:jc w:val="both"/>
        <w:rPr>
          <w:rFonts w:ascii="Arial" w:hAnsi="Arial" w:cs="Arial"/>
          <w:sz w:val="24"/>
          <w:szCs w:val="24"/>
        </w:rPr>
      </w:pPr>
      <w:r w:rsidRPr="006502E8">
        <w:rPr>
          <w:rFonts w:ascii="Arial" w:hAnsi="Arial" w:cs="Arial"/>
          <w:sz w:val="24"/>
          <w:szCs w:val="24"/>
        </w:rPr>
        <w:t xml:space="preserve">Becoming more focused on Theme 1, there is evidence that Moisture, Moulds and Bacterial Risks are created through a societal structural process, not randomly generated. The description by Butler and Sherriff of the normalisation of mould among young adults reflects ongoing societal neglect, as well as ongoing non-regulation of low-rent housing. Studies conducted by Tod </w:t>
      </w:r>
      <w:r w:rsidRPr="006502E8">
        <w:rPr>
          <w:rFonts w:ascii="Arial" w:hAnsi="Arial" w:cs="Arial"/>
          <w:i/>
          <w:iCs/>
          <w:sz w:val="24"/>
          <w:szCs w:val="24"/>
        </w:rPr>
        <w:t xml:space="preserve">et al. </w:t>
      </w:r>
      <w:r w:rsidRPr="006502E8">
        <w:rPr>
          <w:rFonts w:ascii="Arial" w:hAnsi="Arial" w:cs="Arial"/>
          <w:sz w:val="24"/>
          <w:szCs w:val="24"/>
        </w:rPr>
        <w:t xml:space="preserve">(2016) and Sheringham </w:t>
      </w:r>
      <w:r w:rsidRPr="006502E8">
        <w:rPr>
          <w:rFonts w:ascii="Arial" w:hAnsi="Arial" w:cs="Arial"/>
          <w:i/>
          <w:iCs/>
          <w:sz w:val="24"/>
          <w:szCs w:val="24"/>
        </w:rPr>
        <w:t>et al.</w:t>
      </w:r>
      <w:r w:rsidRPr="006502E8">
        <w:rPr>
          <w:rFonts w:ascii="Arial" w:hAnsi="Arial" w:cs="Arial"/>
          <w:sz w:val="24"/>
          <w:szCs w:val="24"/>
        </w:rPr>
        <w:t xml:space="preserve"> (2024) have shown that many low-income households do not have adequate resources or the ability to create or maintain a healthy home environment, while the study conducted by Simpson </w:t>
      </w:r>
      <w:r w:rsidRPr="006502E8">
        <w:rPr>
          <w:rFonts w:ascii="Arial" w:hAnsi="Arial" w:cs="Arial"/>
          <w:i/>
          <w:iCs/>
          <w:sz w:val="24"/>
          <w:szCs w:val="24"/>
        </w:rPr>
        <w:t xml:space="preserve">et al. </w:t>
      </w:r>
      <w:r w:rsidRPr="006502E8">
        <w:rPr>
          <w:rFonts w:ascii="Arial" w:hAnsi="Arial" w:cs="Arial"/>
          <w:sz w:val="24"/>
          <w:szCs w:val="24"/>
        </w:rPr>
        <w:t>(2025) reveals that the blame for unhealthy conditions is often placed upon the tenant rather than the landlord’s or society’s negligence. Together, these studies have demonstrated an incorrect assignment of responsibility that conceals the impact that policy and regulatory gaps have had on the risk of Microbial Hazards.</w:t>
      </w:r>
    </w:p>
    <w:p w14:paraId="6DF01D0B" w14:textId="77777777" w:rsidR="0064474E" w:rsidRPr="006502E8" w:rsidRDefault="0064474E" w:rsidP="0064474E">
      <w:pPr>
        <w:spacing w:line="360" w:lineRule="auto"/>
        <w:jc w:val="both"/>
        <w:rPr>
          <w:rFonts w:ascii="Arial" w:hAnsi="Arial" w:cs="Arial"/>
          <w:sz w:val="24"/>
          <w:szCs w:val="24"/>
        </w:rPr>
      </w:pPr>
      <w:r w:rsidRPr="006502E8">
        <w:rPr>
          <w:rFonts w:ascii="Arial" w:hAnsi="Arial" w:cs="Arial"/>
          <w:sz w:val="24"/>
          <w:szCs w:val="24"/>
        </w:rPr>
        <w:t xml:space="preserve">Theme 2 illustrates how there is a breakdown between the knowledge about public health problems and how those problems are addressed in society. Although the methods used by McClatchey </w:t>
      </w:r>
      <w:r w:rsidRPr="006502E8">
        <w:rPr>
          <w:rFonts w:ascii="Arial" w:hAnsi="Arial" w:cs="Arial"/>
          <w:i/>
          <w:iCs/>
          <w:sz w:val="24"/>
          <w:szCs w:val="24"/>
        </w:rPr>
        <w:t xml:space="preserve">et al. </w:t>
      </w:r>
      <w:r w:rsidRPr="006502E8">
        <w:rPr>
          <w:rFonts w:ascii="Arial" w:hAnsi="Arial" w:cs="Arial"/>
          <w:sz w:val="24"/>
          <w:szCs w:val="24"/>
        </w:rPr>
        <w:t>(2024) and Phillips</w:t>
      </w:r>
      <w:r w:rsidRPr="006502E8">
        <w:rPr>
          <w:rFonts w:ascii="Arial" w:hAnsi="Arial" w:cs="Arial"/>
          <w:i/>
          <w:iCs/>
          <w:sz w:val="24"/>
          <w:szCs w:val="24"/>
        </w:rPr>
        <w:t xml:space="preserve"> et al.</w:t>
      </w:r>
      <w:r w:rsidRPr="006502E8">
        <w:rPr>
          <w:rFonts w:ascii="Arial" w:hAnsi="Arial" w:cs="Arial"/>
          <w:sz w:val="24"/>
          <w:szCs w:val="24"/>
        </w:rPr>
        <w:t xml:space="preserve"> (2024) indicate housing is a key "upstream" cause of respiratory disease, both authors note a lack of thorough evaluations of housing as a determinant of respiratory health, plus inadequate funding for implementing any of these findings into ongoing health improvement efforts. Both Dawes </w:t>
      </w:r>
      <w:r w:rsidRPr="006502E8">
        <w:rPr>
          <w:rFonts w:ascii="Arial" w:hAnsi="Arial" w:cs="Arial"/>
          <w:i/>
          <w:iCs/>
          <w:sz w:val="24"/>
          <w:szCs w:val="24"/>
        </w:rPr>
        <w:t xml:space="preserve">et al. </w:t>
      </w:r>
      <w:r w:rsidRPr="006502E8">
        <w:rPr>
          <w:rFonts w:ascii="Arial" w:hAnsi="Arial" w:cs="Arial"/>
          <w:sz w:val="24"/>
          <w:szCs w:val="24"/>
        </w:rPr>
        <w:t xml:space="preserve">(2022) and McKee and Harris (2025) further illustrate this breakdown through their findings that service structure fragmentation, intervention only on a crisis basis, and an unequal relationship between tenants and landlords create impediments to developing preventative interventions. </w:t>
      </w:r>
    </w:p>
    <w:p w14:paraId="2F97272F" w14:textId="77777777" w:rsidR="0064474E" w:rsidRPr="006502E8" w:rsidRDefault="0064474E" w:rsidP="0064474E">
      <w:pPr>
        <w:spacing w:line="360" w:lineRule="auto"/>
        <w:jc w:val="both"/>
        <w:rPr>
          <w:rFonts w:ascii="Arial" w:hAnsi="Arial" w:cs="Arial"/>
          <w:sz w:val="24"/>
          <w:szCs w:val="24"/>
        </w:rPr>
      </w:pPr>
      <w:r w:rsidRPr="006502E8">
        <w:rPr>
          <w:rFonts w:ascii="Arial" w:hAnsi="Arial" w:cs="Arial"/>
          <w:sz w:val="24"/>
          <w:szCs w:val="24"/>
        </w:rPr>
        <w:t xml:space="preserve">The third theme considers how these failures disproportionately impact vulnerable groups. Young adults who come from low-income backgrounds or families with limited means are at increased risk of housing conditions that negatively impact their future health or quality of life due to their lack of bargaining power, psychological stress, and lack of access to appropriate services (Sherriff </w:t>
      </w:r>
      <w:r w:rsidRPr="006502E8">
        <w:rPr>
          <w:rFonts w:ascii="Arial" w:hAnsi="Arial" w:cs="Arial"/>
          <w:i/>
          <w:iCs/>
          <w:sz w:val="24"/>
          <w:szCs w:val="24"/>
        </w:rPr>
        <w:t>et al.,</w:t>
      </w:r>
      <w:r w:rsidRPr="006502E8">
        <w:rPr>
          <w:rFonts w:ascii="Arial" w:hAnsi="Arial" w:cs="Arial"/>
          <w:sz w:val="24"/>
          <w:szCs w:val="24"/>
        </w:rPr>
        <w:t xml:space="preserve"> 2024; Phillips </w:t>
      </w:r>
      <w:r w:rsidRPr="006502E8">
        <w:rPr>
          <w:rFonts w:ascii="Arial" w:hAnsi="Arial" w:cs="Arial"/>
          <w:i/>
          <w:iCs/>
          <w:sz w:val="24"/>
          <w:szCs w:val="24"/>
        </w:rPr>
        <w:t>et al.</w:t>
      </w:r>
      <w:r w:rsidRPr="006502E8">
        <w:rPr>
          <w:rFonts w:ascii="Arial" w:hAnsi="Arial" w:cs="Arial"/>
          <w:sz w:val="24"/>
          <w:szCs w:val="24"/>
        </w:rPr>
        <w:t>, 2024). Social Work Practitioners (El-Hoss</w:t>
      </w:r>
      <w:r w:rsidRPr="006502E8">
        <w:rPr>
          <w:rFonts w:ascii="Arial" w:hAnsi="Arial" w:cs="Arial"/>
          <w:i/>
          <w:iCs/>
          <w:sz w:val="24"/>
          <w:szCs w:val="24"/>
        </w:rPr>
        <w:t xml:space="preserve"> et al.</w:t>
      </w:r>
      <w:r w:rsidRPr="006502E8">
        <w:rPr>
          <w:rFonts w:ascii="Arial" w:hAnsi="Arial" w:cs="Arial"/>
          <w:sz w:val="24"/>
          <w:szCs w:val="24"/>
        </w:rPr>
        <w:t xml:space="preserve"> 2024) have the inability to deliver timely interventions because they are constrained by the chronic under-resourcing of their industry and the fragmented nature of social service systems. The research supporting these findings exposes a central inconsistency in policy: where there is an emphasis on preventing these negative outcomes through prevention, the operational framework for supporting individuals affected by them lacks an appropriate level of consistency, responsiveness and capacity to support the long-term recovery of individuals suffering from respiratory illness as a result of poor housing. A critical analysis of these issues leads to the conclusion that rather than being caused by individual actions, the long-term respiratory health risks caused by substandard housing conditions are a result of neglect at the structural level, inability to hold relevant actors accountable and poorly designed and fragmented systems of governance. </w:t>
      </w:r>
    </w:p>
    <w:p w14:paraId="54C6F709" w14:textId="71D45C45" w:rsidR="0064474E" w:rsidRPr="006502E8" w:rsidRDefault="0064474E" w:rsidP="0064474E">
      <w:pPr>
        <w:pStyle w:val="Heading2"/>
      </w:pPr>
      <w:bookmarkStart w:id="191" w:name="_98xuersj18j9" w:colFirst="0" w:colLast="0"/>
      <w:bookmarkStart w:id="192" w:name="_Toc216367748"/>
      <w:bookmarkStart w:id="193" w:name="_Toc218184547"/>
      <w:bookmarkEnd w:id="191"/>
      <w:r w:rsidRPr="006502E8">
        <w:t>4.</w:t>
      </w:r>
      <w:r w:rsidR="00EE1468" w:rsidRPr="006502E8">
        <w:t>7</w:t>
      </w:r>
      <w:r w:rsidRPr="006502E8">
        <w:t xml:space="preserve"> Summary of Findings</w:t>
      </w:r>
      <w:bookmarkEnd w:id="192"/>
      <w:bookmarkEnd w:id="193"/>
      <w:r w:rsidRPr="006502E8">
        <w:t xml:space="preserve"> </w:t>
      </w:r>
    </w:p>
    <w:p w14:paraId="529ACF8E" w14:textId="16B65C86" w:rsidR="009F64C5" w:rsidRPr="006502E8" w:rsidRDefault="0064474E" w:rsidP="0064474E">
      <w:pPr>
        <w:spacing w:after="142" w:line="360" w:lineRule="auto"/>
        <w:jc w:val="both"/>
        <w:rPr>
          <w:rFonts w:ascii="Arial" w:hAnsi="Arial" w:cs="Arial"/>
          <w:sz w:val="24"/>
          <w:szCs w:val="24"/>
        </w:rPr>
      </w:pPr>
      <w:r w:rsidRPr="727F1D53">
        <w:rPr>
          <w:rFonts w:ascii="Arial" w:hAnsi="Arial" w:cs="Arial"/>
          <w:sz w:val="24"/>
          <w:szCs w:val="24"/>
        </w:rPr>
        <w:t xml:space="preserve">There are numerous examples of evidence supporting the relationship between respiratory disease and systemic injustices, lack of enforcement of policies and rules, and insufficient prevention capabilities. Therefore, it is clear from this body of evidence that respiratory disease is not only caused by the individual's lifestyle </w:t>
      </w:r>
      <w:r w:rsidR="1331A25A" w:rsidRPr="727F1D53">
        <w:rPr>
          <w:rFonts w:ascii="Arial" w:hAnsi="Arial" w:cs="Arial"/>
          <w:sz w:val="24"/>
          <w:szCs w:val="24"/>
        </w:rPr>
        <w:t>choices but</w:t>
      </w:r>
      <w:r w:rsidRPr="727F1D53">
        <w:rPr>
          <w:rFonts w:ascii="Arial" w:hAnsi="Arial" w:cs="Arial"/>
          <w:sz w:val="24"/>
          <w:szCs w:val="24"/>
        </w:rPr>
        <w:t xml:space="preserve"> rather is created by the structural inequality of our broken health care and social services system and substandard housing conditions.</w:t>
      </w:r>
      <w:r w:rsidR="009F64C5" w:rsidRPr="727F1D53">
        <w:rPr>
          <w:rFonts w:ascii="Arial" w:hAnsi="Arial" w:cs="Arial"/>
          <w:sz w:val="24"/>
          <w:szCs w:val="24"/>
        </w:rPr>
        <w:t xml:space="preserve"> </w:t>
      </w:r>
    </w:p>
    <w:p w14:paraId="18194F8F" w14:textId="77777777" w:rsidR="009F64C5" w:rsidRPr="006502E8" w:rsidRDefault="009F64C5">
      <w:pPr>
        <w:spacing w:after="0"/>
        <w:rPr>
          <w:rFonts w:ascii="Arial" w:hAnsi="Arial" w:cs="Arial"/>
        </w:rPr>
      </w:pPr>
      <w:r w:rsidRPr="006502E8">
        <w:rPr>
          <w:rFonts w:ascii="Arial" w:eastAsia="Calibri" w:hAnsi="Arial" w:cs="Arial"/>
        </w:rPr>
        <w:t xml:space="preserve"> </w:t>
      </w:r>
      <w:r w:rsidRPr="006502E8">
        <w:rPr>
          <w:rFonts w:ascii="Arial" w:eastAsia="Calibri" w:hAnsi="Arial" w:cs="Arial"/>
        </w:rPr>
        <w:tab/>
      </w:r>
      <w:r w:rsidRPr="006502E8">
        <w:rPr>
          <w:rFonts w:ascii="Arial" w:eastAsia="Times New Roman" w:hAnsi="Arial" w:cs="Arial"/>
          <w:b/>
        </w:rPr>
        <w:t xml:space="preserve"> </w:t>
      </w:r>
    </w:p>
    <w:p w14:paraId="6F2446E6" w14:textId="77777777" w:rsidR="009706D0" w:rsidRPr="006502E8" w:rsidRDefault="009706D0">
      <w:pPr>
        <w:rPr>
          <w:rFonts w:ascii="Arial" w:eastAsia="Times New Roman" w:hAnsi="Arial" w:cs="Arial"/>
          <w:b/>
        </w:rPr>
      </w:pPr>
      <w:r w:rsidRPr="006502E8">
        <w:rPr>
          <w:rFonts w:ascii="Arial" w:hAnsi="Arial" w:cs="Arial"/>
        </w:rPr>
        <w:br w:type="page"/>
      </w:r>
    </w:p>
    <w:p w14:paraId="1E0DD3AE" w14:textId="14EC5F70" w:rsidR="009F64C5" w:rsidRPr="006502E8" w:rsidRDefault="00DD7AA5" w:rsidP="003F3DAD">
      <w:pPr>
        <w:pStyle w:val="Heading1"/>
        <w:rPr>
          <w:color w:val="auto"/>
        </w:rPr>
      </w:pPr>
      <w:bookmarkStart w:id="194" w:name="_Toc214899906"/>
      <w:bookmarkStart w:id="195" w:name="_Toc218184548"/>
      <w:r w:rsidRPr="006502E8">
        <w:rPr>
          <w:color w:val="auto"/>
        </w:rPr>
        <w:t xml:space="preserve">Chapter 5: </w:t>
      </w:r>
      <w:r w:rsidR="009F64C5" w:rsidRPr="006502E8">
        <w:rPr>
          <w:color w:val="auto"/>
        </w:rPr>
        <w:t>Discussion</w:t>
      </w:r>
      <w:bookmarkEnd w:id="194"/>
      <w:bookmarkEnd w:id="195"/>
      <w:r w:rsidR="009F64C5" w:rsidRPr="006502E8">
        <w:rPr>
          <w:color w:val="auto"/>
        </w:rPr>
        <w:t xml:space="preserve"> </w:t>
      </w:r>
    </w:p>
    <w:p w14:paraId="137E6C91" w14:textId="77777777" w:rsidR="009F64C5" w:rsidRPr="006502E8" w:rsidRDefault="009F64C5">
      <w:pPr>
        <w:spacing w:after="254"/>
        <w:rPr>
          <w:rFonts w:ascii="Arial" w:hAnsi="Arial" w:cs="Arial"/>
        </w:rPr>
      </w:pPr>
      <w:r w:rsidRPr="006502E8">
        <w:rPr>
          <w:rFonts w:ascii="Arial" w:hAnsi="Arial" w:cs="Arial"/>
        </w:rPr>
        <w:t xml:space="preserve"> </w:t>
      </w:r>
    </w:p>
    <w:p w14:paraId="7E573B23" w14:textId="68643DC8" w:rsidR="0064474E" w:rsidRPr="006502E8" w:rsidRDefault="00DC403B" w:rsidP="68EBECD0">
      <w:pPr>
        <w:pStyle w:val="Heading2"/>
        <w:rPr>
          <w:rFonts w:eastAsia="Arial"/>
          <w:b w:val="0"/>
          <w:bCs w:val="0"/>
          <w:lang w:val="en-US"/>
        </w:rPr>
      </w:pPr>
      <w:bookmarkStart w:id="196" w:name="_Toc218184549"/>
      <w:r w:rsidRPr="006502E8">
        <w:rPr>
          <w:rFonts w:eastAsia="Arial"/>
        </w:rPr>
        <w:t xml:space="preserve">5.1 </w:t>
      </w:r>
      <w:r w:rsidR="6CD7D98E" w:rsidRPr="006502E8">
        <w:rPr>
          <w:rFonts w:eastAsia="Arial"/>
        </w:rPr>
        <w:t>Introduction</w:t>
      </w:r>
      <w:bookmarkEnd w:id="196"/>
      <w:r w:rsidR="6CD7D98E" w:rsidRPr="006502E8">
        <w:rPr>
          <w:rFonts w:eastAsia="Arial"/>
        </w:rPr>
        <w:t xml:space="preserve"> </w:t>
      </w:r>
    </w:p>
    <w:p w14:paraId="2E99B634" w14:textId="0D43FCC7" w:rsidR="0064474E" w:rsidRPr="006502E8" w:rsidRDefault="6CD7D98E" w:rsidP="68EBECD0">
      <w:pPr>
        <w:spacing w:line="360" w:lineRule="auto"/>
        <w:jc w:val="both"/>
        <w:rPr>
          <w:rFonts w:ascii="Arial" w:eastAsia="Arial" w:hAnsi="Arial" w:cs="Arial"/>
          <w:sz w:val="24"/>
          <w:szCs w:val="24"/>
        </w:rPr>
      </w:pPr>
      <w:r w:rsidRPr="006502E8">
        <w:rPr>
          <w:rFonts w:ascii="Arial" w:eastAsia="Arial" w:hAnsi="Arial" w:cs="Arial"/>
          <w:sz w:val="24"/>
          <w:szCs w:val="24"/>
        </w:rPr>
        <w:t>Results gathered by this study indicate that individuals living in deprived housing are subjected to environmental conditions that lead to respiratory infection. Within the context of this research, the discussion presents the relationship between biological hazards and the response of community and public health agencies such as the Centres for Disease Control and Prevention (CDC) and the Department of Health and Human Services (DHHS), as well as the challenges faced by community support mechanisms. The research identifies relationships between published research, as well as evidence of structural inequities, resulting in policy implications and practice opportunities, in addition to future research possibilities.</w:t>
      </w:r>
    </w:p>
    <w:p w14:paraId="7DC92047" w14:textId="77777777" w:rsidR="004D4F6D" w:rsidRPr="006502E8" w:rsidRDefault="004D4F6D" w:rsidP="004D4F6D">
      <w:pPr>
        <w:spacing w:line="360" w:lineRule="auto"/>
        <w:jc w:val="both"/>
        <w:rPr>
          <w:rFonts w:ascii="Arial" w:eastAsia="Arial" w:hAnsi="Arial" w:cs="Arial"/>
          <w:lang w:val="en-US"/>
        </w:rPr>
      </w:pPr>
      <w:r w:rsidRPr="006502E8">
        <w:rPr>
          <w:rFonts w:ascii="Arial" w:eastAsia="Arial" w:hAnsi="Arial" w:cs="Arial"/>
        </w:rPr>
        <w:t>Discuss your identified 3 themes against the existing literature</w:t>
      </w:r>
    </w:p>
    <w:p w14:paraId="7A31BC0E" w14:textId="4371199E" w:rsidR="0064474E" w:rsidRPr="006502E8" w:rsidRDefault="6CD7D98E" w:rsidP="68EBECD0">
      <w:pPr>
        <w:pStyle w:val="Heading2"/>
        <w:rPr>
          <w:rFonts w:eastAsia="Arial"/>
          <w:b w:val="0"/>
          <w:bCs w:val="0"/>
          <w:lang w:val="en-US"/>
        </w:rPr>
      </w:pPr>
      <w:bookmarkStart w:id="197" w:name="_Toc218184550"/>
      <w:r w:rsidRPr="006502E8">
        <w:rPr>
          <w:rFonts w:eastAsia="Arial"/>
        </w:rPr>
        <w:t>5.2 Interpretation of results</w:t>
      </w:r>
      <w:bookmarkEnd w:id="197"/>
    </w:p>
    <w:p w14:paraId="12085AA7" w14:textId="77777777" w:rsidR="007051E9" w:rsidRPr="006502E8" w:rsidRDefault="007051E9" w:rsidP="007051E9">
      <w:pPr>
        <w:pStyle w:val="Heading3"/>
      </w:pPr>
      <w:bookmarkStart w:id="198" w:name="_Toc218184551"/>
      <w:r w:rsidRPr="006502E8">
        <w:t>5.2.1 Theme 1: Microbial risks associated with poor-quality housing</w:t>
      </w:r>
      <w:bookmarkEnd w:id="198"/>
      <w:r w:rsidRPr="006502E8">
        <w:t xml:space="preserve"> </w:t>
      </w:r>
    </w:p>
    <w:p w14:paraId="658A7FB3"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Research​‍​‌‍​‍‌ Objective 1 accesses to identify microbiological risks such as mould, dampness, and bacteria arising from poor housing conditions and then, explain their role from a microbiological perspective. Theme 1 is directly aligned with objective. It highlights how persistent damp, mould, and bacterial growth are at the core of the mechanisms by which poor housing causes respiratory infections in UK adolescents.</w:t>
      </w:r>
    </w:p>
    <w:p w14:paraId="0D51D75D" w14:textId="77777777" w:rsidR="007051E9" w:rsidRPr="006502E8" w:rsidRDefault="007051E9" w:rsidP="007051E9">
      <w:pPr>
        <w:spacing w:line="360" w:lineRule="auto"/>
        <w:jc w:val="both"/>
        <w:rPr>
          <w:rFonts w:ascii="Arial" w:hAnsi="Arial" w:cs="Arial"/>
          <w:b/>
          <w:bCs/>
          <w:i/>
          <w:iCs/>
          <w:sz w:val="24"/>
          <w:szCs w:val="24"/>
        </w:rPr>
      </w:pPr>
      <w:r w:rsidRPr="006502E8">
        <w:rPr>
          <w:rFonts w:ascii="Arial" w:hAnsi="Arial" w:cs="Arial"/>
          <w:b/>
          <w:bCs/>
          <w:i/>
          <w:iCs/>
          <w:sz w:val="24"/>
          <w:szCs w:val="24"/>
        </w:rPr>
        <w:t>Persistent damp and mould as key drivers of respiratory illness</w:t>
      </w:r>
    </w:p>
    <w:p w14:paraId="17BFBC64" w14:textId="38927D70" w:rsidR="007051E9" w:rsidRPr="006502E8" w:rsidRDefault="007051E9" w:rsidP="007051E9">
      <w:pPr>
        <w:spacing w:line="360" w:lineRule="auto"/>
        <w:jc w:val="both"/>
        <w:rPr>
          <w:rFonts w:ascii="Arial" w:hAnsi="Arial" w:cs="Arial"/>
          <w:sz w:val="24"/>
          <w:szCs w:val="24"/>
        </w:rPr>
      </w:pPr>
      <w:r w:rsidRPr="25AEE25F">
        <w:rPr>
          <w:rFonts w:ascii="Arial" w:hAnsi="Arial" w:cs="Arial"/>
          <w:sz w:val="24"/>
          <w:szCs w:val="24"/>
        </w:rPr>
        <w:t xml:space="preserve">Several studies included in the review, emphasised that dampness was normalised by residents because it had been neglected for a long time and, due to lack of support, heating had not been provided which increased continuous exposure. This is in line with the literature that shows that damp and mould are already well-known causes of asthma, bronchitis, and acute respiratory symptoms among the young. </w:t>
      </w:r>
      <w:r w:rsidR="469559E6" w:rsidRPr="25AEE25F">
        <w:rPr>
          <w:rFonts w:ascii="Arial" w:hAnsi="Arial" w:cs="Arial"/>
          <w:sz w:val="24"/>
          <w:szCs w:val="24"/>
        </w:rPr>
        <w:t>According to</w:t>
      </w:r>
      <w:r w:rsidRPr="25AEE25F">
        <w:rPr>
          <w:rFonts w:ascii="Arial" w:hAnsi="Arial" w:cs="Arial"/>
          <w:sz w:val="24"/>
          <w:szCs w:val="24"/>
        </w:rPr>
        <w:t xml:space="preserve"> Butler and Sherriff, (2017) and Tod </w:t>
      </w:r>
      <w:r w:rsidRPr="25AEE25F">
        <w:rPr>
          <w:rFonts w:ascii="Arial" w:hAnsi="Arial" w:cs="Arial"/>
          <w:i/>
          <w:iCs/>
          <w:sz w:val="24"/>
          <w:szCs w:val="24"/>
        </w:rPr>
        <w:t>et al.</w:t>
      </w:r>
      <w:r w:rsidRPr="25AEE25F">
        <w:rPr>
          <w:rFonts w:ascii="Arial" w:hAnsi="Arial" w:cs="Arial"/>
          <w:sz w:val="24"/>
          <w:szCs w:val="24"/>
        </w:rPr>
        <w:t xml:space="preserve"> (2016), it is demonstrated that mould generates spores suspended in the air that invade the deep parts of the lungs; thus, making adolescents more susceptible as their immune systems are still ​‍​‌‍​‍‌developing.</w:t>
      </w:r>
    </w:p>
    <w:p w14:paraId="31AB053F"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Moreover,​‍​‌‍​‍‌ the findings indicate that the issue of mould was frequently associated with the landlords not doing anything, overcrowding, and lack of ventilation. This supports the evidence given in the literature review, which states that structural inequalities lead to the creation of environmental conditions that are favourable for the growth of fungi. The social aspect interacting with the environmental microbiology is vital as it indicates that it has been influenced by neglect and poverty. Young people, particularly those coming from poor families, have little power to change their living conditions. Consequently, the microbiological risk turns to be a chronic exposure rather than a temporary environmental ​‍​‌‍​‍‌issue.</w:t>
      </w:r>
    </w:p>
    <w:p w14:paraId="08F50F37" w14:textId="77777777" w:rsidR="007051E9" w:rsidRPr="006502E8" w:rsidRDefault="007051E9" w:rsidP="007051E9">
      <w:pPr>
        <w:spacing w:line="360" w:lineRule="auto"/>
        <w:jc w:val="both"/>
        <w:rPr>
          <w:rFonts w:ascii="Arial" w:hAnsi="Arial" w:cs="Arial"/>
          <w:b/>
          <w:bCs/>
          <w:i/>
          <w:iCs/>
          <w:sz w:val="24"/>
          <w:szCs w:val="24"/>
        </w:rPr>
      </w:pPr>
      <w:r w:rsidRPr="006502E8">
        <w:rPr>
          <w:rFonts w:ascii="Arial" w:hAnsi="Arial" w:cs="Arial"/>
          <w:b/>
          <w:bCs/>
          <w:i/>
          <w:iCs/>
          <w:sz w:val="24"/>
          <w:szCs w:val="24"/>
        </w:rPr>
        <w:t>Bacterial growth resulting from structural defects and inadequate sanitation</w:t>
      </w:r>
    </w:p>
    <w:p w14:paraId="3C5575D7" w14:textId="77777777" w:rsidR="007051E9" w:rsidRPr="006502E8" w:rsidRDefault="007051E9" w:rsidP="007051E9">
      <w:pPr>
        <w:spacing w:line="360" w:lineRule="auto"/>
        <w:jc w:val="both"/>
        <w:rPr>
          <w:rFonts w:ascii="Arial" w:hAnsi="Arial" w:cs="Arial"/>
          <w:sz w:val="24"/>
          <w:szCs w:val="24"/>
          <w:lang w:val="en-IN"/>
        </w:rPr>
      </w:pPr>
      <w:r w:rsidRPr="006502E8">
        <w:rPr>
          <w:rFonts w:ascii="Arial" w:hAnsi="Arial" w:cs="Arial"/>
          <w:sz w:val="24"/>
          <w:szCs w:val="24"/>
          <w:lang w:val="en-IN"/>
        </w:rPr>
        <w:t xml:space="preserve">The​‍​‌‍​‍‌ findings reveal that broken pipes, leaking roofs, and dirty sanitary facilities are the causes of the rise of harmful bacteria. Structural damage produces areas that are moist and warm where bacteria can multiply. Sheringham </w:t>
      </w:r>
      <w:r w:rsidRPr="006502E8">
        <w:rPr>
          <w:rFonts w:ascii="Arial" w:hAnsi="Arial" w:cs="Arial"/>
          <w:i/>
          <w:iCs/>
          <w:sz w:val="24"/>
          <w:szCs w:val="24"/>
          <w:lang w:val="en-IN"/>
        </w:rPr>
        <w:t>et al.</w:t>
      </w:r>
      <w:r w:rsidRPr="006502E8">
        <w:rPr>
          <w:rFonts w:ascii="Arial" w:hAnsi="Arial" w:cs="Arial"/>
          <w:sz w:val="24"/>
          <w:szCs w:val="24"/>
          <w:lang w:val="en-IN"/>
        </w:rPr>
        <w:t xml:space="preserve"> (2024) and Simpson </w:t>
      </w:r>
      <w:r w:rsidRPr="006502E8">
        <w:rPr>
          <w:rFonts w:ascii="Arial" w:hAnsi="Arial" w:cs="Arial"/>
          <w:i/>
          <w:iCs/>
          <w:sz w:val="24"/>
          <w:szCs w:val="24"/>
          <w:lang w:val="en-IN"/>
        </w:rPr>
        <w:t>et al.</w:t>
      </w:r>
      <w:r w:rsidRPr="006502E8">
        <w:rPr>
          <w:rFonts w:ascii="Arial" w:hAnsi="Arial" w:cs="Arial"/>
          <w:sz w:val="24"/>
          <w:szCs w:val="24"/>
          <w:lang w:val="en-IN"/>
        </w:rPr>
        <w:t xml:space="preserve"> (2025) argue that bacterial contamination elevates the concentration of airborne irritants and bioaerosols. They pointed out interaction of dampness, mould, and bacteria. Dampness is the factor that prepares the environment; mould grows on it; and bacteria find the same damp place to multiply (</w:t>
      </w:r>
      <w:r w:rsidRPr="006502E8">
        <w:rPr>
          <w:rFonts w:ascii="Arial" w:hAnsi="Arial" w:cs="Arial"/>
          <w:sz w:val="24"/>
          <w:szCs w:val="24"/>
        </w:rPr>
        <w:t xml:space="preserve">Loukou </w:t>
      </w:r>
      <w:r w:rsidRPr="006502E8">
        <w:rPr>
          <w:rFonts w:ascii="Arial" w:hAnsi="Arial" w:cs="Arial"/>
          <w:i/>
          <w:iCs/>
          <w:sz w:val="24"/>
          <w:szCs w:val="24"/>
        </w:rPr>
        <w:t xml:space="preserve">et al. </w:t>
      </w:r>
      <w:r w:rsidRPr="006502E8">
        <w:rPr>
          <w:rFonts w:ascii="Arial" w:hAnsi="Arial" w:cs="Arial"/>
          <w:sz w:val="24"/>
          <w:szCs w:val="24"/>
        </w:rPr>
        <w:t>2024</w:t>
      </w:r>
      <w:r w:rsidRPr="006502E8">
        <w:rPr>
          <w:rFonts w:ascii="Arial" w:hAnsi="Arial" w:cs="Arial"/>
          <w:sz w:val="24"/>
          <w:szCs w:val="24"/>
          <w:lang w:val="en-IN"/>
        </w:rPr>
        <w:t>). This intertwined circle deepens the health risks. The interactions of the kind were dealt with in the literature review as well which pointed out that environmental microbiology in substandard housing should be considered as a complex process rather than separate ​‍​‌‍​‍‌hazards.</w:t>
      </w:r>
    </w:p>
    <w:p w14:paraId="3596902C" w14:textId="77777777" w:rsidR="007051E9" w:rsidRPr="006502E8" w:rsidRDefault="007051E9" w:rsidP="007051E9">
      <w:pPr>
        <w:spacing w:line="360" w:lineRule="auto"/>
        <w:jc w:val="both"/>
        <w:rPr>
          <w:rFonts w:ascii="Arial" w:hAnsi="Arial" w:cs="Arial"/>
          <w:sz w:val="24"/>
          <w:szCs w:val="24"/>
          <w:lang w:val="en-IN"/>
        </w:rPr>
      </w:pPr>
      <w:r w:rsidRPr="006502E8">
        <w:rPr>
          <w:rFonts w:ascii="Arial" w:hAnsi="Arial" w:cs="Arial"/>
          <w:sz w:val="24"/>
          <w:szCs w:val="24"/>
        </w:rPr>
        <w:t>It​‍​‌‍​‍‌ is essential to note that the theme demonstrated that the microbiological risks could be avoided; however, they still exist due to the neglect of housing and social inequalities. This, in turn, supports the notion that microbiological hazards in inadequate housing should not be considered as natural disasters but as consequences of wrong policies, malfunctioning maintenance systems, and absence of responsibility. Consequently, the theme corresponds closely with the first Research Objective as it offers incontrovertible proof that bad housing conditions lead to the presence of harmful microbiological agents among adolescents, which in turn cause respiratory infections or aggravate those already ​‍​‌‍​‍‌existing.</w:t>
      </w:r>
    </w:p>
    <w:p w14:paraId="6C25C45E" w14:textId="77777777" w:rsidR="007051E9" w:rsidRPr="006502E8" w:rsidRDefault="007051E9" w:rsidP="007051E9">
      <w:pPr>
        <w:pStyle w:val="Heading3"/>
      </w:pPr>
      <w:bookmarkStart w:id="199" w:name="_Toc218184552"/>
      <w:r w:rsidRPr="006502E8">
        <w:t>5.2.2 Theme 2: Public health views on housing conditions and respiratory disease</w:t>
      </w:r>
      <w:bookmarkEnd w:id="199"/>
      <w:r w:rsidRPr="006502E8">
        <w:t xml:space="preserve"> </w:t>
      </w:r>
    </w:p>
    <w:p w14:paraId="7FEB48EC"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 xml:space="preserve">Research​‍​‌‍​‍‌ Objective 2 is to evaluate public health strategies aimed at respiratory infections related to housing and identify social issues in policy implementation. Theme 2 gives a direct answer to this objective by demonstrating that bad housing is acknowledged as one of the biggest public health problems. Nevertheless, preventive strategies are often unsuccessful due to factors such as weak coordination, late intervention, and limited policy enforcement. The theme has two parts, and both of them contain </w:t>
      </w:r>
      <w:del w:id="200" w:author="Diola Bijlhout" w:date="2026-01-14T10:30:00Z" w16du:dateUtc="2026-01-14T10:30:00Z">
        <w:r w:rsidRPr="006502E8" w:rsidDel="0030270A">
          <w:rPr>
            <w:rFonts w:ascii="Arial" w:hAnsi="Arial" w:cs="Arial"/>
            <w:sz w:val="24"/>
            <w:szCs w:val="24"/>
          </w:rPr>
          <w:delText>a lot</w:delText>
        </w:r>
      </w:del>
      <w:del w:id="201" w:author="Diola Bijlhout" w:date="2026-01-14T10:29:00Z" w16du:dateUtc="2026-01-14T10:29:00Z">
        <w:r w:rsidRPr="006502E8" w:rsidDel="0030270A">
          <w:rPr>
            <w:rFonts w:ascii="Arial" w:hAnsi="Arial" w:cs="Arial"/>
            <w:sz w:val="24"/>
            <w:szCs w:val="24"/>
          </w:rPr>
          <w:delText xml:space="preserve"> of</w:delText>
        </w:r>
      </w:del>
      <w:r w:rsidRPr="006502E8">
        <w:rPr>
          <w:rFonts w:ascii="Arial" w:hAnsi="Arial" w:cs="Arial"/>
          <w:sz w:val="24"/>
          <w:szCs w:val="24"/>
        </w:rPr>
        <w:t xml:space="preserve"> evidence supporting the fulfilment of the objective.</w:t>
      </w:r>
    </w:p>
    <w:p w14:paraId="005992D4" w14:textId="77777777" w:rsidR="007051E9" w:rsidRPr="006502E8" w:rsidRDefault="007051E9" w:rsidP="007051E9">
      <w:pPr>
        <w:spacing w:line="360" w:lineRule="auto"/>
        <w:jc w:val="both"/>
        <w:rPr>
          <w:rFonts w:ascii="Arial" w:hAnsi="Arial" w:cs="Arial"/>
          <w:b/>
          <w:bCs/>
          <w:sz w:val="24"/>
          <w:szCs w:val="24"/>
        </w:rPr>
      </w:pPr>
      <w:r w:rsidRPr="006502E8">
        <w:rPr>
          <w:rFonts w:ascii="Arial" w:hAnsi="Arial" w:cs="Arial"/>
          <w:b/>
          <w:bCs/>
          <w:sz w:val="24"/>
          <w:szCs w:val="24"/>
        </w:rPr>
        <w:t>Understanding housing quality as a critical public health factor</w:t>
      </w:r>
    </w:p>
    <w:p w14:paraId="076283B2"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 xml:space="preserve">Public health services define that housing conditions are one of the main causes of respiratory diseases. The results of the survey show that numerous professionals consider poor housing as an "upstream" factor that determines health in the long run. The review of studies found that the rate of asthma, chest infections and other breathing problems is higher among the adolescents living in damp, mouldy or overcrowded homes (Holden </w:t>
      </w:r>
      <w:r w:rsidRPr="006502E8">
        <w:rPr>
          <w:rFonts w:ascii="Arial" w:hAnsi="Arial" w:cs="Arial"/>
          <w:i/>
          <w:iCs/>
          <w:sz w:val="24"/>
          <w:szCs w:val="24"/>
        </w:rPr>
        <w:t xml:space="preserve">et al. </w:t>
      </w:r>
      <w:r w:rsidRPr="006502E8">
        <w:rPr>
          <w:rFonts w:ascii="Arial" w:hAnsi="Arial" w:cs="Arial"/>
          <w:sz w:val="24"/>
          <w:szCs w:val="24"/>
        </w:rPr>
        <w:t>2023). This is in line with the literature review which stated that bad housing is the main cause of respiratory diseases as it exposes children to harmful microorganisms, airborne irritants, and ​‍​‌‍​‍‌cold.</w:t>
      </w:r>
    </w:p>
    <w:p w14:paraId="6962EB60"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 xml:space="preserve">In addition,​‍​‌‍​‍‌ the data reveal that even the public health sector accepting the risk, the movement of the needle on the issue is infrequently fast or proactive. Most of the studies, for example, McClatchey </w:t>
      </w:r>
      <w:r w:rsidRPr="006502E8">
        <w:rPr>
          <w:rFonts w:ascii="Arial" w:hAnsi="Arial" w:cs="Arial"/>
          <w:i/>
          <w:iCs/>
          <w:sz w:val="24"/>
          <w:szCs w:val="24"/>
        </w:rPr>
        <w:t>et al.,</w:t>
      </w:r>
      <w:r w:rsidRPr="006502E8">
        <w:rPr>
          <w:rFonts w:ascii="Arial" w:hAnsi="Arial" w:cs="Arial"/>
          <w:sz w:val="24"/>
          <w:szCs w:val="24"/>
        </w:rPr>
        <w:t xml:space="preserve"> (2024) and Phillips </w:t>
      </w:r>
      <w:r w:rsidRPr="006502E8">
        <w:rPr>
          <w:rFonts w:ascii="Arial" w:hAnsi="Arial" w:cs="Arial"/>
          <w:i/>
          <w:iCs/>
          <w:sz w:val="24"/>
          <w:szCs w:val="24"/>
        </w:rPr>
        <w:t>et al.,</w:t>
      </w:r>
      <w:r w:rsidRPr="006502E8">
        <w:rPr>
          <w:rFonts w:ascii="Arial" w:hAnsi="Arial" w:cs="Arial"/>
          <w:sz w:val="24"/>
          <w:szCs w:val="24"/>
        </w:rPr>
        <w:t xml:space="preserve"> (2024) have found that worries are usually dealt with only after a respiratory issue has become severe. It is also in agreement with more extensive pieces of research, which mention that the public health system in the UK, in general, is an actor which intervenes late because it depends on hospital or GP referrals and does not engage in early environmental assessments (White, 2021). Such a delay leads to an increase in the degree of illness among teenagers and to the imposition of a heavier load on the public health ​‍​‌‍​‍‌system.</w:t>
      </w:r>
    </w:p>
    <w:p w14:paraId="12ECB46F" w14:textId="77777777" w:rsidR="007051E9" w:rsidRPr="006502E8" w:rsidRDefault="007051E9" w:rsidP="007051E9">
      <w:pPr>
        <w:spacing w:line="360" w:lineRule="auto"/>
        <w:jc w:val="both"/>
        <w:rPr>
          <w:rFonts w:ascii="Arial" w:hAnsi="Arial" w:cs="Arial"/>
          <w:b/>
          <w:bCs/>
          <w:i/>
          <w:iCs/>
          <w:sz w:val="24"/>
          <w:szCs w:val="24"/>
        </w:rPr>
      </w:pPr>
      <w:r w:rsidRPr="006502E8">
        <w:rPr>
          <w:rFonts w:ascii="Arial" w:hAnsi="Arial" w:cs="Arial"/>
          <w:b/>
          <w:bCs/>
          <w:i/>
          <w:iCs/>
          <w:sz w:val="24"/>
          <w:szCs w:val="24"/>
        </w:rPr>
        <w:t>Obstacles to delivering effective preventive health measures</w:t>
      </w:r>
    </w:p>
    <w:p w14:paraId="1DD2C677"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 xml:space="preserve">The​‍​‌‍​‍‌ findings reveal that public health teams are confronted with significant challenges while attempting to avert respiratory diseases caused by inadequate housing. Among the challenges are the indistinct sharing of duties between housing, health, and social care services; lack of money; and the inconsistency of communication (Sheppard </w:t>
      </w:r>
      <w:r w:rsidRPr="006502E8">
        <w:rPr>
          <w:rFonts w:ascii="Arial" w:hAnsi="Arial" w:cs="Arial"/>
          <w:i/>
          <w:iCs/>
          <w:sz w:val="24"/>
          <w:szCs w:val="24"/>
        </w:rPr>
        <w:t xml:space="preserve">et al. </w:t>
      </w:r>
      <w:r w:rsidRPr="006502E8">
        <w:rPr>
          <w:rFonts w:ascii="Arial" w:hAnsi="Arial" w:cs="Arial"/>
          <w:sz w:val="24"/>
          <w:szCs w:val="24"/>
        </w:rPr>
        <w:t>2022). In a number of studies, it was also mentioned that the staff consider themselves to be “in a deadlock” as they are able to spot the risks but have very little power to bring about changes. This is in line with the literature review, which pointed out that the health and housing departments' poor integration is a main factor that hampers UK public health policy repeatedly.</w:t>
      </w:r>
    </w:p>
    <w:p w14:paraId="3A14894A"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 xml:space="preserve">Moreover, findings reveal that public health programmes are deprived of robust evidence that demonstrates which interventions yield the best results. Dawes </w:t>
      </w:r>
      <w:r w:rsidRPr="006502E8">
        <w:rPr>
          <w:rFonts w:ascii="Arial" w:hAnsi="Arial" w:cs="Arial"/>
          <w:i/>
          <w:iCs/>
          <w:sz w:val="24"/>
          <w:szCs w:val="24"/>
        </w:rPr>
        <w:t>et al.</w:t>
      </w:r>
      <w:r w:rsidRPr="006502E8">
        <w:rPr>
          <w:rFonts w:ascii="Arial" w:hAnsi="Arial" w:cs="Arial"/>
          <w:sz w:val="24"/>
          <w:szCs w:val="24"/>
        </w:rPr>
        <w:t>, (2022) and McKee and Harris, (2025) note that in the absence of comprehensive evaluation data, the majority of initiatives are limited to a small scale and a short duration. Consequently, their capacity to prevent respiratory infections in adolescents is significantly diminished. The problem is also aggravated by the opposition of landlords, the repair process that takes time, and the existence of gaps in environmental health ​‍​‌‍​‍‌inspections.</w:t>
      </w:r>
    </w:p>
    <w:p w14:paraId="40E3AF5A"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Most​‍​‌‍​‍‌ importantly, the second theme demonstrates that understanding housing as a public health problem is merely the first step. Efficient measures call for tighter control, more timely intervention, and improved coordination of different sectors. To this end, the theme underscores that the respiratory risks associated with housing are easily avoidable, however, public health systems are finding it difficult to deal with them due to the division of policies and the small number of enforcement powers. In general, the second theme is a direct response to Research Objective 2 by outlining the public health perspective on respiratory risks in the housing sector and the obstacles in the policy and system framework that hinder the implementation of preventive ​‍​‌‍​‍‌measures.</w:t>
      </w:r>
    </w:p>
    <w:p w14:paraId="79CAF6DE" w14:textId="77777777" w:rsidR="007051E9" w:rsidRPr="006502E8" w:rsidRDefault="007051E9" w:rsidP="007051E9">
      <w:pPr>
        <w:pStyle w:val="Heading3"/>
      </w:pPr>
      <w:bookmarkStart w:id="202" w:name="_Toc218184553"/>
      <w:r w:rsidRPr="006502E8">
        <w:t>5.2.3 Theme 3: Social care insights into vulnerable residents’ exposure</w:t>
      </w:r>
      <w:bookmarkEnd w:id="202"/>
      <w:r w:rsidRPr="006502E8">
        <w:t xml:space="preserve"> </w:t>
      </w:r>
    </w:p>
    <w:p w14:paraId="7A6DA76B"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Objective​‍​‌‍​‍‌ 3 of the research is to evaluate the contribution of social care services like parenting programmes and family support services in providing assistance to vulnerable adolescents affected by poor housing and in recommending integrated interventions. Theme 3 is the direct response to this objective by depicting how social care perspectives reveal that adolescents’ deep vulnerability due to living in poor-quality homes and the weak structures that fail to provide support in time.</w:t>
      </w:r>
    </w:p>
    <w:p w14:paraId="5BBCAEFA" w14:textId="77777777" w:rsidR="007051E9" w:rsidRPr="006502E8" w:rsidRDefault="007051E9" w:rsidP="007051E9">
      <w:pPr>
        <w:spacing w:line="360" w:lineRule="auto"/>
        <w:jc w:val="both"/>
        <w:rPr>
          <w:rFonts w:ascii="Arial" w:hAnsi="Arial" w:cs="Arial"/>
          <w:b/>
          <w:bCs/>
          <w:i/>
          <w:iCs/>
          <w:sz w:val="24"/>
          <w:szCs w:val="24"/>
        </w:rPr>
      </w:pPr>
      <w:r w:rsidRPr="006502E8">
        <w:rPr>
          <w:rFonts w:ascii="Arial" w:hAnsi="Arial" w:cs="Arial"/>
          <w:b/>
          <w:bCs/>
          <w:i/>
          <w:iCs/>
          <w:sz w:val="24"/>
          <w:szCs w:val="24"/>
        </w:rPr>
        <w:t>Effects on high-risk populations: Young adults who are in economically disadvantaged households</w:t>
      </w:r>
    </w:p>
    <w:p w14:paraId="70919771"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Adolescents of 10–18 years old living in low-income families are those who have been most exposed to poor housing and its respiratory impacts. The results have always pointed out that economic disadvantage is what limits a family's ability to make improvements in housing conditions or to move to safer environments. It was noted in several studies that families with low income, single-parent households, or families with many children have little control over mould, damp, cold temperatures, or overcrowding (Cross, 2022). This aligns with the findings of the literature review, where research led to the conclusion that structural inequalities make poor housing a matter of chronic condition rather than a short-term ​‍​‌‍​‍‌crisis.</w:t>
      </w:r>
    </w:p>
    <w:p w14:paraId="1C6BB61A"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 xml:space="preserve">The​‍​‌‍​‍‌ outcomes also point out that teenagers are especially vulnerable. More than elderly people they are staying inside and very often they are sleeping in the rooms where there is damp or mould. A few studies reported that kids suffering from repeated episodes of coughing, wheezing, and chest infections (Cardinale </w:t>
      </w:r>
      <w:r w:rsidRPr="006502E8">
        <w:rPr>
          <w:rFonts w:ascii="Arial" w:hAnsi="Arial" w:cs="Arial"/>
          <w:i/>
          <w:iCs/>
          <w:sz w:val="24"/>
          <w:szCs w:val="24"/>
        </w:rPr>
        <w:t xml:space="preserve">et al. </w:t>
      </w:r>
      <w:r w:rsidRPr="006502E8">
        <w:rPr>
          <w:rFonts w:ascii="Arial" w:hAnsi="Arial" w:cs="Arial"/>
          <w:sz w:val="24"/>
          <w:szCs w:val="24"/>
        </w:rPr>
        <w:t>2024). These results confirm the scientific papers that have been cited in the report which states that teenagers are physiologically more sensitive to bad air quality in the room since their respiratory systems are still maturing. This brings to the higher relative risk of asthma flare-ups, chronic bronchitis, and lung diseases of a long ​‍​‌‍​‍‌duration.</w:t>
      </w:r>
    </w:p>
    <w:p w14:paraId="6B35B439" w14:textId="77777777" w:rsidR="007051E9" w:rsidRPr="006502E8" w:rsidRDefault="007051E9" w:rsidP="007051E9">
      <w:pPr>
        <w:spacing w:line="360" w:lineRule="auto"/>
        <w:jc w:val="both"/>
        <w:rPr>
          <w:rFonts w:ascii="Arial" w:hAnsi="Arial" w:cs="Arial"/>
          <w:sz w:val="24"/>
          <w:szCs w:val="24"/>
          <w:lang w:val="en-IN"/>
        </w:rPr>
      </w:pPr>
      <w:r w:rsidRPr="006502E8">
        <w:rPr>
          <w:rFonts w:ascii="Arial" w:hAnsi="Arial" w:cs="Arial"/>
          <w:sz w:val="24"/>
          <w:szCs w:val="24"/>
          <w:lang w:val="en-IN"/>
        </w:rPr>
        <w:t>Social​‍​‌‍​‍‌ care workers frequently understand, from their point of view, that respiratory disease in teenagers is a result of the living conditions at home. Nevertheless, according to your findings, these workers quite often express that they are powerless to deal with housing problems directly. On the one hand, numerous publications emphasized that the social care teams can recognise the danger; however, they need to rely on environmental health officers, housing authorities, or landlords for the necessary intervention (</w:t>
      </w:r>
      <w:r w:rsidRPr="006502E8">
        <w:rPr>
          <w:rFonts w:ascii="Arial" w:hAnsi="Arial" w:cs="Arial"/>
          <w:sz w:val="24"/>
          <w:szCs w:val="24"/>
        </w:rPr>
        <w:t xml:space="preserve">McClatchey </w:t>
      </w:r>
      <w:r w:rsidRPr="006502E8">
        <w:rPr>
          <w:rFonts w:ascii="Arial" w:hAnsi="Arial" w:cs="Arial"/>
          <w:i/>
          <w:iCs/>
          <w:sz w:val="24"/>
          <w:szCs w:val="24"/>
        </w:rPr>
        <w:t xml:space="preserve">et al. </w:t>
      </w:r>
      <w:r w:rsidRPr="006502E8">
        <w:rPr>
          <w:rFonts w:ascii="Arial" w:hAnsi="Arial" w:cs="Arial"/>
          <w:sz w:val="24"/>
          <w:szCs w:val="24"/>
        </w:rPr>
        <w:t>2024</w:t>
      </w:r>
      <w:r w:rsidRPr="006502E8">
        <w:rPr>
          <w:rFonts w:ascii="Arial" w:hAnsi="Arial" w:cs="Arial"/>
          <w:sz w:val="24"/>
          <w:szCs w:val="24"/>
          <w:lang w:val="en-IN"/>
        </w:rPr>
        <w:t>). Consequently, this hampers the assistance of vulnerable young people and, at the same time, prolongs their stay in unhealthy environments. This problem was also acknowledged in the literature review section of your paper, where the inadequacy of coordination between health, social care, and housing departments was pinpointed as the principal ​‍​‌‍​‍‌obstacle.</w:t>
      </w:r>
    </w:p>
    <w:p w14:paraId="064FD211" w14:textId="77777777" w:rsidR="007051E9" w:rsidRPr="006502E8" w:rsidRDefault="007051E9" w:rsidP="007051E9">
      <w:pPr>
        <w:spacing w:line="360" w:lineRule="auto"/>
        <w:jc w:val="both"/>
        <w:rPr>
          <w:rFonts w:ascii="Arial" w:hAnsi="Arial" w:cs="Arial"/>
          <w:b/>
          <w:bCs/>
          <w:i/>
          <w:iCs/>
          <w:sz w:val="24"/>
          <w:szCs w:val="24"/>
        </w:rPr>
      </w:pPr>
      <w:r w:rsidRPr="006502E8">
        <w:rPr>
          <w:rFonts w:ascii="Arial" w:hAnsi="Arial" w:cs="Arial"/>
          <w:b/>
          <w:bCs/>
          <w:i/>
          <w:iCs/>
          <w:sz w:val="24"/>
          <w:szCs w:val="24"/>
        </w:rPr>
        <w:t>Limitations hindering timely assistance and preventive support</w:t>
      </w:r>
    </w:p>
    <w:p w14:paraId="3F3A8442" w14:textId="77777777" w:rsidR="007051E9" w:rsidRPr="006502E8" w:rsidRDefault="007051E9" w:rsidP="007051E9">
      <w:pPr>
        <w:spacing w:line="360" w:lineRule="auto"/>
        <w:jc w:val="both"/>
        <w:rPr>
          <w:rFonts w:ascii="Arial" w:hAnsi="Arial" w:cs="Arial"/>
          <w:sz w:val="24"/>
          <w:szCs w:val="24"/>
          <w:lang w:val="en-IN"/>
        </w:rPr>
      </w:pPr>
      <w:r w:rsidRPr="006502E8">
        <w:rPr>
          <w:rFonts w:ascii="Arial" w:hAnsi="Arial" w:cs="Arial"/>
          <w:sz w:val="24"/>
          <w:szCs w:val="24"/>
          <w:lang w:val="en-IN"/>
        </w:rPr>
        <w:t>According​‍​‌‍​‍‌ to the findings, social care services are affected by several systemic limitations that include long waiting lists, unclear referral pathways, low staffing levels, and the absence of strong legal mechanisms to compel landlords to act. Numerous studies have stressed that even if social workers realize that the home situation is unsafe, they are not able to move a family or guarantee repairs immediately. As a result, support is delayed, and exposure is prolonged.</w:t>
      </w:r>
    </w:p>
    <w:p w14:paraId="42F0A6A7" w14:textId="77777777" w:rsidR="007051E9" w:rsidRPr="006502E8" w:rsidRDefault="007051E9" w:rsidP="007051E9">
      <w:pPr>
        <w:spacing w:line="360" w:lineRule="auto"/>
        <w:jc w:val="both"/>
        <w:rPr>
          <w:rFonts w:ascii="Arial" w:hAnsi="Arial" w:cs="Arial"/>
          <w:sz w:val="24"/>
          <w:szCs w:val="24"/>
          <w:lang w:val="en-IN"/>
        </w:rPr>
      </w:pPr>
      <w:r w:rsidRPr="006502E8">
        <w:rPr>
          <w:rFonts w:ascii="Arial" w:hAnsi="Arial" w:cs="Arial"/>
          <w:sz w:val="24"/>
          <w:szCs w:val="24"/>
          <w:lang w:val="en-IN"/>
        </w:rPr>
        <w:t>Another limitation mentioned in the results is the social care intervention's reactive nature. Many teams only get involved after a child's health has deteriorated. This is in line with the findings in literature review, where it was stated that UK social care is often in "crisis response mode," dealing with harm after it has happened. Consequently, this leaves very little room for preventive support, although early intervention would lower respiratory diseases and hospitalizations.</w:t>
      </w:r>
    </w:p>
    <w:p w14:paraId="253623DE" w14:textId="77777777" w:rsidR="007051E9" w:rsidRPr="006502E8" w:rsidRDefault="007051E9" w:rsidP="007051E9">
      <w:pPr>
        <w:spacing w:line="360" w:lineRule="auto"/>
        <w:jc w:val="both"/>
        <w:rPr>
          <w:rFonts w:ascii="Arial" w:hAnsi="Arial" w:cs="Arial"/>
          <w:sz w:val="24"/>
          <w:szCs w:val="24"/>
          <w:lang w:val="en-IN"/>
        </w:rPr>
      </w:pPr>
      <w:r w:rsidRPr="006502E8">
        <w:rPr>
          <w:rFonts w:ascii="Arial" w:hAnsi="Arial" w:cs="Arial"/>
          <w:sz w:val="24"/>
          <w:szCs w:val="24"/>
          <w:lang w:val="en-IN"/>
        </w:rPr>
        <w:t>The findings also point to the gaps in joint working that have caused social care services to be ignored in the public health planning and environmental housing inspections (</w:t>
      </w:r>
      <w:r w:rsidRPr="006502E8">
        <w:rPr>
          <w:rFonts w:ascii="Arial" w:hAnsi="Arial" w:cs="Arial"/>
          <w:sz w:val="24"/>
          <w:szCs w:val="24"/>
        </w:rPr>
        <w:t xml:space="preserve">Robb </w:t>
      </w:r>
      <w:r w:rsidRPr="006502E8">
        <w:rPr>
          <w:rFonts w:ascii="Arial" w:hAnsi="Arial" w:cs="Arial"/>
          <w:i/>
          <w:iCs/>
          <w:sz w:val="24"/>
          <w:szCs w:val="24"/>
        </w:rPr>
        <w:t xml:space="preserve">et al. </w:t>
      </w:r>
      <w:r w:rsidRPr="006502E8">
        <w:rPr>
          <w:rFonts w:ascii="Arial" w:hAnsi="Arial" w:cs="Arial"/>
          <w:sz w:val="24"/>
          <w:szCs w:val="24"/>
        </w:rPr>
        <w:t>2021</w:t>
      </w:r>
      <w:r w:rsidRPr="006502E8">
        <w:rPr>
          <w:rFonts w:ascii="Arial" w:hAnsi="Arial" w:cs="Arial"/>
          <w:sz w:val="24"/>
          <w:szCs w:val="24"/>
          <w:lang w:val="en-IN"/>
        </w:rPr>
        <w:t>). As a result, the vulnerable adolescents are not considered fully in the decision-making of housing standards or repair prioritization. The literature review also pointed out that adolescents from disadvantaged homes hardly get any integrated care while services are mostly in ​‍​‌‍​‍‌silos.</w:t>
      </w:r>
    </w:p>
    <w:p w14:paraId="290AD544"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By​‍​‌‍​‍‌ critically reflecting on these results, social care is shown in Theme 3 to be the major factor that is supportive yet somewhat limited in nature. Social care has the capacity to recognise the most vulnerable residents, provide family support, and be a voice for healthier living conditions, however, it is not allowed to remove environmental hazards on its own. This discrepancy between having the responsibility without the authority weakens the role of social care in the prevention of respiratory diseases. In essence, Theme 3 is a direct link to Research Objective 3 which reveals the importance of social care for the adolescents who are the most vulnerable and the existence of the systemic barriers that hinder the provision of timely and preventive support. Thus, it is strengthened the necessity of the social care sector being deeply involved as part of the integrated solutions that also include microbiological awareness and public health ​‍​‌‍​‍‌leadership.</w:t>
      </w:r>
    </w:p>
    <w:p w14:paraId="1FA44E79" w14:textId="77777777" w:rsidR="007051E9" w:rsidRPr="006502E8" w:rsidRDefault="007051E9" w:rsidP="007051E9">
      <w:pPr>
        <w:pStyle w:val="Heading2"/>
      </w:pPr>
      <w:bookmarkStart w:id="203" w:name="_z44k1ciff1ad" w:colFirst="0" w:colLast="0"/>
      <w:bookmarkStart w:id="204" w:name="_Toc216367751"/>
      <w:bookmarkStart w:id="205" w:name="_Toc218184554"/>
      <w:bookmarkEnd w:id="203"/>
      <w:r w:rsidRPr="006502E8">
        <w:t>5.3 Discussion of implications</w:t>
      </w:r>
      <w:bookmarkEnd w:id="204"/>
      <w:bookmarkEnd w:id="205"/>
      <w:r w:rsidRPr="006502E8">
        <w:t xml:space="preserve"> </w:t>
      </w:r>
    </w:p>
    <w:p w14:paraId="7D633758"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 xml:space="preserve">Consistent with prior research, the findings suggest a strong association between poor housing conditions (damp, mouldy, crowded, and structurally unsafe) and an increased likelihood of experiencing respiratory problems. Previous research by Tod </w:t>
      </w:r>
      <w:r w:rsidRPr="006502E8">
        <w:rPr>
          <w:rFonts w:ascii="Arial" w:hAnsi="Arial" w:cs="Arial"/>
          <w:i/>
          <w:iCs/>
          <w:sz w:val="24"/>
          <w:szCs w:val="24"/>
        </w:rPr>
        <w:t>et al.</w:t>
      </w:r>
      <w:r w:rsidRPr="006502E8">
        <w:rPr>
          <w:rFonts w:ascii="Arial" w:hAnsi="Arial" w:cs="Arial"/>
          <w:sz w:val="24"/>
          <w:szCs w:val="24"/>
        </w:rPr>
        <w:t xml:space="preserve"> (2016), Reed </w:t>
      </w:r>
      <w:r w:rsidRPr="006502E8">
        <w:rPr>
          <w:rFonts w:ascii="Arial" w:hAnsi="Arial" w:cs="Arial"/>
          <w:i/>
          <w:iCs/>
          <w:sz w:val="24"/>
          <w:szCs w:val="24"/>
        </w:rPr>
        <w:t>et al.</w:t>
      </w:r>
      <w:r w:rsidRPr="006502E8">
        <w:rPr>
          <w:rFonts w:ascii="Arial" w:hAnsi="Arial" w:cs="Arial"/>
          <w:sz w:val="24"/>
          <w:szCs w:val="24"/>
        </w:rPr>
        <w:t xml:space="preserve"> (2021) and Howden-Chapman </w:t>
      </w:r>
      <w:r w:rsidRPr="006502E8">
        <w:rPr>
          <w:rFonts w:ascii="Arial" w:hAnsi="Arial" w:cs="Arial"/>
          <w:i/>
          <w:iCs/>
          <w:sz w:val="24"/>
          <w:szCs w:val="24"/>
        </w:rPr>
        <w:t>et al.</w:t>
      </w:r>
      <w:r w:rsidRPr="006502E8">
        <w:rPr>
          <w:rFonts w:ascii="Arial" w:hAnsi="Arial" w:cs="Arial"/>
          <w:sz w:val="24"/>
          <w:szCs w:val="24"/>
        </w:rPr>
        <w:t xml:space="preserve"> (2023) shows that environmental hazards in the home are also a major risk factor for respiratory diseases. Our study supports and extends the findings of these previous studies, with a specific emphasis on the lived experiences of young adults, tenants, and particularly vulnerable households. Furthermore, the findings confirm the long-standing concern that public health and social care services are poorly coordinated and governed, leading to continued respiratory hazards among the population living in poverty or low-income housing.</w:t>
      </w:r>
    </w:p>
    <w:p w14:paraId="624F1E6E"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Bronfenbrenner's Ecological Systems theory (Bronfenbrenner 1979) supports the theory of Human Ecology by demonstrating that a person's health is influenced by numerous interactions that occur at each of the four ecological levels (micro, meso, exo, macro). Poor quality of housing (dampness), poor accountability by landlords, and insufficient ventilation are none of these interactions within the microsystem associated with risk to health. Lack of coordination between the providers of housing, public health, and social services points to an intersystem failure (meso and exo-system). Additionally, the higher-order social determinants of health (poverty, power differentials, lack of oversight) indicate the influence of the macrosystem on individual health outcomes. The findings contradict simplistic, biomedical interpretations of respiratory illness by demonstrating how housing-related health outcomes are created socially, structurally, and politically, thus supporting ecological and socio-material theories that situate health vulnerability.</w:t>
      </w:r>
    </w:p>
    <w:p w14:paraId="104F5EB8" w14:textId="1E72845F"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The significance of what has been shown is that issues surrounding respiratory illness caused by poor quality housing are not just indicative of the environment or behaviour but instead represent a structural public health and social justice issue. Results show that young adults and families living in low-income households and in insecure tenancies are disproportionately affected by environmental hazards that are not within their control. They also show that there is a significant gap between policy ambition for addressing the issues of respiratory illness and current practice. This demonstrates that the fragmentation of the services available to individuals with these needs will contribute to maintaining avoidable health disparities in our society. These trends must be recognised if we are to develop interventions that focus on addressing the underlying issues associated with respiratory illness (insufficient regulatory frameworks, poor enforcement and systemic inequities) rather than simply treating the symptoms of respiratory disease.</w:t>
      </w:r>
    </w:p>
    <w:p w14:paraId="4FF17CE1" w14:textId="77777777" w:rsidR="007051E9"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The research results assist in identifying solutions that help to improve the quality of housing and resources available for tenants, thereby reducing exposure to microbial threats. The groups fund the model's continued refinement and operation across multiple jurisdictions and levels of service to ensure that the homeless prevention program incorporates housing, health and social services. To promote better tenant protection and increase the quality of housing, proper tenant safeguards, an easier method to have repairs made, and increased enforcement of existing housing standards must all be part of a plan to help reduce the individual exposure to biohazards (microbial threats). Health Departments should take a proactive approach to increase inspections, education and communication regarding environmental hazards. Social care must also have increased funding and resources, as well as efficient early-warning systems in place to identify environmental and health-related threats. Policymakers should place a higher priority on developing funding mechanisms to support long-term housing improvement initiatives, rather than developing funding for short-term interventions to address a crisis. The total reduction of the respiratory burden is achieved through increased housing quality.</w:t>
      </w:r>
    </w:p>
    <w:p w14:paraId="7E509AE0" w14:textId="77777777" w:rsidR="007051E9" w:rsidRPr="006502E8" w:rsidRDefault="007051E9" w:rsidP="007051E9">
      <w:pPr>
        <w:pStyle w:val="Heading2"/>
      </w:pPr>
      <w:bookmarkStart w:id="206" w:name="_9kiomjamlvr" w:colFirst="0" w:colLast="0"/>
      <w:bookmarkStart w:id="207" w:name="_Toc216367752"/>
      <w:bookmarkStart w:id="208" w:name="_Toc218184555"/>
      <w:bookmarkEnd w:id="206"/>
      <w:r w:rsidRPr="006502E8">
        <w:t>5.4 Acknowledge the limitations</w:t>
      </w:r>
      <w:bookmarkEnd w:id="207"/>
      <w:bookmarkEnd w:id="208"/>
      <w:r w:rsidRPr="006502E8">
        <w:t xml:space="preserve"> </w:t>
      </w:r>
    </w:p>
    <w:p w14:paraId="75528D17" w14:textId="70366980" w:rsidR="007051E9" w:rsidRPr="006502E8" w:rsidRDefault="007051E9" w:rsidP="007051E9">
      <w:pPr>
        <w:spacing w:line="360" w:lineRule="auto"/>
        <w:jc w:val="both"/>
        <w:rPr>
          <w:rFonts w:ascii="Arial" w:hAnsi="Arial" w:cs="Arial"/>
          <w:sz w:val="24"/>
          <w:szCs w:val="24"/>
        </w:rPr>
      </w:pPr>
      <w:r w:rsidRPr="25AEE25F">
        <w:rPr>
          <w:rFonts w:ascii="Arial" w:hAnsi="Arial" w:cs="Arial"/>
          <w:sz w:val="24"/>
          <w:szCs w:val="24"/>
        </w:rPr>
        <w:t xml:space="preserve">The findings lend qualitative support to the understanding of the links between respiratory illness and the conditions arising from dampness, mould and microbial contamination in housing; however, there are several limitations of note. One limitation is that the information presented cannot provide any insight into causation but only into the experience of dampness, mould, microbial contamination and the resulting health impact, without an understanding of the underlying biology or a measure of exposure. Furthermore, the findings of the studies reviewed cannot be generalised to the general population of the UK as the studies only used small, context-specific samples from vulnerable populations (young adults, social housing tenants and low-income families). Therefore, there is a limited amount of generalisation available, especially </w:t>
      </w:r>
      <w:r w:rsidR="65DDEC9D" w:rsidRPr="25AEE25F">
        <w:rPr>
          <w:rFonts w:ascii="Arial" w:hAnsi="Arial" w:cs="Arial"/>
          <w:sz w:val="24"/>
          <w:szCs w:val="24"/>
        </w:rPr>
        <w:t>regarding</w:t>
      </w:r>
      <w:r w:rsidRPr="25AEE25F">
        <w:rPr>
          <w:rFonts w:ascii="Arial" w:hAnsi="Arial" w:cs="Arial"/>
          <w:sz w:val="24"/>
          <w:szCs w:val="24"/>
        </w:rPr>
        <w:t xml:space="preserve"> other areas or higher-income households that were living in different types of housing. Another limitation of the studies is that </w:t>
      </w:r>
      <w:r w:rsidR="6FCE9C1F" w:rsidRPr="25AEE25F">
        <w:rPr>
          <w:rFonts w:ascii="Arial" w:hAnsi="Arial" w:cs="Arial"/>
          <w:sz w:val="24"/>
          <w:szCs w:val="24"/>
        </w:rPr>
        <w:t>most of</w:t>
      </w:r>
      <w:r w:rsidRPr="25AEE25F">
        <w:rPr>
          <w:rFonts w:ascii="Arial" w:hAnsi="Arial" w:cs="Arial"/>
          <w:sz w:val="24"/>
          <w:szCs w:val="24"/>
        </w:rPr>
        <w:t xml:space="preserve"> them did not provide objective environmental measurements and relied solely on participant accounts. As a result, many other important variables, including microbial species, ventilation rate, temperature variation, length of repair period and landlords' compliance, may not have been measured in the studies. In addition, social and structural factors also influence the vulnerability of many participants (legal literacy, immigration status, and disability eligibility), but were not always captured across the studies. Lastly, most studies used participants' self-reported experiences and retrospective accounts. Therefore, their findings may have been impacted by retrospective recollection bias.</w:t>
      </w:r>
    </w:p>
    <w:p w14:paraId="7AFBA629" w14:textId="77777777" w:rsidR="007051E9" w:rsidRPr="006502E8" w:rsidRDefault="007051E9" w:rsidP="007051E9">
      <w:pPr>
        <w:pStyle w:val="Heading2"/>
      </w:pPr>
      <w:bookmarkStart w:id="209" w:name="_c6361oeju82l" w:colFirst="0" w:colLast="0"/>
      <w:bookmarkStart w:id="210" w:name="_Toc216367753"/>
      <w:bookmarkStart w:id="211" w:name="_Toc218184556"/>
      <w:bookmarkEnd w:id="209"/>
      <w:r w:rsidRPr="006502E8">
        <w:t>5.5 Summary</w:t>
      </w:r>
      <w:bookmarkEnd w:id="210"/>
      <w:bookmarkEnd w:id="211"/>
      <w:r w:rsidRPr="006502E8">
        <w:t xml:space="preserve"> </w:t>
      </w:r>
    </w:p>
    <w:p w14:paraId="23226802" w14:textId="53E5A0A1" w:rsidR="00791D11" w:rsidRPr="006502E8" w:rsidRDefault="007051E9" w:rsidP="007051E9">
      <w:pPr>
        <w:spacing w:line="360" w:lineRule="auto"/>
        <w:jc w:val="both"/>
        <w:rPr>
          <w:rFonts w:ascii="Arial" w:hAnsi="Arial" w:cs="Arial"/>
          <w:sz w:val="24"/>
          <w:szCs w:val="24"/>
        </w:rPr>
      </w:pPr>
      <w:r w:rsidRPr="006502E8">
        <w:rPr>
          <w:rFonts w:ascii="Arial" w:hAnsi="Arial" w:cs="Arial"/>
          <w:sz w:val="24"/>
          <w:szCs w:val="24"/>
        </w:rPr>
        <w:t>The evidence is that there is a negative connection between poor quality housing and increased risks of respiratory illnesses due to damp or moisture, mould growth and failure to maintain homes. Poor coordination of services across housing or public health or social care continues to perpetuate illness from poor housing conditions. All this evidence is derived from a small sample size, self-reported data and a lack of environmental measures.</w:t>
      </w:r>
    </w:p>
    <w:p w14:paraId="2B50306F" w14:textId="77777777" w:rsidR="00791D11" w:rsidRPr="006502E8" w:rsidRDefault="00791D11">
      <w:pPr>
        <w:rPr>
          <w:rFonts w:ascii="Arial" w:hAnsi="Arial" w:cs="Arial"/>
          <w:sz w:val="24"/>
          <w:szCs w:val="24"/>
        </w:rPr>
      </w:pPr>
      <w:r w:rsidRPr="006502E8">
        <w:rPr>
          <w:rFonts w:ascii="Arial" w:hAnsi="Arial" w:cs="Arial"/>
          <w:sz w:val="24"/>
          <w:szCs w:val="24"/>
        </w:rPr>
        <w:br w:type="page"/>
      </w:r>
    </w:p>
    <w:p w14:paraId="3ECCDA75" w14:textId="0BF3D335" w:rsidR="007051E9" w:rsidRPr="006502E8" w:rsidRDefault="00EE1468" w:rsidP="00EE1468">
      <w:pPr>
        <w:pStyle w:val="Heading1"/>
        <w:rPr>
          <w:color w:val="auto"/>
        </w:rPr>
      </w:pPr>
      <w:bookmarkStart w:id="212" w:name="_Toc218184557"/>
      <w:r w:rsidRPr="006502E8">
        <w:rPr>
          <w:color w:val="auto"/>
        </w:rPr>
        <w:t>Chapter 6: Conclusion</w:t>
      </w:r>
      <w:bookmarkEnd w:id="212"/>
      <w:r w:rsidRPr="006502E8">
        <w:rPr>
          <w:color w:val="auto"/>
        </w:rPr>
        <w:t xml:space="preserve"> </w:t>
      </w:r>
    </w:p>
    <w:p w14:paraId="0B0702AD" w14:textId="77777777" w:rsidR="00164D23" w:rsidRDefault="00EE1468" w:rsidP="00EE1468">
      <w:pPr>
        <w:pStyle w:val="Heading2"/>
        <w:rPr>
          <w:ins w:id="213" w:author="Diola Bijlhout" w:date="2026-01-14T09:56:00Z" w16du:dateUtc="2026-01-14T09:56:00Z"/>
          <w:lang w:val="en-IN"/>
        </w:rPr>
      </w:pPr>
      <w:bookmarkStart w:id="214" w:name="_Toc218184558"/>
      <w:r w:rsidRPr="006502E8">
        <w:rPr>
          <w:lang w:val="en-IN"/>
        </w:rPr>
        <w:t>6.1</w:t>
      </w:r>
      <w:ins w:id="215" w:author="Diola Bijlhout" w:date="2026-01-14T09:56:00Z" w16du:dateUtc="2026-01-14T09:56:00Z">
        <w:r w:rsidR="00164D23">
          <w:rPr>
            <w:lang w:val="en-IN"/>
          </w:rPr>
          <w:t xml:space="preserve"> Introduction</w:t>
        </w:r>
      </w:ins>
    </w:p>
    <w:p w14:paraId="20E89D8B" w14:textId="77777777" w:rsidR="00164D23" w:rsidRDefault="00164D23" w:rsidP="00EE1468">
      <w:pPr>
        <w:pStyle w:val="Heading2"/>
        <w:rPr>
          <w:ins w:id="216" w:author="Diola Bijlhout" w:date="2026-01-14T09:56:00Z" w16du:dateUtc="2026-01-14T09:56:00Z"/>
          <w:lang w:val="en-IN"/>
        </w:rPr>
      </w:pPr>
      <w:ins w:id="217" w:author="Diola Bijlhout" w:date="2026-01-14T09:56:00Z" w16du:dateUtc="2026-01-14T09:56:00Z">
        <w:r>
          <w:rPr>
            <w:lang w:val="en-IN"/>
          </w:rPr>
          <w:t>Place your research question here again</w:t>
        </w:r>
      </w:ins>
    </w:p>
    <w:p w14:paraId="7AC6AB06" w14:textId="7EFF3912" w:rsidR="00164D23" w:rsidRDefault="00164D23" w:rsidP="00EE1468">
      <w:pPr>
        <w:pStyle w:val="Heading2"/>
        <w:rPr>
          <w:ins w:id="218" w:author="Diola Bijlhout" w:date="2026-01-14T09:56:00Z" w16du:dateUtc="2026-01-14T09:56:00Z"/>
          <w:lang w:val="en-IN"/>
        </w:rPr>
      </w:pPr>
      <w:ins w:id="219" w:author="Diola Bijlhout" w:date="2026-01-14T09:57:00Z" w16du:dateUtc="2026-01-14T09:57:00Z">
        <w:r>
          <w:rPr>
            <w:lang w:val="en-IN"/>
          </w:rPr>
          <w:t>Outline what you will present in this final chapter</w:t>
        </w:r>
      </w:ins>
      <w:r w:rsidR="00EE1468" w:rsidRPr="006502E8">
        <w:rPr>
          <w:lang w:val="en-IN"/>
        </w:rPr>
        <w:t xml:space="preserve"> </w:t>
      </w:r>
    </w:p>
    <w:p w14:paraId="27BBF8A7" w14:textId="41755AAB" w:rsidR="00EE1468" w:rsidRPr="006502E8" w:rsidRDefault="00164D23" w:rsidP="00EE1468">
      <w:pPr>
        <w:pStyle w:val="Heading2"/>
        <w:rPr>
          <w:lang w:val="en-IN"/>
        </w:rPr>
      </w:pPr>
      <w:ins w:id="220" w:author="Diola Bijlhout" w:date="2026-01-14T09:57:00Z" w16du:dateUtc="2026-01-14T09:57:00Z">
        <w:r>
          <w:rPr>
            <w:lang w:val="en-IN"/>
          </w:rPr>
          <w:t xml:space="preserve">6.2 </w:t>
        </w:r>
      </w:ins>
      <w:r w:rsidR="00EE1468" w:rsidRPr="006502E8">
        <w:rPr>
          <w:lang w:val="en-IN"/>
        </w:rPr>
        <w:t>Overall Conclusion</w:t>
      </w:r>
      <w:bookmarkEnd w:id="214"/>
      <w:r w:rsidR="00EE1468" w:rsidRPr="006502E8">
        <w:rPr>
          <w:lang w:val="en-IN"/>
        </w:rPr>
        <w:t> </w:t>
      </w:r>
    </w:p>
    <w:p w14:paraId="713EF701" w14:textId="4BA9D446" w:rsidR="00EE1468" w:rsidRPr="006502E8" w:rsidRDefault="00EE1468" w:rsidP="00EE1468">
      <w:pPr>
        <w:spacing w:line="360" w:lineRule="auto"/>
        <w:jc w:val="both"/>
        <w:rPr>
          <w:rFonts w:ascii="Arial" w:hAnsi="Arial" w:cs="Arial"/>
          <w:sz w:val="24"/>
          <w:szCs w:val="24"/>
          <w:lang w:val="en-IN"/>
        </w:rPr>
      </w:pPr>
      <w:r w:rsidRPr="25AEE25F">
        <w:rPr>
          <w:rFonts w:ascii="Arial" w:hAnsi="Arial" w:cs="Arial"/>
          <w:sz w:val="24"/>
          <w:szCs w:val="24"/>
          <w:lang w:val="en-IN"/>
        </w:rPr>
        <w:t xml:space="preserve">The purpose of this work was to investigate how poor housing conditions cause respiratory infections in the UK adolescent population </w:t>
      </w:r>
      <w:r w:rsidR="692972C6" w:rsidRPr="25AEE25F">
        <w:rPr>
          <w:rFonts w:ascii="Arial" w:hAnsi="Arial" w:cs="Arial"/>
          <w:sz w:val="24"/>
          <w:szCs w:val="24"/>
          <w:lang w:val="en-IN"/>
        </w:rPr>
        <w:t>and</w:t>
      </w:r>
      <w:r w:rsidRPr="25AEE25F">
        <w:rPr>
          <w:rFonts w:ascii="Arial" w:hAnsi="Arial" w:cs="Arial"/>
          <w:sz w:val="24"/>
          <w:szCs w:val="24"/>
          <w:lang w:val="en-IN"/>
        </w:rPr>
        <w:t xml:space="preserve"> find a way </w:t>
      </w:r>
      <w:r w:rsidR="28A2520A" w:rsidRPr="25AEE25F">
        <w:rPr>
          <w:rFonts w:ascii="Arial" w:hAnsi="Arial" w:cs="Arial"/>
          <w:sz w:val="24"/>
          <w:szCs w:val="24"/>
          <w:lang w:val="en-IN"/>
        </w:rPr>
        <w:t>using</w:t>
      </w:r>
      <w:r w:rsidRPr="25AEE25F">
        <w:rPr>
          <w:rFonts w:ascii="Arial" w:hAnsi="Arial" w:cs="Arial"/>
          <w:sz w:val="24"/>
          <w:szCs w:val="24"/>
          <w:lang w:val="en-IN"/>
        </w:rPr>
        <w:t xml:space="preserve"> integrated microbiological, public health and social care interventions to minimise this can be minimised. The main aim of this work was to answer the question of what effect sub-standard housing has on the risk of respiratory infection and which approaches can be used to provide the best preventive responses across all sectors.</w:t>
      </w:r>
    </w:p>
    <w:p w14:paraId="1796E77D"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The results of this work clearly show that there is a strong association between inadequate housing conditions (such as dampness, mould, poor ventilation, overcrowding and structural decay) and increased incidence of respiratory infections in children and adolescents. In addition, the Review highlighted that the health impacts of housing conditions are not just due to their impact on the environment. The methodology involved a systematic qualitative review, which was a successful method of obtaining experiences from people living in inadequate housing and the institutional viewpoint of housing. </w:t>
      </w:r>
    </w:p>
    <w:p w14:paraId="133B5F49"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The data provided in this work will develop the knowledge of the causal pathways linking microbiological risks to public health and social care by showing an upstream determinant of respiratory health through housing. Therefore, this study shows the need for collaboration between public health and social care when considering the best options to address the gaps in knowledge and the need to reduce respiratory health inequalities through the use of housing-led coordinated, preventative intervention solutions to achieve improved long-term health.</w:t>
      </w:r>
    </w:p>
    <w:p w14:paraId="67C321D3" w14:textId="77777777" w:rsidR="00EE1468" w:rsidRPr="006502E8" w:rsidRDefault="00EE1468" w:rsidP="00EE1468">
      <w:pPr>
        <w:pStyle w:val="Heading2"/>
        <w:rPr>
          <w:lang w:val="en-IN"/>
        </w:rPr>
      </w:pPr>
      <w:bookmarkStart w:id="221" w:name="_Toc218184559"/>
      <w:r w:rsidRPr="006502E8">
        <w:rPr>
          <w:lang w:val="en-IN"/>
        </w:rPr>
        <w:t>6.2 Answering the research question</w:t>
      </w:r>
      <w:bookmarkEnd w:id="221"/>
      <w:r w:rsidRPr="006502E8">
        <w:rPr>
          <w:lang w:val="en-IN"/>
        </w:rPr>
        <w:t> </w:t>
      </w:r>
    </w:p>
    <w:p w14:paraId="43F57F3B"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The study provided evidence that substandard housing plays a complex and significant role in increasing the risk for respiratory infections in adolescents aged 10–18 in the UK. In conclusion, when I conducted my analysis on adolescent respiratory health (demographics, socio-economic status) and environmental factors that influence their respiratory health (direct 'indirect' environmental and social), I found that an integrative public health approach 'works best' for improving respiratory health. The primary finding of my research was that there is a correlation across the chapter results and discussion sections between adolescent respiratory health and poor housing conditions. Poor housing is directly linked to increased respiratory disease among adolescents. Poor housing creates an environment where microorganisms thrive and where airborne agents can continue to cause disease in adolescents. The prolonged exposure to these housing conditions also decreases their overall respiratory health.</w:t>
      </w:r>
    </w:p>
    <w:p w14:paraId="3C1EE3A2"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As indicated throughout this report, adolescents who are of lower income are disproportionately affected by poor housing relative to their peers. Housing quality, therefore, is an example of how larger systemic health disparities develop and exist. In addition, this research illustrated the interaction between poor housing conditions and social vulnerabilities by demonstrating that poor housing is often accompanied by elevated levels of fuel poverty, housing insecurity and limited access to appropriate health care services (timely). As a result, the nature of the way that adolescents experience respiratory health is impacted by both environmental and social factors.</w:t>
      </w:r>
    </w:p>
    <w:p w14:paraId="080F9898"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Evidence collected to date has supported the idea that improving coordination across a range of sectors will help reduce the number of cases of respiratory infections among UK adolescents. Thus, this research has stressed the role of housing standards, environmental interventions and early identification of respiratory infections as possible means to help reduce respiratory infections. Furthermore, as a result of the need for housing-aware, trauma-informed and family-centred social care interventions to support adolescents living in unstable or poor quality housing, the research has highlighted that effective reduction of respiratory infections among adolescents in the United Kingdom can only be accomplished through cross-sector coordinated interventions that target poor housing quality as an upstream determinant of health.</w:t>
      </w:r>
    </w:p>
    <w:p w14:paraId="595DB16B"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In addressing the research objectives, the research has established a direct correlation between housing quality and the risk of developing respiratory infections in adolescents and has demonstrated that by implementing integrated microbiological, public health, and social care interventions, the risk of respiratory infection and associated health inequities will be reduced.</w:t>
      </w:r>
    </w:p>
    <w:p w14:paraId="7A6C4A88"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b/>
          <w:bCs/>
          <w:i/>
          <w:iCs/>
          <w:sz w:val="24"/>
          <w:szCs w:val="24"/>
          <w:lang w:val="en-IN"/>
        </w:rPr>
        <w:t>Reflection on the approach of the research </w:t>
      </w:r>
    </w:p>
    <w:p w14:paraId="27743C7E"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The methodology of the research conducted was effective in fulfilling the researcher's hypothesis that there is a link between poor housing conditions and an increased incidence of respiratory illness among adolescents aged 10 to 18 years old, therefore generating an inclusive review of all the related literature, providing a composite analytical framework of housing quality in relation to increased respiratory illness, and combining the disciplines of microbiology and public health and social care in exploring both environmental factors and social determinants of respiratory health. Ultimately, this multidimensional approach to research improved the quality of the evidence provided by this study regarding how housing serves as an upstream health determinant.</w:t>
      </w:r>
    </w:p>
    <w:p w14:paraId="314175A2"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This research did, however, generate additional questions and insight that were not expected at the commencement of the study. For instance, social vulnerability factors (fuel poverty, unstable housing situation and lack of timely access to health care) are one area of interest that can add to the biological risk of respiratory infection. The results of the investigation suggest that having an environmental exposure alone cannot account for explaining the existence of differences in respiratory infections between different groups of individuals. More research should be conducted to examine how these influences may possibly interact with sociocultural and individual characteristics on the onset and progression of respiratory illnesses among adolescents. Longitudinal studies in this area would also provide valuable information for public health professionals.</w:t>
      </w:r>
    </w:p>
    <w:p w14:paraId="374A82BF" w14:textId="77777777" w:rsidR="00EE1468" w:rsidRPr="006502E8" w:rsidRDefault="00EE1468" w:rsidP="00EE1468">
      <w:pPr>
        <w:pStyle w:val="Heading2"/>
        <w:rPr>
          <w:lang w:val="en-IN"/>
        </w:rPr>
      </w:pPr>
      <w:bookmarkStart w:id="222" w:name="_Toc218184560"/>
      <w:r w:rsidRPr="006502E8">
        <w:rPr>
          <w:lang w:val="en-IN"/>
        </w:rPr>
        <w:t>6.3 Recommendations</w:t>
      </w:r>
      <w:bookmarkEnd w:id="222"/>
      <w:r w:rsidRPr="006502E8">
        <w:rPr>
          <w:lang w:val="en-IN"/>
        </w:rPr>
        <w:t> </w:t>
      </w:r>
    </w:p>
    <w:p w14:paraId="4086AA62"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b/>
          <w:bCs/>
          <w:i/>
          <w:iCs/>
          <w:sz w:val="24"/>
          <w:szCs w:val="24"/>
          <w:lang w:val="en-IN"/>
        </w:rPr>
        <w:t>1. Strengthening Housing as a Way to Prevent Illness in Adolescents</w:t>
      </w:r>
    </w:p>
    <w:p w14:paraId="09435902"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Based on the results of the study, the authors recommend that public health practitioners increase awareness of housing quality when developing and implementing preventative strategies for adolescent public health. Routine screening for housing conditions (dampness, mould, inadequate ventilation, overcrowding) should become part of the prevention and treatment process for adolescents regarding the determination of the need for adolescent respiratory healthcare. Emphasising housing conditions will allow for early identification of environmental risk factors and decrease the number of times adolescents will require reactive, treatment-based responses to respiratory infections.</w:t>
      </w:r>
    </w:p>
    <w:p w14:paraId="77BA4850"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b/>
          <w:bCs/>
          <w:i/>
          <w:iCs/>
          <w:sz w:val="24"/>
          <w:szCs w:val="24"/>
          <w:lang w:val="en-IN"/>
        </w:rPr>
        <w:t>2. Integrated Systems Between Public Health, Housing, and Social Services</w:t>
      </w:r>
    </w:p>
    <w:p w14:paraId="407513CF"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The research indicates that improved public health outcomes will occur through increased collaboration between microbiology laboratories, public health agencies, and agencies that provide social services. Creating shared referral pathways and the exchange of information will help to ensure that adolescents residing in poor-quality housing receive timely access to both clinical care and social and housing support. The collaboration of these agencies should ultimately lead to a decrease in the number of re-infections of respiratory diseases and to addressing the larger social determinants of health inequity for respiratory health.</w:t>
      </w:r>
    </w:p>
    <w:p w14:paraId="6685B1A8"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b/>
          <w:bCs/>
          <w:i/>
          <w:iCs/>
          <w:sz w:val="24"/>
          <w:szCs w:val="24"/>
          <w:lang w:val="en-IN"/>
        </w:rPr>
        <w:t>3. Suggestions for Future Research</w:t>
      </w:r>
    </w:p>
    <w:p w14:paraId="31FD627C"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Further research could be conducted by performing longitudinal and mixed-methodology studies that would give a clearer understanding of how housing conditions affect adolescent respiratory infection rates. Additionally, new studies will provide evidence of the efficacy of housing and health interventions that combine both housing and health in an integrated manner</w:t>
      </w:r>
    </w:p>
    <w:p w14:paraId="60B7EA77" w14:textId="77777777" w:rsidR="00EE1468" w:rsidRPr="006502E8" w:rsidRDefault="00EE1468" w:rsidP="00EE1468">
      <w:pPr>
        <w:pStyle w:val="Heading2"/>
        <w:rPr>
          <w:lang w:val="en-IN"/>
        </w:rPr>
      </w:pPr>
      <w:bookmarkStart w:id="223" w:name="_Toc218184561"/>
      <w:r w:rsidRPr="006502E8">
        <w:rPr>
          <w:lang w:val="en-IN"/>
        </w:rPr>
        <w:t>6.4 Scope for future research</w:t>
      </w:r>
      <w:bookmarkEnd w:id="223"/>
      <w:r w:rsidRPr="006502E8">
        <w:rPr>
          <w:lang w:val="en-IN"/>
        </w:rPr>
        <w:t> </w:t>
      </w:r>
    </w:p>
    <w:p w14:paraId="0AAAB2A6"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The longitudinal study phase of research can be a way to provide additional insight into the long-term effect of living in poor housing on the respiratory health of adolescents through the use of longitudinal designs. Longitudinal research allows researchers to investigate whether there is a cause-and-effect relationship between housing and health; identify changes in health attributed to better housing; and observe changes in health trends over time among adolescents living in better housing.</w:t>
      </w:r>
    </w:p>
    <w:p w14:paraId="51942E7F"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There exists an opportunity to conduct research in the area of intervention research that focuses on the efficacy of programs that link housing, public health, and social care in the reduction of respiratory infections. Conducting pre-and post-housing remediation studies, specifically studying the outcomes of participants prior to housing remediation versus after, will provide strong evidence for justifying investment in policy changes.</w:t>
      </w:r>
    </w:p>
    <w:p w14:paraId="3CC88DB6"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Future studies should also look at differences within geographic and demographic areas between the risk of respiratory problems associated with housing conditions for youth, such as the association of race/ethnicity, disability status, and household income. This type of study would promote more equitable and targeted housing and health policies, and could help to decrease the long-standing, pronounced health disparities among youth in the UK.</w:t>
      </w:r>
    </w:p>
    <w:p w14:paraId="74F15535" w14:textId="77777777" w:rsidR="00EE1468" w:rsidRPr="006502E8" w:rsidRDefault="00EE1468" w:rsidP="00EE1468">
      <w:pPr>
        <w:pStyle w:val="Heading2"/>
        <w:rPr>
          <w:lang w:val="en-IN"/>
        </w:rPr>
      </w:pPr>
      <w:bookmarkStart w:id="224" w:name="_Toc218184562"/>
      <w:r w:rsidRPr="006502E8">
        <w:rPr>
          <w:lang w:val="en-IN"/>
        </w:rPr>
        <w:t>6.5 Contribution to Knowledge and Significance of the Study</w:t>
      </w:r>
      <w:bookmarkEnd w:id="224"/>
      <w:r w:rsidRPr="006502E8">
        <w:rPr>
          <w:lang w:val="en-IN"/>
        </w:rPr>
        <w:t> </w:t>
      </w:r>
    </w:p>
    <w:p w14:paraId="695EC724"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By demonstrating that the quality of housing is a major environmental factor affecting infection rates among adolescents in the UK, this research provides new knowledge about the role of housing as an upstream determinant of respiratory disease. Through a combined approach of examining evidence from microbiological, public health and social care, the study has increased our understanding of how biological exposures interact with environmental conditions and social vulnerability to impact respiratory health in adolescents.</w:t>
      </w:r>
    </w:p>
    <w:p w14:paraId="740A97B3" w14:textId="77777777" w:rsidR="00EE1468" w:rsidRPr="006502E8" w:rsidRDefault="00EE1468" w:rsidP="00EE1468">
      <w:pPr>
        <w:spacing w:line="360" w:lineRule="auto"/>
        <w:jc w:val="both"/>
        <w:rPr>
          <w:rFonts w:ascii="Arial" w:hAnsi="Arial" w:cs="Arial"/>
          <w:sz w:val="24"/>
          <w:szCs w:val="24"/>
          <w:lang w:val="en-IN"/>
        </w:rPr>
      </w:pPr>
      <w:r w:rsidRPr="006502E8">
        <w:rPr>
          <w:rFonts w:ascii="Arial" w:hAnsi="Arial" w:cs="Arial"/>
          <w:sz w:val="24"/>
          <w:szCs w:val="24"/>
          <w:lang w:val="en-IN"/>
        </w:rPr>
        <w:t>An equally important contribution of this study is to demonstrate that responses to respiratory disease that only involve a single sector may have limited success. In order to reduce respiratory health inequities in adolescents, interventions must take a multi-sectoral approach, linking health and housing interventions to successfully address respiratory infections and the structural factors that lead to such infections.</w:t>
      </w:r>
    </w:p>
    <w:p w14:paraId="556AB63F" w14:textId="77777777" w:rsidR="00EE1468" w:rsidRDefault="00EE1468" w:rsidP="00EE1468">
      <w:pPr>
        <w:spacing w:line="360" w:lineRule="auto"/>
        <w:jc w:val="both"/>
        <w:rPr>
          <w:ins w:id="225" w:author="Diola Bijlhout" w:date="2026-01-14T09:59:00Z" w16du:dateUtc="2026-01-14T09:59:00Z"/>
          <w:rFonts w:ascii="Arial" w:hAnsi="Arial" w:cs="Arial"/>
          <w:sz w:val="24"/>
          <w:szCs w:val="24"/>
          <w:lang w:val="en-IN"/>
        </w:rPr>
      </w:pPr>
      <w:r w:rsidRPr="006502E8">
        <w:rPr>
          <w:rFonts w:ascii="Arial" w:hAnsi="Arial" w:cs="Arial"/>
          <w:sz w:val="24"/>
          <w:szCs w:val="24"/>
          <w:lang w:val="en-IN"/>
        </w:rPr>
        <w:t>The significance of this work is that it has the potential to shift housing from being viewed as simply a background factor influencing public health to being viewed as a core priority for public health policy and practice with respect to adolescent health. By examining adolescents as a population that has been under-researched, and thus there is limited previous literature on this topic, this study provides a significant foundation of evidence for developing housing-led, preventive strategies targeting respiratory health inequalities among adolescents in the UK.</w:t>
      </w:r>
    </w:p>
    <w:p w14:paraId="1FE4D2DD" w14:textId="6843F83E" w:rsidR="00164D23" w:rsidRPr="006502E8" w:rsidRDefault="00164D23" w:rsidP="00EE1468">
      <w:pPr>
        <w:spacing w:line="360" w:lineRule="auto"/>
        <w:jc w:val="both"/>
        <w:rPr>
          <w:rFonts w:ascii="Arial" w:hAnsi="Arial" w:cs="Arial"/>
          <w:sz w:val="24"/>
          <w:szCs w:val="24"/>
          <w:lang w:val="en-IN"/>
        </w:rPr>
      </w:pPr>
      <w:ins w:id="226" w:author="Diola Bijlhout" w:date="2026-01-14T09:59:00Z" w16du:dateUtc="2026-01-14T09:59:00Z">
        <w:r>
          <w:rPr>
            <w:rFonts w:ascii="Arial" w:hAnsi="Arial" w:cs="Arial"/>
            <w:sz w:val="24"/>
            <w:szCs w:val="24"/>
            <w:lang w:val="en-IN"/>
          </w:rPr>
          <w:t>Limitations</w:t>
        </w:r>
      </w:ins>
    </w:p>
    <w:p w14:paraId="55FB624D" w14:textId="77777777" w:rsidR="00EE1468" w:rsidRPr="006502E8" w:rsidRDefault="00EE1468" w:rsidP="007051E9">
      <w:pPr>
        <w:spacing w:line="360" w:lineRule="auto"/>
        <w:jc w:val="both"/>
        <w:rPr>
          <w:rFonts w:ascii="Arial" w:hAnsi="Arial" w:cs="Arial"/>
          <w:sz w:val="24"/>
          <w:szCs w:val="24"/>
        </w:rPr>
      </w:pPr>
    </w:p>
    <w:p w14:paraId="05FED6EE" w14:textId="666E024D" w:rsidR="009F64C5" w:rsidRPr="006502E8" w:rsidRDefault="009F64C5">
      <w:pPr>
        <w:spacing w:after="0"/>
        <w:rPr>
          <w:rFonts w:ascii="Arial" w:hAnsi="Arial" w:cs="Arial"/>
        </w:rPr>
      </w:pPr>
      <w:r w:rsidRPr="006502E8">
        <w:rPr>
          <w:rFonts w:ascii="Arial" w:hAnsi="Arial" w:cs="Arial"/>
        </w:rPr>
        <w:tab/>
      </w:r>
      <w:r w:rsidRPr="006502E8">
        <w:rPr>
          <w:rFonts w:ascii="Arial" w:eastAsia="Calibri" w:hAnsi="Arial" w:cs="Arial"/>
        </w:rPr>
        <w:t xml:space="preserve"> </w:t>
      </w:r>
    </w:p>
    <w:p w14:paraId="21668B29" w14:textId="77777777" w:rsidR="009706D0" w:rsidRPr="006502E8" w:rsidRDefault="009706D0">
      <w:pPr>
        <w:rPr>
          <w:rFonts w:ascii="Arial" w:eastAsia="Times New Roman" w:hAnsi="Arial" w:cs="Arial"/>
          <w:b/>
        </w:rPr>
      </w:pPr>
      <w:r w:rsidRPr="006502E8">
        <w:rPr>
          <w:rFonts w:ascii="Arial" w:hAnsi="Arial" w:cs="Arial"/>
        </w:rPr>
        <w:br w:type="page"/>
      </w:r>
    </w:p>
    <w:p w14:paraId="3BD7BD6D" w14:textId="77777777" w:rsidR="00B10E43" w:rsidRPr="006502E8" w:rsidRDefault="009F64C5" w:rsidP="003F3DAD">
      <w:pPr>
        <w:pStyle w:val="Heading1"/>
        <w:rPr>
          <w:color w:val="auto"/>
        </w:rPr>
      </w:pPr>
      <w:bookmarkStart w:id="227" w:name="_Toc214899908"/>
      <w:bookmarkStart w:id="228" w:name="_Toc218184563"/>
      <w:r w:rsidRPr="006502E8">
        <w:rPr>
          <w:color w:val="auto"/>
        </w:rPr>
        <w:t>Reference list</w:t>
      </w:r>
      <w:bookmarkEnd w:id="227"/>
      <w:bookmarkEnd w:id="228"/>
    </w:p>
    <w:p w14:paraId="5E3AA620" w14:textId="18C4F471"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Alharahsheh, H.H. and Pius, A., 2020. A review of key paradigms: Positivism VS interpretivism. </w:t>
      </w:r>
      <w:r w:rsidRPr="006502E8">
        <w:rPr>
          <w:rFonts w:ascii="Arial" w:hAnsi="Arial" w:cs="Arial"/>
          <w:i/>
          <w:iCs/>
          <w:sz w:val="24"/>
          <w:szCs w:val="24"/>
          <w:highlight w:val="white"/>
        </w:rPr>
        <w:t>Global academic journal of humanities and social sciences</w:t>
      </w:r>
      <w:r w:rsidRPr="006502E8">
        <w:rPr>
          <w:rFonts w:ascii="Arial" w:hAnsi="Arial" w:cs="Arial"/>
          <w:sz w:val="24"/>
          <w:szCs w:val="24"/>
          <w:highlight w:val="white"/>
        </w:rPr>
        <w:t xml:space="preserve">, </w:t>
      </w:r>
      <w:r w:rsidRPr="006502E8">
        <w:rPr>
          <w:rFonts w:ascii="Arial" w:hAnsi="Arial" w:cs="Arial"/>
          <w:i/>
          <w:iCs/>
          <w:sz w:val="24"/>
          <w:szCs w:val="24"/>
          <w:highlight w:val="white"/>
        </w:rPr>
        <w:t>2</w:t>
      </w:r>
      <w:r w:rsidRPr="006502E8">
        <w:rPr>
          <w:rFonts w:ascii="Arial" w:hAnsi="Arial" w:cs="Arial"/>
          <w:sz w:val="24"/>
          <w:szCs w:val="24"/>
          <w:highlight w:val="white"/>
        </w:rPr>
        <w:t>(3), pp.39-43.</w:t>
      </w:r>
    </w:p>
    <w:p w14:paraId="0B03F02C"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Aliyu, M.B., 2017. Efficiency of Boolean search strings for Information retrieval. </w:t>
      </w:r>
      <w:r w:rsidRPr="006502E8">
        <w:rPr>
          <w:rFonts w:ascii="Arial" w:hAnsi="Arial" w:cs="Arial"/>
          <w:i/>
          <w:iCs/>
          <w:sz w:val="24"/>
          <w:szCs w:val="24"/>
          <w:highlight w:val="white"/>
        </w:rPr>
        <w:t>American Journal of Engineering Research</w:t>
      </w:r>
      <w:r w:rsidRPr="006502E8">
        <w:rPr>
          <w:rFonts w:ascii="Arial" w:hAnsi="Arial" w:cs="Arial"/>
          <w:sz w:val="24"/>
          <w:szCs w:val="24"/>
          <w:highlight w:val="white"/>
        </w:rPr>
        <w:t xml:space="preserve">, </w:t>
      </w:r>
      <w:r w:rsidRPr="006502E8">
        <w:rPr>
          <w:rFonts w:ascii="Arial" w:hAnsi="Arial" w:cs="Arial"/>
          <w:i/>
          <w:iCs/>
          <w:sz w:val="24"/>
          <w:szCs w:val="24"/>
          <w:highlight w:val="white"/>
        </w:rPr>
        <w:t>6</w:t>
      </w:r>
      <w:r w:rsidRPr="006502E8">
        <w:rPr>
          <w:rFonts w:ascii="Arial" w:hAnsi="Arial" w:cs="Arial"/>
          <w:sz w:val="24"/>
          <w:szCs w:val="24"/>
          <w:highlight w:val="white"/>
        </w:rPr>
        <w:t>(11), pp.216-222.</w:t>
      </w:r>
    </w:p>
    <w:p w14:paraId="31217398"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Anderst, J., Hunter, K., Andersen, M., Walker, N., Coombes, J., Raman, S., Moore, M., Ryan, L., Jersky, M., Mackenzie, A. and Stephensen, J., 2022. Screening and social prescribing in healthcare and social services to address housing issues among children and families: a systematic review. Bmj Open, 12(4), p.e054338.</w:t>
      </w:r>
    </w:p>
    <w:p w14:paraId="6B5C5D1E"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Andrup, L., Krogfelt, K.A., Stephansen, L., Hansen, K.S., Graversen, B.K., Wolkoff, P. and Madsen, A.M., 2024. Reduction of acute respiratory infections in day-care by non-pharmaceutical interventions: a narrative review. Frontiers in Public Health, 12, p.1332078.</w:t>
      </w:r>
    </w:p>
    <w:p w14:paraId="516D2C00"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Aveyard, P., Gao, M., Lindson, N., Hartmann-Boyce, J., Watkinson, P., Young, D., Coupland, C.A., San Tan, P., Clift, A.K., Harrison, D. and Gould, D.W., 2021. Association between pre-existing respiratory disease and its treatment, and severe COVID-19: a population cohort study. The lancet Respiratory medicine, 9(8), pp.909-923.</w:t>
      </w:r>
    </w:p>
    <w:p w14:paraId="643DEF9D"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Azungah, T., 2018. Qualitative research: deductive and inductive approaches to data analysis. </w:t>
      </w:r>
      <w:r w:rsidRPr="006502E8">
        <w:rPr>
          <w:rFonts w:ascii="Arial" w:hAnsi="Arial" w:cs="Arial"/>
          <w:i/>
          <w:iCs/>
          <w:sz w:val="24"/>
          <w:szCs w:val="24"/>
          <w:highlight w:val="white"/>
        </w:rPr>
        <w:t>Qualitative research journal</w:t>
      </w:r>
      <w:r w:rsidRPr="006502E8">
        <w:rPr>
          <w:rFonts w:ascii="Arial" w:hAnsi="Arial" w:cs="Arial"/>
          <w:sz w:val="24"/>
          <w:szCs w:val="24"/>
          <w:highlight w:val="white"/>
        </w:rPr>
        <w:t xml:space="preserve">, </w:t>
      </w:r>
      <w:r w:rsidRPr="006502E8">
        <w:rPr>
          <w:rFonts w:ascii="Arial" w:hAnsi="Arial" w:cs="Arial"/>
          <w:i/>
          <w:iCs/>
          <w:sz w:val="24"/>
          <w:szCs w:val="24"/>
          <w:highlight w:val="white"/>
        </w:rPr>
        <w:t>18</w:t>
      </w:r>
      <w:r w:rsidRPr="006502E8">
        <w:rPr>
          <w:rFonts w:ascii="Arial" w:hAnsi="Arial" w:cs="Arial"/>
          <w:sz w:val="24"/>
          <w:szCs w:val="24"/>
          <w:highlight w:val="white"/>
        </w:rPr>
        <w:t>(4), pp.383-400.</w:t>
      </w:r>
    </w:p>
    <w:p w14:paraId="371E3E4A"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Banerji, A., Brinkman, N.E., Davis, B., Franklin, A., Jahne, M. and Keely, S.P., 2024. Food Webs and Feedbacks: The Untold Ecological Relevance of Antimicrobial Resistance as Seen in Harmful Algal Blooms. Microorganisms, 12(11), p.2121.</w:t>
      </w:r>
    </w:p>
    <w:p w14:paraId="1E487813"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Beach, B., Willis, P., Powell, J., Vickery, A., Smith, R. and Cameron, A., 2022. The impact of living in housing with care and support on loneliness and social isolation: findings from a resident-based survey. Innovation in Aging, 6(7), p.igac061.</w:t>
      </w:r>
    </w:p>
    <w:p w14:paraId="0E5ACB2A"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Beswick, A., Crook, B., Gosling, B., Bailey, C., Rosa, I., Senior, H., Johnson, P., Persaud, R., Barker, P., Buckley, P. and Saunders, J., 2025. Exposure Risks from Microbiological Hazards in Buildings and Their Control—A Rapid Review of the Evidence. Atmosphere, 16(11), p.1243.</w:t>
      </w:r>
    </w:p>
    <w:p w14:paraId="4C30B8DD"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Brackley, J., Tuck, P. and Exworthy, M., 2021. Public health interventions in English local authorities: constructing the facts,(re) imagining the future. Accounting, Auditing &amp; Accountability Journal, 34(7), pp.1664-1691.</w:t>
      </w:r>
    </w:p>
    <w:p w14:paraId="0430CF61" w14:textId="77777777" w:rsidR="007E0821" w:rsidRPr="006502E8" w:rsidRDefault="007E0821" w:rsidP="007128BD">
      <w:pPr>
        <w:spacing w:line="360" w:lineRule="auto"/>
        <w:jc w:val="both"/>
        <w:rPr>
          <w:rFonts w:ascii="Arial" w:hAnsi="Arial" w:cs="Arial"/>
          <w:sz w:val="32"/>
          <w:szCs w:val="32"/>
        </w:rPr>
      </w:pPr>
      <w:r w:rsidRPr="006502E8">
        <w:rPr>
          <w:rFonts w:ascii="Arial" w:hAnsi="Arial" w:cs="Arial"/>
          <w:sz w:val="24"/>
          <w:szCs w:val="24"/>
          <w:shd w:val="clear" w:color="auto" w:fill="FFFFFF"/>
        </w:rPr>
        <w:t>Braun, V. and Clarke, V., 2019. Reflecting on reflexive thematic analysis. </w:t>
      </w:r>
      <w:r w:rsidRPr="006502E8">
        <w:rPr>
          <w:rFonts w:ascii="Arial" w:hAnsi="Arial" w:cs="Arial"/>
          <w:i/>
          <w:iCs/>
          <w:sz w:val="24"/>
          <w:szCs w:val="24"/>
          <w:shd w:val="clear" w:color="auto" w:fill="FFFFFF"/>
        </w:rPr>
        <w:t>Qualitative research in sport, exercise and health</w:t>
      </w:r>
      <w:r w:rsidRPr="006502E8">
        <w:rPr>
          <w:rFonts w:ascii="Arial" w:hAnsi="Arial" w:cs="Arial"/>
          <w:sz w:val="24"/>
          <w:szCs w:val="24"/>
          <w:shd w:val="clear" w:color="auto" w:fill="FFFFFF"/>
        </w:rPr>
        <w:t>, </w:t>
      </w:r>
      <w:r w:rsidRPr="006502E8">
        <w:rPr>
          <w:rFonts w:ascii="Arial" w:hAnsi="Arial" w:cs="Arial"/>
          <w:i/>
          <w:iCs/>
          <w:sz w:val="24"/>
          <w:szCs w:val="24"/>
          <w:shd w:val="clear" w:color="auto" w:fill="FFFFFF"/>
        </w:rPr>
        <w:t>11</w:t>
      </w:r>
      <w:r w:rsidRPr="006502E8">
        <w:rPr>
          <w:rFonts w:ascii="Arial" w:hAnsi="Arial" w:cs="Arial"/>
          <w:sz w:val="24"/>
          <w:szCs w:val="24"/>
          <w:shd w:val="clear" w:color="auto" w:fill="FFFFFF"/>
        </w:rPr>
        <w:t>(4), pp.589-597.</w:t>
      </w:r>
    </w:p>
    <w:p w14:paraId="5F906E97"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Brown, C., Corbo, M., Axten, S., Jeffree, S., Swan, S., Wason, K., Sharma, S., Austin, S. and Tiltsen, S., 2024. Sharing the care: One Aboriginal community-controlled organisation’s approach to out-of-home care of Aboriginal and Torres Strait Islander children. Australian Social Work, 77(4), pp.513-526. Add the DOI link</w:t>
      </w:r>
    </w:p>
    <w:p w14:paraId="42EF7318"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Butler, D. and Sherriff, G., 2017. ‘It’s normal to have damp’: Using a qualitative psychological approach to analyse the lived experience of energy vulnerability among young adult households. Indoor and Built Environment, 26(7), pp.964-979.</w:t>
      </w:r>
    </w:p>
    <w:p w14:paraId="771F2A32" w14:textId="77777777" w:rsidR="007E0821" w:rsidRPr="006502E8" w:rsidRDefault="007E0821" w:rsidP="007E0821">
      <w:pPr>
        <w:spacing w:line="360" w:lineRule="auto"/>
        <w:jc w:val="both"/>
        <w:rPr>
          <w:rFonts w:ascii="Arial" w:hAnsi="Arial" w:cs="Arial"/>
          <w:sz w:val="24"/>
          <w:szCs w:val="24"/>
          <w:highlight w:val="white"/>
          <w:lang w:val="en-IN"/>
        </w:rPr>
      </w:pPr>
      <w:r w:rsidRPr="006502E8">
        <w:rPr>
          <w:rFonts w:ascii="Arial" w:hAnsi="Arial" w:cs="Arial"/>
          <w:sz w:val="24"/>
          <w:szCs w:val="24"/>
          <w:highlight w:val="white"/>
          <w:lang w:val="en-IN"/>
        </w:rPr>
        <w:t>Cardinale, F., La Torre, F., Tricarico, L.G., Verriello, G. and Mastrorilli, C., 2024. Why do some children get sick with recurrent respiratory infections?. Current pediatric reviews, 20(3), pp.203-215.</w:t>
      </w:r>
    </w:p>
    <w:p w14:paraId="01A2AF23"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Chen, K.L., Miake-Lye, I.M., Begashaw, M.M., Zimmerman, F.J., Larkin, J., McGrath, E.L. and Shekelle, P.G., 2022. Association of promoting housing affordability and stability with improved health outcomes: a systematic review. JAMA Network Open, 5(11), pp.e2239860-e2239860.</w:t>
      </w:r>
    </w:p>
    <w:p w14:paraId="592585A4" w14:textId="77777777" w:rsidR="007E0821" w:rsidRPr="006502E8" w:rsidRDefault="007E0821" w:rsidP="002E3354">
      <w:pPr>
        <w:spacing w:after="215" w:line="360" w:lineRule="auto"/>
        <w:ind w:left="15" w:right="67" w:hanging="10"/>
        <w:jc w:val="both"/>
        <w:rPr>
          <w:rFonts w:ascii="Arial" w:hAnsi="Arial" w:cs="Arial"/>
          <w:sz w:val="24"/>
          <w:szCs w:val="24"/>
        </w:rPr>
      </w:pPr>
      <w:bookmarkStart w:id="229" w:name="_Hlk216341941"/>
      <w:r w:rsidRPr="006502E8">
        <w:rPr>
          <w:rFonts w:ascii="Arial" w:hAnsi="Arial" w:cs="Arial"/>
          <w:sz w:val="24"/>
          <w:szCs w:val="24"/>
        </w:rPr>
        <w:t>Chinn</w:t>
      </w:r>
      <w:bookmarkEnd w:id="229"/>
      <w:r w:rsidRPr="006502E8">
        <w:rPr>
          <w:rFonts w:ascii="Arial" w:hAnsi="Arial" w:cs="Arial"/>
          <w:sz w:val="24"/>
          <w:szCs w:val="24"/>
        </w:rPr>
        <w:t>, D., Brickley, K. and Power, A., 2024. Involvement of lay assessors in the inspection and regulation of public services: a systematic review. </w:t>
      </w:r>
      <w:r w:rsidRPr="006502E8">
        <w:rPr>
          <w:rFonts w:ascii="Arial" w:hAnsi="Arial" w:cs="Arial"/>
          <w:i/>
          <w:iCs/>
          <w:sz w:val="24"/>
          <w:szCs w:val="24"/>
        </w:rPr>
        <w:t>Health &amp; Social Care in the Community</w:t>
      </w:r>
      <w:r w:rsidRPr="006502E8">
        <w:rPr>
          <w:rFonts w:ascii="Arial" w:hAnsi="Arial" w:cs="Arial"/>
          <w:sz w:val="24"/>
          <w:szCs w:val="24"/>
        </w:rPr>
        <w:t>, </w:t>
      </w:r>
      <w:r w:rsidRPr="006502E8">
        <w:rPr>
          <w:rFonts w:ascii="Arial" w:hAnsi="Arial" w:cs="Arial"/>
          <w:i/>
          <w:iCs/>
          <w:sz w:val="24"/>
          <w:szCs w:val="24"/>
        </w:rPr>
        <w:t>2024</w:t>
      </w:r>
      <w:r w:rsidRPr="006502E8">
        <w:rPr>
          <w:rFonts w:ascii="Arial" w:hAnsi="Arial" w:cs="Arial"/>
          <w:sz w:val="24"/>
          <w:szCs w:val="24"/>
        </w:rPr>
        <w:t>(1), p.1282674.</w:t>
      </w:r>
    </w:p>
    <w:p w14:paraId="0F84B9B3"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Clark, S.N., Lam, H.C., Goode, E.J., Marczylo, E.L., Exley, K.S. and Dimitroulopoulou, S., 2023. The burden of respiratory disease from formaldehyde, damp and mould in English housing. Environments, 10(8), p.136.</w:t>
      </w:r>
    </w:p>
    <w:p w14:paraId="71D4D427"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Coulburn, L. and Miller, W., 2022. Prevalence, risk factors and impacts related to mould-affected housing: an Australian integrative review. International Journal of Environmental Research and Public Health, 19(3), p.1854.</w:t>
      </w:r>
    </w:p>
    <w:p w14:paraId="163A9FB4" w14:textId="41E3C178"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Cross, S., 2022. Housing and Children’s Health and Social Care. A review of literature and suggestions for further research.</w:t>
      </w:r>
    </w:p>
    <w:p w14:paraId="3A6693DA"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Daou, T., Mansour, F., Abdul Sater, Z., Naal, H., Jaber, L., Gnaedinger, A., Abu Sittah, G. and Saleh, S., 2025. Bridging the data divide: challenges and opportunities for trauma registries in conflict-affected MENA countries: a qualitative analysis of key informant interviews. Conflict and Health, 19(1), p.60.</w:t>
      </w:r>
    </w:p>
    <w:p w14:paraId="0C42F208"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Dawes, J., May, T., Fancourt, D. and Burton, A., 2022. The impact of the COVID-19 pandemic and associated societal restrictions on people experiencing homelessness (PEH): a qualitative interview study with PEH and service providers in the UK. International Journal of Environmental Research and Public Health, 19(23), p.15526.</w:t>
      </w:r>
    </w:p>
    <w:p w14:paraId="7F4BDC97" w14:textId="77777777" w:rsidR="007E0821" w:rsidRPr="006502E8" w:rsidRDefault="007E0821" w:rsidP="002E3354">
      <w:pPr>
        <w:spacing w:after="242" w:line="354" w:lineRule="auto"/>
        <w:ind w:right="64" w:hanging="10"/>
        <w:jc w:val="both"/>
        <w:rPr>
          <w:rFonts w:ascii="Arial" w:hAnsi="Arial" w:cs="Arial"/>
          <w:sz w:val="24"/>
          <w:szCs w:val="24"/>
        </w:rPr>
      </w:pPr>
      <w:bookmarkStart w:id="230" w:name="_Hlk216340585"/>
      <w:r w:rsidRPr="006502E8">
        <w:rPr>
          <w:rFonts w:ascii="Arial" w:hAnsi="Arial" w:cs="Arial"/>
          <w:sz w:val="24"/>
          <w:szCs w:val="24"/>
        </w:rPr>
        <w:t>de Madariaga, I.S. and Boccia</w:t>
      </w:r>
      <w:bookmarkEnd w:id="230"/>
      <w:r w:rsidRPr="006502E8">
        <w:rPr>
          <w:rFonts w:ascii="Arial" w:hAnsi="Arial" w:cs="Arial"/>
          <w:sz w:val="24"/>
          <w:szCs w:val="24"/>
        </w:rPr>
        <w:t>, T., 2025. Gender in UN-Habitat Policies and Programs. Past and Present, 1978-2025. </w:t>
      </w:r>
      <w:r w:rsidRPr="006502E8">
        <w:rPr>
          <w:rFonts w:ascii="Arial" w:hAnsi="Arial" w:cs="Arial"/>
          <w:i/>
          <w:iCs/>
          <w:sz w:val="24"/>
          <w:szCs w:val="24"/>
        </w:rPr>
        <w:t>VLC arquitectura. Research Journal</w:t>
      </w:r>
      <w:r w:rsidRPr="006502E8">
        <w:rPr>
          <w:rFonts w:ascii="Arial" w:hAnsi="Arial" w:cs="Arial"/>
          <w:sz w:val="24"/>
          <w:szCs w:val="24"/>
        </w:rPr>
        <w:t>, </w:t>
      </w:r>
      <w:r w:rsidRPr="006502E8">
        <w:rPr>
          <w:rFonts w:ascii="Arial" w:hAnsi="Arial" w:cs="Arial"/>
          <w:i/>
          <w:iCs/>
          <w:sz w:val="24"/>
          <w:szCs w:val="24"/>
        </w:rPr>
        <w:t>12</w:t>
      </w:r>
      <w:r w:rsidRPr="006502E8">
        <w:rPr>
          <w:rFonts w:ascii="Arial" w:hAnsi="Arial" w:cs="Arial"/>
          <w:sz w:val="24"/>
          <w:szCs w:val="24"/>
        </w:rPr>
        <w:t>(2), pp.261-276.</w:t>
      </w:r>
    </w:p>
    <w:p w14:paraId="1C5A9C32"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Dimitroulopoulou, S., Dudzińska, M.R., Gunnarsen, L., Hägerhed, L., Maula, H., Singh, R., Toyinbo, O. and Haverinen-Shaughnessy, U., 2023. Indoor air quality guidelines from across the world: An appraisal considering energy saving, health, productivity, and comfort. Environment International, 178, p.108127.</w:t>
      </w:r>
    </w:p>
    <w:p w14:paraId="5B26F012"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Easton, C., Javadizadeh, E., Plett, P., Perez, S., Isard, R., Hariramani, S., Salahi, G. and Marshall, C.A., 2024. A scoping review examining the association of housing quality and psychosocial well-being following homelessness: an ecological systems perspective. Journal of Social Distress and Homelessness, 33(2), pp.457-481.</w:t>
      </w:r>
    </w:p>
    <w:p w14:paraId="7FD4CE6F"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El-Hoss, T., Thomas, F., Gradinger, F. and Hughes, S., 2024. Housing and children’s social care in England: learning from embedded research. Housing Studies, pp.1-26.</w:t>
      </w:r>
    </w:p>
    <w:p w14:paraId="220067BF"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Galster, G. and Lee, K.O., 2021. Housing affordability: A framing, synthesis of research and policy, and future directions. International Journal of Urban Sciences, 25(sup1), pp.7-58.</w:t>
      </w:r>
    </w:p>
    <w:p w14:paraId="0498C1C3"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Gardner, F., Shenderovich, Y., McCoy, A., Schafer, M., Martin, M., Janowski, R. and Varadan, S., 2023. WHO guidelines on parenting interventions to prevent maltreatment and enhance parent–child relationships with children aged 0–17 years: Report of the reviews for the WHO-INTEGRATE framework. WHO: Geneva, Switzerland.</w:t>
      </w:r>
    </w:p>
    <w:p w14:paraId="734E123B"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Gov.uk, 2025. English Housing Survey 2023 to 2024: drivers and impacts of housing quality. Available at: https://www.gov.uk/government/statistics/english-housing-survey-2023-to-2024-drivers-and-impacts-of-housing-quality/english-housing-survey-2023-to-2024-drivers-and-impacts-of-housing-quality [Accessed on: 10.11.2025]</w:t>
      </w:r>
    </w:p>
    <w:p w14:paraId="151E4AB6"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Gov.uk, 2025. Understanding and addressing the health risks of damp and mould in the home. Available at: https://www.gov.uk/government/publications/damp-and-mould-understanding-and-addressing-the-health-risks-for-rented-housing-providers/understanding-and-addressing-the-health-risks-of-damp-and-mould-in-the-home--2 [Accessed on: 10.11.2025]</w:t>
      </w:r>
    </w:p>
    <w:p w14:paraId="4624E389"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lang w:val="nl-NL"/>
        </w:rPr>
        <w:t xml:space="preserve">Groot, J., Nielsen, E.T., Nielsen, T.F., Andersen, P.K., Pedersen, M., Sigsgaard, T., Loft, S., Andersen, A.M.N. and Keller, A., 2023. </w:t>
      </w:r>
      <w:r w:rsidRPr="006502E8">
        <w:rPr>
          <w:rFonts w:ascii="Arial" w:hAnsi="Arial" w:cs="Arial"/>
          <w:bCs/>
          <w:sz w:val="24"/>
          <w:szCs w:val="24"/>
        </w:rPr>
        <w:t>Exposure to residential mold and dampness and the associations with respiratory tract infections and symptoms thereof in children in high income countries: A systematic review and meta-analyses of epidemiological studies. Paediatric Respiratory Reviews, 48, pp.47-64.</w:t>
      </w:r>
    </w:p>
    <w:p w14:paraId="167407A1"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Health Equals, 2025. New data shows more than 1 in 4 of us live in homes that could harm our health. Available at: https://healthequals.org.uk/data_insights/homes-that-harm-health/ [Accessed on: 10.11.2025]</w:t>
      </w:r>
    </w:p>
    <w:p w14:paraId="7C557B0F"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Hill, M.S. and Gilbert, J.A., 2023. Microbiology of the built environment: Harnessing human-associated built environment research to inform the study and design of animal nests and enclosures. Microbiology and Molecular Biology Reviews, 87(4), pp.e00121-21.</w:t>
      </w:r>
    </w:p>
    <w:p w14:paraId="765EEAE7"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Holden, K.A., Lee, A.R., Hawcutt, D.B. and Sinha, I.P., 2023. The impact of poor housing and indoor air quality on respiratory health in children. Breathe, 19(2).</w:t>
      </w:r>
    </w:p>
    <w:p w14:paraId="246A6A69"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Holden, M.T. and Lynch, P., 2004. Choosing the appropriate methodology: Understanding research philosophy. </w:t>
      </w:r>
      <w:r w:rsidRPr="006502E8">
        <w:rPr>
          <w:rFonts w:ascii="Arial" w:hAnsi="Arial" w:cs="Arial"/>
          <w:i/>
          <w:iCs/>
          <w:sz w:val="24"/>
          <w:szCs w:val="24"/>
          <w:highlight w:val="white"/>
        </w:rPr>
        <w:t>The marketing review</w:t>
      </w:r>
      <w:r w:rsidRPr="006502E8">
        <w:rPr>
          <w:rFonts w:ascii="Arial" w:hAnsi="Arial" w:cs="Arial"/>
          <w:sz w:val="24"/>
          <w:szCs w:val="24"/>
          <w:highlight w:val="white"/>
        </w:rPr>
        <w:t xml:space="preserve">, </w:t>
      </w:r>
      <w:r w:rsidRPr="006502E8">
        <w:rPr>
          <w:rFonts w:ascii="Arial" w:hAnsi="Arial" w:cs="Arial"/>
          <w:i/>
          <w:iCs/>
          <w:sz w:val="24"/>
          <w:szCs w:val="24"/>
          <w:highlight w:val="white"/>
        </w:rPr>
        <w:t>4</w:t>
      </w:r>
      <w:r w:rsidRPr="006502E8">
        <w:rPr>
          <w:rFonts w:ascii="Arial" w:hAnsi="Arial" w:cs="Arial"/>
          <w:sz w:val="24"/>
          <w:szCs w:val="24"/>
          <w:highlight w:val="white"/>
        </w:rPr>
        <w:t>(4), pp.397-409.</w:t>
      </w:r>
    </w:p>
    <w:p w14:paraId="2180FC7D"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Howden-Chapman, P., Bennett, J., Edwards, R., Jacobs, D., Nathan, K. and Ormandy, D., 2023. Review of the impact of housing quality on inequalities in health and well-being. Annual review of public health, 44(1), pp.233-254.</w:t>
      </w:r>
    </w:p>
    <w:p w14:paraId="32BC9942" w14:textId="77777777" w:rsidR="007E0821" w:rsidRDefault="007E0821" w:rsidP="002E3354">
      <w:pPr>
        <w:spacing w:after="242" w:line="354" w:lineRule="auto"/>
        <w:ind w:right="64" w:hanging="10"/>
        <w:jc w:val="both"/>
        <w:rPr>
          <w:rFonts w:ascii="Arial" w:hAnsi="Arial" w:cs="Arial"/>
          <w:sz w:val="24"/>
          <w:szCs w:val="24"/>
        </w:rPr>
      </w:pPr>
      <w:bookmarkStart w:id="231" w:name="_Hlk216340660"/>
      <w:r w:rsidRPr="006502E8">
        <w:rPr>
          <w:rFonts w:ascii="Arial" w:hAnsi="Arial" w:cs="Arial"/>
          <w:sz w:val="24"/>
          <w:szCs w:val="24"/>
        </w:rPr>
        <w:t>Iddi</w:t>
      </w:r>
      <w:bookmarkEnd w:id="231"/>
      <w:r w:rsidRPr="006502E8">
        <w:rPr>
          <w:rFonts w:ascii="Arial" w:hAnsi="Arial" w:cs="Arial"/>
          <w:sz w:val="24"/>
          <w:szCs w:val="24"/>
        </w:rPr>
        <w:t>, S., Muindi, K., Gitau, H. and Mberu, B., 2022. Characterization of healthy housing in Africa: Method, profiles, and determinants. </w:t>
      </w:r>
      <w:r w:rsidRPr="006502E8">
        <w:rPr>
          <w:rFonts w:ascii="Arial" w:hAnsi="Arial" w:cs="Arial"/>
          <w:i/>
          <w:iCs/>
          <w:sz w:val="24"/>
          <w:szCs w:val="24"/>
        </w:rPr>
        <w:t>Journal of Urban Health</w:t>
      </w:r>
      <w:r w:rsidRPr="006502E8">
        <w:rPr>
          <w:rFonts w:ascii="Arial" w:hAnsi="Arial" w:cs="Arial"/>
          <w:sz w:val="24"/>
          <w:szCs w:val="24"/>
        </w:rPr>
        <w:t>, </w:t>
      </w:r>
      <w:r w:rsidRPr="006502E8">
        <w:rPr>
          <w:rFonts w:ascii="Arial" w:hAnsi="Arial" w:cs="Arial"/>
          <w:i/>
          <w:iCs/>
          <w:sz w:val="24"/>
          <w:szCs w:val="24"/>
        </w:rPr>
        <w:t>99</w:t>
      </w:r>
      <w:r w:rsidRPr="006502E8">
        <w:rPr>
          <w:rFonts w:ascii="Arial" w:hAnsi="Arial" w:cs="Arial"/>
          <w:sz w:val="24"/>
          <w:szCs w:val="24"/>
        </w:rPr>
        <w:t>(1), pp.146-163.</w:t>
      </w:r>
    </w:p>
    <w:p w14:paraId="69A53E01" w14:textId="4707E5DD" w:rsidR="009077E1" w:rsidRPr="009077E1" w:rsidRDefault="009077E1" w:rsidP="002E3354">
      <w:pPr>
        <w:spacing w:after="242" w:line="354" w:lineRule="auto"/>
        <w:ind w:right="64" w:hanging="10"/>
        <w:jc w:val="both"/>
        <w:rPr>
          <w:rFonts w:ascii="Arial" w:hAnsi="Arial" w:cs="Arial"/>
          <w:color w:val="4472C4" w:themeColor="accent1"/>
          <w:sz w:val="24"/>
          <w:szCs w:val="24"/>
        </w:rPr>
      </w:pPr>
      <w:r w:rsidRPr="009077E1">
        <w:rPr>
          <w:rFonts w:ascii="Arial" w:hAnsi="Arial" w:cs="Arial"/>
          <w:color w:val="4472C4" w:themeColor="accent1"/>
          <w:sz w:val="24"/>
          <w:szCs w:val="24"/>
        </w:rPr>
        <w:t>Kucuktuvek, M., 2024. Health-Oriented Interior Architecture Principles for Primary Care Centers (PCCs): Ergonomics, Air Quality, Lighting, and Acoustics. Assoc. Prof. Hüseyin Samet Aşıkkutlu, Ph. D., p.225.</w:t>
      </w:r>
    </w:p>
    <w:p w14:paraId="085046C1"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Kumar, P. and Singh, R., 2025. Microbial indoor air pollution in Delhi Metropolitan City is attributable to severe respiratory and general health effects among residents. Frontiers in Public Health, 13, p.1626827.</w:t>
      </w:r>
    </w:p>
    <w:p w14:paraId="0AB7226C"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Kumar, P., Kausar, M.A., Singh, A.B. and Singh, R., 2021. Biological contaminants in the indoor air environment and their impacts on human health. Air Quality, Atmosphere &amp; Health, 14(11), pp.1723-1736.</w:t>
      </w:r>
    </w:p>
    <w:p w14:paraId="2EB04793"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Liu, L., 2016. Using generic inductive approach in qualitative educational research: A case study analysis. </w:t>
      </w:r>
      <w:r w:rsidRPr="006502E8">
        <w:rPr>
          <w:rFonts w:ascii="Arial" w:hAnsi="Arial" w:cs="Arial"/>
          <w:i/>
          <w:iCs/>
          <w:sz w:val="24"/>
          <w:szCs w:val="24"/>
          <w:highlight w:val="white"/>
        </w:rPr>
        <w:t>Journal of education and learning</w:t>
      </w:r>
      <w:r w:rsidRPr="006502E8">
        <w:rPr>
          <w:rFonts w:ascii="Arial" w:hAnsi="Arial" w:cs="Arial"/>
          <w:sz w:val="24"/>
          <w:szCs w:val="24"/>
          <w:highlight w:val="white"/>
        </w:rPr>
        <w:t xml:space="preserve">, </w:t>
      </w:r>
      <w:r w:rsidRPr="006502E8">
        <w:rPr>
          <w:rFonts w:ascii="Arial" w:hAnsi="Arial" w:cs="Arial"/>
          <w:i/>
          <w:iCs/>
          <w:sz w:val="24"/>
          <w:szCs w:val="24"/>
          <w:highlight w:val="white"/>
        </w:rPr>
        <w:t>5</w:t>
      </w:r>
      <w:r w:rsidRPr="006502E8">
        <w:rPr>
          <w:rFonts w:ascii="Arial" w:hAnsi="Arial" w:cs="Arial"/>
          <w:sz w:val="24"/>
          <w:szCs w:val="24"/>
          <w:highlight w:val="white"/>
        </w:rPr>
        <w:t>(2), pp.129-135.</w:t>
      </w:r>
    </w:p>
    <w:p w14:paraId="3BB6B10A"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Long, H.A., French, D.P. and Brooks, J.M., 2020. Optimising the value of the critical appraisal skills programme (CASP) tool for quality appraisal in qualitative evidence synthesis. </w:t>
      </w:r>
      <w:r w:rsidRPr="006502E8">
        <w:rPr>
          <w:rFonts w:ascii="Arial" w:hAnsi="Arial" w:cs="Arial"/>
          <w:i/>
          <w:iCs/>
          <w:sz w:val="24"/>
          <w:szCs w:val="24"/>
          <w:highlight w:val="white"/>
        </w:rPr>
        <w:t>Research Methods in Medicine &amp; Health Sciences</w:t>
      </w:r>
      <w:r w:rsidRPr="006502E8">
        <w:rPr>
          <w:rFonts w:ascii="Arial" w:hAnsi="Arial" w:cs="Arial"/>
          <w:sz w:val="24"/>
          <w:szCs w:val="24"/>
          <w:highlight w:val="white"/>
        </w:rPr>
        <w:t xml:space="preserve">, </w:t>
      </w:r>
      <w:r w:rsidRPr="006502E8">
        <w:rPr>
          <w:rFonts w:ascii="Arial" w:hAnsi="Arial" w:cs="Arial"/>
          <w:i/>
          <w:iCs/>
          <w:sz w:val="24"/>
          <w:szCs w:val="24"/>
          <w:highlight w:val="white"/>
        </w:rPr>
        <w:t>1</w:t>
      </w:r>
      <w:r w:rsidRPr="006502E8">
        <w:rPr>
          <w:rFonts w:ascii="Arial" w:hAnsi="Arial" w:cs="Arial"/>
          <w:sz w:val="24"/>
          <w:szCs w:val="24"/>
          <w:highlight w:val="white"/>
        </w:rPr>
        <w:t>(1), pp.31-42.</w:t>
      </w:r>
    </w:p>
    <w:p w14:paraId="6AB28FEB" w14:textId="77777777" w:rsidR="007E0821" w:rsidRPr="006502E8" w:rsidRDefault="007E0821" w:rsidP="007E0821">
      <w:pPr>
        <w:spacing w:line="360" w:lineRule="auto"/>
        <w:jc w:val="both"/>
        <w:rPr>
          <w:rFonts w:ascii="Arial" w:hAnsi="Arial" w:cs="Arial"/>
          <w:sz w:val="24"/>
          <w:szCs w:val="24"/>
          <w:highlight w:val="white"/>
          <w:lang w:val="en-IN"/>
        </w:rPr>
      </w:pPr>
      <w:r w:rsidRPr="006502E8">
        <w:rPr>
          <w:rFonts w:ascii="Arial" w:hAnsi="Arial" w:cs="Arial"/>
          <w:sz w:val="24"/>
          <w:szCs w:val="24"/>
          <w:highlight w:val="white"/>
          <w:lang w:val="en-IN"/>
        </w:rPr>
        <w:t>Loukou, E., Jensen, N.F., Rohde, L. and Andersen, B., 2024. Damp buildings: associated fungi and how to find them. </w:t>
      </w:r>
      <w:r w:rsidRPr="006502E8">
        <w:rPr>
          <w:rFonts w:ascii="Arial" w:hAnsi="Arial" w:cs="Arial"/>
          <w:i/>
          <w:iCs/>
          <w:sz w:val="24"/>
          <w:szCs w:val="24"/>
          <w:highlight w:val="white"/>
          <w:lang w:val="en-IN"/>
        </w:rPr>
        <w:t>Journal of Fungi</w:t>
      </w:r>
      <w:r w:rsidRPr="006502E8">
        <w:rPr>
          <w:rFonts w:ascii="Arial" w:hAnsi="Arial" w:cs="Arial"/>
          <w:sz w:val="24"/>
          <w:szCs w:val="24"/>
          <w:highlight w:val="white"/>
          <w:lang w:val="en-IN"/>
        </w:rPr>
        <w:t>, </w:t>
      </w:r>
      <w:r w:rsidRPr="006502E8">
        <w:rPr>
          <w:rFonts w:ascii="Arial" w:hAnsi="Arial" w:cs="Arial"/>
          <w:i/>
          <w:iCs/>
          <w:sz w:val="24"/>
          <w:szCs w:val="24"/>
          <w:highlight w:val="white"/>
          <w:lang w:val="en-IN"/>
        </w:rPr>
        <w:t>10</w:t>
      </w:r>
      <w:r w:rsidRPr="006502E8">
        <w:rPr>
          <w:rFonts w:ascii="Arial" w:hAnsi="Arial" w:cs="Arial"/>
          <w:sz w:val="24"/>
          <w:szCs w:val="24"/>
          <w:highlight w:val="white"/>
          <w:lang w:val="en-IN"/>
        </w:rPr>
        <w:t>(2), p.108.</w:t>
      </w:r>
    </w:p>
    <w:p w14:paraId="5F48088E"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Mason, W.A., Cogua-Lopez, J., Fleming, C.B. and Scheier, L.M., 2018. Challenges facing evidence-based prevention: incorporating an abductive theory of method. </w:t>
      </w:r>
      <w:r w:rsidRPr="006502E8">
        <w:rPr>
          <w:rFonts w:ascii="Arial" w:hAnsi="Arial" w:cs="Arial"/>
          <w:i/>
          <w:iCs/>
          <w:sz w:val="24"/>
          <w:szCs w:val="24"/>
          <w:highlight w:val="white"/>
        </w:rPr>
        <w:t>Evaluation &amp; the health professions</w:t>
      </w:r>
      <w:r w:rsidRPr="006502E8">
        <w:rPr>
          <w:rFonts w:ascii="Arial" w:hAnsi="Arial" w:cs="Arial"/>
          <w:sz w:val="24"/>
          <w:szCs w:val="24"/>
          <w:highlight w:val="white"/>
        </w:rPr>
        <w:t xml:space="preserve">, </w:t>
      </w:r>
      <w:r w:rsidRPr="006502E8">
        <w:rPr>
          <w:rFonts w:ascii="Arial" w:hAnsi="Arial" w:cs="Arial"/>
          <w:i/>
          <w:iCs/>
          <w:sz w:val="24"/>
          <w:szCs w:val="24"/>
          <w:highlight w:val="white"/>
        </w:rPr>
        <w:t>41</w:t>
      </w:r>
      <w:r w:rsidRPr="006502E8">
        <w:rPr>
          <w:rFonts w:ascii="Arial" w:hAnsi="Arial" w:cs="Arial"/>
          <w:sz w:val="24"/>
          <w:szCs w:val="24"/>
          <w:highlight w:val="white"/>
        </w:rPr>
        <w:t>(2), pp.155-182.</w:t>
      </w:r>
    </w:p>
    <w:p w14:paraId="697D15C9"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McClatchey, R., Ferraro, C.F., Turner, E., Harris, J. and Banks, J., 2024. Local government interventions for improving the health and wellbeing of tenants in private rented housing: developing initial program theory to inform evaluation in the United Kingdom. BMC Public Health, 24(1), p.2144.</w:t>
      </w:r>
    </w:p>
    <w:p w14:paraId="35ABAC6B"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McGowan, V.J., Buckner, S., Mead, R., McGill, E., Ronzi, S., Beyer, F. and Bambra, C., 2021. Examining the effectiveness of place-based interventions to improve public health and reduce health inequalities: an umbrella review. BMC public health, 21(1), p.1888.</w:t>
      </w:r>
    </w:p>
    <w:p w14:paraId="16024457"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McHugh, N. and Macintyre, A., 2024. Social policy, social innovation and health: tackling health inequalities in the United Kingdom. In Handbook on Social Innovation and Social Policy (pp. 173-186). Edward Elgar Publishing.</w:t>
      </w:r>
    </w:p>
    <w:p w14:paraId="70046B4F" w14:textId="77777777" w:rsidR="007E0821" w:rsidRPr="006502E8" w:rsidRDefault="007E0821" w:rsidP="00C81CB0">
      <w:pPr>
        <w:pStyle w:val="ListBullet"/>
        <w:numPr>
          <w:ilvl w:val="0"/>
          <w:numId w:val="0"/>
        </w:numPr>
        <w:spacing w:before="240" w:line="360" w:lineRule="auto"/>
        <w:jc w:val="both"/>
        <w:rPr>
          <w:rFonts w:ascii="Arial" w:hAnsi="Arial" w:cs="Arial"/>
          <w:sz w:val="24"/>
          <w:szCs w:val="24"/>
          <w:lang w:eastAsia="en-IN"/>
        </w:rPr>
      </w:pPr>
      <w:r w:rsidRPr="006502E8">
        <w:rPr>
          <w:rFonts w:ascii="Arial" w:hAnsi="Arial" w:cs="Arial"/>
          <w:sz w:val="24"/>
          <w:szCs w:val="24"/>
          <w:lang w:eastAsia="en-IN"/>
        </w:rPr>
        <w:t>McKee, K. and Harris, J., 2025. The role of landlords in shaping private renters’ uneven experiences of home: towards a relational approach. International Journal of Housing Policy, 25(1), pp.101-118.</w:t>
      </w:r>
    </w:p>
    <w:p w14:paraId="7495AE42"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Meline, T., 2006. Selecting studies for systemic review: Inclusion and exclusion criteria. </w:t>
      </w:r>
      <w:r w:rsidRPr="006502E8">
        <w:rPr>
          <w:rFonts w:ascii="Arial" w:hAnsi="Arial" w:cs="Arial"/>
          <w:i/>
          <w:iCs/>
          <w:sz w:val="24"/>
          <w:szCs w:val="24"/>
          <w:highlight w:val="white"/>
        </w:rPr>
        <w:t>Contemporary issues in communication science and disorders</w:t>
      </w:r>
      <w:r w:rsidRPr="006502E8">
        <w:rPr>
          <w:rFonts w:ascii="Arial" w:hAnsi="Arial" w:cs="Arial"/>
          <w:sz w:val="24"/>
          <w:szCs w:val="24"/>
          <w:highlight w:val="white"/>
        </w:rPr>
        <w:t xml:space="preserve">, </w:t>
      </w:r>
      <w:r w:rsidRPr="006502E8">
        <w:rPr>
          <w:rFonts w:ascii="Arial" w:hAnsi="Arial" w:cs="Arial"/>
          <w:i/>
          <w:iCs/>
          <w:sz w:val="24"/>
          <w:szCs w:val="24"/>
          <w:highlight w:val="white"/>
        </w:rPr>
        <w:t>33</w:t>
      </w:r>
      <w:r w:rsidRPr="006502E8">
        <w:rPr>
          <w:rFonts w:ascii="Arial" w:hAnsi="Arial" w:cs="Arial"/>
          <w:sz w:val="24"/>
          <w:szCs w:val="24"/>
          <w:highlight w:val="white"/>
        </w:rPr>
        <w:t>(Spring), pp.21-27.</w:t>
      </w:r>
    </w:p>
    <w:p w14:paraId="2D4AFDDC"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Miller, R., Glasby, J. and Dickinson, H., 2021. Integrated health and social care in England: ten years on. International journal of integrated care, 21(4), p.6.</w:t>
      </w:r>
    </w:p>
    <w:p w14:paraId="30F99958"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Morrison, A., Polisena, J., Husereau, D., Moulton, K., Clark, M., Fiander, M., Mierzwinski-Urban, M., Clifford, T., Hutton, B. and Rabb, D., 2012. The effect of English-language restriction on systematic review-based meta-analyses: a systematic review of empirical studies. </w:t>
      </w:r>
      <w:r w:rsidRPr="006502E8">
        <w:rPr>
          <w:rFonts w:ascii="Arial" w:hAnsi="Arial" w:cs="Arial"/>
          <w:i/>
          <w:iCs/>
          <w:sz w:val="24"/>
          <w:szCs w:val="24"/>
          <w:highlight w:val="white"/>
        </w:rPr>
        <w:t>International journal of technology assessment in health care</w:t>
      </w:r>
      <w:r w:rsidRPr="006502E8">
        <w:rPr>
          <w:rFonts w:ascii="Arial" w:hAnsi="Arial" w:cs="Arial"/>
          <w:sz w:val="24"/>
          <w:szCs w:val="24"/>
          <w:highlight w:val="white"/>
        </w:rPr>
        <w:t xml:space="preserve">, </w:t>
      </w:r>
      <w:r w:rsidRPr="006502E8">
        <w:rPr>
          <w:rFonts w:ascii="Arial" w:hAnsi="Arial" w:cs="Arial"/>
          <w:i/>
          <w:iCs/>
          <w:sz w:val="24"/>
          <w:szCs w:val="24"/>
          <w:highlight w:val="white"/>
        </w:rPr>
        <w:t>28</w:t>
      </w:r>
      <w:r w:rsidRPr="006502E8">
        <w:rPr>
          <w:rFonts w:ascii="Arial" w:hAnsi="Arial" w:cs="Arial"/>
          <w:sz w:val="24"/>
          <w:szCs w:val="24"/>
          <w:highlight w:val="white"/>
        </w:rPr>
        <w:t>(2), pp.138-144.</w:t>
      </w:r>
    </w:p>
    <w:p w14:paraId="727C9630"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National Centre for Social Research, 2025. How poor-quality housing is harming millions of older adults. Available at: https://natcen.ac.uk/publications/how-poor-quality-housing-harming-millions-older-adults [Accessed on: 10.11.2025]</w:t>
      </w:r>
    </w:p>
    <w:p w14:paraId="309AABBF"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National Library of Medicine, 2025. Housing and Health: Time Again for Public Health Action. Available at: https://pmc.ncbi.nlm.nih.gov/articles/PMC1447157/ [Accessed on: 10.11.2025]</w:t>
      </w:r>
    </w:p>
    <w:p w14:paraId="38BB7F0D"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Omebeyinje, M.H., Adeluyi, A., Mitra, C., Chakraborty, P., Gandee, G.M., Patel, N., Verghese, B., Farrance, C.E., Hull, M., Basu, P. and Lee, K., 2021. Increased prevalence of indoor Aspergillus and Penicillium species is associated with indoor flooding and coastal proximity: a case study of 28 moldy buildings. Environmental Science: Processes &amp; Impacts, 23(11), pp.1681-1687.</w:t>
      </w:r>
    </w:p>
    <w:p w14:paraId="0C05E633"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Paez, A., 2017. Gray literature: An important resource in systematic reviews. </w:t>
      </w:r>
      <w:r w:rsidRPr="006502E8">
        <w:rPr>
          <w:rFonts w:ascii="Arial" w:hAnsi="Arial" w:cs="Arial"/>
          <w:i/>
          <w:iCs/>
          <w:sz w:val="24"/>
          <w:szCs w:val="24"/>
          <w:highlight w:val="white"/>
        </w:rPr>
        <w:t>Journal of Evidence</w:t>
      </w:r>
      <w:r w:rsidRPr="006502E8">
        <w:rPr>
          <w:rFonts w:ascii="Cambria Math" w:hAnsi="Cambria Math" w:cs="Cambria Math"/>
          <w:i/>
          <w:iCs/>
          <w:sz w:val="24"/>
          <w:szCs w:val="24"/>
          <w:highlight w:val="white"/>
        </w:rPr>
        <w:t>‐</w:t>
      </w:r>
      <w:r w:rsidRPr="006502E8">
        <w:rPr>
          <w:rFonts w:ascii="Arial" w:hAnsi="Arial" w:cs="Arial"/>
          <w:i/>
          <w:iCs/>
          <w:sz w:val="24"/>
          <w:szCs w:val="24"/>
          <w:highlight w:val="white"/>
        </w:rPr>
        <w:t>Based Medicine</w:t>
      </w:r>
      <w:r w:rsidRPr="006502E8">
        <w:rPr>
          <w:rFonts w:ascii="Arial" w:hAnsi="Arial" w:cs="Arial"/>
          <w:sz w:val="24"/>
          <w:szCs w:val="24"/>
          <w:highlight w:val="white"/>
        </w:rPr>
        <w:t xml:space="preserve">, </w:t>
      </w:r>
      <w:r w:rsidRPr="006502E8">
        <w:rPr>
          <w:rFonts w:ascii="Arial" w:hAnsi="Arial" w:cs="Arial"/>
          <w:i/>
          <w:iCs/>
          <w:sz w:val="24"/>
          <w:szCs w:val="24"/>
          <w:highlight w:val="white"/>
        </w:rPr>
        <w:t>10</w:t>
      </w:r>
      <w:r w:rsidRPr="006502E8">
        <w:rPr>
          <w:rFonts w:ascii="Arial" w:hAnsi="Arial" w:cs="Arial"/>
          <w:sz w:val="24"/>
          <w:szCs w:val="24"/>
          <w:highlight w:val="white"/>
        </w:rPr>
        <w:t>(3), pp.233-240.</w:t>
      </w:r>
    </w:p>
    <w:p w14:paraId="595CE926" w14:textId="77777777" w:rsidR="007E0821" w:rsidRPr="006502E8" w:rsidRDefault="007E0821" w:rsidP="003F3DAD">
      <w:pPr>
        <w:spacing w:line="360" w:lineRule="auto"/>
        <w:jc w:val="both"/>
        <w:rPr>
          <w:rFonts w:ascii="Arial" w:hAnsi="Arial" w:cs="Arial"/>
          <w:sz w:val="24"/>
          <w:szCs w:val="24"/>
        </w:rPr>
      </w:pPr>
      <w:r w:rsidRPr="006502E8">
        <w:rPr>
          <w:rFonts w:ascii="Arial" w:hAnsi="Arial" w:cs="Arial"/>
          <w:sz w:val="24"/>
          <w:szCs w:val="24"/>
          <w:highlight w:val="white"/>
        </w:rPr>
        <w:t xml:space="preserve">Peloquin, D., DiMaio, M., Bierer, B. and Barnes, M., 2020. Disruptive and avoidable: GDPR challenges to secondary research uses of data. </w:t>
      </w:r>
      <w:r w:rsidRPr="006502E8">
        <w:rPr>
          <w:rFonts w:ascii="Arial" w:hAnsi="Arial" w:cs="Arial"/>
          <w:i/>
          <w:iCs/>
          <w:sz w:val="24"/>
          <w:szCs w:val="24"/>
          <w:highlight w:val="white"/>
        </w:rPr>
        <w:t>European Journal of Human Genetics</w:t>
      </w:r>
      <w:r w:rsidRPr="006502E8">
        <w:rPr>
          <w:rFonts w:ascii="Arial" w:hAnsi="Arial" w:cs="Arial"/>
          <w:sz w:val="24"/>
          <w:szCs w:val="24"/>
          <w:highlight w:val="white"/>
        </w:rPr>
        <w:t xml:space="preserve">, </w:t>
      </w:r>
      <w:r w:rsidRPr="006502E8">
        <w:rPr>
          <w:rFonts w:ascii="Arial" w:hAnsi="Arial" w:cs="Arial"/>
          <w:i/>
          <w:iCs/>
          <w:sz w:val="24"/>
          <w:szCs w:val="24"/>
          <w:highlight w:val="white"/>
        </w:rPr>
        <w:t>28</w:t>
      </w:r>
      <w:r w:rsidRPr="006502E8">
        <w:rPr>
          <w:rFonts w:ascii="Arial" w:hAnsi="Arial" w:cs="Arial"/>
          <w:sz w:val="24"/>
          <w:szCs w:val="24"/>
          <w:highlight w:val="white"/>
        </w:rPr>
        <w:t>(6), pp.697-705.</w:t>
      </w:r>
    </w:p>
    <w:p w14:paraId="5C69409A" w14:textId="77777777" w:rsidR="007E0821" w:rsidRPr="006502E8" w:rsidRDefault="007E0821" w:rsidP="00C81CB0">
      <w:pPr>
        <w:pStyle w:val="ListBullet"/>
        <w:numPr>
          <w:ilvl w:val="0"/>
          <w:numId w:val="0"/>
        </w:numPr>
        <w:spacing w:before="240" w:line="360" w:lineRule="auto"/>
        <w:jc w:val="both"/>
        <w:rPr>
          <w:rFonts w:ascii="Arial" w:hAnsi="Arial" w:cs="Arial"/>
          <w:sz w:val="24"/>
          <w:szCs w:val="24"/>
          <w:lang w:eastAsia="en-IN"/>
        </w:rPr>
      </w:pPr>
      <w:r w:rsidRPr="006502E8">
        <w:rPr>
          <w:rFonts w:ascii="Arial" w:hAnsi="Arial" w:cs="Arial"/>
          <w:sz w:val="24"/>
          <w:szCs w:val="24"/>
          <w:lang w:eastAsia="en-IN"/>
        </w:rPr>
        <w:t>Phillips, O.R., Mardell, D., Stephenson, K., Hussain, S., Burton, D., Bernard, B., Stevenson, S. and Morling, J.R., 2024. Bringing the voice of social housing tenants into shaping the health and care research agenda. Research Involvement and Engagement, 10(1), p.85.</w:t>
      </w:r>
    </w:p>
    <w:p w14:paraId="4CE04011"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Prisma Statement, (2020). PRISMA flow diagram. Available at: </w:t>
      </w:r>
      <w:hyperlink r:id="rId25">
        <w:r w:rsidRPr="006502E8">
          <w:rPr>
            <w:rFonts w:ascii="Arial" w:hAnsi="Arial" w:cs="Arial"/>
            <w:sz w:val="24"/>
            <w:szCs w:val="24"/>
            <w:highlight w:val="white"/>
            <w:u w:val="single"/>
          </w:rPr>
          <w:t>https://www.prisma-statement.org/prisma-2020-flow-diagram</w:t>
        </w:r>
      </w:hyperlink>
      <w:r w:rsidRPr="006502E8">
        <w:rPr>
          <w:rFonts w:ascii="Arial" w:hAnsi="Arial" w:cs="Arial"/>
          <w:sz w:val="24"/>
          <w:szCs w:val="24"/>
          <w:highlight w:val="white"/>
        </w:rPr>
        <w:t xml:space="preserve"> (Accessed: November 24, 2025).</w:t>
      </w:r>
    </w:p>
    <w:p w14:paraId="5206AA23"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Reed, S., Oung, C., Davies, J., Dayan, M. and Scobie, S., 2021. Integrating health and social care. Nuffield Trust: London, UK.</w:t>
      </w:r>
    </w:p>
    <w:p w14:paraId="64B9D203" w14:textId="77777777" w:rsidR="007E0821" w:rsidRPr="006502E8" w:rsidRDefault="007E0821" w:rsidP="003F3DAD">
      <w:pPr>
        <w:spacing w:line="360" w:lineRule="auto"/>
        <w:jc w:val="both"/>
        <w:rPr>
          <w:rFonts w:ascii="Arial" w:hAnsi="Arial" w:cs="Arial"/>
          <w:sz w:val="24"/>
          <w:szCs w:val="24"/>
          <w:highlight w:val="white"/>
          <w:lang w:val="en-IN"/>
        </w:rPr>
      </w:pPr>
      <w:r w:rsidRPr="006502E8">
        <w:rPr>
          <w:rFonts w:ascii="Arial" w:hAnsi="Arial" w:cs="Arial"/>
          <w:sz w:val="24"/>
          <w:szCs w:val="24"/>
          <w:highlight w:val="white"/>
          <w:lang w:val="en-IN"/>
        </w:rPr>
        <w:t>Robb, K., Marcoux, A. and de Jong, J., 2021. Further inspection: integrating housing code enforcement and social services to improve community health. </w:t>
      </w:r>
      <w:r w:rsidRPr="006502E8">
        <w:rPr>
          <w:rFonts w:ascii="Arial" w:hAnsi="Arial" w:cs="Arial"/>
          <w:i/>
          <w:iCs/>
          <w:sz w:val="24"/>
          <w:szCs w:val="24"/>
          <w:highlight w:val="white"/>
          <w:lang w:val="en-IN"/>
        </w:rPr>
        <w:t>International Journal of Environmental Research and Public Health</w:t>
      </w:r>
      <w:r w:rsidRPr="006502E8">
        <w:rPr>
          <w:rFonts w:ascii="Arial" w:hAnsi="Arial" w:cs="Arial"/>
          <w:sz w:val="24"/>
          <w:szCs w:val="24"/>
          <w:highlight w:val="white"/>
          <w:lang w:val="en-IN"/>
        </w:rPr>
        <w:t>, </w:t>
      </w:r>
      <w:r w:rsidRPr="006502E8">
        <w:rPr>
          <w:rFonts w:ascii="Arial" w:hAnsi="Arial" w:cs="Arial"/>
          <w:i/>
          <w:iCs/>
          <w:sz w:val="24"/>
          <w:szCs w:val="24"/>
          <w:highlight w:val="white"/>
          <w:lang w:val="en-IN"/>
        </w:rPr>
        <w:t>18</w:t>
      </w:r>
      <w:r w:rsidRPr="006502E8">
        <w:rPr>
          <w:rFonts w:ascii="Arial" w:hAnsi="Arial" w:cs="Arial"/>
          <w:sz w:val="24"/>
          <w:szCs w:val="24"/>
          <w:highlight w:val="white"/>
          <w:lang w:val="en-IN"/>
        </w:rPr>
        <w:t>(22), p.12014.</w:t>
      </w:r>
    </w:p>
    <w:p w14:paraId="47BA9A00"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Sarkis-Onofre, R., Catalá-López, F., Aromataris, E. and Lockwood, C., 2021. How to properly use the PRISMA Statement. </w:t>
      </w:r>
      <w:r w:rsidRPr="006502E8">
        <w:rPr>
          <w:rFonts w:ascii="Arial" w:hAnsi="Arial" w:cs="Arial"/>
          <w:i/>
          <w:iCs/>
          <w:sz w:val="24"/>
          <w:szCs w:val="24"/>
          <w:highlight w:val="white"/>
        </w:rPr>
        <w:t>Systematic reviews</w:t>
      </w:r>
      <w:r w:rsidRPr="006502E8">
        <w:rPr>
          <w:rFonts w:ascii="Arial" w:hAnsi="Arial" w:cs="Arial"/>
          <w:sz w:val="24"/>
          <w:szCs w:val="24"/>
          <w:highlight w:val="white"/>
        </w:rPr>
        <w:t xml:space="preserve">, </w:t>
      </w:r>
      <w:r w:rsidRPr="006502E8">
        <w:rPr>
          <w:rFonts w:ascii="Arial" w:hAnsi="Arial" w:cs="Arial"/>
          <w:i/>
          <w:iCs/>
          <w:sz w:val="24"/>
          <w:szCs w:val="24"/>
          <w:highlight w:val="white"/>
        </w:rPr>
        <w:t>10</w:t>
      </w:r>
      <w:r w:rsidRPr="006502E8">
        <w:rPr>
          <w:rFonts w:ascii="Arial" w:hAnsi="Arial" w:cs="Arial"/>
          <w:sz w:val="24"/>
          <w:szCs w:val="24"/>
          <w:highlight w:val="white"/>
        </w:rPr>
        <w:t>(1), p.117.</w:t>
      </w:r>
    </w:p>
    <w:p w14:paraId="5CB2D4D4" w14:textId="77777777" w:rsidR="007E0821" w:rsidRPr="006502E8" w:rsidRDefault="007E0821" w:rsidP="007E0821">
      <w:pPr>
        <w:spacing w:line="360" w:lineRule="auto"/>
        <w:jc w:val="both"/>
        <w:rPr>
          <w:rFonts w:ascii="Arial" w:hAnsi="Arial" w:cs="Arial"/>
          <w:sz w:val="24"/>
          <w:szCs w:val="24"/>
          <w:highlight w:val="white"/>
          <w:lang w:val="en-IN"/>
        </w:rPr>
      </w:pPr>
      <w:r w:rsidRPr="006502E8">
        <w:rPr>
          <w:rFonts w:ascii="Arial" w:hAnsi="Arial" w:cs="Arial"/>
          <w:sz w:val="24"/>
          <w:szCs w:val="24"/>
          <w:highlight w:val="white"/>
          <w:lang w:val="en-IN"/>
        </w:rPr>
        <w:t>Sheppard, C.L., Gould, S., Guilcher, S.J., Liu, B., Linkewich, E., Austen, A. and Hitzig, S.L., 2022. “We could be good partners if we work together”: the perspectives of health and social service providers on the barriers to forming collaborative partnerships with social housing providers for older adults. </w:t>
      </w:r>
      <w:r w:rsidRPr="006502E8">
        <w:rPr>
          <w:rFonts w:ascii="Arial" w:hAnsi="Arial" w:cs="Arial"/>
          <w:i/>
          <w:iCs/>
          <w:sz w:val="24"/>
          <w:szCs w:val="24"/>
          <w:highlight w:val="white"/>
          <w:lang w:val="en-IN"/>
        </w:rPr>
        <w:t>BMC Health Services Research</w:t>
      </w:r>
      <w:r w:rsidRPr="006502E8">
        <w:rPr>
          <w:rFonts w:ascii="Arial" w:hAnsi="Arial" w:cs="Arial"/>
          <w:sz w:val="24"/>
          <w:szCs w:val="24"/>
          <w:highlight w:val="white"/>
          <w:lang w:val="en-IN"/>
        </w:rPr>
        <w:t>, </w:t>
      </w:r>
      <w:r w:rsidRPr="006502E8">
        <w:rPr>
          <w:rFonts w:ascii="Arial" w:hAnsi="Arial" w:cs="Arial"/>
          <w:i/>
          <w:iCs/>
          <w:sz w:val="24"/>
          <w:szCs w:val="24"/>
          <w:highlight w:val="white"/>
          <w:lang w:val="en-IN"/>
        </w:rPr>
        <w:t>22</w:t>
      </w:r>
      <w:r w:rsidRPr="006502E8">
        <w:rPr>
          <w:rFonts w:ascii="Arial" w:hAnsi="Arial" w:cs="Arial"/>
          <w:sz w:val="24"/>
          <w:szCs w:val="24"/>
          <w:highlight w:val="white"/>
          <w:lang w:val="en-IN"/>
        </w:rPr>
        <w:t>(1), p.313.</w:t>
      </w:r>
    </w:p>
    <w:p w14:paraId="539BB942" w14:textId="77777777" w:rsidR="007E0821" w:rsidRPr="006502E8" w:rsidRDefault="007E0821" w:rsidP="003F3DAD">
      <w:pPr>
        <w:spacing w:line="360" w:lineRule="auto"/>
        <w:jc w:val="both"/>
        <w:rPr>
          <w:rFonts w:ascii="Arial" w:hAnsi="Arial" w:cs="Arial"/>
          <w:sz w:val="24"/>
          <w:szCs w:val="24"/>
        </w:rPr>
      </w:pPr>
      <w:r w:rsidRPr="006502E8">
        <w:rPr>
          <w:rFonts w:ascii="Arial" w:hAnsi="Arial" w:cs="Arial"/>
          <w:sz w:val="24"/>
          <w:szCs w:val="24"/>
          <w:highlight w:val="white"/>
        </w:rPr>
        <w:t>Sheringham, J., Klaptocz, J., Ingram, E. and Ucci, M., 2024. Understanding placed-based pathways by which housing is related to health inequalities: a qualitative interview study in London. Frontiers in Environmental Health, 3, p.1358484.</w:t>
      </w:r>
    </w:p>
    <w:p w14:paraId="181EF691" w14:textId="77777777" w:rsidR="007E0821" w:rsidRPr="006502E8" w:rsidRDefault="007E0821" w:rsidP="00C81CB0">
      <w:pPr>
        <w:pStyle w:val="ListBullet"/>
        <w:numPr>
          <w:ilvl w:val="0"/>
          <w:numId w:val="0"/>
        </w:numPr>
        <w:spacing w:before="240" w:line="360" w:lineRule="auto"/>
        <w:jc w:val="both"/>
        <w:rPr>
          <w:rFonts w:ascii="Arial" w:hAnsi="Arial" w:cs="Arial"/>
          <w:sz w:val="24"/>
          <w:szCs w:val="24"/>
          <w:lang w:eastAsia="en-IN"/>
        </w:rPr>
      </w:pPr>
      <w:r w:rsidRPr="006502E8">
        <w:rPr>
          <w:rFonts w:ascii="Arial" w:hAnsi="Arial" w:cs="Arial"/>
          <w:sz w:val="24"/>
          <w:szCs w:val="24"/>
          <w:lang w:eastAsia="en-IN"/>
        </w:rPr>
        <w:t>Sherriff, G., Kelly, S., Martin, P. and Pink, J., 2024. Greater Manchester Social Housing Quality Fund: Tenant Research.</w:t>
      </w:r>
    </w:p>
    <w:p w14:paraId="76E5C721"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Shwashreh, L., Taki, A. and Kagioglou, M., 2024. Retrofit strategies for alleviating fuel poverty and improving subjective well-being in the UK’s social housing. Buildings, 14(2), p.316.</w:t>
      </w:r>
    </w:p>
    <w:p w14:paraId="68152E81"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Simpson, N., Storer, E. and Duale, S., 2025. Hostile environments: Mould, race and blame amidst Birmingham's housing crisis. Environment and Planning D: Society and Space, p.02637758251386715.</w:t>
      </w:r>
    </w:p>
    <w:p w14:paraId="0FA5EBE6" w14:textId="77777777" w:rsidR="007E0821" w:rsidRPr="006502E8" w:rsidRDefault="007E0821" w:rsidP="007128BD">
      <w:pPr>
        <w:spacing w:line="360" w:lineRule="auto"/>
        <w:jc w:val="both"/>
        <w:rPr>
          <w:rFonts w:ascii="Arial" w:hAnsi="Arial" w:cs="Arial"/>
          <w:sz w:val="24"/>
          <w:szCs w:val="24"/>
          <w:highlight w:val="white"/>
        </w:rPr>
      </w:pPr>
      <w:r w:rsidRPr="006502E8">
        <w:rPr>
          <w:rFonts w:ascii="Arial" w:hAnsi="Arial" w:cs="Arial"/>
          <w:sz w:val="24"/>
          <w:szCs w:val="24"/>
        </w:rPr>
        <w:t>Soltan, M., Crowley, L., Melville, C.R., Varney, J., Cassidy, S., Mahida, R., Grudzinska, F., Parekh, D., Dosanjh, D. and Thickett, D., 2021. L12 To what extent are social determinants of health, including household overcrowding, air pollution and housing quality deprivation, modulators of presentation, ITU admission and outcomes among patients with SARS-COV-2 infection in an urban catchment area in Birmingham, United Kingdom?.</w:t>
      </w:r>
    </w:p>
    <w:p w14:paraId="6B5792A5"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Sun, M., Pan, J., Zhao, Q. and Bardhan, R., 2025. Heat stress dichotomy: long-term adaptation and acute shock in London domestic environments. Philosophical Transactions A, 383(2308), p.20240567.</w:t>
      </w:r>
    </w:p>
    <w:p w14:paraId="19A1B7B5"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Suri, H., 2020. Ethical considerations of conducting systematic reviews in educational research. </w:t>
      </w:r>
      <w:r w:rsidRPr="006502E8">
        <w:rPr>
          <w:rFonts w:ascii="Arial" w:hAnsi="Arial" w:cs="Arial"/>
          <w:i/>
          <w:iCs/>
          <w:sz w:val="24"/>
          <w:szCs w:val="24"/>
          <w:highlight w:val="white"/>
        </w:rPr>
        <w:t>Systematic reviews in educational research</w:t>
      </w:r>
      <w:r w:rsidRPr="006502E8">
        <w:rPr>
          <w:rFonts w:ascii="Arial" w:hAnsi="Arial" w:cs="Arial"/>
          <w:sz w:val="24"/>
          <w:szCs w:val="24"/>
          <w:highlight w:val="white"/>
        </w:rPr>
        <w:t xml:space="preserve">, </w:t>
      </w:r>
      <w:r w:rsidRPr="006502E8">
        <w:rPr>
          <w:rFonts w:ascii="Arial" w:hAnsi="Arial" w:cs="Arial"/>
          <w:i/>
          <w:iCs/>
          <w:sz w:val="24"/>
          <w:szCs w:val="24"/>
          <w:highlight w:val="white"/>
        </w:rPr>
        <w:t>41</w:t>
      </w:r>
      <w:r w:rsidRPr="006502E8">
        <w:rPr>
          <w:rFonts w:ascii="Arial" w:hAnsi="Arial" w:cs="Arial"/>
          <w:sz w:val="24"/>
          <w:szCs w:val="24"/>
          <w:highlight w:val="white"/>
        </w:rPr>
        <w:t>.</w:t>
      </w:r>
    </w:p>
    <w:p w14:paraId="6C1166A7"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The Guardian, 2025. Millions of young adults living in poor quality housing, UK study shows. Available at: https://www.theguardian.com/business/2023/apr/15/young-adults-uk-housing [Accessed on: 10.11.2025]</w:t>
      </w:r>
    </w:p>
    <w:p w14:paraId="729C14F1"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Tod, A.M., Nelson, P., de Chavez, A.C., Homer, C., Powell-Hoyland, V. and Stocks, A., 2016. Understanding influences and decisions of households with children with asthma regarding temperature and humidity in the home in winter: a qualitative study. BMJ open, 6(1), p.e009636.</w:t>
      </w:r>
    </w:p>
    <w:p w14:paraId="68DC608D" w14:textId="77777777" w:rsidR="007E0821" w:rsidRPr="006502E8" w:rsidRDefault="007E0821" w:rsidP="002E3354">
      <w:pPr>
        <w:spacing w:after="215" w:line="360" w:lineRule="auto"/>
        <w:ind w:left="15" w:right="67" w:hanging="10"/>
        <w:jc w:val="both"/>
        <w:rPr>
          <w:rFonts w:ascii="Arial" w:hAnsi="Arial" w:cs="Arial"/>
          <w:sz w:val="24"/>
          <w:szCs w:val="24"/>
        </w:rPr>
      </w:pPr>
      <w:bookmarkStart w:id="232" w:name="_Hlk216341821"/>
      <w:r w:rsidRPr="006502E8">
        <w:rPr>
          <w:rFonts w:ascii="Arial" w:hAnsi="Arial" w:cs="Arial"/>
          <w:sz w:val="24"/>
          <w:szCs w:val="24"/>
        </w:rPr>
        <w:t>Tsarkov</w:t>
      </w:r>
      <w:bookmarkEnd w:id="232"/>
      <w:r w:rsidRPr="006502E8">
        <w:rPr>
          <w:rFonts w:ascii="Arial" w:hAnsi="Arial" w:cs="Arial"/>
          <w:sz w:val="24"/>
          <w:szCs w:val="24"/>
        </w:rPr>
        <w:t>, A., de Arruda Fernandez, A.F., Ribeiro, M.L. and Petlovanyi, P., 2024. Optimizing patient safety and security management in Zambian Mental Health Facility: A PDSA quality improvement study. </w:t>
      </w:r>
      <w:r w:rsidRPr="006502E8">
        <w:rPr>
          <w:rFonts w:ascii="Arial" w:hAnsi="Arial" w:cs="Arial"/>
          <w:i/>
          <w:iCs/>
          <w:sz w:val="24"/>
          <w:szCs w:val="24"/>
        </w:rPr>
        <w:t>European Journal of Medical and Health Sciences</w:t>
      </w:r>
      <w:r w:rsidRPr="006502E8">
        <w:rPr>
          <w:rFonts w:ascii="Arial" w:hAnsi="Arial" w:cs="Arial"/>
          <w:sz w:val="24"/>
          <w:szCs w:val="24"/>
        </w:rPr>
        <w:t>, </w:t>
      </w:r>
      <w:r w:rsidRPr="006502E8">
        <w:rPr>
          <w:rFonts w:ascii="Arial" w:hAnsi="Arial" w:cs="Arial"/>
          <w:i/>
          <w:iCs/>
          <w:sz w:val="24"/>
          <w:szCs w:val="24"/>
        </w:rPr>
        <w:t>6</w:t>
      </w:r>
      <w:r w:rsidRPr="006502E8">
        <w:rPr>
          <w:rFonts w:ascii="Arial" w:hAnsi="Arial" w:cs="Arial"/>
          <w:sz w:val="24"/>
          <w:szCs w:val="24"/>
        </w:rPr>
        <w:t>(3), pp.1-9.</w:t>
      </w:r>
    </w:p>
    <w:p w14:paraId="6970FCED"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hint="eastAsia"/>
          <w:sz w:val="24"/>
          <w:szCs w:val="24"/>
        </w:rPr>
        <w:t>Tsoulou, I., Senick, J., Mainelis, G. and Kim, S., 2021. Residential indoor air quality interventions through a social</w:t>
      </w:r>
      <w:r w:rsidRPr="006502E8">
        <w:rPr>
          <w:rFonts w:ascii="Arial" w:hAnsi="Arial" w:cs="Arial" w:hint="eastAsia"/>
          <w:sz w:val="24"/>
          <w:szCs w:val="24"/>
        </w:rPr>
        <w:t>‐</w:t>
      </w:r>
      <w:r w:rsidRPr="006502E8">
        <w:rPr>
          <w:rFonts w:ascii="Arial" w:hAnsi="Arial" w:cs="Arial" w:hint="eastAsia"/>
          <w:sz w:val="24"/>
          <w:szCs w:val="24"/>
        </w:rPr>
        <w:t>ecological systems lens: A systematic review. Indoor Air, 31(4), pp.958-976.</w:t>
      </w:r>
    </w:p>
    <w:p w14:paraId="2EA40C08" w14:textId="77777777" w:rsidR="007E0821" w:rsidRPr="006502E8" w:rsidRDefault="007E0821" w:rsidP="007128BD">
      <w:pPr>
        <w:spacing w:line="360" w:lineRule="auto"/>
        <w:jc w:val="both"/>
        <w:rPr>
          <w:rFonts w:ascii="Arial" w:hAnsi="Arial" w:cs="Arial"/>
          <w:sz w:val="24"/>
          <w:szCs w:val="24"/>
        </w:rPr>
      </w:pPr>
      <w:r w:rsidRPr="006502E8">
        <w:rPr>
          <w:rFonts w:ascii="Arial" w:hAnsi="Arial" w:cs="Arial"/>
          <w:sz w:val="24"/>
          <w:szCs w:val="24"/>
        </w:rPr>
        <w:t>Tweed, E.J. and Katikireddi, S.V., 2023. Inclusion Health: respiratory health in people suffering severe and multiple disadvantage.</w:t>
      </w:r>
    </w:p>
    <w:p w14:paraId="666E5304"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UK Health Security Agency, 2025. The Burden of Respiratory Disease from Formaldehyde, Damp and Mould in English Housing. Available at: https://researchportal.ukhsa.gov.uk/en/publications/the-burden-of-respiratory-disease-from-formaldehyde-damp-and-moul/ [Accessed on: 10.11.2025]</w:t>
      </w:r>
    </w:p>
    <w:p w14:paraId="31739E90" w14:textId="77777777" w:rsidR="007E0821" w:rsidRPr="006502E8" w:rsidRDefault="007E0821" w:rsidP="003F3DAD">
      <w:pPr>
        <w:spacing w:line="360" w:lineRule="auto"/>
        <w:jc w:val="both"/>
        <w:rPr>
          <w:rFonts w:ascii="Arial" w:hAnsi="Arial" w:cs="Arial"/>
          <w:b/>
          <w:bCs/>
          <w:sz w:val="24"/>
          <w:szCs w:val="24"/>
        </w:rPr>
      </w:pPr>
      <w:r w:rsidRPr="006502E8">
        <w:rPr>
          <w:rFonts w:ascii="Arial" w:hAnsi="Arial" w:cs="Arial"/>
          <w:bCs/>
          <w:sz w:val="24"/>
          <w:szCs w:val="24"/>
        </w:rPr>
        <w:t xml:space="preserve">Upadhyay, R.K., 2023. Health hazards of various micro-pollutants, stubble smoke, furnace fumes and dust particles in urban areas. Global Research in Environment and Sustainability, 1(1), pp.07-30. </w:t>
      </w:r>
    </w:p>
    <w:p w14:paraId="3B96D98C"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von Maurice, J., Zinn, S. and Wolter, I., 2017. Large-scale assessments: Potentials and challenges in longitudinal designs. </w:t>
      </w:r>
      <w:r w:rsidRPr="006502E8">
        <w:rPr>
          <w:rFonts w:ascii="Arial" w:hAnsi="Arial" w:cs="Arial"/>
          <w:i/>
          <w:iCs/>
          <w:sz w:val="24"/>
          <w:szCs w:val="24"/>
          <w:highlight w:val="white"/>
        </w:rPr>
        <w:t>Psychological Test and Assessment Modeling</w:t>
      </w:r>
      <w:r w:rsidRPr="006502E8">
        <w:rPr>
          <w:rFonts w:ascii="Arial" w:hAnsi="Arial" w:cs="Arial"/>
          <w:sz w:val="24"/>
          <w:szCs w:val="24"/>
          <w:highlight w:val="white"/>
        </w:rPr>
        <w:t xml:space="preserve">, </w:t>
      </w:r>
      <w:r w:rsidRPr="006502E8">
        <w:rPr>
          <w:rFonts w:ascii="Arial" w:hAnsi="Arial" w:cs="Arial"/>
          <w:i/>
          <w:iCs/>
          <w:sz w:val="24"/>
          <w:szCs w:val="24"/>
          <w:highlight w:val="white"/>
        </w:rPr>
        <w:t>59</w:t>
      </w:r>
      <w:r w:rsidRPr="006502E8">
        <w:rPr>
          <w:rFonts w:ascii="Arial" w:hAnsi="Arial" w:cs="Arial"/>
          <w:sz w:val="24"/>
          <w:szCs w:val="24"/>
          <w:highlight w:val="white"/>
        </w:rPr>
        <w:t>(1), pp.35-54.</w:t>
      </w:r>
    </w:p>
    <w:p w14:paraId="2524A488" w14:textId="77777777" w:rsidR="007E0821" w:rsidRPr="006502E8" w:rsidRDefault="007E0821" w:rsidP="007E0821">
      <w:pPr>
        <w:spacing w:line="360" w:lineRule="auto"/>
        <w:jc w:val="both"/>
        <w:rPr>
          <w:rFonts w:ascii="Arial" w:hAnsi="Arial" w:cs="Arial"/>
          <w:sz w:val="24"/>
          <w:szCs w:val="24"/>
          <w:highlight w:val="white"/>
          <w:lang w:val="en-IN"/>
        </w:rPr>
      </w:pPr>
      <w:r w:rsidRPr="006502E8">
        <w:rPr>
          <w:rFonts w:ascii="Arial" w:hAnsi="Arial" w:cs="Arial"/>
          <w:sz w:val="24"/>
          <w:szCs w:val="24"/>
          <w:highlight w:val="white"/>
          <w:lang w:val="en-IN"/>
        </w:rPr>
        <w:t>White, A., 2021. </w:t>
      </w:r>
      <w:r w:rsidRPr="006502E8">
        <w:rPr>
          <w:rFonts w:ascii="Arial" w:hAnsi="Arial" w:cs="Arial"/>
          <w:i/>
          <w:iCs/>
          <w:sz w:val="24"/>
          <w:szCs w:val="24"/>
          <w:highlight w:val="white"/>
          <w:lang w:val="en-IN"/>
        </w:rPr>
        <w:t>An exploratory analysis of public health communication interventions and their effect on GP referral rates</w:t>
      </w:r>
      <w:r w:rsidRPr="006502E8">
        <w:rPr>
          <w:rFonts w:ascii="Arial" w:hAnsi="Arial" w:cs="Arial"/>
          <w:sz w:val="24"/>
          <w:szCs w:val="24"/>
          <w:highlight w:val="white"/>
          <w:lang w:val="en-IN"/>
        </w:rPr>
        <w:t>.</w:t>
      </w:r>
    </w:p>
    <w:p w14:paraId="09C8B2A0" w14:textId="77777777" w:rsidR="007E0821" w:rsidRPr="006502E8" w:rsidRDefault="007E0821" w:rsidP="003F3DAD">
      <w:pPr>
        <w:spacing w:line="360" w:lineRule="auto"/>
        <w:jc w:val="both"/>
        <w:rPr>
          <w:rFonts w:ascii="Arial" w:hAnsi="Arial" w:cs="Arial"/>
          <w:sz w:val="24"/>
          <w:szCs w:val="24"/>
          <w:highlight w:val="white"/>
        </w:rPr>
      </w:pPr>
      <w:r w:rsidRPr="006502E8">
        <w:rPr>
          <w:rFonts w:ascii="Arial" w:hAnsi="Arial" w:cs="Arial"/>
          <w:sz w:val="24"/>
          <w:szCs w:val="24"/>
          <w:highlight w:val="white"/>
        </w:rPr>
        <w:t xml:space="preserve">Yuwono, M.A. and Rachmawati, D., 2023. Combined methods. Can this solve the differences between deductive and inductive methods in qualitative research?. </w:t>
      </w:r>
      <w:r w:rsidRPr="006502E8">
        <w:rPr>
          <w:rFonts w:ascii="Arial" w:hAnsi="Arial" w:cs="Arial"/>
          <w:i/>
          <w:iCs/>
          <w:sz w:val="24"/>
          <w:szCs w:val="24"/>
          <w:highlight w:val="white"/>
        </w:rPr>
        <w:t>Moroccan Journal of Quantitative and Qualitative Research</w:t>
      </w:r>
      <w:r w:rsidRPr="006502E8">
        <w:rPr>
          <w:rFonts w:ascii="Arial" w:hAnsi="Arial" w:cs="Arial"/>
          <w:sz w:val="24"/>
          <w:szCs w:val="24"/>
          <w:highlight w:val="white"/>
        </w:rPr>
        <w:t xml:space="preserve">, </w:t>
      </w:r>
      <w:r w:rsidRPr="006502E8">
        <w:rPr>
          <w:rFonts w:ascii="Arial" w:hAnsi="Arial" w:cs="Arial"/>
          <w:i/>
          <w:iCs/>
          <w:sz w:val="24"/>
          <w:szCs w:val="24"/>
          <w:highlight w:val="white"/>
        </w:rPr>
        <w:t>5</w:t>
      </w:r>
      <w:r w:rsidRPr="006502E8">
        <w:rPr>
          <w:rFonts w:ascii="Arial" w:hAnsi="Arial" w:cs="Arial"/>
          <w:sz w:val="24"/>
          <w:szCs w:val="24"/>
          <w:highlight w:val="white"/>
        </w:rPr>
        <w:t>(3).</w:t>
      </w:r>
    </w:p>
    <w:p w14:paraId="0FD516E9" w14:textId="77777777" w:rsidR="00C81CB0" w:rsidRPr="006502E8" w:rsidRDefault="00C81CB0" w:rsidP="002E3354">
      <w:pPr>
        <w:spacing w:after="215" w:line="360" w:lineRule="auto"/>
        <w:ind w:left="15" w:right="67" w:hanging="10"/>
        <w:jc w:val="both"/>
        <w:rPr>
          <w:rFonts w:ascii="Arial" w:hAnsi="Arial" w:cs="Arial"/>
          <w:sz w:val="24"/>
          <w:szCs w:val="24"/>
        </w:rPr>
      </w:pPr>
    </w:p>
    <w:p w14:paraId="36B28071" w14:textId="77777777" w:rsidR="002E3354" w:rsidRPr="006502E8" w:rsidRDefault="002E3354" w:rsidP="003F3DAD">
      <w:pPr>
        <w:spacing w:line="360" w:lineRule="auto"/>
        <w:jc w:val="both"/>
        <w:rPr>
          <w:rFonts w:ascii="Arial" w:hAnsi="Arial" w:cs="Arial"/>
          <w:sz w:val="24"/>
          <w:szCs w:val="24"/>
          <w:highlight w:val="white"/>
        </w:rPr>
      </w:pPr>
    </w:p>
    <w:p w14:paraId="2A2394B3" w14:textId="77777777" w:rsidR="009F64C5" w:rsidRPr="006502E8" w:rsidRDefault="009F64C5">
      <w:pPr>
        <w:spacing w:after="172"/>
        <w:rPr>
          <w:rFonts w:ascii="Arial" w:hAnsi="Arial" w:cs="Arial"/>
        </w:rPr>
      </w:pPr>
      <w:r w:rsidRPr="006502E8">
        <w:rPr>
          <w:rFonts w:ascii="Arial" w:eastAsia="Calibri" w:hAnsi="Arial" w:cs="Arial"/>
        </w:rPr>
        <w:t xml:space="preserve"> </w:t>
      </w:r>
    </w:p>
    <w:p w14:paraId="186D603E" w14:textId="463FB534" w:rsidR="009F64C5" w:rsidRPr="006502E8" w:rsidRDefault="009F64C5">
      <w:pPr>
        <w:spacing w:after="158"/>
        <w:ind w:left="720"/>
        <w:rPr>
          <w:rFonts w:ascii="Arial" w:hAnsi="Arial" w:cs="Arial"/>
        </w:rPr>
      </w:pPr>
    </w:p>
    <w:p w14:paraId="3711E63E" w14:textId="77777777" w:rsidR="009F64C5" w:rsidRPr="006502E8" w:rsidRDefault="009F64C5">
      <w:pPr>
        <w:spacing w:after="0"/>
        <w:rPr>
          <w:rFonts w:ascii="Arial" w:hAnsi="Arial" w:cs="Arial"/>
        </w:rPr>
      </w:pPr>
      <w:r w:rsidRPr="006502E8">
        <w:rPr>
          <w:rFonts w:ascii="Arial" w:eastAsia="Times New Roman" w:hAnsi="Arial" w:cs="Arial"/>
          <w:b/>
        </w:rPr>
        <w:t xml:space="preserve"> </w:t>
      </w:r>
      <w:r w:rsidRPr="006502E8">
        <w:rPr>
          <w:rFonts w:ascii="Arial" w:eastAsia="Times New Roman" w:hAnsi="Arial" w:cs="Arial"/>
          <w:b/>
        </w:rPr>
        <w:tab/>
        <w:t xml:space="preserve"> </w:t>
      </w:r>
      <w:r w:rsidRPr="006502E8">
        <w:rPr>
          <w:rFonts w:ascii="Arial" w:hAnsi="Arial" w:cs="Arial"/>
        </w:rPr>
        <w:br w:type="page"/>
      </w:r>
    </w:p>
    <w:p w14:paraId="44BAA972" w14:textId="2DC618E4" w:rsidR="009F64C5" w:rsidRPr="006502E8" w:rsidRDefault="009F64C5" w:rsidP="003F3DAD">
      <w:pPr>
        <w:pStyle w:val="Heading1"/>
        <w:rPr>
          <w:color w:val="auto"/>
        </w:rPr>
      </w:pPr>
      <w:bookmarkStart w:id="233" w:name="_Toc214899909"/>
      <w:bookmarkStart w:id="234" w:name="_Toc218184564"/>
      <w:r w:rsidRPr="006502E8">
        <w:rPr>
          <w:color w:val="auto"/>
        </w:rPr>
        <w:t xml:space="preserve">Appendix 1: </w:t>
      </w:r>
      <w:r w:rsidR="00740CD6" w:rsidRPr="006502E8">
        <w:rPr>
          <w:color w:val="auto"/>
        </w:rPr>
        <w:t>Prevalence of Non-Decent Housing Conditions in the UK</w:t>
      </w:r>
      <w:bookmarkEnd w:id="233"/>
      <w:bookmarkEnd w:id="234"/>
      <w:r w:rsidRPr="006502E8">
        <w:rPr>
          <w:color w:val="auto"/>
        </w:rPr>
        <w:t xml:space="preserve"> </w:t>
      </w:r>
    </w:p>
    <w:p w14:paraId="40C2128F" w14:textId="77777777" w:rsidR="00740CD6" w:rsidRPr="006502E8" w:rsidRDefault="009F64C5" w:rsidP="00740CD6">
      <w:pPr>
        <w:spacing w:after="0" w:line="360" w:lineRule="auto"/>
        <w:jc w:val="center"/>
        <w:rPr>
          <w:rFonts w:ascii="Arial" w:eastAsia="Times New Roman" w:hAnsi="Arial" w:cs="Arial"/>
          <w:kern w:val="0"/>
          <w:sz w:val="24"/>
          <w:szCs w:val="24"/>
          <w:lang w:eastAsia="en-IN"/>
          <w14:ligatures w14:val="none"/>
        </w:rPr>
      </w:pPr>
      <w:r w:rsidRPr="006502E8">
        <w:rPr>
          <w:rFonts w:ascii="Arial" w:hAnsi="Arial" w:cs="Arial"/>
        </w:rPr>
        <w:t xml:space="preserve"> </w:t>
      </w:r>
      <w:r w:rsidR="00740CD6" w:rsidRPr="006502E8">
        <w:rPr>
          <w:rFonts w:ascii="Arial" w:eastAsia="Times New Roman" w:hAnsi="Arial" w:cs="Arial"/>
          <w:noProof/>
          <w:kern w:val="0"/>
          <w:sz w:val="24"/>
          <w:szCs w:val="24"/>
          <w:lang w:eastAsia="en-IN"/>
          <w14:ligatures w14:val="none"/>
        </w:rPr>
        <w:drawing>
          <wp:inline distT="114300" distB="114300" distL="114300" distR="114300" wp14:anchorId="1408FD2D" wp14:editId="37E55DAC">
            <wp:extent cx="4548188" cy="2606519"/>
            <wp:effectExtent l="25400" t="25400" r="25400" b="25400"/>
            <wp:docPr id="213668320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a:stretch>
                      <a:fillRect/>
                    </a:stretch>
                  </pic:blipFill>
                  <pic:spPr>
                    <a:xfrm>
                      <a:off x="0" y="0"/>
                      <a:ext cx="4548188" cy="2606519"/>
                    </a:xfrm>
                    <a:prstGeom prst="rect">
                      <a:avLst/>
                    </a:prstGeom>
                    <a:ln w="25400">
                      <a:solidFill>
                        <a:srgbClr val="000000"/>
                      </a:solidFill>
                      <a:prstDash val="solid"/>
                    </a:ln>
                  </pic:spPr>
                </pic:pic>
              </a:graphicData>
            </a:graphic>
          </wp:inline>
        </w:drawing>
      </w:r>
    </w:p>
    <w:p w14:paraId="1D14CA10" w14:textId="77777777" w:rsidR="00740CD6" w:rsidRPr="006502E8" w:rsidRDefault="00740CD6" w:rsidP="00740CD6">
      <w:pPr>
        <w:spacing w:after="0" w:line="360" w:lineRule="auto"/>
        <w:jc w:val="center"/>
        <w:rPr>
          <w:rFonts w:ascii="Arial" w:eastAsia="Times New Roman" w:hAnsi="Arial" w:cs="Arial"/>
          <w:kern w:val="0"/>
          <w:sz w:val="24"/>
          <w:szCs w:val="24"/>
          <w:lang w:eastAsia="en-IN"/>
          <w14:ligatures w14:val="none"/>
        </w:rPr>
      </w:pPr>
      <w:bookmarkStart w:id="235" w:name="_z37vh51snt3h" w:colFirst="0" w:colLast="0"/>
      <w:bookmarkEnd w:id="235"/>
      <w:r w:rsidRPr="006502E8">
        <w:rPr>
          <w:rFonts w:ascii="Arial" w:eastAsia="Times New Roman" w:hAnsi="Arial" w:cs="Arial"/>
          <w:kern w:val="0"/>
          <w:sz w:val="24"/>
          <w:szCs w:val="24"/>
          <w:lang w:eastAsia="en-IN"/>
          <w14:ligatures w14:val="none"/>
        </w:rPr>
        <w:t>(Source:  GOV.UK, 2025)</w:t>
      </w:r>
    </w:p>
    <w:p w14:paraId="747F319E" w14:textId="41988A93" w:rsidR="009F64C5" w:rsidRPr="006502E8" w:rsidRDefault="009F64C5" w:rsidP="0099490E">
      <w:pPr>
        <w:spacing w:after="158"/>
        <w:rPr>
          <w:rFonts w:ascii="Arial" w:hAnsi="Arial" w:cs="Arial"/>
        </w:rPr>
      </w:pPr>
      <w:r w:rsidRPr="006502E8">
        <w:rPr>
          <w:rFonts w:ascii="Arial" w:eastAsia="Calibri" w:hAnsi="Arial" w:cs="Arial"/>
        </w:rPr>
        <w:tab/>
      </w:r>
      <w:r w:rsidRPr="006502E8">
        <w:rPr>
          <w:rFonts w:ascii="Arial" w:eastAsia="Times New Roman" w:hAnsi="Arial" w:cs="Arial"/>
          <w:b/>
        </w:rPr>
        <w:t xml:space="preserve"> </w:t>
      </w:r>
      <w:r w:rsidRPr="006502E8">
        <w:rPr>
          <w:rFonts w:ascii="Arial" w:hAnsi="Arial" w:cs="Arial"/>
        </w:rPr>
        <w:br w:type="page"/>
      </w:r>
    </w:p>
    <w:p w14:paraId="4E9F67F1" w14:textId="35024B7C" w:rsidR="0099490E" w:rsidRPr="006502E8" w:rsidRDefault="009F64C5" w:rsidP="003F3DAD">
      <w:pPr>
        <w:pStyle w:val="Heading1"/>
        <w:rPr>
          <w:color w:val="auto"/>
        </w:rPr>
      </w:pPr>
      <w:bookmarkStart w:id="236" w:name="_Toc214899910"/>
      <w:bookmarkStart w:id="237" w:name="_Toc218184565"/>
      <w:r w:rsidRPr="006502E8">
        <w:rPr>
          <w:color w:val="auto"/>
        </w:rPr>
        <w:t xml:space="preserve">Appendix 2: </w:t>
      </w:r>
      <w:r w:rsidR="00051AB5" w:rsidRPr="006502E8">
        <w:rPr>
          <w:color w:val="auto"/>
        </w:rPr>
        <w:t>Poor housing conditions in the UK</w:t>
      </w:r>
      <w:bookmarkEnd w:id="236"/>
      <w:bookmarkEnd w:id="237"/>
    </w:p>
    <w:p w14:paraId="06D9EB22" w14:textId="77777777" w:rsidR="00051AB5" w:rsidRPr="006502E8" w:rsidRDefault="00051AB5" w:rsidP="00051AB5">
      <w:pPr>
        <w:spacing w:after="0" w:line="360" w:lineRule="auto"/>
        <w:jc w:val="center"/>
        <w:rPr>
          <w:rFonts w:ascii="Arial" w:eastAsia="Times New Roman" w:hAnsi="Arial" w:cs="Arial"/>
          <w:kern w:val="0"/>
          <w:sz w:val="24"/>
          <w:szCs w:val="24"/>
          <w:lang w:eastAsia="en-IN"/>
          <w14:ligatures w14:val="none"/>
        </w:rPr>
      </w:pPr>
      <w:r w:rsidRPr="006502E8">
        <w:rPr>
          <w:rFonts w:ascii="Arial" w:eastAsia="Times New Roman" w:hAnsi="Arial" w:cs="Arial"/>
          <w:noProof/>
          <w:kern w:val="0"/>
          <w:sz w:val="24"/>
          <w:szCs w:val="24"/>
          <w:lang w:eastAsia="en-IN"/>
          <w14:ligatures w14:val="none"/>
        </w:rPr>
        <w:drawing>
          <wp:inline distT="114300" distB="114300" distL="114300" distR="114300" wp14:anchorId="3B6257CB" wp14:editId="46CEE84D">
            <wp:extent cx="4783071" cy="3233738"/>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7"/>
                    <a:srcRect/>
                    <a:stretch>
                      <a:fillRect/>
                    </a:stretch>
                  </pic:blipFill>
                  <pic:spPr>
                    <a:xfrm>
                      <a:off x="0" y="0"/>
                      <a:ext cx="4783071" cy="3233738"/>
                    </a:xfrm>
                    <a:prstGeom prst="rect">
                      <a:avLst/>
                    </a:prstGeom>
                    <a:ln w="25400">
                      <a:solidFill>
                        <a:srgbClr val="000000"/>
                      </a:solidFill>
                      <a:prstDash val="solid"/>
                    </a:ln>
                  </pic:spPr>
                </pic:pic>
              </a:graphicData>
            </a:graphic>
          </wp:inline>
        </w:drawing>
      </w:r>
    </w:p>
    <w:p w14:paraId="2DBCB46C" w14:textId="0488DC9C" w:rsidR="00051AB5" w:rsidRPr="006502E8" w:rsidRDefault="00051AB5" w:rsidP="00051AB5">
      <w:pPr>
        <w:spacing w:after="0" w:line="360" w:lineRule="auto"/>
        <w:jc w:val="center"/>
        <w:rPr>
          <w:rFonts w:ascii="Arial" w:eastAsia="Times New Roman" w:hAnsi="Arial" w:cs="Arial"/>
          <w:kern w:val="0"/>
          <w:sz w:val="24"/>
          <w:szCs w:val="24"/>
          <w:lang w:eastAsia="en-IN"/>
          <w14:ligatures w14:val="none"/>
        </w:rPr>
      </w:pPr>
      <w:bookmarkStart w:id="238" w:name="_r7rjwlsc7won" w:colFirst="0" w:colLast="0"/>
      <w:bookmarkEnd w:id="238"/>
      <w:r w:rsidRPr="006502E8">
        <w:rPr>
          <w:rFonts w:ascii="Arial" w:eastAsia="Times New Roman" w:hAnsi="Arial" w:cs="Arial"/>
          <w:kern w:val="0"/>
          <w:sz w:val="24"/>
          <w:szCs w:val="24"/>
          <w:lang w:eastAsia="en-IN"/>
          <w14:ligatures w14:val="none"/>
        </w:rPr>
        <w:t>(Source: GOV.UK, 2025)</w:t>
      </w:r>
    </w:p>
    <w:p w14:paraId="647C1260" w14:textId="77777777" w:rsidR="00051AB5" w:rsidRPr="006502E8" w:rsidRDefault="00051AB5" w:rsidP="00051AB5">
      <w:pPr>
        <w:rPr>
          <w:rFonts w:ascii="Arial" w:hAnsi="Arial" w:cs="Arial"/>
        </w:rPr>
      </w:pPr>
    </w:p>
    <w:p w14:paraId="204BFF93" w14:textId="77777777" w:rsidR="0099490E" w:rsidRPr="006502E8" w:rsidRDefault="0099490E" w:rsidP="00051AB5">
      <w:pPr>
        <w:jc w:val="center"/>
        <w:rPr>
          <w:rFonts w:ascii="Arial" w:eastAsia="Times New Roman" w:hAnsi="Arial" w:cs="Arial"/>
          <w:b/>
          <w:sz w:val="24"/>
        </w:rPr>
      </w:pPr>
      <w:r w:rsidRPr="006502E8">
        <w:rPr>
          <w:rFonts w:ascii="Arial" w:hAnsi="Arial" w:cs="Arial"/>
        </w:rPr>
        <w:br w:type="page"/>
      </w:r>
    </w:p>
    <w:p w14:paraId="1AE06A83" w14:textId="01262A77" w:rsidR="009F64C5" w:rsidRPr="006502E8" w:rsidRDefault="0099490E" w:rsidP="003F3DAD">
      <w:pPr>
        <w:pStyle w:val="Heading1"/>
        <w:rPr>
          <w:color w:val="auto"/>
        </w:rPr>
      </w:pPr>
      <w:bookmarkStart w:id="239" w:name="_Toc214899911"/>
      <w:bookmarkStart w:id="240" w:name="_Toc218184566"/>
      <w:r w:rsidRPr="006502E8">
        <w:rPr>
          <w:color w:val="auto"/>
        </w:rPr>
        <w:t>Appendix 3: Factors Influencing Indoor Mould Growth</w:t>
      </w:r>
      <w:bookmarkEnd w:id="239"/>
      <w:bookmarkEnd w:id="240"/>
    </w:p>
    <w:p w14:paraId="2317117B" w14:textId="77777777" w:rsidR="0099490E" w:rsidRPr="006502E8" w:rsidRDefault="0099490E" w:rsidP="0099490E">
      <w:pPr>
        <w:spacing w:after="0" w:line="360" w:lineRule="auto"/>
        <w:jc w:val="center"/>
        <w:rPr>
          <w:rFonts w:ascii="Arial" w:eastAsia="Times New Roman" w:hAnsi="Arial" w:cs="Arial"/>
          <w:kern w:val="0"/>
          <w:sz w:val="24"/>
          <w:szCs w:val="24"/>
          <w:lang w:eastAsia="en-IN"/>
          <w14:ligatures w14:val="none"/>
        </w:rPr>
      </w:pPr>
      <w:r w:rsidRPr="006502E8">
        <w:rPr>
          <w:rFonts w:ascii="Arial" w:eastAsia="Times New Roman" w:hAnsi="Arial" w:cs="Arial"/>
          <w:noProof/>
          <w:kern w:val="0"/>
          <w:sz w:val="24"/>
          <w:szCs w:val="24"/>
          <w:lang w:eastAsia="en-IN"/>
          <w14:ligatures w14:val="none"/>
        </w:rPr>
        <w:drawing>
          <wp:inline distT="114300" distB="114300" distL="114300" distR="114300" wp14:anchorId="72E870D7" wp14:editId="5A3DDEDE">
            <wp:extent cx="4348163" cy="2881922"/>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8"/>
                    <a:srcRect/>
                    <a:stretch>
                      <a:fillRect/>
                    </a:stretch>
                  </pic:blipFill>
                  <pic:spPr>
                    <a:xfrm>
                      <a:off x="0" y="0"/>
                      <a:ext cx="4348163" cy="2881922"/>
                    </a:xfrm>
                    <a:prstGeom prst="rect">
                      <a:avLst/>
                    </a:prstGeom>
                    <a:ln w="25400">
                      <a:solidFill>
                        <a:srgbClr val="000000"/>
                      </a:solidFill>
                      <a:prstDash val="solid"/>
                    </a:ln>
                  </pic:spPr>
                </pic:pic>
              </a:graphicData>
            </a:graphic>
          </wp:inline>
        </w:drawing>
      </w:r>
    </w:p>
    <w:p w14:paraId="5B9B6116" w14:textId="77777777" w:rsidR="0099490E" w:rsidRPr="006502E8" w:rsidRDefault="0099490E" w:rsidP="0099490E">
      <w:pPr>
        <w:spacing w:after="0" w:line="360" w:lineRule="auto"/>
        <w:jc w:val="center"/>
        <w:rPr>
          <w:rFonts w:ascii="Arial" w:eastAsia="Times New Roman" w:hAnsi="Arial" w:cs="Arial"/>
          <w:kern w:val="0"/>
          <w:sz w:val="24"/>
          <w:szCs w:val="24"/>
          <w:lang w:eastAsia="en-IN"/>
          <w14:ligatures w14:val="none"/>
        </w:rPr>
      </w:pPr>
      <w:bookmarkStart w:id="241" w:name="_wd3g5sx8g194" w:colFirst="0" w:colLast="0"/>
      <w:bookmarkEnd w:id="241"/>
      <w:r w:rsidRPr="006502E8">
        <w:rPr>
          <w:rFonts w:ascii="Arial" w:eastAsia="Times New Roman" w:hAnsi="Arial" w:cs="Arial"/>
          <w:kern w:val="0"/>
          <w:sz w:val="24"/>
          <w:szCs w:val="24"/>
          <w:lang w:eastAsia="en-IN"/>
          <w14:ligatures w14:val="none"/>
        </w:rPr>
        <w:t xml:space="preserve">(Source: Omebeyinje </w:t>
      </w:r>
      <w:r w:rsidRPr="006502E8">
        <w:rPr>
          <w:rFonts w:ascii="Arial" w:eastAsia="Times New Roman" w:hAnsi="Arial" w:cs="Arial"/>
          <w:i/>
          <w:iCs/>
          <w:kern w:val="0"/>
          <w:sz w:val="24"/>
          <w:szCs w:val="24"/>
          <w:lang w:eastAsia="en-IN"/>
          <w14:ligatures w14:val="none"/>
        </w:rPr>
        <w:t xml:space="preserve">et al., </w:t>
      </w:r>
      <w:r w:rsidRPr="006502E8">
        <w:rPr>
          <w:rFonts w:ascii="Arial" w:eastAsia="Times New Roman" w:hAnsi="Arial" w:cs="Arial"/>
          <w:kern w:val="0"/>
          <w:sz w:val="24"/>
          <w:szCs w:val="24"/>
          <w:lang w:eastAsia="en-IN"/>
          <w14:ligatures w14:val="none"/>
        </w:rPr>
        <w:t>2021)</w:t>
      </w:r>
    </w:p>
    <w:p w14:paraId="4F79174A" w14:textId="36522A30" w:rsidR="00037BCA" w:rsidRPr="006502E8" w:rsidRDefault="00037BCA" w:rsidP="00037BCA">
      <w:pPr>
        <w:pStyle w:val="Heading4"/>
        <w:rPr>
          <w:lang w:val="en-IN"/>
        </w:rPr>
      </w:pPr>
      <w:r w:rsidRPr="006502E8">
        <w:rPr>
          <w:rFonts w:eastAsia="Times New Roman"/>
          <w:kern w:val="0"/>
          <w:lang w:eastAsia="en-IN"/>
          <w14:ligatures w14:val="none"/>
        </w:rPr>
        <w:br w:type="page"/>
      </w:r>
      <w:bookmarkStart w:id="242" w:name="_Toc218187261"/>
      <w:r w:rsidRPr="006502E8">
        <w:rPr>
          <w:rFonts w:eastAsia="Times New Roman"/>
          <w:kern w:val="0"/>
          <w:lang w:eastAsia="en-IN"/>
          <w14:ligatures w14:val="none"/>
        </w:rPr>
        <w:t xml:space="preserve">Appendix 4: </w:t>
      </w:r>
      <w:r w:rsidRPr="006502E8">
        <w:rPr>
          <w:lang w:val="en-IN"/>
        </w:rPr>
        <w:t>Conceptual framework</w:t>
      </w:r>
      <w:bookmarkEnd w:id="242"/>
    </w:p>
    <w:p w14:paraId="6E40A0E2" w14:textId="77777777" w:rsidR="00037BCA" w:rsidRPr="006502E8" w:rsidRDefault="00037BCA" w:rsidP="00037BCA">
      <w:pPr>
        <w:pStyle w:val="Heading2"/>
        <w:rPr>
          <w:lang w:val="en-IN"/>
        </w:rPr>
      </w:pPr>
      <w:bookmarkStart w:id="243" w:name="_Toc218184567"/>
      <w:r w:rsidRPr="006502E8">
        <w:rPr>
          <w:lang w:val="en-IN"/>
        </w:rPr>
        <w:t>Conceptual framework</w:t>
      </w:r>
      <w:bookmarkEnd w:id="243"/>
      <w:r w:rsidRPr="006502E8">
        <w:rPr>
          <w:lang w:val="en-IN"/>
        </w:rPr>
        <w:t> </w:t>
      </w:r>
    </w:p>
    <w:p w14:paraId="4068DFF6" w14:textId="77777777" w:rsidR="00037BCA" w:rsidRPr="006502E8" w:rsidRDefault="00037BCA" w:rsidP="00037BCA">
      <w:pPr>
        <w:spacing w:before="240" w:after="158" w:line="360" w:lineRule="auto"/>
        <w:jc w:val="center"/>
        <w:rPr>
          <w:rFonts w:ascii="Arial" w:hAnsi="Arial" w:cs="Arial"/>
          <w:lang w:val="en-IN"/>
        </w:rPr>
      </w:pPr>
      <w:r w:rsidRPr="006502E8">
        <w:rPr>
          <w:rFonts w:ascii="Arial" w:hAnsi="Arial" w:cs="Arial"/>
          <w:b/>
          <w:bCs/>
          <w:noProof/>
          <w:lang w:val="en-IN"/>
        </w:rPr>
        <w:drawing>
          <wp:inline distT="0" distB="0" distL="0" distR="0" wp14:anchorId="7FD1F429" wp14:editId="3490D529">
            <wp:extent cx="4945380" cy="4991100"/>
            <wp:effectExtent l="76200" t="76200" r="140970" b="133350"/>
            <wp:docPr id="12450724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45380" cy="4991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C5107E" w14:textId="547879E8" w:rsidR="009F64C5" w:rsidRPr="006502E8" w:rsidRDefault="00037BCA" w:rsidP="00037BCA">
      <w:pPr>
        <w:spacing w:before="240" w:after="158" w:line="360" w:lineRule="auto"/>
        <w:jc w:val="center"/>
        <w:rPr>
          <w:rFonts w:ascii="Arial" w:hAnsi="Arial" w:cs="Arial"/>
          <w:lang w:val="en-IN"/>
        </w:rPr>
      </w:pPr>
      <w:r w:rsidRPr="006502E8">
        <w:rPr>
          <w:rFonts w:ascii="Arial" w:hAnsi="Arial" w:cs="Arial"/>
          <w:lang w:val="en-IN"/>
        </w:rPr>
        <w:t>(Source: Self-developed via MS Wor</w:t>
      </w:r>
    </w:p>
    <w:p w14:paraId="1916A577" w14:textId="77777777" w:rsidR="009F64C5" w:rsidRPr="006502E8" w:rsidRDefault="009F64C5">
      <w:pPr>
        <w:spacing w:after="158"/>
        <w:rPr>
          <w:rFonts w:ascii="Arial" w:hAnsi="Arial" w:cs="Arial"/>
        </w:rPr>
      </w:pPr>
      <w:r w:rsidRPr="006502E8">
        <w:rPr>
          <w:rFonts w:ascii="Arial" w:eastAsia="Calibri" w:hAnsi="Arial" w:cs="Arial"/>
        </w:rPr>
        <w:t xml:space="preserve"> </w:t>
      </w:r>
    </w:p>
    <w:p w14:paraId="14D68B18" w14:textId="77777777" w:rsidR="009F64C5" w:rsidRPr="006502E8" w:rsidRDefault="009F64C5">
      <w:pPr>
        <w:rPr>
          <w:rFonts w:ascii="Arial" w:hAnsi="Arial" w:cs="Arial"/>
        </w:rPr>
      </w:pPr>
      <w:r w:rsidRPr="006502E8">
        <w:rPr>
          <w:rFonts w:ascii="Arial" w:eastAsia="Calibri" w:hAnsi="Arial" w:cs="Arial"/>
        </w:rPr>
        <w:t xml:space="preserve"> </w:t>
      </w:r>
    </w:p>
    <w:p w14:paraId="05A2C86D" w14:textId="77777777" w:rsidR="009F64C5" w:rsidRPr="006502E8" w:rsidRDefault="009F64C5">
      <w:pPr>
        <w:spacing w:after="158"/>
        <w:rPr>
          <w:rFonts w:ascii="Arial" w:hAnsi="Arial" w:cs="Arial"/>
        </w:rPr>
      </w:pPr>
      <w:r w:rsidRPr="006502E8">
        <w:rPr>
          <w:rFonts w:ascii="Arial" w:eastAsia="Calibri" w:hAnsi="Arial" w:cs="Arial"/>
        </w:rPr>
        <w:t xml:space="preserve"> </w:t>
      </w:r>
    </w:p>
    <w:p w14:paraId="50EFB39F" w14:textId="77777777" w:rsidR="009F64C5" w:rsidRPr="006502E8" w:rsidRDefault="009F64C5">
      <w:pPr>
        <w:spacing w:after="158"/>
        <w:rPr>
          <w:rFonts w:ascii="Arial" w:hAnsi="Arial" w:cs="Arial"/>
        </w:rPr>
      </w:pPr>
      <w:r w:rsidRPr="006502E8">
        <w:rPr>
          <w:rFonts w:ascii="Arial" w:eastAsia="Calibri" w:hAnsi="Arial" w:cs="Arial"/>
        </w:rPr>
        <w:t xml:space="preserve"> </w:t>
      </w:r>
    </w:p>
    <w:p w14:paraId="16CAB32E" w14:textId="77777777" w:rsidR="009F64C5" w:rsidRPr="006502E8" w:rsidRDefault="009F64C5">
      <w:pPr>
        <w:rPr>
          <w:rFonts w:ascii="Arial" w:hAnsi="Arial" w:cs="Arial"/>
        </w:rPr>
      </w:pPr>
      <w:r w:rsidRPr="006502E8">
        <w:rPr>
          <w:rFonts w:ascii="Arial" w:eastAsia="Calibri" w:hAnsi="Arial" w:cs="Arial"/>
        </w:rPr>
        <w:t xml:space="preserve"> </w:t>
      </w:r>
    </w:p>
    <w:p w14:paraId="7948AC12" w14:textId="77777777" w:rsidR="009F64C5" w:rsidRPr="006502E8" w:rsidRDefault="009F64C5">
      <w:pPr>
        <w:spacing w:after="158"/>
        <w:rPr>
          <w:rFonts w:ascii="Arial" w:hAnsi="Arial" w:cs="Arial"/>
        </w:rPr>
      </w:pPr>
      <w:r w:rsidRPr="006502E8">
        <w:rPr>
          <w:rFonts w:ascii="Arial" w:eastAsia="Calibri" w:hAnsi="Arial" w:cs="Arial"/>
        </w:rPr>
        <w:t xml:space="preserve"> </w:t>
      </w:r>
    </w:p>
    <w:p w14:paraId="73FE2FDD" w14:textId="77777777" w:rsidR="009F64C5" w:rsidRPr="006502E8" w:rsidRDefault="009F64C5">
      <w:pPr>
        <w:rPr>
          <w:rFonts w:ascii="Arial" w:hAnsi="Arial" w:cs="Arial"/>
        </w:rPr>
      </w:pPr>
      <w:r w:rsidRPr="006502E8">
        <w:rPr>
          <w:rFonts w:ascii="Arial" w:eastAsia="Calibri" w:hAnsi="Arial" w:cs="Arial"/>
        </w:rPr>
        <w:t xml:space="preserve"> </w:t>
      </w:r>
    </w:p>
    <w:p w14:paraId="797F1EE7" w14:textId="77777777" w:rsidR="009F64C5" w:rsidRPr="006502E8" w:rsidRDefault="009F64C5">
      <w:pPr>
        <w:spacing w:after="158"/>
        <w:rPr>
          <w:rFonts w:ascii="Arial" w:hAnsi="Arial" w:cs="Arial"/>
        </w:rPr>
      </w:pPr>
      <w:r w:rsidRPr="006502E8">
        <w:rPr>
          <w:rFonts w:ascii="Arial" w:eastAsia="Calibri" w:hAnsi="Arial" w:cs="Arial"/>
        </w:rPr>
        <w:t xml:space="preserve"> </w:t>
      </w:r>
    </w:p>
    <w:p w14:paraId="1CD17A3B" w14:textId="77777777" w:rsidR="009F64C5" w:rsidRPr="006502E8" w:rsidRDefault="009F64C5">
      <w:pPr>
        <w:rPr>
          <w:rFonts w:ascii="Arial" w:hAnsi="Arial" w:cs="Arial"/>
        </w:rPr>
      </w:pPr>
      <w:r w:rsidRPr="006502E8">
        <w:rPr>
          <w:rFonts w:ascii="Arial" w:eastAsia="Calibri" w:hAnsi="Arial" w:cs="Arial"/>
        </w:rPr>
        <w:t xml:space="preserve"> </w:t>
      </w:r>
    </w:p>
    <w:p w14:paraId="2B4AFC15" w14:textId="77777777" w:rsidR="009F64C5" w:rsidRPr="006502E8" w:rsidRDefault="009F64C5">
      <w:pPr>
        <w:spacing w:after="158"/>
        <w:rPr>
          <w:rFonts w:ascii="Arial" w:hAnsi="Arial" w:cs="Arial"/>
        </w:rPr>
      </w:pPr>
      <w:r w:rsidRPr="006502E8">
        <w:rPr>
          <w:rFonts w:ascii="Arial" w:eastAsia="Calibri" w:hAnsi="Arial" w:cs="Arial"/>
        </w:rPr>
        <w:t xml:space="preserve"> </w:t>
      </w:r>
    </w:p>
    <w:p w14:paraId="0444600C" w14:textId="18E030E0" w:rsidR="00BB7E2E" w:rsidRPr="006502E8" w:rsidRDefault="009F64C5" w:rsidP="00BB7E2E">
      <w:pPr>
        <w:pStyle w:val="Heading1"/>
        <w:rPr>
          <w:color w:val="auto"/>
        </w:rPr>
      </w:pPr>
      <w:r w:rsidRPr="006502E8">
        <w:rPr>
          <w:rFonts w:eastAsia="Calibri"/>
          <w:color w:val="auto"/>
        </w:rPr>
        <w:t xml:space="preserve"> </w:t>
      </w:r>
      <w:bookmarkStart w:id="244" w:name="_Toc218184568"/>
      <w:r w:rsidR="00BB7E2E" w:rsidRPr="006502E8">
        <w:rPr>
          <w:rFonts w:eastAsia="Calibri"/>
          <w:color w:val="auto"/>
        </w:rPr>
        <w:t xml:space="preserve">Appendix </w:t>
      </w:r>
      <w:r w:rsidR="00037BCA" w:rsidRPr="006502E8">
        <w:rPr>
          <w:rFonts w:eastAsia="Calibri"/>
          <w:color w:val="auto"/>
        </w:rPr>
        <w:t>5</w:t>
      </w:r>
      <w:r w:rsidR="00BB7E2E" w:rsidRPr="006502E8">
        <w:rPr>
          <w:rFonts w:eastAsia="Calibri"/>
          <w:color w:val="auto"/>
        </w:rPr>
        <w:t>: CASP Checklist</w:t>
      </w:r>
      <w:bookmarkEnd w:id="244"/>
    </w:p>
    <w:tbl>
      <w:tblPr>
        <w:tblW w:w="963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85"/>
        <w:gridCol w:w="885"/>
        <w:gridCol w:w="885"/>
        <w:gridCol w:w="885"/>
        <w:gridCol w:w="885"/>
        <w:gridCol w:w="870"/>
        <w:gridCol w:w="870"/>
        <w:gridCol w:w="870"/>
        <w:gridCol w:w="870"/>
        <w:gridCol w:w="870"/>
        <w:gridCol w:w="855"/>
      </w:tblGrid>
      <w:tr w:rsidR="006502E8" w:rsidRPr="006502E8" w14:paraId="7ECEB3DA" w14:textId="77777777" w:rsidTr="00673353">
        <w:trPr>
          <w:jc w:val="center"/>
        </w:trPr>
        <w:tc>
          <w:tcPr>
            <w:tcW w:w="885" w:type="dxa"/>
            <w:tcMar>
              <w:top w:w="100" w:type="dxa"/>
              <w:left w:w="100" w:type="dxa"/>
              <w:bottom w:w="100" w:type="dxa"/>
              <w:right w:w="100" w:type="dxa"/>
            </w:tcMar>
            <w:vAlign w:val="center"/>
          </w:tcPr>
          <w:p w14:paraId="4E2563BB"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p>
        </w:tc>
        <w:tc>
          <w:tcPr>
            <w:tcW w:w="885" w:type="dxa"/>
            <w:tcMar>
              <w:top w:w="100" w:type="dxa"/>
              <w:left w:w="100" w:type="dxa"/>
              <w:bottom w:w="100" w:type="dxa"/>
              <w:right w:w="100" w:type="dxa"/>
            </w:tcMar>
            <w:vAlign w:val="center"/>
          </w:tcPr>
          <w:p w14:paraId="0B6FDFB1"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Clear statement and Aim</w:t>
            </w:r>
          </w:p>
        </w:tc>
        <w:tc>
          <w:tcPr>
            <w:tcW w:w="885" w:type="dxa"/>
            <w:tcMar>
              <w:top w:w="100" w:type="dxa"/>
              <w:left w:w="100" w:type="dxa"/>
              <w:bottom w:w="100" w:type="dxa"/>
              <w:right w:w="100" w:type="dxa"/>
            </w:tcMar>
            <w:vAlign w:val="center"/>
          </w:tcPr>
          <w:p w14:paraId="5DE54C36"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Appropriate qualitative method</w:t>
            </w:r>
          </w:p>
        </w:tc>
        <w:tc>
          <w:tcPr>
            <w:tcW w:w="885" w:type="dxa"/>
            <w:tcMar>
              <w:top w:w="100" w:type="dxa"/>
              <w:left w:w="100" w:type="dxa"/>
              <w:bottom w:w="100" w:type="dxa"/>
              <w:right w:w="100" w:type="dxa"/>
            </w:tcMar>
            <w:vAlign w:val="center"/>
          </w:tcPr>
          <w:p w14:paraId="40A99553"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Appropriate research design to address the aim</w:t>
            </w:r>
          </w:p>
        </w:tc>
        <w:tc>
          <w:tcPr>
            <w:tcW w:w="885" w:type="dxa"/>
            <w:tcMar>
              <w:top w:w="100" w:type="dxa"/>
              <w:left w:w="100" w:type="dxa"/>
              <w:bottom w:w="100" w:type="dxa"/>
              <w:right w:w="100" w:type="dxa"/>
            </w:tcMar>
            <w:vAlign w:val="center"/>
          </w:tcPr>
          <w:p w14:paraId="44D26599"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Appropriate recruitment strategy</w:t>
            </w:r>
          </w:p>
        </w:tc>
        <w:tc>
          <w:tcPr>
            <w:tcW w:w="870" w:type="dxa"/>
            <w:tcMar>
              <w:top w:w="100" w:type="dxa"/>
              <w:left w:w="100" w:type="dxa"/>
              <w:bottom w:w="100" w:type="dxa"/>
              <w:right w:w="100" w:type="dxa"/>
            </w:tcMar>
            <w:vAlign w:val="center"/>
          </w:tcPr>
          <w:p w14:paraId="56906D41"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Data collection method addresses the research issue</w:t>
            </w:r>
          </w:p>
        </w:tc>
        <w:tc>
          <w:tcPr>
            <w:tcW w:w="870" w:type="dxa"/>
            <w:tcMar>
              <w:top w:w="100" w:type="dxa"/>
              <w:left w:w="100" w:type="dxa"/>
              <w:bottom w:w="100" w:type="dxa"/>
              <w:right w:w="100" w:type="dxa"/>
            </w:tcMar>
            <w:vAlign w:val="center"/>
          </w:tcPr>
          <w:p w14:paraId="7DBC4C2C"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The relationship between the participant and the researcher was established adequately</w:t>
            </w:r>
          </w:p>
        </w:tc>
        <w:tc>
          <w:tcPr>
            <w:tcW w:w="870" w:type="dxa"/>
            <w:tcMar>
              <w:top w:w="100" w:type="dxa"/>
              <w:left w:w="100" w:type="dxa"/>
              <w:bottom w:w="100" w:type="dxa"/>
              <w:right w:w="100" w:type="dxa"/>
            </w:tcMar>
            <w:vAlign w:val="center"/>
          </w:tcPr>
          <w:p w14:paraId="3BC333F6"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Ethical considerations have been taken into account</w:t>
            </w:r>
          </w:p>
        </w:tc>
        <w:tc>
          <w:tcPr>
            <w:tcW w:w="870" w:type="dxa"/>
            <w:tcMar>
              <w:top w:w="100" w:type="dxa"/>
              <w:left w:w="100" w:type="dxa"/>
              <w:bottom w:w="100" w:type="dxa"/>
              <w:right w:w="100" w:type="dxa"/>
            </w:tcMar>
            <w:vAlign w:val="center"/>
          </w:tcPr>
          <w:p w14:paraId="4AAD477F"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Data analysis has been rigorous</w:t>
            </w:r>
          </w:p>
        </w:tc>
        <w:tc>
          <w:tcPr>
            <w:tcW w:w="870" w:type="dxa"/>
            <w:tcMar>
              <w:top w:w="100" w:type="dxa"/>
              <w:left w:w="100" w:type="dxa"/>
              <w:bottom w:w="100" w:type="dxa"/>
              <w:right w:w="100" w:type="dxa"/>
            </w:tcMar>
            <w:vAlign w:val="center"/>
          </w:tcPr>
          <w:p w14:paraId="749CB8E3"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Research findings clearly stated</w:t>
            </w:r>
          </w:p>
        </w:tc>
        <w:tc>
          <w:tcPr>
            <w:tcW w:w="855" w:type="dxa"/>
            <w:tcMar>
              <w:top w:w="100" w:type="dxa"/>
              <w:left w:w="100" w:type="dxa"/>
              <w:bottom w:w="100" w:type="dxa"/>
              <w:right w:w="100" w:type="dxa"/>
            </w:tcMar>
            <w:vAlign w:val="center"/>
          </w:tcPr>
          <w:p w14:paraId="3B6DCFEE"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b/>
                <w:bCs/>
                <w:sz w:val="16"/>
                <w:szCs w:val="16"/>
              </w:rPr>
            </w:pPr>
            <w:r w:rsidRPr="006502E8">
              <w:rPr>
                <w:rFonts w:ascii="Arial" w:eastAsia="Calibri" w:hAnsi="Arial" w:cs="Arial"/>
                <w:b/>
                <w:bCs/>
                <w:sz w:val="16"/>
                <w:szCs w:val="16"/>
              </w:rPr>
              <w:t>Research contribution deemed valuable</w:t>
            </w:r>
          </w:p>
        </w:tc>
      </w:tr>
      <w:tr w:rsidR="006502E8" w:rsidRPr="006502E8" w14:paraId="74664A3B" w14:textId="77777777" w:rsidTr="00673353">
        <w:trPr>
          <w:jc w:val="center"/>
        </w:trPr>
        <w:tc>
          <w:tcPr>
            <w:tcW w:w="885" w:type="dxa"/>
            <w:tcMar>
              <w:top w:w="100" w:type="dxa"/>
              <w:left w:w="100" w:type="dxa"/>
              <w:bottom w:w="100" w:type="dxa"/>
              <w:right w:w="100" w:type="dxa"/>
            </w:tcMar>
            <w:vAlign w:val="center"/>
          </w:tcPr>
          <w:p w14:paraId="5AD69C98"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Bonderup and Middlemiss (2023)</w:t>
            </w:r>
          </w:p>
        </w:tc>
        <w:tc>
          <w:tcPr>
            <w:tcW w:w="885" w:type="dxa"/>
            <w:tcMar>
              <w:top w:w="100" w:type="dxa"/>
              <w:left w:w="100" w:type="dxa"/>
              <w:bottom w:w="100" w:type="dxa"/>
              <w:right w:w="100" w:type="dxa"/>
            </w:tcMar>
            <w:vAlign w:val="center"/>
          </w:tcPr>
          <w:p w14:paraId="76424A5B"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682B8EC6"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6A113CBC"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3253ED56"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N/A</w:t>
            </w:r>
          </w:p>
        </w:tc>
        <w:tc>
          <w:tcPr>
            <w:tcW w:w="870" w:type="dxa"/>
            <w:tcMar>
              <w:top w:w="100" w:type="dxa"/>
              <w:left w:w="100" w:type="dxa"/>
              <w:bottom w:w="100" w:type="dxa"/>
              <w:right w:w="100" w:type="dxa"/>
            </w:tcMar>
            <w:vAlign w:val="center"/>
          </w:tcPr>
          <w:p w14:paraId="58C4CB71"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10BD87AB"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N/A</w:t>
            </w:r>
          </w:p>
        </w:tc>
        <w:tc>
          <w:tcPr>
            <w:tcW w:w="870" w:type="dxa"/>
            <w:tcMar>
              <w:top w:w="100" w:type="dxa"/>
              <w:left w:w="100" w:type="dxa"/>
              <w:bottom w:w="100" w:type="dxa"/>
              <w:right w:w="100" w:type="dxa"/>
            </w:tcMar>
            <w:vAlign w:val="center"/>
          </w:tcPr>
          <w:p w14:paraId="520A67E3"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No</w:t>
            </w:r>
          </w:p>
        </w:tc>
        <w:tc>
          <w:tcPr>
            <w:tcW w:w="870" w:type="dxa"/>
            <w:tcMar>
              <w:top w:w="100" w:type="dxa"/>
              <w:left w:w="100" w:type="dxa"/>
              <w:bottom w:w="100" w:type="dxa"/>
              <w:right w:w="100" w:type="dxa"/>
            </w:tcMar>
            <w:vAlign w:val="center"/>
          </w:tcPr>
          <w:p w14:paraId="74405537"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63121271"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475A75CE"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r w:rsidR="006502E8" w:rsidRPr="006502E8" w14:paraId="47AA70B0" w14:textId="77777777" w:rsidTr="00673353">
        <w:trPr>
          <w:jc w:val="center"/>
        </w:trPr>
        <w:tc>
          <w:tcPr>
            <w:tcW w:w="885" w:type="dxa"/>
            <w:tcMar>
              <w:top w:w="100" w:type="dxa"/>
              <w:left w:w="100" w:type="dxa"/>
              <w:bottom w:w="100" w:type="dxa"/>
              <w:right w:w="100" w:type="dxa"/>
            </w:tcMar>
            <w:vAlign w:val="center"/>
          </w:tcPr>
          <w:p w14:paraId="133AB6F1"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 xml:space="preserve">Halls </w:t>
            </w:r>
            <w:r w:rsidRPr="006502E8">
              <w:rPr>
                <w:rFonts w:ascii="Arial" w:eastAsia="Calibri" w:hAnsi="Arial" w:cs="Arial"/>
                <w:i/>
                <w:iCs/>
                <w:sz w:val="16"/>
                <w:szCs w:val="16"/>
              </w:rPr>
              <w:t>et al.</w:t>
            </w:r>
            <w:r w:rsidRPr="006502E8">
              <w:rPr>
                <w:rFonts w:ascii="Arial" w:eastAsia="Calibri" w:hAnsi="Arial" w:cs="Arial"/>
                <w:sz w:val="16"/>
                <w:szCs w:val="16"/>
              </w:rPr>
              <w:t xml:space="preserve"> (2017)</w:t>
            </w:r>
          </w:p>
        </w:tc>
        <w:tc>
          <w:tcPr>
            <w:tcW w:w="885" w:type="dxa"/>
            <w:tcMar>
              <w:top w:w="100" w:type="dxa"/>
              <w:left w:w="100" w:type="dxa"/>
              <w:bottom w:w="100" w:type="dxa"/>
              <w:right w:w="100" w:type="dxa"/>
            </w:tcMar>
            <w:vAlign w:val="center"/>
          </w:tcPr>
          <w:p w14:paraId="4E88F89E"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77B6A0A8"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343E566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568478C4"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3319D384"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00D44068"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69B773E6" w14:textId="77777777" w:rsidR="00BB7E2E" w:rsidRPr="006502E8" w:rsidRDefault="00BB7E2E" w:rsidP="00673353">
            <w:pPr>
              <w:widowControl w:val="0"/>
              <w:pBdr>
                <w:top w:val="nil"/>
                <w:left w:val="nil"/>
                <w:bottom w:val="nil"/>
                <w:right w:val="nil"/>
                <w:between w:val="nil"/>
              </w:pBdr>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3DE63F82"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451F3452"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5926FC5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r w:rsidR="006502E8" w:rsidRPr="006502E8" w14:paraId="2BEFE3DB" w14:textId="77777777" w:rsidTr="00673353">
        <w:trPr>
          <w:jc w:val="center"/>
        </w:trPr>
        <w:tc>
          <w:tcPr>
            <w:tcW w:w="885" w:type="dxa"/>
            <w:tcMar>
              <w:top w:w="100" w:type="dxa"/>
              <w:left w:w="100" w:type="dxa"/>
              <w:bottom w:w="100" w:type="dxa"/>
              <w:right w:w="100" w:type="dxa"/>
            </w:tcMar>
            <w:vAlign w:val="center"/>
          </w:tcPr>
          <w:p w14:paraId="70B1F1CB"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 xml:space="preserve">Dawes </w:t>
            </w:r>
            <w:r w:rsidRPr="006502E8">
              <w:rPr>
                <w:rFonts w:ascii="Arial" w:eastAsia="Calibri" w:hAnsi="Arial" w:cs="Arial"/>
                <w:i/>
                <w:iCs/>
                <w:sz w:val="16"/>
                <w:szCs w:val="16"/>
              </w:rPr>
              <w:t>et al.</w:t>
            </w:r>
            <w:r w:rsidRPr="006502E8">
              <w:rPr>
                <w:rFonts w:ascii="Arial" w:eastAsia="Calibri" w:hAnsi="Arial" w:cs="Arial"/>
                <w:sz w:val="16"/>
                <w:szCs w:val="16"/>
              </w:rPr>
              <w:t xml:space="preserve"> (2022)</w:t>
            </w:r>
          </w:p>
        </w:tc>
        <w:tc>
          <w:tcPr>
            <w:tcW w:w="885" w:type="dxa"/>
            <w:tcMar>
              <w:top w:w="100" w:type="dxa"/>
              <w:left w:w="100" w:type="dxa"/>
              <w:bottom w:w="100" w:type="dxa"/>
              <w:right w:w="100" w:type="dxa"/>
            </w:tcMar>
            <w:vAlign w:val="center"/>
          </w:tcPr>
          <w:p w14:paraId="7595DB2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1104478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6C37AA2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2E868968"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7A52375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3F2104C7"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70C124ED"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3CB281BF"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27285AB9"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522D38FB"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r w:rsidR="006502E8" w:rsidRPr="006502E8" w14:paraId="7AA7C241" w14:textId="77777777" w:rsidTr="00673353">
        <w:trPr>
          <w:jc w:val="center"/>
        </w:trPr>
        <w:tc>
          <w:tcPr>
            <w:tcW w:w="885" w:type="dxa"/>
            <w:tcMar>
              <w:top w:w="100" w:type="dxa"/>
              <w:left w:w="100" w:type="dxa"/>
              <w:bottom w:w="100" w:type="dxa"/>
              <w:right w:w="100" w:type="dxa"/>
            </w:tcMar>
            <w:vAlign w:val="center"/>
          </w:tcPr>
          <w:p w14:paraId="2D0506E7"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 xml:space="preserve">Midgley </w:t>
            </w:r>
            <w:r w:rsidRPr="006502E8">
              <w:rPr>
                <w:rFonts w:ascii="Arial" w:eastAsia="Calibri" w:hAnsi="Arial" w:cs="Arial"/>
                <w:i/>
                <w:iCs/>
                <w:sz w:val="16"/>
                <w:szCs w:val="16"/>
              </w:rPr>
              <w:t>et al.</w:t>
            </w:r>
            <w:r w:rsidRPr="006502E8">
              <w:rPr>
                <w:rFonts w:ascii="Arial" w:eastAsia="Calibri" w:hAnsi="Arial" w:cs="Arial"/>
                <w:sz w:val="16"/>
                <w:szCs w:val="16"/>
              </w:rPr>
              <w:t xml:space="preserve"> (2021)</w:t>
            </w:r>
          </w:p>
        </w:tc>
        <w:tc>
          <w:tcPr>
            <w:tcW w:w="885" w:type="dxa"/>
            <w:tcMar>
              <w:top w:w="100" w:type="dxa"/>
              <w:left w:w="100" w:type="dxa"/>
              <w:bottom w:w="100" w:type="dxa"/>
              <w:right w:w="100" w:type="dxa"/>
            </w:tcMar>
            <w:vAlign w:val="center"/>
          </w:tcPr>
          <w:p w14:paraId="34E6843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0A6A0F17"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21D19D2E"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0187AD8E"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4D19CAC5"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7184CB85"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0E809E76"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774BD32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32EF9705"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2C81626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r w:rsidR="006502E8" w:rsidRPr="006502E8" w14:paraId="7BF70F59" w14:textId="77777777" w:rsidTr="00673353">
        <w:trPr>
          <w:jc w:val="center"/>
        </w:trPr>
        <w:tc>
          <w:tcPr>
            <w:tcW w:w="885" w:type="dxa"/>
            <w:tcMar>
              <w:top w:w="100" w:type="dxa"/>
              <w:left w:w="100" w:type="dxa"/>
              <w:bottom w:w="100" w:type="dxa"/>
              <w:right w:w="100" w:type="dxa"/>
            </w:tcMar>
            <w:vAlign w:val="center"/>
          </w:tcPr>
          <w:p w14:paraId="10D43F76"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 xml:space="preserve">El-Hoss </w:t>
            </w:r>
            <w:r w:rsidRPr="006502E8">
              <w:rPr>
                <w:rFonts w:ascii="Arial" w:eastAsia="Calibri" w:hAnsi="Arial" w:cs="Arial"/>
                <w:i/>
                <w:iCs/>
                <w:sz w:val="16"/>
                <w:szCs w:val="16"/>
              </w:rPr>
              <w:t>et al</w:t>
            </w:r>
            <w:r w:rsidRPr="006502E8">
              <w:rPr>
                <w:rFonts w:ascii="Arial" w:eastAsia="Calibri" w:hAnsi="Arial" w:cs="Arial"/>
                <w:sz w:val="16"/>
                <w:szCs w:val="16"/>
              </w:rPr>
              <w:t>. (2024)</w:t>
            </w:r>
          </w:p>
        </w:tc>
        <w:tc>
          <w:tcPr>
            <w:tcW w:w="885" w:type="dxa"/>
            <w:tcMar>
              <w:top w:w="100" w:type="dxa"/>
              <w:left w:w="100" w:type="dxa"/>
              <w:bottom w:w="100" w:type="dxa"/>
              <w:right w:w="100" w:type="dxa"/>
            </w:tcMar>
            <w:vAlign w:val="center"/>
          </w:tcPr>
          <w:p w14:paraId="3993517B"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63A9BDB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01DEF942"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620D172A"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2B3E9D53"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1C263553"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00D85F2A"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07C76F9B"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09113A45"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74F5277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r w:rsidR="006502E8" w:rsidRPr="006502E8" w14:paraId="14495998" w14:textId="77777777" w:rsidTr="00673353">
        <w:trPr>
          <w:jc w:val="center"/>
        </w:trPr>
        <w:tc>
          <w:tcPr>
            <w:tcW w:w="885" w:type="dxa"/>
            <w:tcMar>
              <w:top w:w="100" w:type="dxa"/>
              <w:left w:w="100" w:type="dxa"/>
              <w:bottom w:w="100" w:type="dxa"/>
              <w:right w:w="100" w:type="dxa"/>
            </w:tcMar>
            <w:vAlign w:val="center"/>
          </w:tcPr>
          <w:p w14:paraId="5014C424"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 xml:space="preserve">Simpson </w:t>
            </w:r>
            <w:r w:rsidRPr="006502E8">
              <w:rPr>
                <w:rFonts w:ascii="Arial" w:eastAsia="Calibri" w:hAnsi="Arial" w:cs="Arial"/>
                <w:i/>
                <w:iCs/>
                <w:sz w:val="16"/>
                <w:szCs w:val="16"/>
              </w:rPr>
              <w:t>et al</w:t>
            </w:r>
            <w:r w:rsidRPr="006502E8">
              <w:rPr>
                <w:rFonts w:ascii="Arial" w:eastAsia="Calibri" w:hAnsi="Arial" w:cs="Arial"/>
                <w:sz w:val="16"/>
                <w:szCs w:val="16"/>
              </w:rPr>
              <w:t>. (2025)</w:t>
            </w:r>
          </w:p>
        </w:tc>
        <w:tc>
          <w:tcPr>
            <w:tcW w:w="885" w:type="dxa"/>
            <w:tcMar>
              <w:top w:w="100" w:type="dxa"/>
              <w:left w:w="100" w:type="dxa"/>
              <w:bottom w:w="100" w:type="dxa"/>
              <w:right w:w="100" w:type="dxa"/>
            </w:tcMar>
            <w:vAlign w:val="center"/>
          </w:tcPr>
          <w:p w14:paraId="47B567D4"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155D063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2CC30E92"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5212B42E"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32972AF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6C573E68"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6A021A55"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6DB92723"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731F5802"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14802CF4"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r w:rsidR="006502E8" w:rsidRPr="006502E8" w14:paraId="77FB4D98" w14:textId="77777777" w:rsidTr="00673353">
        <w:trPr>
          <w:jc w:val="center"/>
        </w:trPr>
        <w:tc>
          <w:tcPr>
            <w:tcW w:w="885" w:type="dxa"/>
            <w:tcMar>
              <w:top w:w="100" w:type="dxa"/>
              <w:left w:w="100" w:type="dxa"/>
              <w:bottom w:w="100" w:type="dxa"/>
              <w:right w:w="100" w:type="dxa"/>
            </w:tcMar>
            <w:vAlign w:val="center"/>
          </w:tcPr>
          <w:p w14:paraId="5CFEE499"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 xml:space="preserve">McClatchey </w:t>
            </w:r>
            <w:r w:rsidRPr="006502E8">
              <w:rPr>
                <w:rFonts w:ascii="Arial" w:eastAsia="Calibri" w:hAnsi="Arial" w:cs="Arial"/>
                <w:i/>
                <w:iCs/>
                <w:sz w:val="16"/>
                <w:szCs w:val="16"/>
              </w:rPr>
              <w:t>et al</w:t>
            </w:r>
            <w:r w:rsidRPr="006502E8">
              <w:rPr>
                <w:rFonts w:ascii="Arial" w:eastAsia="Calibri" w:hAnsi="Arial" w:cs="Arial"/>
                <w:sz w:val="16"/>
                <w:szCs w:val="16"/>
              </w:rPr>
              <w:t>. (2024)</w:t>
            </w:r>
          </w:p>
        </w:tc>
        <w:tc>
          <w:tcPr>
            <w:tcW w:w="885" w:type="dxa"/>
            <w:tcMar>
              <w:top w:w="100" w:type="dxa"/>
              <w:left w:w="100" w:type="dxa"/>
              <w:bottom w:w="100" w:type="dxa"/>
              <w:right w:w="100" w:type="dxa"/>
            </w:tcMar>
            <w:vAlign w:val="center"/>
          </w:tcPr>
          <w:p w14:paraId="3994AD4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17C7712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594BC2A6"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4A7734F8"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5A37DFB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2C8D5BB9"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N/A</w:t>
            </w:r>
          </w:p>
        </w:tc>
        <w:tc>
          <w:tcPr>
            <w:tcW w:w="870" w:type="dxa"/>
            <w:tcMar>
              <w:top w:w="100" w:type="dxa"/>
              <w:left w:w="100" w:type="dxa"/>
              <w:bottom w:w="100" w:type="dxa"/>
              <w:right w:w="100" w:type="dxa"/>
            </w:tcMar>
            <w:vAlign w:val="center"/>
          </w:tcPr>
          <w:p w14:paraId="46049A8E"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39AA04F7"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4A8D473B"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28F2718F"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r w:rsidR="006502E8" w:rsidRPr="006502E8" w14:paraId="59B4A871" w14:textId="77777777" w:rsidTr="00673353">
        <w:trPr>
          <w:jc w:val="center"/>
        </w:trPr>
        <w:tc>
          <w:tcPr>
            <w:tcW w:w="885" w:type="dxa"/>
            <w:tcMar>
              <w:top w:w="100" w:type="dxa"/>
              <w:left w:w="100" w:type="dxa"/>
              <w:bottom w:w="100" w:type="dxa"/>
              <w:right w:w="100" w:type="dxa"/>
            </w:tcMar>
            <w:vAlign w:val="center"/>
          </w:tcPr>
          <w:p w14:paraId="7EDCA777"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Tod et al. (2016)</w:t>
            </w:r>
          </w:p>
        </w:tc>
        <w:tc>
          <w:tcPr>
            <w:tcW w:w="885" w:type="dxa"/>
            <w:tcMar>
              <w:top w:w="100" w:type="dxa"/>
              <w:left w:w="100" w:type="dxa"/>
              <w:bottom w:w="100" w:type="dxa"/>
              <w:right w:w="100" w:type="dxa"/>
            </w:tcMar>
            <w:vAlign w:val="center"/>
          </w:tcPr>
          <w:p w14:paraId="72118C1E"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26395FE6"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0220BDEB"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3D229F29"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7440C9FA"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749163BE"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08AC6DD5"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59FE36F4"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088F1FC9"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75C32022"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r w:rsidR="006502E8" w:rsidRPr="006502E8" w14:paraId="16A9862A" w14:textId="77777777" w:rsidTr="00673353">
        <w:trPr>
          <w:jc w:val="center"/>
        </w:trPr>
        <w:tc>
          <w:tcPr>
            <w:tcW w:w="885" w:type="dxa"/>
            <w:tcMar>
              <w:top w:w="100" w:type="dxa"/>
              <w:left w:w="100" w:type="dxa"/>
              <w:bottom w:w="100" w:type="dxa"/>
              <w:right w:w="100" w:type="dxa"/>
            </w:tcMar>
            <w:vAlign w:val="center"/>
          </w:tcPr>
          <w:p w14:paraId="02AEED11"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Butler and Sherriff (2017)</w:t>
            </w:r>
          </w:p>
        </w:tc>
        <w:tc>
          <w:tcPr>
            <w:tcW w:w="885" w:type="dxa"/>
            <w:tcMar>
              <w:top w:w="100" w:type="dxa"/>
              <w:left w:w="100" w:type="dxa"/>
              <w:bottom w:w="100" w:type="dxa"/>
              <w:right w:w="100" w:type="dxa"/>
            </w:tcMar>
            <w:vAlign w:val="center"/>
          </w:tcPr>
          <w:p w14:paraId="0BC95BE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46D66AC8"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2ACB534A"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554703DD"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206C2827"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704D2519"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5A95347B"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290B2B07"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2C7E64F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07F32A46"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r w:rsidR="006502E8" w:rsidRPr="006502E8" w14:paraId="0C2D262A" w14:textId="77777777" w:rsidTr="00673353">
        <w:trPr>
          <w:jc w:val="center"/>
        </w:trPr>
        <w:tc>
          <w:tcPr>
            <w:tcW w:w="885" w:type="dxa"/>
            <w:tcMar>
              <w:top w:w="100" w:type="dxa"/>
              <w:left w:w="100" w:type="dxa"/>
              <w:bottom w:w="100" w:type="dxa"/>
              <w:right w:w="100" w:type="dxa"/>
            </w:tcMar>
            <w:vAlign w:val="center"/>
          </w:tcPr>
          <w:p w14:paraId="008CBEB8" w14:textId="77777777" w:rsidR="00BB7E2E" w:rsidRPr="006502E8" w:rsidRDefault="00BB7E2E" w:rsidP="00673353">
            <w:pPr>
              <w:widowControl w:val="0"/>
              <w:pBdr>
                <w:top w:val="nil"/>
                <w:left w:val="nil"/>
                <w:bottom w:val="nil"/>
                <w:right w:val="nil"/>
                <w:between w:val="nil"/>
              </w:pBdr>
              <w:spacing w:line="240" w:lineRule="auto"/>
              <w:jc w:val="both"/>
              <w:rPr>
                <w:rFonts w:ascii="Arial" w:eastAsia="Calibri" w:hAnsi="Arial" w:cs="Arial"/>
                <w:sz w:val="16"/>
                <w:szCs w:val="16"/>
              </w:rPr>
            </w:pPr>
            <w:r w:rsidRPr="006502E8">
              <w:rPr>
                <w:rFonts w:ascii="Arial" w:eastAsia="Calibri" w:hAnsi="Arial" w:cs="Arial"/>
                <w:sz w:val="16"/>
                <w:szCs w:val="16"/>
              </w:rPr>
              <w:t xml:space="preserve">Sheringham </w:t>
            </w:r>
            <w:r w:rsidRPr="006502E8">
              <w:rPr>
                <w:rFonts w:ascii="Arial" w:eastAsia="Calibri" w:hAnsi="Arial" w:cs="Arial"/>
                <w:i/>
                <w:iCs/>
                <w:sz w:val="16"/>
                <w:szCs w:val="16"/>
              </w:rPr>
              <w:t>et al</w:t>
            </w:r>
            <w:r w:rsidRPr="006502E8">
              <w:rPr>
                <w:rFonts w:ascii="Arial" w:eastAsia="Calibri" w:hAnsi="Arial" w:cs="Arial"/>
                <w:sz w:val="16"/>
                <w:szCs w:val="16"/>
              </w:rPr>
              <w:t>. (2024)</w:t>
            </w:r>
          </w:p>
        </w:tc>
        <w:tc>
          <w:tcPr>
            <w:tcW w:w="885" w:type="dxa"/>
            <w:tcMar>
              <w:top w:w="100" w:type="dxa"/>
              <w:left w:w="100" w:type="dxa"/>
              <w:bottom w:w="100" w:type="dxa"/>
              <w:right w:w="100" w:type="dxa"/>
            </w:tcMar>
            <w:vAlign w:val="center"/>
          </w:tcPr>
          <w:p w14:paraId="327D5AEF"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0E163E3F"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065EB77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85" w:type="dxa"/>
            <w:tcMar>
              <w:top w:w="100" w:type="dxa"/>
              <w:left w:w="100" w:type="dxa"/>
              <w:bottom w:w="100" w:type="dxa"/>
              <w:right w:w="100" w:type="dxa"/>
            </w:tcMar>
            <w:vAlign w:val="center"/>
          </w:tcPr>
          <w:p w14:paraId="7AB01CE3"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515126D0"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314AE2D7"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20ED0D73"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4129C939"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70" w:type="dxa"/>
            <w:tcMar>
              <w:top w:w="100" w:type="dxa"/>
              <w:left w:w="100" w:type="dxa"/>
              <w:bottom w:w="100" w:type="dxa"/>
              <w:right w:w="100" w:type="dxa"/>
            </w:tcMar>
            <w:vAlign w:val="center"/>
          </w:tcPr>
          <w:p w14:paraId="7B195E61"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c>
          <w:tcPr>
            <w:tcW w:w="855" w:type="dxa"/>
            <w:tcMar>
              <w:top w:w="100" w:type="dxa"/>
              <w:left w:w="100" w:type="dxa"/>
              <w:bottom w:w="100" w:type="dxa"/>
              <w:right w:w="100" w:type="dxa"/>
            </w:tcMar>
            <w:vAlign w:val="center"/>
          </w:tcPr>
          <w:p w14:paraId="1746A4CE" w14:textId="77777777" w:rsidR="00BB7E2E" w:rsidRPr="006502E8" w:rsidRDefault="00BB7E2E" w:rsidP="00673353">
            <w:pPr>
              <w:widowControl w:val="0"/>
              <w:spacing w:line="240" w:lineRule="auto"/>
              <w:jc w:val="center"/>
              <w:rPr>
                <w:rFonts w:ascii="Arial" w:eastAsia="Calibri" w:hAnsi="Arial" w:cs="Arial"/>
                <w:sz w:val="16"/>
                <w:szCs w:val="16"/>
              </w:rPr>
            </w:pPr>
            <w:r w:rsidRPr="006502E8">
              <w:rPr>
                <w:rFonts w:ascii="Arial" w:eastAsia="Calibri" w:hAnsi="Arial" w:cs="Arial"/>
                <w:sz w:val="16"/>
                <w:szCs w:val="16"/>
              </w:rPr>
              <w:t>Yes</w:t>
            </w:r>
          </w:p>
        </w:tc>
      </w:tr>
    </w:tbl>
    <w:p w14:paraId="0EF5AC8F" w14:textId="06D4CE62" w:rsidR="009F64C5" w:rsidRPr="006502E8" w:rsidRDefault="009F64C5" w:rsidP="00BB7E2E">
      <w:pPr>
        <w:rPr>
          <w:rFonts w:ascii="Arial" w:hAnsi="Arial" w:cs="Arial"/>
        </w:rPr>
      </w:pPr>
      <w:r w:rsidRPr="006502E8">
        <w:rPr>
          <w:rFonts w:ascii="Arial" w:hAnsi="Arial" w:cs="Arial"/>
        </w:rPr>
        <w:t xml:space="preserve">  </w:t>
      </w:r>
    </w:p>
    <w:sectPr w:rsidR="009F64C5" w:rsidRPr="006502E8" w:rsidSect="00673353">
      <w:footerReference w:type="even" r:id="rId30"/>
      <w:footerReference w:type="defaul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0F776" w14:textId="77777777" w:rsidR="004B2C37" w:rsidRDefault="004B2C37">
      <w:pPr>
        <w:spacing w:after="0" w:line="240" w:lineRule="auto"/>
      </w:pPr>
      <w:r>
        <w:separator/>
      </w:r>
    </w:p>
  </w:endnote>
  <w:endnote w:type="continuationSeparator" w:id="0">
    <w:p w14:paraId="002A2100" w14:textId="77777777" w:rsidR="004B2C37" w:rsidRDefault="004B2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108B3" w14:textId="77777777" w:rsidR="004B2C37" w:rsidRDefault="004B2C37">
      <w:pPr>
        <w:spacing w:after="0" w:line="240" w:lineRule="auto"/>
      </w:pPr>
      <w:r>
        <w:separator/>
      </w:r>
    </w:p>
  </w:footnote>
  <w:footnote w:type="continuationSeparator" w:id="0">
    <w:p w14:paraId="21A051BC" w14:textId="77777777" w:rsidR="004B2C37" w:rsidRDefault="004B2C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4E0A45B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E452620"/>
    <w:multiLevelType w:val="multilevel"/>
    <w:tmpl w:val="C7AEEF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07A117F"/>
    <w:multiLevelType w:val="multilevel"/>
    <w:tmpl w:val="B0F43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8370512"/>
    <w:multiLevelType w:val="hybridMultilevel"/>
    <w:tmpl w:val="68167E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616715235">
    <w:abstractNumId w:val="11"/>
  </w:num>
  <w:num w:numId="2" w16cid:durableId="1394307096">
    <w:abstractNumId w:val="1"/>
  </w:num>
  <w:num w:numId="3" w16cid:durableId="147478516">
    <w:abstractNumId w:val="8"/>
  </w:num>
  <w:num w:numId="4" w16cid:durableId="962347508">
    <w:abstractNumId w:val="3"/>
  </w:num>
  <w:num w:numId="5" w16cid:durableId="743575635">
    <w:abstractNumId w:val="4"/>
  </w:num>
  <w:num w:numId="6" w16cid:durableId="1303001024">
    <w:abstractNumId w:val="9"/>
  </w:num>
  <w:num w:numId="7" w16cid:durableId="1745446343">
    <w:abstractNumId w:val="10"/>
  </w:num>
  <w:num w:numId="8" w16cid:durableId="1359114203">
    <w:abstractNumId w:val="5"/>
  </w:num>
  <w:num w:numId="9" w16cid:durableId="1088429754">
    <w:abstractNumId w:val="2"/>
  </w:num>
  <w:num w:numId="10" w16cid:durableId="922029889">
    <w:abstractNumId w:val="0"/>
  </w:num>
  <w:num w:numId="11" w16cid:durableId="1085491022">
    <w:abstractNumId w:val="6"/>
  </w:num>
  <w:num w:numId="12" w16cid:durableId="745034045">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iola Bijlhout">
    <w15:presenceInfo w15:providerId="AD" w15:userId="S::d.bijlhout@uwtsd.ac.uk::2e8b8854-a455-4f26-8cd7-7421d1b202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trackRevisions/>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01955"/>
    <w:rsid w:val="00013A75"/>
    <w:rsid w:val="00016397"/>
    <w:rsid w:val="00021BEE"/>
    <w:rsid w:val="0002274E"/>
    <w:rsid w:val="00025E0B"/>
    <w:rsid w:val="00037BCA"/>
    <w:rsid w:val="00051AB5"/>
    <w:rsid w:val="000555DE"/>
    <w:rsid w:val="00065315"/>
    <w:rsid w:val="000930B7"/>
    <w:rsid w:val="000C04E5"/>
    <w:rsid w:val="000C39D5"/>
    <w:rsid w:val="000C43BC"/>
    <w:rsid w:val="000D660A"/>
    <w:rsid w:val="000F09C8"/>
    <w:rsid w:val="0010643F"/>
    <w:rsid w:val="00113366"/>
    <w:rsid w:val="001145ED"/>
    <w:rsid w:val="00116E81"/>
    <w:rsid w:val="00123511"/>
    <w:rsid w:val="001242CE"/>
    <w:rsid w:val="00126CF4"/>
    <w:rsid w:val="00162E98"/>
    <w:rsid w:val="00164D23"/>
    <w:rsid w:val="0017007A"/>
    <w:rsid w:val="00174DE6"/>
    <w:rsid w:val="001939A6"/>
    <w:rsid w:val="00196146"/>
    <w:rsid w:val="001C5965"/>
    <w:rsid w:val="001F0ACB"/>
    <w:rsid w:val="001F65C9"/>
    <w:rsid w:val="0025029D"/>
    <w:rsid w:val="00275DE6"/>
    <w:rsid w:val="002B04A6"/>
    <w:rsid w:val="002B523E"/>
    <w:rsid w:val="002C3669"/>
    <w:rsid w:val="002D767C"/>
    <w:rsid w:val="002D78DB"/>
    <w:rsid w:val="002E3354"/>
    <w:rsid w:val="002E66A6"/>
    <w:rsid w:val="002F24AB"/>
    <w:rsid w:val="0030270A"/>
    <w:rsid w:val="003077FE"/>
    <w:rsid w:val="003155F0"/>
    <w:rsid w:val="003301BA"/>
    <w:rsid w:val="00347F97"/>
    <w:rsid w:val="00370943"/>
    <w:rsid w:val="00375FA2"/>
    <w:rsid w:val="00377FA0"/>
    <w:rsid w:val="003813B1"/>
    <w:rsid w:val="003A16B5"/>
    <w:rsid w:val="003A4020"/>
    <w:rsid w:val="003C35D2"/>
    <w:rsid w:val="003D6E56"/>
    <w:rsid w:val="003E6A66"/>
    <w:rsid w:val="003F3DAD"/>
    <w:rsid w:val="003F5601"/>
    <w:rsid w:val="00400A72"/>
    <w:rsid w:val="004228E3"/>
    <w:rsid w:val="004319F3"/>
    <w:rsid w:val="00433AC8"/>
    <w:rsid w:val="00436793"/>
    <w:rsid w:val="004528E6"/>
    <w:rsid w:val="004603A9"/>
    <w:rsid w:val="00461ACB"/>
    <w:rsid w:val="00465812"/>
    <w:rsid w:val="00466928"/>
    <w:rsid w:val="00477F6E"/>
    <w:rsid w:val="00496E7A"/>
    <w:rsid w:val="004B2C37"/>
    <w:rsid w:val="004C08C7"/>
    <w:rsid w:val="004C7932"/>
    <w:rsid w:val="004D11BF"/>
    <w:rsid w:val="004D4F6D"/>
    <w:rsid w:val="004D6C04"/>
    <w:rsid w:val="004E1B0F"/>
    <w:rsid w:val="005527EB"/>
    <w:rsid w:val="00570052"/>
    <w:rsid w:val="005A2B94"/>
    <w:rsid w:val="005B3589"/>
    <w:rsid w:val="005D5845"/>
    <w:rsid w:val="005D61CC"/>
    <w:rsid w:val="005F441A"/>
    <w:rsid w:val="00602EF7"/>
    <w:rsid w:val="00603941"/>
    <w:rsid w:val="0061621A"/>
    <w:rsid w:val="00623C0E"/>
    <w:rsid w:val="00627852"/>
    <w:rsid w:val="00632781"/>
    <w:rsid w:val="00644062"/>
    <w:rsid w:val="0064474E"/>
    <w:rsid w:val="006502E8"/>
    <w:rsid w:val="00665861"/>
    <w:rsid w:val="00673353"/>
    <w:rsid w:val="006C5353"/>
    <w:rsid w:val="006E018C"/>
    <w:rsid w:val="0070279F"/>
    <w:rsid w:val="007051E9"/>
    <w:rsid w:val="00705820"/>
    <w:rsid w:val="007128BD"/>
    <w:rsid w:val="00724B25"/>
    <w:rsid w:val="00740CD6"/>
    <w:rsid w:val="007420E6"/>
    <w:rsid w:val="007446D0"/>
    <w:rsid w:val="00745FE1"/>
    <w:rsid w:val="00755DAA"/>
    <w:rsid w:val="007564EB"/>
    <w:rsid w:val="007565BB"/>
    <w:rsid w:val="00775D36"/>
    <w:rsid w:val="007843AD"/>
    <w:rsid w:val="00791D11"/>
    <w:rsid w:val="007B5F3C"/>
    <w:rsid w:val="007E0821"/>
    <w:rsid w:val="007E2277"/>
    <w:rsid w:val="007E53F7"/>
    <w:rsid w:val="007F1C8A"/>
    <w:rsid w:val="007F3292"/>
    <w:rsid w:val="007F4549"/>
    <w:rsid w:val="007F4776"/>
    <w:rsid w:val="00801599"/>
    <w:rsid w:val="008105A6"/>
    <w:rsid w:val="00822CA7"/>
    <w:rsid w:val="008317DD"/>
    <w:rsid w:val="00832ADB"/>
    <w:rsid w:val="00851D37"/>
    <w:rsid w:val="00851D98"/>
    <w:rsid w:val="00861CB0"/>
    <w:rsid w:val="00867000"/>
    <w:rsid w:val="00880CD4"/>
    <w:rsid w:val="00887A80"/>
    <w:rsid w:val="008917B1"/>
    <w:rsid w:val="008A6C9E"/>
    <w:rsid w:val="008A73BC"/>
    <w:rsid w:val="008A743C"/>
    <w:rsid w:val="008D6BF7"/>
    <w:rsid w:val="008D72AC"/>
    <w:rsid w:val="008E1B5E"/>
    <w:rsid w:val="00904BDB"/>
    <w:rsid w:val="009077E1"/>
    <w:rsid w:val="00910867"/>
    <w:rsid w:val="00916893"/>
    <w:rsid w:val="009273CB"/>
    <w:rsid w:val="00933F87"/>
    <w:rsid w:val="00950B37"/>
    <w:rsid w:val="00954313"/>
    <w:rsid w:val="00954E4C"/>
    <w:rsid w:val="009706D0"/>
    <w:rsid w:val="0098205D"/>
    <w:rsid w:val="009830E8"/>
    <w:rsid w:val="00986A40"/>
    <w:rsid w:val="0099490E"/>
    <w:rsid w:val="009A1B64"/>
    <w:rsid w:val="009A1EFC"/>
    <w:rsid w:val="009A4C1C"/>
    <w:rsid w:val="009B15E1"/>
    <w:rsid w:val="009B2F01"/>
    <w:rsid w:val="009B40B7"/>
    <w:rsid w:val="009B6723"/>
    <w:rsid w:val="009D00E3"/>
    <w:rsid w:val="009D050F"/>
    <w:rsid w:val="009F150F"/>
    <w:rsid w:val="009F64C5"/>
    <w:rsid w:val="009F7C3C"/>
    <w:rsid w:val="00A01CDF"/>
    <w:rsid w:val="00A12047"/>
    <w:rsid w:val="00A15DBE"/>
    <w:rsid w:val="00A24082"/>
    <w:rsid w:val="00A358D3"/>
    <w:rsid w:val="00A37A7B"/>
    <w:rsid w:val="00A42302"/>
    <w:rsid w:val="00A610C1"/>
    <w:rsid w:val="00A92788"/>
    <w:rsid w:val="00A9635A"/>
    <w:rsid w:val="00AC0A8D"/>
    <w:rsid w:val="00AC5B4D"/>
    <w:rsid w:val="00B00BCA"/>
    <w:rsid w:val="00B05202"/>
    <w:rsid w:val="00B10E43"/>
    <w:rsid w:val="00B15BBB"/>
    <w:rsid w:val="00B17C2C"/>
    <w:rsid w:val="00B40807"/>
    <w:rsid w:val="00B70228"/>
    <w:rsid w:val="00B759A9"/>
    <w:rsid w:val="00B87C02"/>
    <w:rsid w:val="00B92864"/>
    <w:rsid w:val="00BA01AF"/>
    <w:rsid w:val="00BB7D12"/>
    <w:rsid w:val="00BB7E2E"/>
    <w:rsid w:val="00BC0C2C"/>
    <w:rsid w:val="00BC67C0"/>
    <w:rsid w:val="00BE6003"/>
    <w:rsid w:val="00BF337A"/>
    <w:rsid w:val="00BF458B"/>
    <w:rsid w:val="00BF799D"/>
    <w:rsid w:val="00C04AF4"/>
    <w:rsid w:val="00C23923"/>
    <w:rsid w:val="00C24147"/>
    <w:rsid w:val="00C43536"/>
    <w:rsid w:val="00C51EB5"/>
    <w:rsid w:val="00C80246"/>
    <w:rsid w:val="00C81CB0"/>
    <w:rsid w:val="00C84E33"/>
    <w:rsid w:val="00CA57E9"/>
    <w:rsid w:val="00CB590C"/>
    <w:rsid w:val="00CD11F3"/>
    <w:rsid w:val="00CD6996"/>
    <w:rsid w:val="00CF29BC"/>
    <w:rsid w:val="00D00B33"/>
    <w:rsid w:val="00D048D5"/>
    <w:rsid w:val="00D1326B"/>
    <w:rsid w:val="00D13BCD"/>
    <w:rsid w:val="00D2742C"/>
    <w:rsid w:val="00D27AA8"/>
    <w:rsid w:val="00D27CBB"/>
    <w:rsid w:val="00D35580"/>
    <w:rsid w:val="00D422C2"/>
    <w:rsid w:val="00D5132C"/>
    <w:rsid w:val="00D5209D"/>
    <w:rsid w:val="00D73316"/>
    <w:rsid w:val="00DB46AF"/>
    <w:rsid w:val="00DC403B"/>
    <w:rsid w:val="00DC6A4E"/>
    <w:rsid w:val="00DD3045"/>
    <w:rsid w:val="00DD7AA5"/>
    <w:rsid w:val="00DE37A3"/>
    <w:rsid w:val="00DE54CB"/>
    <w:rsid w:val="00E00E07"/>
    <w:rsid w:val="00E13D36"/>
    <w:rsid w:val="00E1733D"/>
    <w:rsid w:val="00E17F96"/>
    <w:rsid w:val="00E6680D"/>
    <w:rsid w:val="00E76C66"/>
    <w:rsid w:val="00E943E3"/>
    <w:rsid w:val="00EB2BA4"/>
    <w:rsid w:val="00EC0588"/>
    <w:rsid w:val="00EE1468"/>
    <w:rsid w:val="00EE25FC"/>
    <w:rsid w:val="00EE38B9"/>
    <w:rsid w:val="00EF5AA0"/>
    <w:rsid w:val="00F14936"/>
    <w:rsid w:val="00F15EB5"/>
    <w:rsid w:val="00F24400"/>
    <w:rsid w:val="00F56613"/>
    <w:rsid w:val="00F820C5"/>
    <w:rsid w:val="00FA17BE"/>
    <w:rsid w:val="00FA18B5"/>
    <w:rsid w:val="00FA4CEF"/>
    <w:rsid w:val="00FB0F44"/>
    <w:rsid w:val="00FD0BDD"/>
    <w:rsid w:val="00FD7CF5"/>
    <w:rsid w:val="00FF0078"/>
    <w:rsid w:val="0EA4E4CC"/>
    <w:rsid w:val="1331A25A"/>
    <w:rsid w:val="1AB73B40"/>
    <w:rsid w:val="21D57D4A"/>
    <w:rsid w:val="23FC4AD8"/>
    <w:rsid w:val="25AEE25F"/>
    <w:rsid w:val="28A2520A"/>
    <w:rsid w:val="28FD3A50"/>
    <w:rsid w:val="2C5E5379"/>
    <w:rsid w:val="34630932"/>
    <w:rsid w:val="4213F1C7"/>
    <w:rsid w:val="445B1703"/>
    <w:rsid w:val="469559E6"/>
    <w:rsid w:val="4DA903E5"/>
    <w:rsid w:val="4EFAA9D8"/>
    <w:rsid w:val="56405FC7"/>
    <w:rsid w:val="58C4FF66"/>
    <w:rsid w:val="5C1FF1BD"/>
    <w:rsid w:val="61294C0D"/>
    <w:rsid w:val="6275153B"/>
    <w:rsid w:val="641EA6C8"/>
    <w:rsid w:val="65DDEC9D"/>
    <w:rsid w:val="68EBECD0"/>
    <w:rsid w:val="692972C6"/>
    <w:rsid w:val="6CD7D98E"/>
    <w:rsid w:val="6DABBF6E"/>
    <w:rsid w:val="6E979F63"/>
    <w:rsid w:val="6FCE9C1F"/>
    <w:rsid w:val="6FE138F0"/>
    <w:rsid w:val="724787AC"/>
    <w:rsid w:val="727F1D53"/>
    <w:rsid w:val="74D2DD77"/>
    <w:rsid w:val="758DDECE"/>
    <w:rsid w:val="7B2DB3F8"/>
    <w:rsid w:val="7CD163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486057"/>
  <w15:chartTrackingRefBased/>
  <w15:docId w15:val="{48DB4E66-CA67-43F6-B7F5-6B3A9FD1F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3F3DAD"/>
    <w:pPr>
      <w:keepNext/>
      <w:keepLines/>
      <w:spacing w:after="152" w:line="265" w:lineRule="auto"/>
      <w:ind w:left="10" w:right="2" w:hanging="10"/>
      <w:jc w:val="center"/>
      <w:outlineLvl w:val="0"/>
    </w:pPr>
    <w:rPr>
      <w:rFonts w:ascii="Arial" w:eastAsia="Times New Roman" w:hAnsi="Arial" w:cs="Arial"/>
      <w:b/>
      <w:color w:val="000000"/>
      <w:sz w:val="28"/>
      <w:szCs w:val="24"/>
    </w:rPr>
  </w:style>
  <w:style w:type="paragraph" w:styleId="Heading2">
    <w:name w:val="heading 2"/>
    <w:basedOn w:val="Normal"/>
    <w:next w:val="Normal"/>
    <w:link w:val="Heading2Char"/>
    <w:uiPriority w:val="9"/>
    <w:unhideWhenUsed/>
    <w:qFormat/>
    <w:rsid w:val="003F3DAD"/>
    <w:pPr>
      <w:keepNext/>
      <w:keepLines/>
      <w:spacing w:before="240" w:after="0" w:line="360" w:lineRule="auto"/>
      <w:jc w:val="both"/>
      <w:outlineLvl w:val="1"/>
    </w:pPr>
    <w:rPr>
      <w:rFonts w:ascii="Arial" w:eastAsia="Times New Roman" w:hAnsi="Arial" w:cs="Arial"/>
      <w:b/>
      <w:bCs/>
      <w:kern w:val="0"/>
      <w:sz w:val="24"/>
      <w:szCs w:val="24"/>
      <w:lang w:eastAsia="en-IN"/>
      <w14:ligatures w14:val="none"/>
    </w:rPr>
  </w:style>
  <w:style w:type="paragraph" w:styleId="Heading3">
    <w:name w:val="heading 3"/>
    <w:basedOn w:val="Normal"/>
    <w:next w:val="Normal"/>
    <w:link w:val="Heading3Char"/>
    <w:uiPriority w:val="9"/>
    <w:unhideWhenUsed/>
    <w:qFormat/>
    <w:rsid w:val="003F3DAD"/>
    <w:pPr>
      <w:spacing w:before="200" w:line="360" w:lineRule="auto"/>
      <w:jc w:val="both"/>
      <w:outlineLvl w:val="2"/>
    </w:pPr>
    <w:rPr>
      <w:rFonts w:ascii="Arial" w:eastAsia="Calibri" w:hAnsi="Arial" w:cs="Arial"/>
      <w:sz w:val="24"/>
      <w:szCs w:val="24"/>
      <w:u w:val="single"/>
    </w:rPr>
  </w:style>
  <w:style w:type="paragraph" w:styleId="Heading4">
    <w:name w:val="heading 4"/>
    <w:basedOn w:val="Normal"/>
    <w:next w:val="Normal"/>
    <w:link w:val="Heading4Char"/>
    <w:uiPriority w:val="9"/>
    <w:unhideWhenUsed/>
    <w:qFormat/>
    <w:rsid w:val="003F3DAD"/>
    <w:pPr>
      <w:spacing w:before="200" w:line="360" w:lineRule="auto"/>
      <w:jc w:val="center"/>
      <w:outlineLvl w:val="3"/>
    </w:pPr>
    <w:rPr>
      <w:rFonts w:ascii="Arial" w:eastAsia="Calibri" w:hAnsi="Arial" w:cs="Arial"/>
      <w:b/>
      <w:bCs/>
      <w:sz w:val="24"/>
      <w:szCs w:val="24"/>
    </w:rPr>
  </w:style>
  <w:style w:type="paragraph" w:styleId="Heading5">
    <w:name w:val="heading 5"/>
    <w:basedOn w:val="Normal"/>
    <w:next w:val="Normal"/>
    <w:link w:val="Heading5Char"/>
    <w:uiPriority w:val="9"/>
    <w:unhideWhenUsed/>
    <w:qFormat/>
    <w:rsid w:val="003F3DAD"/>
    <w:pPr>
      <w:spacing w:before="200" w:line="360" w:lineRule="auto"/>
      <w:jc w:val="center"/>
      <w:outlineLvl w:val="4"/>
    </w:pPr>
    <w:rPr>
      <w:rFonts w:ascii="Arial" w:eastAsia="Calibri" w:hAnsi="Arial" w:cs="Arial"/>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DAD"/>
    <w:rPr>
      <w:rFonts w:ascii="Arial" w:eastAsia="Times New Roman" w:hAnsi="Arial" w:cs="Arial"/>
      <w:b/>
      <w:color w:val="000000"/>
      <w:sz w:val="28"/>
      <w:szCs w:val="24"/>
    </w:rPr>
  </w:style>
  <w:style w:type="character" w:customStyle="1" w:styleId="Heading2Char">
    <w:name w:val="Heading 2 Char"/>
    <w:basedOn w:val="DefaultParagraphFont"/>
    <w:link w:val="Heading2"/>
    <w:uiPriority w:val="9"/>
    <w:rsid w:val="003F3DAD"/>
    <w:rPr>
      <w:rFonts w:ascii="Arial" w:eastAsia="Times New Roman" w:hAnsi="Arial" w:cs="Arial"/>
      <w:b/>
      <w:bCs/>
      <w:kern w:val="0"/>
      <w:sz w:val="24"/>
      <w:szCs w:val="24"/>
      <w:lang w:eastAsia="en-IN"/>
      <w14:ligatures w14:val="none"/>
    </w:rPr>
  </w:style>
  <w:style w:type="character" w:customStyle="1" w:styleId="Heading3Char">
    <w:name w:val="Heading 3 Char"/>
    <w:basedOn w:val="DefaultParagraphFont"/>
    <w:link w:val="Heading3"/>
    <w:uiPriority w:val="9"/>
    <w:rsid w:val="003F3DAD"/>
    <w:rPr>
      <w:rFonts w:ascii="Arial" w:eastAsia="Calibri" w:hAnsi="Arial" w:cs="Arial"/>
      <w:sz w:val="24"/>
      <w:szCs w:val="24"/>
      <w:u w:val="single"/>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Header">
    <w:name w:val="header"/>
    <w:basedOn w:val="Normal"/>
    <w:link w:val="HeaderChar"/>
    <w:uiPriority w:val="99"/>
    <w:unhideWhenUsed/>
    <w:rsid w:val="00D73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316"/>
  </w:style>
  <w:style w:type="character" w:customStyle="1" w:styleId="Heading4Char">
    <w:name w:val="Heading 4 Char"/>
    <w:basedOn w:val="DefaultParagraphFont"/>
    <w:link w:val="Heading4"/>
    <w:uiPriority w:val="9"/>
    <w:rsid w:val="003F3DAD"/>
    <w:rPr>
      <w:rFonts w:ascii="Arial" w:eastAsia="Calibri" w:hAnsi="Arial" w:cs="Arial"/>
      <w:b/>
      <w:bCs/>
      <w:sz w:val="24"/>
      <w:szCs w:val="24"/>
    </w:rPr>
  </w:style>
  <w:style w:type="paragraph" w:styleId="ListBullet">
    <w:name w:val="List Bullet"/>
    <w:basedOn w:val="Normal"/>
    <w:uiPriority w:val="99"/>
    <w:unhideWhenUsed/>
    <w:rsid w:val="009830E8"/>
    <w:pPr>
      <w:numPr>
        <w:numId w:val="10"/>
      </w:numPr>
      <w:contextualSpacing/>
    </w:pPr>
  </w:style>
  <w:style w:type="character" w:styleId="Hyperlink">
    <w:name w:val="Hyperlink"/>
    <w:basedOn w:val="DefaultParagraphFont"/>
    <w:uiPriority w:val="99"/>
    <w:unhideWhenUsed/>
    <w:rsid w:val="007E53F7"/>
    <w:rPr>
      <w:color w:val="0563C1" w:themeColor="hyperlink"/>
      <w:u w:val="single"/>
    </w:rPr>
  </w:style>
  <w:style w:type="character" w:customStyle="1" w:styleId="Heading5Char">
    <w:name w:val="Heading 5 Char"/>
    <w:basedOn w:val="DefaultParagraphFont"/>
    <w:link w:val="Heading5"/>
    <w:uiPriority w:val="9"/>
    <w:rsid w:val="003F3DAD"/>
    <w:rPr>
      <w:rFonts w:ascii="Arial" w:eastAsia="Calibri" w:hAnsi="Arial" w:cs="Arial"/>
      <w:b/>
      <w:bCs/>
      <w:sz w:val="24"/>
      <w:szCs w:val="24"/>
    </w:rPr>
  </w:style>
  <w:style w:type="paragraph" w:styleId="TableofFigures">
    <w:name w:val="table of figures"/>
    <w:basedOn w:val="Normal"/>
    <w:next w:val="Normal"/>
    <w:uiPriority w:val="99"/>
    <w:unhideWhenUsed/>
    <w:rsid w:val="00A37A7B"/>
    <w:pPr>
      <w:spacing w:after="0"/>
    </w:pPr>
  </w:style>
  <w:style w:type="paragraph" w:styleId="TOCHeading">
    <w:name w:val="TOC Heading"/>
    <w:basedOn w:val="Heading1"/>
    <w:next w:val="Normal"/>
    <w:uiPriority w:val="39"/>
    <w:unhideWhenUsed/>
    <w:qFormat/>
    <w:rsid w:val="00A37A7B"/>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A37A7B"/>
    <w:pPr>
      <w:spacing w:after="100"/>
      <w:ind w:left="220"/>
    </w:pPr>
  </w:style>
  <w:style w:type="paragraph" w:styleId="TOC3">
    <w:name w:val="toc 3"/>
    <w:basedOn w:val="Normal"/>
    <w:next w:val="Normal"/>
    <w:autoRedefine/>
    <w:uiPriority w:val="39"/>
    <w:unhideWhenUsed/>
    <w:rsid w:val="00A37A7B"/>
    <w:pPr>
      <w:spacing w:after="100"/>
      <w:ind w:left="440"/>
    </w:pPr>
  </w:style>
  <w:style w:type="character" w:styleId="FollowedHyperlink">
    <w:name w:val="FollowedHyperlink"/>
    <w:basedOn w:val="DefaultParagraphFont"/>
    <w:uiPriority w:val="99"/>
    <w:semiHidden/>
    <w:unhideWhenUsed/>
    <w:rsid w:val="001F0ACB"/>
    <w:rPr>
      <w:color w:val="954F72" w:themeColor="followedHyperlink"/>
      <w:u w:val="single"/>
    </w:rPr>
  </w:style>
  <w:style w:type="paragraph" w:styleId="Footer">
    <w:name w:val="footer"/>
    <w:basedOn w:val="Normal"/>
    <w:link w:val="FooterChar"/>
    <w:uiPriority w:val="99"/>
    <w:semiHidden/>
    <w:unhideWhenUsed/>
    <w:rsid w:val="00EF5AA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F5AA0"/>
  </w:style>
  <w:style w:type="paragraph" w:styleId="Revision">
    <w:name w:val="Revision"/>
    <w:hidden/>
    <w:uiPriority w:val="99"/>
    <w:semiHidden/>
    <w:rsid w:val="00465812"/>
    <w:pPr>
      <w:spacing w:after="0" w:line="240" w:lineRule="auto"/>
    </w:pPr>
  </w:style>
  <w:style w:type="paragraph" w:styleId="ListParagraph">
    <w:name w:val="List Paragraph"/>
    <w:basedOn w:val="Normal"/>
    <w:uiPriority w:val="34"/>
    <w:qFormat/>
    <w:rsid w:val="009108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4.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7.png"/><Relationship Id="rId34" Type="http://schemas.microsoft.com/office/2011/relationships/people" Target="people.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3.png"/><Relationship Id="rId25" Type="http://schemas.openxmlformats.org/officeDocument/2006/relationships/hyperlink" Target="https://www.prisma-statement.org/prisma-2020-flow-diagram"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4.xml"/><Relationship Id="rId20" Type="http://schemas.openxmlformats.org/officeDocument/2006/relationships/image" Target="media/image6.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ustomXml" Target="ink/ink3.xml"/><Relationship Id="rId23" Type="http://schemas.openxmlformats.org/officeDocument/2006/relationships/image" Target="media/image9.png"/><Relationship Id="rId28"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553722b43d77123d2c72cebacd725ad2">
  <xsd:schema xmlns:xsd="http://www.w3.org/2001/XMLSchema" xmlns:xs="http://www.w3.org/2001/XMLSchema" xmlns:p="http://schemas.microsoft.com/office/2006/metadata/properties" xmlns:ns3="dd86abe3-ec21-467e-8687-9d211c569818" targetNamespace="http://schemas.microsoft.com/office/2006/metadata/properties" ma:root="true" ma:fieldsID="54b67466fb8d1277fd55f1a65b159f2e"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1F5C42D0-D417-4CBD-98DC-BC43CA54D38C}">
  <ds:schemaRefs>
    <ds:schemaRef ds:uri="http://schemas.microsoft.com/sharepoint/v3/contenttype/forms"/>
  </ds:schemaRefs>
</ds:datastoreItem>
</file>

<file path=customXml/itemProps2.xml><?xml version="1.0" encoding="utf-8"?>
<ds:datastoreItem xmlns:ds="http://schemas.openxmlformats.org/officeDocument/2006/customXml" ds:itemID="{BA32E12B-62AF-435B-B19D-1BFE01459A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E45334-894A-4F71-B432-A37BCB78292F}">
  <ds:schemaRefs>
    <ds:schemaRef ds:uri="http://schemas.openxmlformats.org/officeDocument/2006/bibliography"/>
  </ds:schemaRefs>
</ds:datastoreItem>
</file>

<file path=customXml/itemProps4.xml><?xml version="1.0" encoding="utf-8"?>
<ds:datastoreItem xmlns:ds="http://schemas.openxmlformats.org/officeDocument/2006/customXml" ds:itemID="{33403247-CB38-44EC-8F1B-3335A90249C6}">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74</Pages>
  <Words>20156</Words>
  <Characters>114893</Characters>
  <Application>Microsoft Office Word</Application>
  <DocSecurity>0</DocSecurity>
  <Lines>957</Lines>
  <Paragraphs>269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Bijlhout;kajalben</dc:creator>
  <cp:keywords/>
  <dc:description/>
  <cp:lastModifiedBy>Diola Bijlhout</cp:lastModifiedBy>
  <cp:revision>13</cp:revision>
  <cp:lastPrinted>2023-09-21T02:18:00Z</cp:lastPrinted>
  <dcterms:created xsi:type="dcterms:W3CDTF">2026-01-14T10:09:00Z</dcterms:created>
  <dcterms:modified xsi:type="dcterms:W3CDTF">2026-01-14T10:30:00Z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ed46a0e0-2b9d-4ebc-b52c-0edb628a7473</vt:lpwstr>
  </property>
  <property fmtid="{D5CDD505-2E9C-101B-9397-08002B2CF9AE}" pid="3" name="ContentTypeId">
    <vt:lpwstr>0x01010059C4DBF88080B948BDB8376217054C6E</vt:lpwstr>
  </property>
</Properties>
</file>