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D071F1" w14:textId="77777777" w:rsidR="0053302F" w:rsidRDefault="0053302F" w:rsidP="0053302F">
      <w:r>
        <w:rPr>
          <w:noProof/>
        </w:rPr>
        <w:drawing>
          <wp:inline distT="0" distB="0" distL="0" distR="0" wp14:anchorId="4332D470" wp14:editId="100C979E">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1EB0255C" w14:textId="77777777" w:rsidR="0053302F" w:rsidRPr="00A47621" w:rsidRDefault="0053302F" w:rsidP="0053302F"/>
    <w:p w14:paraId="6696092B" w14:textId="77777777" w:rsidR="0053302F" w:rsidRPr="00F927A1" w:rsidRDefault="0053302F" w:rsidP="0053302F">
      <w:pPr>
        <w:rPr>
          <w:b/>
          <w:bCs/>
          <w:sz w:val="48"/>
          <w:szCs w:val="48"/>
        </w:rPr>
      </w:pPr>
      <w:r w:rsidRPr="00F927A1">
        <w:rPr>
          <w:b/>
          <w:sz w:val="48"/>
          <w:szCs w:val="48"/>
        </w:rPr>
        <w:t xml:space="preserve">GRADUATE CERTIFICATE in </w:t>
      </w:r>
      <w:r w:rsidRPr="00F927A1">
        <w:rPr>
          <w:b/>
          <w:bCs/>
          <w:sz w:val="48"/>
          <w:szCs w:val="48"/>
        </w:rPr>
        <w:t>Consolidation of Social Work Practice</w:t>
      </w:r>
    </w:p>
    <w:p w14:paraId="24EAB327" w14:textId="77777777" w:rsidR="0053302F" w:rsidRPr="00DC2924" w:rsidRDefault="0053302F" w:rsidP="0053302F">
      <w:pPr>
        <w:ind w:right="-957"/>
        <w:rPr>
          <w:b/>
          <w:sz w:val="48"/>
        </w:rPr>
      </w:pPr>
      <w:r w:rsidRPr="00DC2924">
        <w:rPr>
          <w:b/>
          <w:sz w:val="48"/>
        </w:rPr>
        <w:t>LEVEL 6 - 60 Credits</w:t>
      </w:r>
    </w:p>
    <w:p w14:paraId="5AE7B4A9" w14:textId="77777777" w:rsidR="0053302F" w:rsidRPr="0085230E" w:rsidRDefault="0053302F" w:rsidP="0053302F">
      <w:pPr>
        <w:ind w:right="-957"/>
        <w:rPr>
          <w:b/>
          <w:sz w:val="48"/>
        </w:rPr>
      </w:pPr>
      <w:r w:rsidRPr="00DC2924">
        <w:rPr>
          <w:b/>
          <w:sz w:val="48"/>
        </w:rPr>
        <w:t>BMPF6044</w:t>
      </w:r>
    </w:p>
    <w:p w14:paraId="060A9AE7" w14:textId="77777777" w:rsidR="0053302F" w:rsidRDefault="0053302F" w:rsidP="0053302F">
      <w:pPr>
        <w:ind w:right="-957"/>
        <w:rPr>
          <w:b/>
          <w:sz w:val="48"/>
        </w:rPr>
      </w:pPr>
    </w:p>
    <w:p w14:paraId="5FE54BC9" w14:textId="77777777" w:rsidR="0053302F" w:rsidRPr="00FE5F90" w:rsidRDefault="0053302F" w:rsidP="0053302F">
      <w:pPr>
        <w:ind w:right="-957"/>
        <w:rPr>
          <w:b/>
          <w:sz w:val="18"/>
          <w:szCs w:val="2"/>
        </w:rPr>
      </w:pPr>
    </w:p>
    <w:p w14:paraId="7A993CE0" w14:textId="77777777" w:rsidR="0053302F" w:rsidRPr="00F927A1" w:rsidRDefault="0053302F" w:rsidP="0053302F">
      <w:pPr>
        <w:ind w:right="-957"/>
        <w:rPr>
          <w:b/>
          <w:sz w:val="48"/>
        </w:rPr>
      </w:pPr>
      <w:r>
        <w:rPr>
          <w:b/>
          <w:sz w:val="48"/>
        </w:rPr>
        <w:t>LEARNER PORTFOLIO</w:t>
      </w:r>
    </w:p>
    <w:p w14:paraId="63C15BED" w14:textId="77777777" w:rsidR="0053302F" w:rsidRPr="00706BB5" w:rsidRDefault="0053302F" w:rsidP="0053302F">
      <w:pPr>
        <w:ind w:right="-957"/>
        <w:rPr>
          <w:b/>
          <w:bCs/>
          <w:sz w:val="48"/>
          <w:szCs w:val="48"/>
        </w:rPr>
      </w:pPr>
      <w:r w:rsidRPr="00F15354">
        <w:rPr>
          <w:b/>
          <w:bCs/>
          <w:sz w:val="48"/>
          <w:szCs w:val="48"/>
        </w:rPr>
        <w:t>(PORTH AGORED and UNIVERSITY OF WALES TRINITY SAINT DAVID)</w:t>
      </w:r>
    </w:p>
    <w:p w14:paraId="0BF08B5C" w14:textId="77777777" w:rsidR="0053302F" w:rsidRPr="00FE5F90" w:rsidRDefault="0053302F" w:rsidP="0053302F">
      <w:pPr>
        <w:ind w:right="-957"/>
        <w:rPr>
          <w:b/>
          <w:sz w:val="14"/>
          <w:szCs w:val="2"/>
        </w:rPr>
      </w:pPr>
    </w:p>
    <w:p w14:paraId="261F105B" w14:textId="77777777" w:rsidR="0053302F" w:rsidRPr="00F927A1" w:rsidRDefault="0053302F" w:rsidP="0053302F">
      <w:pPr>
        <w:ind w:right="-957"/>
        <w:rPr>
          <w:b/>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53302F" w:rsidRPr="005D3F07" w14:paraId="74184EF4" w14:textId="77777777" w:rsidTr="00EC13E6">
        <w:tc>
          <w:tcPr>
            <w:tcW w:w="10368" w:type="dxa"/>
          </w:tcPr>
          <w:p w14:paraId="10C334EC" w14:textId="77777777" w:rsidR="0053302F" w:rsidRDefault="0053302F" w:rsidP="00EC13E6">
            <w:pPr>
              <w:ind w:right="-957"/>
              <w:rPr>
                <w:b/>
                <w:sz w:val="48"/>
              </w:rPr>
            </w:pPr>
            <w:r>
              <w:rPr>
                <w:b/>
                <w:sz w:val="48"/>
              </w:rPr>
              <w:t xml:space="preserve">Learner’s name: Phil Pybus </w:t>
            </w:r>
          </w:p>
          <w:p w14:paraId="2BD20E9D" w14:textId="77777777" w:rsidR="0053302F" w:rsidRDefault="0053302F" w:rsidP="00EC13E6">
            <w:pPr>
              <w:ind w:right="-957"/>
              <w:rPr>
                <w:b/>
                <w:sz w:val="48"/>
              </w:rPr>
            </w:pPr>
          </w:p>
          <w:p w14:paraId="34875E73" w14:textId="77777777" w:rsidR="0053302F" w:rsidRDefault="0053302F" w:rsidP="00EC13E6">
            <w:pPr>
              <w:ind w:right="-957"/>
              <w:rPr>
                <w:b/>
                <w:sz w:val="48"/>
              </w:rPr>
            </w:pPr>
            <w:r>
              <w:rPr>
                <w:b/>
                <w:sz w:val="48"/>
              </w:rPr>
              <w:t>Email address: phil.pybus@Wrexham.gov.uk</w:t>
            </w:r>
          </w:p>
          <w:p w14:paraId="483F2B35" w14:textId="77777777" w:rsidR="0053302F" w:rsidRDefault="0053302F" w:rsidP="00EC13E6">
            <w:pPr>
              <w:ind w:right="-957"/>
              <w:rPr>
                <w:b/>
                <w:sz w:val="48"/>
              </w:rPr>
            </w:pPr>
          </w:p>
          <w:p w14:paraId="3A696A65" w14:textId="77777777" w:rsidR="0053302F" w:rsidRPr="005D3F07" w:rsidRDefault="0053302F" w:rsidP="00EC13E6">
            <w:pPr>
              <w:ind w:right="-957"/>
              <w:rPr>
                <w:b/>
                <w:sz w:val="48"/>
              </w:rPr>
            </w:pPr>
            <w:r w:rsidRPr="005D3F07">
              <w:rPr>
                <w:b/>
                <w:sz w:val="48"/>
              </w:rPr>
              <w:t>Learner’s University Registration Number:</w:t>
            </w:r>
          </w:p>
          <w:p w14:paraId="79236BDF" w14:textId="77777777" w:rsidR="0053302F" w:rsidRPr="005D3F07" w:rsidRDefault="0053302F" w:rsidP="00EC13E6">
            <w:pPr>
              <w:ind w:right="-957"/>
              <w:rPr>
                <w:b/>
                <w:sz w:val="48"/>
              </w:rPr>
            </w:pPr>
            <w:r>
              <w:rPr>
                <w:b/>
                <w:sz w:val="48"/>
              </w:rPr>
              <w:t>2422519</w:t>
            </w:r>
          </w:p>
          <w:p w14:paraId="5EEE3947" w14:textId="77777777" w:rsidR="0053302F" w:rsidRPr="005D3F07" w:rsidRDefault="0053302F" w:rsidP="00EC13E6">
            <w:pPr>
              <w:ind w:right="-957"/>
              <w:rPr>
                <w:b/>
                <w:sz w:val="48"/>
              </w:rPr>
            </w:pPr>
            <w:r w:rsidRPr="00DC2924">
              <w:rPr>
                <w:b/>
                <w:sz w:val="48"/>
              </w:rPr>
              <w:t xml:space="preserve">Cohort: </w:t>
            </w:r>
            <w:r>
              <w:rPr>
                <w:b/>
                <w:sz w:val="48"/>
              </w:rPr>
              <w:t>21 onwards</w:t>
            </w:r>
          </w:p>
        </w:tc>
      </w:tr>
    </w:tbl>
    <w:p w14:paraId="6399D1A3" w14:textId="77777777" w:rsidR="0053302F" w:rsidRPr="00F927A1" w:rsidRDefault="0053302F" w:rsidP="0053302F">
      <w:pPr>
        <w:ind w:right="-957"/>
        <w:rPr>
          <w:b/>
          <w:sz w:val="48"/>
        </w:rPr>
      </w:pPr>
      <w:r>
        <w:rPr>
          <w:b/>
          <w:sz w:val="48"/>
        </w:rPr>
        <w:t xml:space="preserve"> </w:t>
      </w:r>
    </w:p>
    <w:p w14:paraId="1F0C42BE" w14:textId="77777777" w:rsidR="0053302F" w:rsidRPr="00F927A1" w:rsidRDefault="0053302F" w:rsidP="0053302F"/>
    <w:p w14:paraId="34693569" w14:textId="77777777" w:rsidR="0053302F" w:rsidRPr="00F927A1" w:rsidRDefault="0053302F" w:rsidP="0053302F">
      <w:pPr>
        <w:ind w:right="-957"/>
        <w:rPr>
          <w:b/>
          <w:sz w:val="48"/>
        </w:rPr>
      </w:pPr>
    </w:p>
    <w:p w14:paraId="7F35AB6E" w14:textId="77777777" w:rsidR="0053302F" w:rsidRDefault="0053302F" w:rsidP="00A85ADD">
      <w:pPr>
        <w:pStyle w:val="Heading1"/>
        <w:jc w:val="center"/>
      </w:pPr>
    </w:p>
    <w:p w14:paraId="6348543E" w14:textId="612C6543" w:rsidR="0059252C" w:rsidRDefault="0059252C" w:rsidP="00A85ADD">
      <w:pPr>
        <w:pStyle w:val="Heading1"/>
        <w:jc w:val="center"/>
      </w:pPr>
      <w:r>
        <w:t xml:space="preserve">Task 3 – Safeguarding </w:t>
      </w:r>
    </w:p>
    <w:p w14:paraId="4203C12E" w14:textId="77777777" w:rsidR="0059252C" w:rsidRDefault="0059252C"/>
    <w:p w14:paraId="0CC5A67B" w14:textId="7A643AFC" w:rsidR="006B4683" w:rsidRPr="006B4683" w:rsidRDefault="006B4683" w:rsidP="001E2819">
      <w:pPr>
        <w:spacing w:after="160" w:line="360" w:lineRule="auto"/>
        <w:rPr>
          <w:rFonts w:ascii="Arial" w:hAnsi="Arial" w:cs="Arial"/>
          <w:b/>
          <w:bCs/>
          <w:sz w:val="22"/>
          <w:szCs w:val="22"/>
        </w:rPr>
      </w:pPr>
      <w:r w:rsidRPr="006B4683">
        <w:rPr>
          <w:rFonts w:ascii="Arial" w:eastAsiaTheme="majorEastAsia" w:hAnsi="Arial" w:cs="Arial"/>
          <w:b/>
          <w:bCs/>
          <w:sz w:val="22"/>
          <w:szCs w:val="22"/>
        </w:rPr>
        <w:t>SECTION 1 — Introduction</w:t>
      </w:r>
      <w:r w:rsidR="0058579E" w:rsidRPr="001E2819">
        <w:rPr>
          <w:rFonts w:ascii="Arial" w:hAnsi="Arial" w:cs="Arial"/>
          <w:b/>
          <w:bCs/>
          <w:sz w:val="22"/>
          <w:szCs w:val="22"/>
        </w:rPr>
        <w:t>:</w:t>
      </w:r>
      <w:r w:rsidRPr="006B4683">
        <w:rPr>
          <w:rFonts w:ascii="Arial" w:eastAsiaTheme="majorEastAsia" w:hAnsi="Arial" w:cs="Arial"/>
          <w:b/>
          <w:bCs/>
          <w:sz w:val="22"/>
          <w:szCs w:val="22"/>
        </w:rPr>
        <w:t xml:space="preserve"> </w:t>
      </w:r>
      <w:r w:rsidR="0058579E" w:rsidRPr="001E2819">
        <w:rPr>
          <w:rFonts w:ascii="Arial" w:hAnsi="Arial" w:cs="Arial"/>
          <w:b/>
          <w:bCs/>
          <w:sz w:val="22"/>
          <w:szCs w:val="22"/>
        </w:rPr>
        <w:t xml:space="preserve">Case overview </w:t>
      </w:r>
      <w:r w:rsidRPr="006B4683">
        <w:rPr>
          <w:rFonts w:ascii="Arial" w:eastAsiaTheme="majorEastAsia" w:hAnsi="Arial" w:cs="Arial"/>
          <w:b/>
          <w:bCs/>
          <w:sz w:val="22"/>
          <w:szCs w:val="22"/>
        </w:rPr>
        <w:t xml:space="preserve">and the Statutory Framework </w:t>
      </w:r>
    </w:p>
    <w:p w14:paraId="15907CC0" w14:textId="77777777" w:rsidR="006B4683" w:rsidRPr="006B4683" w:rsidRDefault="006B4683" w:rsidP="001E2819">
      <w:pPr>
        <w:spacing w:after="160" w:line="360" w:lineRule="auto"/>
        <w:rPr>
          <w:rFonts w:ascii="Arial" w:hAnsi="Arial" w:cs="Arial"/>
          <w:sz w:val="22"/>
          <w:szCs w:val="22"/>
        </w:rPr>
      </w:pPr>
      <w:r w:rsidRPr="006B4683">
        <w:rPr>
          <w:rFonts w:ascii="Arial" w:hAnsi="Arial" w:cs="Arial"/>
          <w:sz w:val="22"/>
          <w:szCs w:val="22"/>
        </w:rPr>
        <w:t>This critically reflective case study examines a safeguarding intervention involving a nuclear family consisting of an 18</w:t>
      </w:r>
      <w:r w:rsidRPr="006B4683">
        <w:rPr>
          <w:rFonts w:ascii="Arial" w:hAnsi="Arial" w:cs="Arial"/>
          <w:sz w:val="22"/>
          <w:szCs w:val="22"/>
        </w:rPr>
        <w:noBreakHyphen/>
        <w:t>month</w:t>
      </w:r>
      <w:r w:rsidRPr="006B4683">
        <w:rPr>
          <w:rFonts w:ascii="Arial" w:hAnsi="Arial" w:cs="Arial"/>
          <w:sz w:val="22"/>
          <w:szCs w:val="22"/>
        </w:rPr>
        <w:noBreakHyphen/>
        <w:t>old child, her 24</w:t>
      </w:r>
      <w:r w:rsidRPr="006B4683">
        <w:rPr>
          <w:rFonts w:ascii="Arial" w:hAnsi="Arial" w:cs="Arial"/>
          <w:sz w:val="22"/>
          <w:szCs w:val="22"/>
        </w:rPr>
        <w:noBreakHyphen/>
        <w:t>year</w:t>
      </w:r>
      <w:r w:rsidRPr="006B4683">
        <w:rPr>
          <w:rFonts w:ascii="Arial" w:hAnsi="Arial" w:cs="Arial"/>
          <w:sz w:val="22"/>
          <w:szCs w:val="22"/>
        </w:rPr>
        <w:noBreakHyphen/>
        <w:t>old mother, and her 34</w:t>
      </w:r>
      <w:r w:rsidRPr="006B4683">
        <w:rPr>
          <w:rFonts w:ascii="Arial" w:hAnsi="Arial" w:cs="Arial"/>
          <w:sz w:val="22"/>
          <w:szCs w:val="22"/>
        </w:rPr>
        <w:noBreakHyphen/>
        <w:t>year</w:t>
      </w:r>
      <w:r w:rsidRPr="006B4683">
        <w:rPr>
          <w:rFonts w:ascii="Arial" w:hAnsi="Arial" w:cs="Arial"/>
          <w:sz w:val="22"/>
          <w:szCs w:val="22"/>
        </w:rPr>
        <w:noBreakHyphen/>
        <w:t>old father. The family were previously unknown to statutory services until a Flying Start health visitor made a referral highlighting concerns regarding the father’s escalating cannabis and prescribed opiate use and allegations of domestic conflict. Such early indicators align with Welsh safeguarding guidance, which emphasises that cumulative factors such as substance misuse and relational instability increase a child’s vulnerability to harm (Safeguarding Wales, 2026). As a substance misuse social worker in the local authority’s parenting team, my initial role involved balancing outcome</w:t>
      </w:r>
      <w:r w:rsidRPr="006B4683">
        <w:rPr>
          <w:rFonts w:ascii="Arial" w:hAnsi="Arial" w:cs="Arial"/>
          <w:sz w:val="22"/>
          <w:szCs w:val="22"/>
        </w:rPr>
        <w:noBreakHyphen/>
        <w:t>focused preventative support with statutory safeguarding duties once the threshold of significant harm appeared to be met.</w:t>
      </w:r>
    </w:p>
    <w:p w14:paraId="630E90D6" w14:textId="77777777" w:rsidR="006B4683" w:rsidRPr="006B4683" w:rsidRDefault="006B4683" w:rsidP="001E2819">
      <w:pPr>
        <w:spacing w:after="160" w:line="360" w:lineRule="auto"/>
        <w:rPr>
          <w:rFonts w:ascii="Arial" w:hAnsi="Arial" w:cs="Arial"/>
          <w:sz w:val="22"/>
          <w:szCs w:val="22"/>
        </w:rPr>
      </w:pPr>
      <w:r w:rsidRPr="006B4683">
        <w:rPr>
          <w:rFonts w:ascii="Arial" w:hAnsi="Arial" w:cs="Arial"/>
          <w:sz w:val="22"/>
          <w:szCs w:val="22"/>
        </w:rPr>
        <w:t>The Social Services and Well</w:t>
      </w:r>
      <w:r w:rsidRPr="006B4683">
        <w:rPr>
          <w:rFonts w:ascii="Arial" w:hAnsi="Arial" w:cs="Arial"/>
          <w:sz w:val="22"/>
          <w:szCs w:val="22"/>
        </w:rPr>
        <w:noBreakHyphen/>
        <w:t>being (Wales) Act 2014 (SSWBA) provides the primary legislative framework for safeguarding in Wales. Section 130 establishes a statutory duty to report when a practitioner has reasonable cause to believe that a child is at risk, and statutory guidance under Part 7 clarifies agencies’ obligations to report concerns, share information, and co</w:t>
      </w:r>
      <w:r w:rsidRPr="006B4683">
        <w:rPr>
          <w:rFonts w:ascii="Arial" w:hAnsi="Arial" w:cs="Arial"/>
          <w:sz w:val="22"/>
          <w:szCs w:val="22"/>
        </w:rPr>
        <w:noBreakHyphen/>
        <w:t>operate with enquiries (Welsh Government, 2019; Legislation.gov.uk, 2026). The Wales Safeguarding Procedures define a “child at risk” as one who is experiencing, or likely to experience, abuse, neglect or other harm and who requires care and support (Safeguarding Wales, 2026). These duties underpin professional expectations and frame the criteria for escalation from preventative to statutory intervention.</w:t>
      </w:r>
    </w:p>
    <w:p w14:paraId="40D75FB2" w14:textId="6BAC487B" w:rsidR="006B4683" w:rsidRPr="006B4683" w:rsidRDefault="006B4683" w:rsidP="001E2819">
      <w:pPr>
        <w:spacing w:after="160" w:line="360" w:lineRule="auto"/>
        <w:rPr>
          <w:rFonts w:ascii="Arial" w:hAnsi="Arial" w:cs="Arial"/>
          <w:sz w:val="22"/>
          <w:szCs w:val="22"/>
        </w:rPr>
      </w:pPr>
      <w:r w:rsidRPr="006B4683">
        <w:rPr>
          <w:rFonts w:ascii="Arial" w:hAnsi="Arial" w:cs="Arial"/>
          <w:sz w:val="22"/>
          <w:szCs w:val="22"/>
        </w:rPr>
        <w:t xml:space="preserve">The turning point in this case occurred during </w:t>
      </w:r>
      <w:r w:rsidR="001A2502">
        <w:rPr>
          <w:rFonts w:ascii="Arial" w:hAnsi="Arial" w:cs="Arial"/>
          <w:sz w:val="22"/>
          <w:szCs w:val="22"/>
        </w:rPr>
        <w:t>a home visit, o</w:t>
      </w:r>
      <w:r w:rsidRPr="006B4683">
        <w:rPr>
          <w:rFonts w:ascii="Arial" w:hAnsi="Arial" w:cs="Arial"/>
          <w:sz w:val="22"/>
          <w:szCs w:val="22"/>
        </w:rPr>
        <w:t>n arrival at the home, the baby gate lay knocked to the floor, signalling that significant conflict and physical disturbance had occurred before my entry. The mother, visibly distressed, pleaded, “Can you get him sectioned? He’s a danger to everyone,” indicating acute fear and a perceived loss of safety within the home. Systems theory highlights that such relational volatility within the microsystem can impair parental functioning and increase a child’s exposure to emotional harm (Bronfenbrenner, 1979; Simply Psychology, 2025).</w:t>
      </w:r>
    </w:p>
    <w:p w14:paraId="217F1678" w14:textId="07003ED3" w:rsidR="006B4683" w:rsidRPr="006B4683" w:rsidRDefault="006B4683" w:rsidP="001E2819">
      <w:pPr>
        <w:spacing w:after="160" w:line="360" w:lineRule="auto"/>
        <w:rPr>
          <w:rFonts w:ascii="Arial" w:hAnsi="Arial" w:cs="Arial"/>
          <w:sz w:val="22"/>
          <w:szCs w:val="22"/>
        </w:rPr>
      </w:pPr>
      <w:r w:rsidRPr="006B4683">
        <w:rPr>
          <w:rFonts w:ascii="Arial" w:hAnsi="Arial" w:cs="Arial"/>
          <w:sz w:val="22"/>
          <w:szCs w:val="22"/>
        </w:rPr>
        <w:t>The situation escalated quickly. Both parents became increasingly dysregulated; their argument intensified, voices rose, and the father made graphic threats of self</w:t>
      </w:r>
      <w:r w:rsidRPr="006B4683">
        <w:rPr>
          <w:rFonts w:ascii="Arial" w:hAnsi="Arial" w:cs="Arial"/>
          <w:sz w:val="22"/>
          <w:szCs w:val="22"/>
        </w:rPr>
        <w:noBreakHyphen/>
        <w:t>harm, including intentions to cut off his arm with an axe and ingest a full bottle of</w:t>
      </w:r>
      <w:r w:rsidR="001A2502">
        <w:rPr>
          <w:rFonts w:ascii="Arial" w:hAnsi="Arial" w:cs="Arial"/>
          <w:sz w:val="22"/>
          <w:szCs w:val="22"/>
        </w:rPr>
        <w:t xml:space="preserve"> Opiate based pain </w:t>
      </w:r>
      <w:r w:rsidR="001A2502">
        <w:rPr>
          <w:rFonts w:ascii="Arial" w:hAnsi="Arial" w:cs="Arial"/>
          <w:sz w:val="22"/>
          <w:szCs w:val="22"/>
        </w:rPr>
        <w:lastRenderedPageBreak/>
        <w:t>medication</w:t>
      </w:r>
      <w:r w:rsidRPr="006B4683">
        <w:rPr>
          <w:rFonts w:ascii="Arial" w:hAnsi="Arial" w:cs="Arial"/>
          <w:sz w:val="22"/>
          <w:szCs w:val="22"/>
        </w:rPr>
        <w:t>. His behaviour fluctuated between agitation and despair, while the mother entered a panic attack, becoming unable to attend to the distressed child. These behaviours reflect key indicators of significant harm identified in Welsh safeguarding guidance, including impaired caregiver capacity, emotional dysregulation, exposure to conflict and unpredictable adult behaviour (Safeguarding Wales, 2026).</w:t>
      </w:r>
    </w:p>
    <w:p w14:paraId="238DB52A" w14:textId="77777777" w:rsidR="006B4683" w:rsidRPr="006B4683" w:rsidRDefault="006B4683" w:rsidP="001E2819">
      <w:pPr>
        <w:spacing w:after="160" w:line="360" w:lineRule="auto"/>
        <w:rPr>
          <w:rFonts w:ascii="Arial" w:hAnsi="Arial" w:cs="Arial"/>
          <w:sz w:val="22"/>
          <w:szCs w:val="22"/>
        </w:rPr>
      </w:pPr>
      <w:r w:rsidRPr="006B4683">
        <w:rPr>
          <w:rFonts w:ascii="Arial" w:hAnsi="Arial" w:cs="Arial"/>
          <w:sz w:val="22"/>
          <w:szCs w:val="22"/>
        </w:rPr>
        <w:t>My response drew upon crisis intervention theory, trauma</w:t>
      </w:r>
      <w:r w:rsidRPr="006B4683">
        <w:rPr>
          <w:rFonts w:ascii="Arial" w:hAnsi="Arial" w:cs="Arial"/>
          <w:sz w:val="22"/>
          <w:szCs w:val="22"/>
        </w:rPr>
        <w:noBreakHyphen/>
        <w:t>informed principles and ecological systems theory. Crisis intervention theory conceptualises crises as points where individuals’ coping mechanisms fail, necessitating rapid assessment, containment, and direct intervention to restore functional stability (Roberts, 2005). This informed my use of grounding techniques and de</w:t>
      </w:r>
      <w:r w:rsidRPr="006B4683">
        <w:rPr>
          <w:rFonts w:ascii="Arial" w:hAnsi="Arial" w:cs="Arial"/>
          <w:sz w:val="22"/>
          <w:szCs w:val="22"/>
        </w:rPr>
        <w:noBreakHyphen/>
        <w:t>escalation strategies, consistent with NHS guidance on grounding for acute distress (NHS Inform, 2025) and NICE recommendations for de</w:t>
      </w:r>
      <w:r w:rsidRPr="006B4683">
        <w:rPr>
          <w:rFonts w:ascii="Arial" w:hAnsi="Arial" w:cs="Arial"/>
          <w:sz w:val="22"/>
          <w:szCs w:val="22"/>
        </w:rPr>
        <w:noBreakHyphen/>
        <w:t>escalation in mental</w:t>
      </w:r>
      <w:r w:rsidRPr="006B4683">
        <w:rPr>
          <w:rFonts w:ascii="Arial" w:hAnsi="Arial" w:cs="Arial"/>
          <w:sz w:val="22"/>
          <w:szCs w:val="22"/>
        </w:rPr>
        <w:noBreakHyphen/>
        <w:t>health</w:t>
      </w:r>
      <w:r w:rsidRPr="006B4683">
        <w:rPr>
          <w:rFonts w:ascii="Arial" w:hAnsi="Arial" w:cs="Arial"/>
          <w:sz w:val="22"/>
          <w:szCs w:val="22"/>
        </w:rPr>
        <w:noBreakHyphen/>
        <w:t>related behavioural crises (NICE, 2017). A trauma</w:t>
      </w:r>
      <w:r w:rsidRPr="006B4683">
        <w:rPr>
          <w:rFonts w:ascii="Arial" w:hAnsi="Arial" w:cs="Arial"/>
          <w:sz w:val="22"/>
          <w:szCs w:val="22"/>
        </w:rPr>
        <w:noBreakHyphen/>
        <w:t>informed lens, aligned with SAMHSA’s principles of safety, trustworthiness and emotional regulation, enabled me to understand the parents’ behaviours as expressions of emotional overwhelm rather than intentional aggression (SAMHSA, 2014). Similarly, Bronfenbrenner’s ecological systems model helped conceptualise the crisis as emerging from interconnected relational, psychological and environmental stressors, including substance misuse, mental</w:t>
      </w:r>
      <w:r w:rsidRPr="006B4683">
        <w:rPr>
          <w:rFonts w:ascii="Arial" w:hAnsi="Arial" w:cs="Arial"/>
          <w:sz w:val="22"/>
          <w:szCs w:val="22"/>
        </w:rPr>
        <w:noBreakHyphen/>
        <w:t>health instability and domestic abuse dynamics (</w:t>
      </w:r>
      <w:proofErr w:type="spellStart"/>
      <w:r w:rsidRPr="006B4683">
        <w:rPr>
          <w:rFonts w:ascii="Arial" w:hAnsi="Arial" w:cs="Arial"/>
          <w:sz w:val="22"/>
          <w:szCs w:val="22"/>
        </w:rPr>
        <w:t>Özdoğru</w:t>
      </w:r>
      <w:proofErr w:type="spellEnd"/>
      <w:r w:rsidRPr="006B4683">
        <w:rPr>
          <w:rFonts w:ascii="Arial" w:hAnsi="Arial" w:cs="Arial"/>
          <w:sz w:val="22"/>
          <w:szCs w:val="22"/>
        </w:rPr>
        <w:t>, 2025).</w:t>
      </w:r>
    </w:p>
    <w:p w14:paraId="0E6BCF3F" w14:textId="77777777" w:rsidR="006B4683" w:rsidRPr="006B4683" w:rsidRDefault="006B4683" w:rsidP="001E2819">
      <w:pPr>
        <w:spacing w:after="160" w:line="360" w:lineRule="auto"/>
        <w:rPr>
          <w:rFonts w:ascii="Arial" w:hAnsi="Arial" w:cs="Arial"/>
          <w:sz w:val="22"/>
          <w:szCs w:val="22"/>
        </w:rPr>
      </w:pPr>
      <w:r w:rsidRPr="006B4683">
        <w:rPr>
          <w:rFonts w:ascii="Arial" w:hAnsi="Arial" w:cs="Arial"/>
          <w:sz w:val="22"/>
          <w:szCs w:val="22"/>
        </w:rPr>
        <w:t>Recognising the rapidly increasing risks, I sought professional support by contacting a colleague while still in the home and informing my manager, consistent with expectations for supervisory oversight, shared accountability and the avoidance of lone working in high</w:t>
      </w:r>
      <w:r w:rsidRPr="006B4683">
        <w:rPr>
          <w:rFonts w:ascii="Arial" w:hAnsi="Arial" w:cs="Arial"/>
          <w:sz w:val="22"/>
          <w:szCs w:val="22"/>
        </w:rPr>
        <w:noBreakHyphen/>
        <w:t>risk safeguarding situations (Social Care Wales, 2025). This supported defensible decision</w:t>
      </w:r>
      <w:r w:rsidRPr="006B4683">
        <w:rPr>
          <w:rFonts w:ascii="Arial" w:hAnsi="Arial" w:cs="Arial"/>
          <w:sz w:val="22"/>
          <w:szCs w:val="22"/>
        </w:rPr>
        <w:noBreakHyphen/>
        <w:t>making and ensured that escalation decisions were made collaboratively.</w:t>
      </w:r>
    </w:p>
    <w:p w14:paraId="58FA6632" w14:textId="77777777" w:rsidR="006B4683" w:rsidRPr="006B4683" w:rsidRDefault="006B4683" w:rsidP="001E2819">
      <w:pPr>
        <w:spacing w:after="160" w:line="360" w:lineRule="auto"/>
        <w:rPr>
          <w:rFonts w:ascii="Arial" w:hAnsi="Arial" w:cs="Arial"/>
          <w:sz w:val="22"/>
          <w:szCs w:val="22"/>
        </w:rPr>
      </w:pPr>
      <w:r w:rsidRPr="006B4683">
        <w:rPr>
          <w:rFonts w:ascii="Arial" w:hAnsi="Arial" w:cs="Arial"/>
          <w:sz w:val="22"/>
          <w:szCs w:val="22"/>
        </w:rPr>
        <w:t>Given the cumulative risk indicators—environmental instability, parental dysregulation, mental</w:t>
      </w:r>
      <w:r w:rsidRPr="006B4683">
        <w:rPr>
          <w:rFonts w:ascii="Arial" w:hAnsi="Arial" w:cs="Arial"/>
          <w:sz w:val="22"/>
          <w:szCs w:val="22"/>
        </w:rPr>
        <w:noBreakHyphen/>
        <w:t>health crisis and credible threats of self</w:t>
      </w:r>
      <w:r w:rsidRPr="006B4683">
        <w:rPr>
          <w:rFonts w:ascii="Arial" w:hAnsi="Arial" w:cs="Arial"/>
          <w:sz w:val="22"/>
          <w:szCs w:val="22"/>
        </w:rPr>
        <w:noBreakHyphen/>
        <w:t>harm—I concluded that the child’s safety could not be maintained through voluntary engagement. This met the threshold for statutory intervention under Section 47 of the Children Act 1989, which requires local authorities to investigate when significant harm is suspected (Legislation.gov.uk, 2025). I therefore submitted an urgent safeguarding referral to the Single Point of Access (SPOA), triggering formal enquiries.</w:t>
      </w:r>
    </w:p>
    <w:p w14:paraId="192F82DA" w14:textId="3B4C652F" w:rsidR="006B4683" w:rsidRPr="006B4683" w:rsidRDefault="006B4683" w:rsidP="001E2819">
      <w:pPr>
        <w:spacing w:after="160" w:line="360" w:lineRule="auto"/>
        <w:rPr>
          <w:rFonts w:ascii="Arial" w:hAnsi="Arial" w:cs="Arial"/>
          <w:sz w:val="22"/>
          <w:szCs w:val="22"/>
        </w:rPr>
      </w:pPr>
      <w:r w:rsidRPr="006B4683">
        <w:rPr>
          <w:rFonts w:ascii="Arial" w:hAnsi="Arial" w:cs="Arial"/>
          <w:sz w:val="22"/>
          <w:szCs w:val="22"/>
        </w:rPr>
        <w:t>The Wales Safeguarding Procedures (2019) standardise the processes for referrals, strategy discussions, s.47 enquiries and child protection conferences, ensuring consistent all</w:t>
      </w:r>
      <w:r w:rsidRPr="006B4683">
        <w:rPr>
          <w:rFonts w:ascii="Arial" w:hAnsi="Arial" w:cs="Arial"/>
          <w:sz w:val="22"/>
          <w:szCs w:val="22"/>
        </w:rPr>
        <w:noBreakHyphen/>
        <w:t xml:space="preserve">Wales safeguarding practice (Safeguarding Wales, 2026). My practice was also guided by the Code of Professional Practice for Social Care, which mandates that social workers prioritise safety, uphold rights and work collaboratively (Social Care Wales, 2026). Coordinating with </w:t>
      </w:r>
      <w:r w:rsidRPr="006B4683">
        <w:rPr>
          <w:rFonts w:ascii="Arial" w:hAnsi="Arial" w:cs="Arial"/>
          <w:sz w:val="22"/>
          <w:szCs w:val="22"/>
        </w:rPr>
        <w:lastRenderedPageBreak/>
        <w:t>the Community Mental Health Team (CMHT) and the Flying Start domestic abuse worker reflected these professional duties.</w:t>
      </w:r>
    </w:p>
    <w:p w14:paraId="4EBBB43E" w14:textId="77777777" w:rsidR="006B4683" w:rsidRPr="006B4683" w:rsidRDefault="006B4683" w:rsidP="001E2819">
      <w:pPr>
        <w:spacing w:after="160" w:line="360" w:lineRule="auto"/>
        <w:rPr>
          <w:rFonts w:ascii="Arial" w:hAnsi="Arial" w:cs="Arial"/>
          <w:sz w:val="22"/>
          <w:szCs w:val="22"/>
        </w:rPr>
      </w:pPr>
      <w:r w:rsidRPr="006B4683">
        <w:rPr>
          <w:rFonts w:ascii="Arial" w:hAnsi="Arial" w:cs="Arial"/>
          <w:sz w:val="22"/>
          <w:szCs w:val="22"/>
        </w:rPr>
        <w:t>The Welsh “What Matters” conversation represents a shift from deficit</w:t>
      </w:r>
      <w:r w:rsidRPr="006B4683">
        <w:rPr>
          <w:rFonts w:ascii="Arial" w:hAnsi="Arial" w:cs="Arial"/>
          <w:sz w:val="22"/>
          <w:szCs w:val="22"/>
        </w:rPr>
        <w:noBreakHyphen/>
        <w:t>based assessment to an outcomes</w:t>
      </w:r>
      <w:r w:rsidRPr="006B4683">
        <w:rPr>
          <w:rFonts w:ascii="Arial" w:hAnsi="Arial" w:cs="Arial"/>
          <w:sz w:val="22"/>
          <w:szCs w:val="22"/>
        </w:rPr>
        <w:noBreakHyphen/>
        <w:t>focused, strengths</w:t>
      </w:r>
      <w:r w:rsidRPr="006B4683">
        <w:rPr>
          <w:rFonts w:ascii="Arial" w:hAnsi="Arial" w:cs="Arial"/>
          <w:sz w:val="22"/>
          <w:szCs w:val="22"/>
        </w:rPr>
        <w:noBreakHyphen/>
        <w:t xml:space="preserve">oriented model (Welsh Government, 2019). Early work reflected this approach by focusing on the mother’s goals around financial stability and her identity as a </w:t>
      </w:r>
      <w:proofErr w:type="spellStart"/>
      <w:r w:rsidRPr="006B4683">
        <w:rPr>
          <w:rFonts w:ascii="Arial" w:hAnsi="Arial" w:cs="Arial"/>
          <w:sz w:val="22"/>
          <w:szCs w:val="22"/>
        </w:rPr>
        <w:t>carer</w:t>
      </w:r>
      <w:proofErr w:type="spellEnd"/>
      <w:r w:rsidRPr="006B4683">
        <w:rPr>
          <w:rFonts w:ascii="Arial" w:hAnsi="Arial" w:cs="Arial"/>
          <w:sz w:val="22"/>
          <w:szCs w:val="22"/>
        </w:rPr>
        <w:t>. However, a critical analysis shows that while promoting voice and control is central to Welsh practice, it must remain compatible with statutory safeguarding. When parental dysregulation compromised child safety, the statutory duty to protect appropriately took precedence. This case therefore illustrates the professional judgement required to balance relational practice with legal imperatives to prevent significant harm.</w:t>
      </w:r>
    </w:p>
    <w:p w14:paraId="11FEA091" w14:textId="216A7DE6" w:rsidR="006B4683" w:rsidRPr="006B4683" w:rsidRDefault="006B4683" w:rsidP="001E2819">
      <w:pPr>
        <w:spacing w:after="160" w:line="360" w:lineRule="auto"/>
        <w:rPr>
          <w:rFonts w:ascii="Arial" w:hAnsi="Arial" w:cs="Arial"/>
          <w:sz w:val="22"/>
          <w:szCs w:val="22"/>
        </w:rPr>
      </w:pPr>
    </w:p>
    <w:p w14:paraId="70629FAF" w14:textId="45B59CCA" w:rsidR="006B4683" w:rsidRPr="006B4683" w:rsidRDefault="006B4683" w:rsidP="001E2819">
      <w:pPr>
        <w:spacing w:after="160" w:line="360" w:lineRule="auto"/>
        <w:rPr>
          <w:rFonts w:ascii="Arial" w:hAnsi="Arial" w:cs="Arial"/>
          <w:b/>
          <w:bCs/>
          <w:sz w:val="22"/>
          <w:szCs w:val="22"/>
        </w:rPr>
      </w:pPr>
      <w:r w:rsidRPr="006B4683">
        <w:rPr>
          <w:rFonts w:ascii="Arial" w:hAnsi="Arial" w:cs="Arial"/>
          <w:b/>
          <w:bCs/>
          <w:sz w:val="22"/>
          <w:szCs w:val="22"/>
        </w:rPr>
        <w:t>SECTION 2 — Legislative Interface and Safeguarding Processes</w:t>
      </w:r>
    </w:p>
    <w:p w14:paraId="1294E195" w14:textId="77777777" w:rsidR="006B4683" w:rsidRPr="006B4683" w:rsidRDefault="006B4683" w:rsidP="001E2819">
      <w:pPr>
        <w:spacing w:after="160" w:line="360" w:lineRule="auto"/>
        <w:rPr>
          <w:rFonts w:ascii="Arial" w:hAnsi="Arial" w:cs="Arial"/>
          <w:sz w:val="22"/>
          <w:szCs w:val="22"/>
        </w:rPr>
      </w:pPr>
      <w:r w:rsidRPr="006B4683">
        <w:rPr>
          <w:rFonts w:ascii="Arial" w:hAnsi="Arial" w:cs="Arial"/>
          <w:sz w:val="22"/>
          <w:szCs w:val="22"/>
        </w:rPr>
        <w:t>Safeguarding practice in Wales is shaped by an interplay between Welsh social</w:t>
      </w:r>
      <w:r w:rsidRPr="006B4683">
        <w:rPr>
          <w:rFonts w:ascii="Arial" w:hAnsi="Arial" w:cs="Arial"/>
          <w:sz w:val="22"/>
          <w:szCs w:val="22"/>
        </w:rPr>
        <w:noBreakHyphen/>
        <w:t>care legislation, UK</w:t>
      </w:r>
      <w:r w:rsidRPr="006B4683">
        <w:rPr>
          <w:rFonts w:ascii="Arial" w:hAnsi="Arial" w:cs="Arial"/>
          <w:sz w:val="22"/>
          <w:szCs w:val="22"/>
        </w:rPr>
        <w:noBreakHyphen/>
        <w:t>wide child</w:t>
      </w:r>
      <w:r w:rsidRPr="006B4683">
        <w:rPr>
          <w:rFonts w:ascii="Arial" w:hAnsi="Arial" w:cs="Arial"/>
          <w:sz w:val="22"/>
          <w:szCs w:val="22"/>
        </w:rPr>
        <w:noBreakHyphen/>
        <w:t>protection law and international frameworks. The Social Services and Well</w:t>
      </w:r>
      <w:r w:rsidRPr="006B4683">
        <w:rPr>
          <w:rFonts w:ascii="Arial" w:hAnsi="Arial" w:cs="Arial"/>
          <w:sz w:val="22"/>
          <w:szCs w:val="22"/>
        </w:rPr>
        <w:noBreakHyphen/>
        <w:t>being (Wales) Act 2014 (SSWBA) provides the legislative foundation for assessment, prevention and safeguarding, including a Part 7 duty to report and to co</w:t>
      </w:r>
      <w:r w:rsidRPr="006B4683">
        <w:rPr>
          <w:rFonts w:ascii="Arial" w:hAnsi="Arial" w:cs="Arial"/>
          <w:sz w:val="22"/>
          <w:szCs w:val="22"/>
        </w:rPr>
        <w:noBreakHyphen/>
        <w:t>operate in enquiries (Welsh Government, 2019; Legislation.gov.uk, 2026). However, statutory child</w:t>
      </w:r>
      <w:r w:rsidRPr="006B4683">
        <w:rPr>
          <w:rFonts w:ascii="Arial" w:hAnsi="Arial" w:cs="Arial"/>
          <w:sz w:val="22"/>
          <w:szCs w:val="22"/>
        </w:rPr>
        <w:noBreakHyphen/>
        <w:t>protection powers—including Care Orders, Supervision Orders and Emergency Protection Orders—remain governed by the Children Act 1989. Section 47 of the Act imposes a duty on local authorities to investigate where there is reasonable cause to suspect significant harm (Legislation.gov.uk, 2025). The Wales Safeguarding Procedures (WSP) integrate these frameworks into a standardised, all</w:t>
      </w:r>
      <w:r w:rsidRPr="006B4683">
        <w:rPr>
          <w:rFonts w:ascii="Arial" w:hAnsi="Arial" w:cs="Arial"/>
          <w:sz w:val="22"/>
          <w:szCs w:val="22"/>
        </w:rPr>
        <w:noBreakHyphen/>
        <w:t>Wales approach to referrals, strategy discussions, enquiries and conferences (Safeguarding Wales, 2026).</w:t>
      </w:r>
    </w:p>
    <w:p w14:paraId="749EBEE8" w14:textId="77777777" w:rsidR="006B4683" w:rsidRPr="006B4683" w:rsidRDefault="006B4683" w:rsidP="001E2819">
      <w:pPr>
        <w:spacing w:after="160" w:line="360" w:lineRule="auto"/>
        <w:rPr>
          <w:rFonts w:ascii="Arial" w:hAnsi="Arial" w:cs="Arial"/>
          <w:sz w:val="22"/>
          <w:szCs w:val="22"/>
        </w:rPr>
      </w:pPr>
      <w:r w:rsidRPr="006B4683">
        <w:rPr>
          <w:rFonts w:ascii="Arial" w:hAnsi="Arial" w:cs="Arial"/>
          <w:sz w:val="22"/>
          <w:szCs w:val="22"/>
        </w:rPr>
        <w:t>Following my safeguarding referral, a Strategy Meeting was convened under the WSP to determine whether s.47 threshold had been met. The meeting was attended by Children’s Services, the Police and the Assessment and Intervention Team (AIT) social worker. While this met statutory requirements, the Procedures emphasise that all agencies holding relevant information should be involved to ensure a comprehensive analysis of risk (Safeguarding Wales, 2026). In this instance, the absence of myself (as the referring practitioner), the Community Mental Health Team (CMHT) and the Flying Start domestic abuse worker meant the analysis relied partly on second</w:t>
      </w:r>
      <w:r w:rsidRPr="006B4683">
        <w:rPr>
          <w:rFonts w:ascii="Arial" w:hAnsi="Arial" w:cs="Arial"/>
          <w:sz w:val="22"/>
          <w:szCs w:val="22"/>
        </w:rPr>
        <w:noBreakHyphen/>
        <w:t>hand evidence, increasing the potential for diluted information and missed opportunities for more robust risk formulation.</w:t>
      </w:r>
    </w:p>
    <w:p w14:paraId="090EC9D0" w14:textId="77777777" w:rsidR="006B4683" w:rsidRPr="006B4683" w:rsidRDefault="006B4683" w:rsidP="001E2819">
      <w:pPr>
        <w:spacing w:after="160" w:line="360" w:lineRule="auto"/>
        <w:rPr>
          <w:rFonts w:ascii="Arial" w:hAnsi="Arial" w:cs="Arial"/>
          <w:sz w:val="22"/>
          <w:szCs w:val="22"/>
        </w:rPr>
      </w:pPr>
      <w:r w:rsidRPr="006B4683">
        <w:rPr>
          <w:rFonts w:ascii="Arial" w:hAnsi="Arial" w:cs="Arial"/>
          <w:sz w:val="22"/>
          <w:szCs w:val="22"/>
        </w:rPr>
        <w:t xml:space="preserve">The meeting concluded that the threshold for s.47 enquiries had been met, triggering a Children Act 1989 investigation led by the AIT. Although I was not the lead investigator, I </w:t>
      </w:r>
      <w:r w:rsidRPr="006B4683">
        <w:rPr>
          <w:rFonts w:ascii="Arial" w:hAnsi="Arial" w:cs="Arial"/>
          <w:sz w:val="22"/>
          <w:szCs w:val="22"/>
        </w:rPr>
        <w:lastRenderedPageBreak/>
        <w:t>contributed throughout by providing information regarding the father’s substance use, the mother’s emotional regulation, the crisis incident and the impact on the child’s lived experience. This contribution reflected statutory expectations for multi</w:t>
      </w:r>
      <w:r w:rsidRPr="006B4683">
        <w:rPr>
          <w:rFonts w:ascii="Arial" w:hAnsi="Arial" w:cs="Arial"/>
          <w:sz w:val="22"/>
          <w:szCs w:val="22"/>
        </w:rPr>
        <w:noBreakHyphen/>
        <w:t>agency co</w:t>
      </w:r>
      <w:r w:rsidRPr="006B4683">
        <w:rPr>
          <w:rFonts w:ascii="Arial" w:hAnsi="Arial" w:cs="Arial"/>
          <w:sz w:val="22"/>
          <w:szCs w:val="22"/>
        </w:rPr>
        <w:noBreakHyphen/>
        <w:t>operation in safeguarding (Welsh Government, 2019).</w:t>
      </w:r>
    </w:p>
    <w:p w14:paraId="1760EA09" w14:textId="77777777" w:rsidR="006B4683" w:rsidRPr="006B4683" w:rsidRDefault="006B4683" w:rsidP="001E2819">
      <w:pPr>
        <w:spacing w:after="160" w:line="360" w:lineRule="auto"/>
        <w:rPr>
          <w:rFonts w:ascii="Arial" w:hAnsi="Arial" w:cs="Arial"/>
          <w:sz w:val="22"/>
          <w:szCs w:val="22"/>
        </w:rPr>
      </w:pPr>
      <w:r w:rsidRPr="006B4683">
        <w:rPr>
          <w:rFonts w:ascii="Arial" w:hAnsi="Arial" w:cs="Arial"/>
          <w:sz w:val="22"/>
          <w:szCs w:val="22"/>
        </w:rPr>
        <w:t>Once enquiries were completed, the case progressed to an Initial Child Protection Conference (ICPC). Conferences in Wales operate under the Children Act framework but are facilitated through the Wales Safeguarding Procedures, requiring the integration of multi</w:t>
      </w:r>
      <w:r w:rsidRPr="006B4683">
        <w:rPr>
          <w:rFonts w:ascii="Arial" w:hAnsi="Arial" w:cs="Arial"/>
          <w:sz w:val="22"/>
          <w:szCs w:val="22"/>
        </w:rPr>
        <w:noBreakHyphen/>
        <w:t>agency reports to determine whether a child is at continuing risk of significant harm (Safeguarding Wales, 2026). I submitted a written report and presented my analysis. The child was subsequently placed on the Child Protection Register for emotional abuse. Following registration, I participated in core group meetings to update partners and ensure substance misuse and emotional regulation concerns were incorporated into the child protection plan.</w:t>
      </w:r>
    </w:p>
    <w:p w14:paraId="7BFF1AF5" w14:textId="0487B36F" w:rsidR="006B4683" w:rsidRPr="006B4683" w:rsidRDefault="006B4683" w:rsidP="001E2819">
      <w:pPr>
        <w:spacing w:after="160" w:line="360" w:lineRule="auto"/>
        <w:rPr>
          <w:rFonts w:ascii="Arial" w:hAnsi="Arial" w:cs="Arial"/>
          <w:sz w:val="22"/>
          <w:szCs w:val="22"/>
        </w:rPr>
      </w:pPr>
      <w:r w:rsidRPr="006B4683">
        <w:rPr>
          <w:rFonts w:ascii="Arial" w:hAnsi="Arial" w:cs="Arial"/>
          <w:sz w:val="22"/>
          <w:szCs w:val="22"/>
        </w:rPr>
        <w:t>Had the outcomes differed, my role would have shifted accordingly. If the Strategy Meeting had concluded that s.47 threshold was not met, I would have continued preventative, outcomes</w:t>
      </w:r>
      <w:r w:rsidRPr="006B4683">
        <w:rPr>
          <w:rFonts w:ascii="Arial" w:hAnsi="Arial" w:cs="Arial"/>
          <w:sz w:val="22"/>
          <w:szCs w:val="22"/>
        </w:rPr>
        <w:noBreakHyphen/>
        <w:t>based work under the SSWBA, focusing on What Matters goals and proportional monitoring. If the ICPC had determined that registration was unnecessary, I would likely have contributed to a C</w:t>
      </w:r>
      <w:r w:rsidR="001A2502">
        <w:rPr>
          <w:rFonts w:ascii="Arial" w:hAnsi="Arial" w:cs="Arial"/>
          <w:sz w:val="22"/>
          <w:szCs w:val="22"/>
        </w:rPr>
        <w:t>are and support plan</w:t>
      </w:r>
      <w:r w:rsidRPr="006B4683">
        <w:rPr>
          <w:rFonts w:ascii="Arial" w:hAnsi="Arial" w:cs="Arial"/>
          <w:sz w:val="22"/>
          <w:szCs w:val="22"/>
        </w:rPr>
        <w:t xml:space="preserve"> under </w:t>
      </w:r>
      <w:r w:rsidR="001A2502">
        <w:rPr>
          <w:rFonts w:ascii="Arial" w:hAnsi="Arial" w:cs="Arial"/>
          <w:sz w:val="22"/>
          <w:szCs w:val="22"/>
        </w:rPr>
        <w:t>Part 7 of SSWBA 2014</w:t>
      </w:r>
      <w:r w:rsidRPr="006B4683">
        <w:rPr>
          <w:rFonts w:ascii="Arial" w:hAnsi="Arial" w:cs="Arial"/>
          <w:sz w:val="22"/>
          <w:szCs w:val="22"/>
        </w:rPr>
        <w:t>. Conversely, if risk had escalated, I may have been required to support legal planning for Care or Supervision Orders or Emergency Protection Orders, all of which remain governed by UK</w:t>
      </w:r>
      <w:r w:rsidRPr="006B4683">
        <w:rPr>
          <w:rFonts w:ascii="Arial" w:hAnsi="Arial" w:cs="Arial"/>
          <w:sz w:val="22"/>
          <w:szCs w:val="22"/>
        </w:rPr>
        <w:noBreakHyphen/>
        <w:t>wide legislation (Legislation.gov.uk, 2025).</w:t>
      </w:r>
    </w:p>
    <w:p w14:paraId="04BA11FB" w14:textId="77777777" w:rsidR="006B4683" w:rsidRPr="006B4683" w:rsidRDefault="006B4683" w:rsidP="001E2819">
      <w:pPr>
        <w:spacing w:after="160" w:line="360" w:lineRule="auto"/>
        <w:rPr>
          <w:rFonts w:ascii="Arial" w:hAnsi="Arial" w:cs="Arial"/>
          <w:sz w:val="22"/>
          <w:szCs w:val="22"/>
        </w:rPr>
      </w:pPr>
      <w:r w:rsidRPr="006B4683">
        <w:rPr>
          <w:rFonts w:ascii="Arial" w:hAnsi="Arial" w:cs="Arial"/>
          <w:sz w:val="22"/>
          <w:szCs w:val="22"/>
        </w:rPr>
        <w:t>The legislative landscape in Wales is also shaped by the Rights of Children and Young Persons (Wales) Measure 2011, which places a legal duty on Welsh Ministers to have due regard to the UN Convention on the Rights of the Child (UNCRC). This makes Wales the first UK nation to integrate the UNCRC into domestic legislation, underpinning national safeguarding policy with a rights</w:t>
      </w:r>
      <w:r w:rsidRPr="006B4683">
        <w:rPr>
          <w:rFonts w:ascii="Arial" w:hAnsi="Arial" w:cs="Arial"/>
          <w:sz w:val="22"/>
          <w:szCs w:val="22"/>
        </w:rPr>
        <w:noBreakHyphen/>
        <w:t>based framework (Law Wales, 2024).</w:t>
      </w:r>
    </w:p>
    <w:p w14:paraId="29322F9E" w14:textId="77777777" w:rsidR="00266D70" w:rsidRPr="00266D70" w:rsidRDefault="00266D70" w:rsidP="00266D70">
      <w:pPr>
        <w:spacing w:after="160" w:line="360" w:lineRule="auto"/>
        <w:rPr>
          <w:rFonts w:ascii="Arial" w:hAnsi="Arial" w:cs="Arial"/>
          <w:sz w:val="22"/>
          <w:szCs w:val="22"/>
        </w:rPr>
      </w:pPr>
      <w:r w:rsidRPr="00266D70">
        <w:rPr>
          <w:rFonts w:ascii="Arial" w:hAnsi="Arial" w:cs="Arial"/>
          <w:sz w:val="22"/>
          <w:szCs w:val="22"/>
        </w:rPr>
        <w:t>Beyond domestic safeguarding duties, post</w:t>
      </w:r>
      <w:r w:rsidRPr="00266D70">
        <w:rPr>
          <w:rFonts w:ascii="Arial" w:hAnsi="Arial" w:cs="Arial"/>
          <w:sz w:val="22"/>
          <w:szCs w:val="22"/>
        </w:rPr>
        <w:noBreakHyphen/>
        <w:t>Brexit child</w:t>
      </w:r>
      <w:r w:rsidRPr="00266D70">
        <w:rPr>
          <w:rFonts w:ascii="Arial" w:hAnsi="Arial" w:cs="Arial"/>
          <w:sz w:val="22"/>
          <w:szCs w:val="22"/>
        </w:rPr>
        <w:noBreakHyphen/>
        <w:t xml:space="preserve">protection practice in Wales must also consider the 1996 Hague Convention. This Convention sets out how jurisdictions recognise and enforce protective measures for children when families have links to more than one country. Since the UK no longer falls under Brussels </w:t>
      </w:r>
      <w:proofErr w:type="spellStart"/>
      <w:r w:rsidRPr="00266D70">
        <w:rPr>
          <w:rFonts w:ascii="Arial" w:hAnsi="Arial" w:cs="Arial"/>
          <w:sz w:val="22"/>
          <w:szCs w:val="22"/>
        </w:rPr>
        <w:t>IIa</w:t>
      </w:r>
      <w:proofErr w:type="spellEnd"/>
      <w:r w:rsidRPr="00266D70">
        <w:rPr>
          <w:rFonts w:ascii="Arial" w:hAnsi="Arial" w:cs="Arial"/>
          <w:sz w:val="22"/>
          <w:szCs w:val="22"/>
        </w:rPr>
        <w:t xml:space="preserve"> regulations following Brexit, Welsh practitioners now rely on the Hague Convention as the primary legal framework for managing cross</w:t>
      </w:r>
      <w:r w:rsidRPr="00266D70">
        <w:rPr>
          <w:rFonts w:ascii="Arial" w:hAnsi="Arial" w:cs="Arial"/>
          <w:sz w:val="22"/>
          <w:szCs w:val="22"/>
        </w:rPr>
        <w:noBreakHyphen/>
        <w:t xml:space="preserve">border safeguarding issues (Department for Education, 2021). Although this </w:t>
      </w:r>
      <w:proofErr w:type="gramStart"/>
      <w:r w:rsidRPr="00266D70">
        <w:rPr>
          <w:rFonts w:ascii="Arial" w:hAnsi="Arial" w:cs="Arial"/>
          <w:sz w:val="22"/>
          <w:szCs w:val="22"/>
        </w:rPr>
        <w:t>particular case</w:t>
      </w:r>
      <w:proofErr w:type="gramEnd"/>
      <w:r w:rsidRPr="00266D70">
        <w:rPr>
          <w:rFonts w:ascii="Arial" w:hAnsi="Arial" w:cs="Arial"/>
          <w:sz w:val="22"/>
          <w:szCs w:val="22"/>
        </w:rPr>
        <w:t xml:space="preserve"> did not involve an international element, understanding the Convention remains important because it ensures that any future decisions involving cross</w:t>
      </w:r>
      <w:r w:rsidRPr="00266D70">
        <w:rPr>
          <w:rFonts w:ascii="Arial" w:hAnsi="Arial" w:cs="Arial"/>
          <w:sz w:val="22"/>
          <w:szCs w:val="22"/>
        </w:rPr>
        <w:noBreakHyphen/>
        <w:t>border risks are legally defensible and consistent with international standards.</w:t>
      </w:r>
    </w:p>
    <w:p w14:paraId="210BE1AC" w14:textId="77777777" w:rsidR="00266D70" w:rsidRDefault="00266D70" w:rsidP="001E2819">
      <w:pPr>
        <w:spacing w:after="160" w:line="360" w:lineRule="auto"/>
        <w:rPr>
          <w:rFonts w:ascii="Arial" w:hAnsi="Arial" w:cs="Arial"/>
          <w:sz w:val="22"/>
          <w:szCs w:val="22"/>
        </w:rPr>
      </w:pPr>
    </w:p>
    <w:p w14:paraId="3AB4AE41" w14:textId="0D76C90E" w:rsidR="006B4683" w:rsidRPr="006B4683" w:rsidRDefault="006B4683" w:rsidP="001E2819">
      <w:pPr>
        <w:spacing w:after="160" w:line="360" w:lineRule="auto"/>
        <w:rPr>
          <w:rFonts w:ascii="Arial" w:hAnsi="Arial" w:cs="Arial"/>
          <w:sz w:val="22"/>
          <w:szCs w:val="22"/>
        </w:rPr>
      </w:pPr>
      <w:r w:rsidRPr="006B4683">
        <w:rPr>
          <w:rFonts w:ascii="Arial" w:hAnsi="Arial" w:cs="Arial"/>
          <w:sz w:val="22"/>
          <w:szCs w:val="22"/>
        </w:rPr>
        <w:t>Lawful information</w:t>
      </w:r>
      <w:r w:rsidRPr="006B4683">
        <w:rPr>
          <w:rFonts w:ascii="Arial" w:hAnsi="Arial" w:cs="Arial"/>
          <w:sz w:val="22"/>
          <w:szCs w:val="22"/>
        </w:rPr>
        <w:noBreakHyphen/>
        <w:t>sharing is governed by the Data Protection Act 2018 and UK GDPR, both of which permit information</w:t>
      </w:r>
      <w:r w:rsidRPr="006B4683">
        <w:rPr>
          <w:rFonts w:ascii="Arial" w:hAnsi="Arial" w:cs="Arial"/>
          <w:sz w:val="22"/>
          <w:szCs w:val="22"/>
        </w:rPr>
        <w:noBreakHyphen/>
        <w:t>sharing where necessary to safeguard a child, provided the sharing is proportionate, justified and clearly recorded. Welsh guidance emphasises that data protection law should not prevent the timely exchange of information in safeguarding contexts (Information Commissioner’s Office, 2025). These principles supported my communication with CMHT, the domestic abuse worker and Children’s Services to ensure a timely and coordinated response.</w:t>
      </w:r>
    </w:p>
    <w:p w14:paraId="59085501" w14:textId="20004D72" w:rsidR="0059252C" w:rsidRPr="001E2819" w:rsidRDefault="006B4683" w:rsidP="001E2819">
      <w:pPr>
        <w:spacing w:after="160" w:line="360" w:lineRule="auto"/>
        <w:rPr>
          <w:rFonts w:ascii="Arial" w:hAnsi="Arial" w:cs="Arial"/>
          <w:sz w:val="22"/>
          <w:szCs w:val="22"/>
        </w:rPr>
      </w:pPr>
      <w:r w:rsidRPr="006B4683">
        <w:rPr>
          <w:rFonts w:ascii="Arial" w:hAnsi="Arial" w:cs="Arial"/>
          <w:sz w:val="22"/>
          <w:szCs w:val="22"/>
        </w:rPr>
        <w:t>In summary, this case highlights the complex legislative interface that shapes safeguarding practice in Wales. Practitioners must navigate the SSWBA’s preventative and duty</w:t>
      </w:r>
      <w:r w:rsidRPr="006B4683">
        <w:rPr>
          <w:rFonts w:ascii="Arial" w:hAnsi="Arial" w:cs="Arial"/>
          <w:sz w:val="22"/>
          <w:szCs w:val="22"/>
        </w:rPr>
        <w:noBreakHyphen/>
        <w:t>to</w:t>
      </w:r>
      <w:r w:rsidRPr="006B4683">
        <w:rPr>
          <w:rFonts w:ascii="Arial" w:hAnsi="Arial" w:cs="Arial"/>
          <w:sz w:val="22"/>
          <w:szCs w:val="22"/>
        </w:rPr>
        <w:noBreakHyphen/>
        <w:t>report framework, the Children Act’s statutory child</w:t>
      </w:r>
      <w:r w:rsidRPr="006B4683">
        <w:rPr>
          <w:rFonts w:ascii="Arial" w:hAnsi="Arial" w:cs="Arial"/>
          <w:sz w:val="22"/>
          <w:szCs w:val="22"/>
        </w:rPr>
        <w:noBreakHyphen/>
        <w:t>protection mechanisms, rights</w:t>
      </w:r>
      <w:r w:rsidRPr="006B4683">
        <w:rPr>
          <w:rFonts w:ascii="Arial" w:hAnsi="Arial" w:cs="Arial"/>
          <w:sz w:val="22"/>
          <w:szCs w:val="22"/>
        </w:rPr>
        <w:noBreakHyphen/>
        <w:t>based obligations under the UNCRC, and international jurisdiction rules. Effective safeguarding requires not only compliance with these frameworks but also collaborative, analytically robust, multi</w:t>
      </w:r>
      <w:r w:rsidRPr="006B4683">
        <w:rPr>
          <w:rFonts w:ascii="Arial" w:hAnsi="Arial" w:cs="Arial"/>
          <w:sz w:val="22"/>
          <w:szCs w:val="22"/>
        </w:rPr>
        <w:noBreakHyphen/>
        <w:t>agency practice.</w:t>
      </w:r>
    </w:p>
    <w:p w14:paraId="35A9C467" w14:textId="77777777" w:rsidR="0058579E" w:rsidRPr="001E2819" w:rsidRDefault="0058579E" w:rsidP="001E2819">
      <w:pPr>
        <w:spacing w:after="160" w:line="360" w:lineRule="auto"/>
        <w:rPr>
          <w:rFonts w:ascii="Arial" w:hAnsi="Arial" w:cs="Arial"/>
          <w:sz w:val="22"/>
          <w:szCs w:val="22"/>
        </w:rPr>
      </w:pPr>
    </w:p>
    <w:p w14:paraId="78BEA850" w14:textId="671BC935" w:rsidR="002B4FED" w:rsidRDefault="0058579E" w:rsidP="001E2819">
      <w:pPr>
        <w:spacing w:after="160" w:line="360" w:lineRule="auto"/>
        <w:rPr>
          <w:rFonts w:ascii="Arial" w:hAnsi="Arial" w:cs="Arial"/>
          <w:b/>
          <w:bCs/>
          <w:sz w:val="22"/>
          <w:szCs w:val="22"/>
        </w:rPr>
      </w:pPr>
      <w:r w:rsidRPr="0058579E">
        <w:rPr>
          <w:rFonts w:ascii="Arial" w:hAnsi="Arial" w:cs="Arial"/>
          <w:b/>
          <w:bCs/>
          <w:sz w:val="22"/>
          <w:szCs w:val="22"/>
        </w:rPr>
        <w:t xml:space="preserve">Section 3 — </w:t>
      </w:r>
      <w:r w:rsidR="00E655CE" w:rsidRPr="00944E73">
        <w:rPr>
          <w:rFonts w:ascii="Arial" w:hAnsi="Arial" w:cs="Arial"/>
          <w:b/>
          <w:bCs/>
          <w:sz w:val="22"/>
          <w:szCs w:val="22"/>
        </w:rPr>
        <w:t>Assessment, Analysis, &amp; Theoretical Integration</w:t>
      </w:r>
    </w:p>
    <w:p w14:paraId="45656DEC" w14:textId="1F4FDDBC" w:rsidR="002B4FED" w:rsidRPr="002B4FED" w:rsidRDefault="002B4FED" w:rsidP="002B4FED">
      <w:pPr>
        <w:spacing w:after="160" w:line="360" w:lineRule="auto"/>
        <w:rPr>
          <w:rFonts w:ascii="Arial" w:hAnsi="Arial" w:cs="Arial"/>
          <w:sz w:val="22"/>
          <w:szCs w:val="22"/>
        </w:rPr>
      </w:pPr>
      <w:r w:rsidRPr="002B4FED">
        <w:rPr>
          <w:rFonts w:ascii="Arial" w:hAnsi="Arial" w:cs="Arial"/>
          <w:sz w:val="22"/>
          <w:szCs w:val="22"/>
        </w:rPr>
        <w:t>The assessment process in this case required adopting a holistic, relational and strengths</w:t>
      </w:r>
      <w:r w:rsidRPr="002B4FED">
        <w:rPr>
          <w:rFonts w:ascii="Arial" w:hAnsi="Arial" w:cs="Arial"/>
          <w:sz w:val="22"/>
          <w:szCs w:val="22"/>
        </w:rPr>
        <w:noBreakHyphen/>
        <w:t>based approach aligned with the Social Services and Well</w:t>
      </w:r>
      <w:r w:rsidRPr="002B4FED">
        <w:rPr>
          <w:rFonts w:ascii="Arial" w:hAnsi="Arial" w:cs="Arial"/>
          <w:sz w:val="22"/>
          <w:szCs w:val="22"/>
        </w:rPr>
        <w:noBreakHyphen/>
        <w:t xml:space="preserve">being (Wales) Act 2014, which emphasises working in partnership to understand individuals’ strengths, priorities and the risks affecting them (Welsh Government, 2019). While the Assessment and Intervention Team (AIT) social worker undertook the formal Section 47 assessment, my own assessment derived from sustained direct work with the family and therapeutic intervention, which allowed me to build a nuanced understanding of the child’s lived experience. Through the “What Matters” conversation, I explored the family’s strengths and stressors, identifying protective factors such as the mother’s emotional </w:t>
      </w:r>
      <w:proofErr w:type="spellStart"/>
      <w:r w:rsidRPr="002B4FED">
        <w:rPr>
          <w:rFonts w:ascii="Arial" w:hAnsi="Arial" w:cs="Arial"/>
          <w:sz w:val="22"/>
          <w:szCs w:val="22"/>
        </w:rPr>
        <w:t>attunement</w:t>
      </w:r>
      <w:proofErr w:type="spellEnd"/>
      <w:r w:rsidRPr="002B4FED">
        <w:rPr>
          <w:rFonts w:ascii="Arial" w:hAnsi="Arial" w:cs="Arial"/>
          <w:sz w:val="22"/>
          <w:szCs w:val="22"/>
        </w:rPr>
        <w:t xml:space="preserve"> and her openness to professional involvement. At the same time, escalating conflict, emotional volatility and instability within the home emerged as significant safeguarding concerns recognised within the Wales Safeguarding Procedures as factors increasing the likelihood of harm (Safeguarding Wales, 2026).</w:t>
      </w:r>
    </w:p>
    <w:p w14:paraId="5F36CFE6" w14:textId="77777777" w:rsidR="002B4FED" w:rsidRPr="002B4FED" w:rsidRDefault="002B4FED" w:rsidP="002B4FED">
      <w:pPr>
        <w:spacing w:after="160" w:line="360" w:lineRule="auto"/>
        <w:rPr>
          <w:rFonts w:ascii="Arial" w:hAnsi="Arial" w:cs="Arial"/>
          <w:sz w:val="22"/>
          <w:szCs w:val="22"/>
        </w:rPr>
      </w:pPr>
      <w:r w:rsidRPr="002B4FED">
        <w:rPr>
          <w:rFonts w:ascii="Arial" w:hAnsi="Arial" w:cs="Arial"/>
          <w:sz w:val="22"/>
          <w:szCs w:val="22"/>
        </w:rPr>
        <w:t>Culturally responsive and identity</w:t>
      </w:r>
      <w:r w:rsidRPr="002B4FED">
        <w:rPr>
          <w:rFonts w:ascii="Arial" w:hAnsi="Arial" w:cs="Arial"/>
          <w:sz w:val="22"/>
          <w:szCs w:val="22"/>
        </w:rPr>
        <w:noBreakHyphen/>
        <w:t>based practice formed an important component of my assessment. In line with the Welsh Active Offer, I explored the parents’ communication preferences and cultural needs, ensuring equitable access to support (Social Care Wales, 2026). A further cultural dimension related to the father’s identity as a military veteran, as the Armed Forces Covenant highlights barriers to help</w:t>
      </w:r>
      <w:r w:rsidRPr="002B4FED">
        <w:rPr>
          <w:rFonts w:ascii="Arial" w:hAnsi="Arial" w:cs="Arial"/>
          <w:sz w:val="22"/>
          <w:szCs w:val="22"/>
        </w:rPr>
        <w:noBreakHyphen/>
        <w:t xml:space="preserve">seeking and the increased prevalence of </w:t>
      </w:r>
      <w:r w:rsidRPr="002B4FED">
        <w:rPr>
          <w:rFonts w:ascii="Arial" w:hAnsi="Arial" w:cs="Arial"/>
          <w:sz w:val="22"/>
          <w:szCs w:val="22"/>
        </w:rPr>
        <w:lastRenderedPageBreak/>
        <w:t>trauma</w:t>
      </w:r>
      <w:r w:rsidRPr="002B4FED">
        <w:rPr>
          <w:rFonts w:ascii="Arial" w:hAnsi="Arial" w:cs="Arial"/>
          <w:sz w:val="22"/>
          <w:szCs w:val="22"/>
        </w:rPr>
        <w:noBreakHyphen/>
        <w:t xml:space="preserve">related psychological difficulties in this population (Welsh Government, 2023). Considering this context helped me understand how trauma, chronic pain and distress shaped his interactions with his partner and child </w:t>
      </w:r>
      <w:proofErr w:type="gramStart"/>
      <w:r w:rsidRPr="002B4FED">
        <w:rPr>
          <w:rFonts w:ascii="Arial" w:hAnsi="Arial" w:cs="Arial"/>
          <w:sz w:val="22"/>
          <w:szCs w:val="22"/>
        </w:rPr>
        <w:t>on a daily basis</w:t>
      </w:r>
      <w:proofErr w:type="gramEnd"/>
      <w:r w:rsidRPr="002B4FED">
        <w:rPr>
          <w:rFonts w:ascii="Arial" w:hAnsi="Arial" w:cs="Arial"/>
          <w:sz w:val="22"/>
          <w:szCs w:val="22"/>
        </w:rPr>
        <w:t>.</w:t>
      </w:r>
    </w:p>
    <w:p w14:paraId="54D28A3D" w14:textId="77777777" w:rsidR="002B4FED" w:rsidRPr="002B4FED" w:rsidRDefault="002B4FED" w:rsidP="002B4FED">
      <w:pPr>
        <w:spacing w:after="160" w:line="360" w:lineRule="auto"/>
        <w:rPr>
          <w:rFonts w:ascii="Arial" w:hAnsi="Arial" w:cs="Arial"/>
          <w:sz w:val="22"/>
          <w:szCs w:val="22"/>
        </w:rPr>
      </w:pPr>
      <w:r w:rsidRPr="002B4FED">
        <w:rPr>
          <w:rFonts w:ascii="Arial" w:hAnsi="Arial" w:cs="Arial"/>
          <w:sz w:val="22"/>
          <w:szCs w:val="22"/>
        </w:rPr>
        <w:t xml:space="preserve">To ensure a defensible assessment, I applied ecological systems theory to explore how individual, relational and structural factors interacted within the family environment. Bronfenbrenner’s model locates the family microsystem as the central domain where relational dynamics—including conflict, emotional intensity and caregiving responses—directly influence the child’s lived experience (Bronfenbrenner, 1979; </w:t>
      </w:r>
      <w:proofErr w:type="spellStart"/>
      <w:r w:rsidRPr="002B4FED">
        <w:rPr>
          <w:rFonts w:ascii="Arial" w:hAnsi="Arial" w:cs="Arial"/>
          <w:sz w:val="22"/>
          <w:szCs w:val="22"/>
        </w:rPr>
        <w:t>Özdoğru</w:t>
      </w:r>
      <w:proofErr w:type="spellEnd"/>
      <w:r w:rsidRPr="002B4FED">
        <w:rPr>
          <w:rFonts w:ascii="Arial" w:hAnsi="Arial" w:cs="Arial"/>
          <w:sz w:val="22"/>
          <w:szCs w:val="22"/>
        </w:rPr>
        <w:t>, 2025). At the mesosystem level, financial pressures, limited informal support and fluctuating engagement with services exacerbated instability. This ecological lens helped me understand why the family were experiencing significant stress and reinforced the need for multi</w:t>
      </w:r>
      <w:r w:rsidRPr="002B4FED">
        <w:rPr>
          <w:rFonts w:ascii="Arial" w:hAnsi="Arial" w:cs="Arial"/>
          <w:sz w:val="22"/>
          <w:szCs w:val="22"/>
        </w:rPr>
        <w:noBreakHyphen/>
        <w:t>agency involvement to mitigate risks.</w:t>
      </w:r>
    </w:p>
    <w:p w14:paraId="2C0E1E47" w14:textId="77777777" w:rsidR="002B4FED" w:rsidRPr="002B4FED" w:rsidRDefault="002B4FED" w:rsidP="002B4FED">
      <w:pPr>
        <w:spacing w:after="160" w:line="360" w:lineRule="auto"/>
        <w:rPr>
          <w:rFonts w:ascii="Arial" w:hAnsi="Arial" w:cs="Arial"/>
          <w:sz w:val="22"/>
          <w:szCs w:val="22"/>
        </w:rPr>
      </w:pPr>
      <w:r w:rsidRPr="002B4FED">
        <w:rPr>
          <w:rFonts w:ascii="Arial" w:hAnsi="Arial" w:cs="Arial"/>
          <w:sz w:val="22"/>
          <w:szCs w:val="22"/>
        </w:rPr>
        <w:t>Trauma</w:t>
      </w:r>
      <w:r w:rsidRPr="002B4FED">
        <w:rPr>
          <w:rFonts w:ascii="Arial" w:hAnsi="Arial" w:cs="Arial"/>
          <w:sz w:val="22"/>
          <w:szCs w:val="22"/>
        </w:rPr>
        <w:noBreakHyphen/>
        <w:t>informed practice further shaped my analysis. Both parents displayed trauma</w:t>
      </w:r>
      <w:r w:rsidRPr="002B4FED">
        <w:rPr>
          <w:rFonts w:ascii="Arial" w:hAnsi="Arial" w:cs="Arial"/>
          <w:sz w:val="22"/>
          <w:szCs w:val="22"/>
        </w:rPr>
        <w:noBreakHyphen/>
        <w:t>affected behaviours, including heightened emotional reactivity, shutdown responses and panic during conflict. SAMHSA’s trauma</w:t>
      </w:r>
      <w:r w:rsidRPr="002B4FED">
        <w:rPr>
          <w:rFonts w:ascii="Arial" w:hAnsi="Arial" w:cs="Arial"/>
          <w:sz w:val="22"/>
          <w:szCs w:val="22"/>
        </w:rPr>
        <w:noBreakHyphen/>
        <w:t>informed principles emphasise viewing behaviour through the lens of safety, regulation and past experiences rather than blame (SAMHSA, 2014; Social Care Wales, 2023). The mother’s panic attack reflected acute distress linked to relational trauma, while the father’s dysregulation—exacerbated by chronic pain and trauma exposure—indicated emotional overwhelm that impaired his capacity to provide consistent care. Understanding these dynamics informed a compassionate yet risk</w:t>
      </w:r>
      <w:r w:rsidRPr="002B4FED">
        <w:rPr>
          <w:rFonts w:ascii="Arial" w:hAnsi="Arial" w:cs="Arial"/>
          <w:sz w:val="22"/>
          <w:szCs w:val="22"/>
        </w:rPr>
        <w:noBreakHyphen/>
        <w:t>focused therapeutic approach.</w:t>
      </w:r>
    </w:p>
    <w:p w14:paraId="34AC54A6" w14:textId="77777777" w:rsidR="002B4FED" w:rsidRPr="002B4FED" w:rsidRDefault="002B4FED" w:rsidP="002B4FED">
      <w:pPr>
        <w:spacing w:after="160" w:line="360" w:lineRule="auto"/>
        <w:rPr>
          <w:rFonts w:ascii="Arial" w:hAnsi="Arial" w:cs="Arial"/>
          <w:sz w:val="22"/>
          <w:szCs w:val="22"/>
        </w:rPr>
      </w:pPr>
      <w:r w:rsidRPr="002B4FED">
        <w:rPr>
          <w:rFonts w:ascii="Arial" w:hAnsi="Arial" w:cs="Arial"/>
          <w:sz w:val="22"/>
          <w:szCs w:val="22"/>
        </w:rPr>
        <w:t>My direct work with the father provided critical insight into the complexity of risk. Moving beyond substance misuse, the primary concerns were his fluctuating mental health, suicidal ideation and the way unmanaged psychological distress manifested in coercive or emotionally dominating behaviours. His repeated graphic threats of self</w:t>
      </w:r>
      <w:r w:rsidRPr="002B4FED">
        <w:rPr>
          <w:rFonts w:ascii="Arial" w:hAnsi="Arial" w:cs="Arial"/>
          <w:sz w:val="22"/>
          <w:szCs w:val="22"/>
        </w:rPr>
        <w:noBreakHyphen/>
        <w:t>harm were unpredictable, occurred in the child’s presence, and created a frightening emotional climate. Welsh safeguarding guidance identifies parental mental</w:t>
      </w:r>
      <w:r w:rsidRPr="002B4FED">
        <w:rPr>
          <w:rFonts w:ascii="Arial" w:hAnsi="Arial" w:cs="Arial"/>
          <w:sz w:val="22"/>
          <w:szCs w:val="22"/>
        </w:rPr>
        <w:noBreakHyphen/>
        <w:t>health crises involving suicidal ideation and dysregulated behaviour as significant risk factors for emotional harm (Safeguarding Wales, 2026). His difficulty regulating emotions also led to coercive relational patterns during conflict, reducing the mother’s capacity to parent effectively.</w:t>
      </w:r>
    </w:p>
    <w:p w14:paraId="52382963" w14:textId="77777777" w:rsidR="002B4FED" w:rsidRPr="002B4FED" w:rsidRDefault="002B4FED" w:rsidP="002B4FED">
      <w:pPr>
        <w:spacing w:after="160" w:line="360" w:lineRule="auto"/>
        <w:rPr>
          <w:rFonts w:ascii="Arial" w:hAnsi="Arial" w:cs="Arial"/>
          <w:sz w:val="22"/>
          <w:szCs w:val="22"/>
        </w:rPr>
      </w:pPr>
      <w:r w:rsidRPr="002B4FED">
        <w:rPr>
          <w:rFonts w:ascii="Arial" w:hAnsi="Arial" w:cs="Arial"/>
          <w:sz w:val="22"/>
          <w:szCs w:val="22"/>
        </w:rPr>
        <w:t xml:space="preserve">Using the Signs of Safety framework, I contributed to the formulation of danger statements, complicating factors, safety goals and strengths. Danger statements centred on the child’s exposure to shouting, emotional volatility, suicidal threats and unpredictable parental behaviour. Complicating factors included limited informal support, trauma histories and fluctuating mental health. Strengths included the mother’s strong attachment to her child, </w:t>
      </w:r>
      <w:r w:rsidRPr="002B4FED">
        <w:rPr>
          <w:rFonts w:ascii="Arial" w:hAnsi="Arial" w:cs="Arial"/>
          <w:sz w:val="22"/>
          <w:szCs w:val="22"/>
        </w:rPr>
        <w:lastRenderedPageBreak/>
        <w:t>insight into the harmful environment and willingness to engage with professionals—factors that formed the basis of early safety planning focused on enhancing predictability and reducing exposure to conflict.</w:t>
      </w:r>
    </w:p>
    <w:p w14:paraId="4F98A6F0" w14:textId="77777777" w:rsidR="002B4FED" w:rsidRPr="002B4FED" w:rsidRDefault="002B4FED" w:rsidP="002B4FED">
      <w:pPr>
        <w:spacing w:after="160" w:line="360" w:lineRule="auto"/>
        <w:rPr>
          <w:rFonts w:ascii="Arial" w:hAnsi="Arial" w:cs="Arial"/>
          <w:sz w:val="22"/>
          <w:szCs w:val="22"/>
        </w:rPr>
      </w:pPr>
      <w:r w:rsidRPr="002B4FED">
        <w:rPr>
          <w:rFonts w:ascii="Arial" w:hAnsi="Arial" w:cs="Arial"/>
          <w:sz w:val="22"/>
          <w:szCs w:val="22"/>
        </w:rPr>
        <w:t>Domestic abuse considerations were approached through a child</w:t>
      </w:r>
      <w:r w:rsidRPr="002B4FED">
        <w:rPr>
          <w:rFonts w:ascii="Arial" w:hAnsi="Arial" w:cs="Arial"/>
          <w:sz w:val="22"/>
          <w:szCs w:val="22"/>
        </w:rPr>
        <w:noBreakHyphen/>
        <w:t>centred safeguarding lens, consistent with Welsh policy expectations. The child was exposed to shouting, distress and emotional instability—each recognised as emotional harm under Welsh safeguarding definitions (Safeguarding Wales, 2026). As work progressed, the mother engaged in safety planning with support from the Flying Start domestic abuse worker and ultimately decided to leave the relationship. This demonstrated protective capacity, a key element in the Signs of Safety approach.</w:t>
      </w:r>
    </w:p>
    <w:p w14:paraId="2E491536" w14:textId="77777777" w:rsidR="002B4FED" w:rsidRPr="002B4FED" w:rsidRDefault="002B4FED" w:rsidP="002B4FED">
      <w:pPr>
        <w:spacing w:after="160" w:line="360" w:lineRule="auto"/>
        <w:rPr>
          <w:rFonts w:ascii="Arial" w:hAnsi="Arial" w:cs="Arial"/>
          <w:sz w:val="22"/>
          <w:szCs w:val="22"/>
        </w:rPr>
      </w:pPr>
      <w:r w:rsidRPr="002B4FED">
        <w:rPr>
          <w:rFonts w:ascii="Arial" w:hAnsi="Arial" w:cs="Arial"/>
          <w:sz w:val="22"/>
          <w:szCs w:val="22"/>
        </w:rPr>
        <w:t>Balancing the parents’ right to family life under Article 8 of the Human Rights Act with the child’s right to protection required careful professional judgement. Although I was not responsible for completing the Section 47 assessment, the cumulative insights from my direct work—together with multi</w:t>
      </w:r>
      <w:r w:rsidRPr="002B4FED">
        <w:rPr>
          <w:rFonts w:ascii="Arial" w:hAnsi="Arial" w:cs="Arial"/>
          <w:sz w:val="22"/>
          <w:szCs w:val="22"/>
        </w:rPr>
        <w:noBreakHyphen/>
        <w:t>agency information—helped establish that voluntary support was insufficient. The combination of the father’s emotional volatility, suicidal ideation and coercive dynamics, paired with the mother's panic responses and the child’s exposure to fear and instability, indicated that the threshold for statutory intervention had been clearly met (Legislation.gov.uk, 2025).</w:t>
      </w:r>
    </w:p>
    <w:p w14:paraId="44BF9228" w14:textId="77777777" w:rsidR="002B4FED" w:rsidRPr="002B4FED" w:rsidRDefault="002B4FED" w:rsidP="002B4FED">
      <w:pPr>
        <w:spacing w:after="160" w:line="360" w:lineRule="auto"/>
        <w:rPr>
          <w:rFonts w:ascii="Arial" w:hAnsi="Arial" w:cs="Arial"/>
          <w:sz w:val="22"/>
          <w:szCs w:val="22"/>
        </w:rPr>
      </w:pPr>
      <w:r w:rsidRPr="002B4FED">
        <w:rPr>
          <w:rFonts w:ascii="Arial" w:hAnsi="Arial" w:cs="Arial"/>
          <w:sz w:val="22"/>
          <w:szCs w:val="22"/>
        </w:rPr>
        <w:t>Substance use remained relevant, but multi</w:t>
      </w:r>
      <w:r w:rsidRPr="002B4FED">
        <w:rPr>
          <w:rFonts w:ascii="Arial" w:hAnsi="Arial" w:cs="Arial"/>
          <w:sz w:val="22"/>
          <w:szCs w:val="22"/>
        </w:rPr>
        <w:noBreakHyphen/>
        <w:t>agency information—particularly from the health visitor and the Community Mental Health Team—demonstrated that emotional dysregulation and mental health deterioration were the primary drivers of risk. Their evidence of fluctuating presentation and deterioration reinforced concerns about unpredictability and impaired caregiving capacity.</w:t>
      </w:r>
    </w:p>
    <w:p w14:paraId="0456E4B2" w14:textId="77777777" w:rsidR="002B4FED" w:rsidRPr="002B4FED" w:rsidRDefault="002B4FED" w:rsidP="002B4FED">
      <w:pPr>
        <w:spacing w:after="160" w:line="360" w:lineRule="auto"/>
        <w:rPr>
          <w:rFonts w:ascii="Arial" w:hAnsi="Arial" w:cs="Arial"/>
          <w:sz w:val="22"/>
          <w:szCs w:val="22"/>
        </w:rPr>
      </w:pPr>
      <w:r w:rsidRPr="002B4FED">
        <w:rPr>
          <w:rFonts w:ascii="Arial" w:hAnsi="Arial" w:cs="Arial"/>
          <w:sz w:val="22"/>
          <w:szCs w:val="22"/>
        </w:rPr>
        <w:t>As the Section 47 process progressed, child</w:t>
      </w:r>
      <w:r w:rsidRPr="002B4FED">
        <w:rPr>
          <w:rFonts w:ascii="Arial" w:hAnsi="Arial" w:cs="Arial"/>
          <w:sz w:val="22"/>
          <w:szCs w:val="22"/>
        </w:rPr>
        <w:noBreakHyphen/>
        <w:t>centred safety planning became the central coordinating activity. Multi</w:t>
      </w:r>
      <w:r w:rsidRPr="002B4FED">
        <w:rPr>
          <w:rFonts w:ascii="Arial" w:hAnsi="Arial" w:cs="Arial"/>
          <w:sz w:val="22"/>
          <w:szCs w:val="22"/>
        </w:rPr>
        <w:noBreakHyphen/>
        <w:t>agency support enabled the mother to leave the home, reducing the child’s exposure to conflict. By the time of the Initial Child Protection Conference, the mother and child were placed in emergency accommodation while awaiting longer</w:t>
      </w:r>
      <w:r w:rsidRPr="002B4FED">
        <w:rPr>
          <w:rFonts w:ascii="Arial" w:hAnsi="Arial" w:cs="Arial"/>
          <w:sz w:val="22"/>
          <w:szCs w:val="22"/>
        </w:rPr>
        <w:noBreakHyphen/>
        <w:t>term housing, demonstrating progress toward stability and reinforcing her protective capacity.</w:t>
      </w:r>
    </w:p>
    <w:p w14:paraId="1490442D" w14:textId="77777777" w:rsidR="002B4FED" w:rsidRPr="002B4FED" w:rsidRDefault="002B4FED" w:rsidP="002B4FED">
      <w:pPr>
        <w:spacing w:after="160" w:line="360" w:lineRule="auto"/>
        <w:rPr>
          <w:rFonts w:ascii="Arial" w:hAnsi="Arial" w:cs="Arial"/>
          <w:sz w:val="22"/>
          <w:szCs w:val="22"/>
        </w:rPr>
      </w:pPr>
      <w:r w:rsidRPr="002B4FED">
        <w:rPr>
          <w:rFonts w:ascii="Arial" w:hAnsi="Arial" w:cs="Arial"/>
          <w:sz w:val="22"/>
          <w:szCs w:val="22"/>
        </w:rPr>
        <w:t>A critical development occurred when the father issued explicit threats of violence toward the AIT social worker. This represented a serious escalation and provided further evidence of emotional volatility, distorted cognition and impaired impulse control. His later disclosure that military training had normalised the use—or threat—of harm as a functional tool aligned with research on veteran conditioning, which may influence interpersonal behaviour post</w:t>
      </w:r>
      <w:r w:rsidRPr="002B4FED">
        <w:rPr>
          <w:rFonts w:ascii="Arial" w:hAnsi="Arial" w:cs="Arial"/>
          <w:sz w:val="22"/>
          <w:szCs w:val="22"/>
        </w:rPr>
        <w:noBreakHyphen/>
        <w:t xml:space="preserve">service (Coppola et al., 2025; Cowlishaw et al., 2025). Rodrigues et al. (2015) further highlight </w:t>
      </w:r>
      <w:r w:rsidRPr="002B4FED">
        <w:rPr>
          <w:rFonts w:ascii="Arial" w:hAnsi="Arial" w:cs="Arial"/>
          <w:sz w:val="22"/>
          <w:szCs w:val="22"/>
        </w:rPr>
        <w:lastRenderedPageBreak/>
        <w:t>elevated rates of intimate partner violence in military populations linked to trauma and conditioning.</w:t>
      </w:r>
    </w:p>
    <w:p w14:paraId="7D943F12" w14:textId="77777777" w:rsidR="002B4FED" w:rsidRPr="002B4FED" w:rsidRDefault="002B4FED" w:rsidP="002B4FED">
      <w:pPr>
        <w:spacing w:after="160" w:line="360" w:lineRule="auto"/>
        <w:rPr>
          <w:rFonts w:ascii="Arial" w:hAnsi="Arial" w:cs="Arial"/>
          <w:sz w:val="22"/>
          <w:szCs w:val="22"/>
        </w:rPr>
      </w:pPr>
      <w:r w:rsidRPr="002B4FED">
        <w:rPr>
          <w:rFonts w:ascii="Arial" w:hAnsi="Arial" w:cs="Arial"/>
          <w:sz w:val="22"/>
          <w:szCs w:val="22"/>
        </w:rPr>
        <w:t>Understanding these threats through a safeguarding lens reinforced concerns about coercive control within the home. Stark’s (2007) conceptualisation of coercive control emphasises how intimidation, threats and fear</w:t>
      </w:r>
      <w:r w:rsidRPr="002B4FED">
        <w:rPr>
          <w:rFonts w:ascii="Arial" w:hAnsi="Arial" w:cs="Arial"/>
          <w:sz w:val="22"/>
          <w:szCs w:val="22"/>
        </w:rPr>
        <w:noBreakHyphen/>
        <w:t>inducing behaviours create a pattern of domination that undermines autonomy and creates emotionally unsafe environments. The father’s comments, combined with volatile behaviour, indicated that aggression could be used strategically, increasing the risk of emotional harm.</w:t>
      </w:r>
    </w:p>
    <w:p w14:paraId="3B4495BE" w14:textId="77777777" w:rsidR="002B4FED" w:rsidRPr="002B4FED" w:rsidRDefault="002B4FED" w:rsidP="002B4FED">
      <w:pPr>
        <w:spacing w:after="160" w:line="360" w:lineRule="auto"/>
        <w:rPr>
          <w:rFonts w:ascii="Arial" w:hAnsi="Arial" w:cs="Arial"/>
          <w:sz w:val="22"/>
          <w:szCs w:val="22"/>
        </w:rPr>
      </w:pPr>
      <w:r w:rsidRPr="002B4FED">
        <w:rPr>
          <w:rFonts w:ascii="Arial" w:hAnsi="Arial" w:cs="Arial"/>
          <w:sz w:val="22"/>
          <w:szCs w:val="22"/>
        </w:rPr>
        <w:t>In accordance with local authority protocols, these threats were escalated through organisational risk</w:t>
      </w:r>
      <w:r w:rsidRPr="002B4FED">
        <w:rPr>
          <w:rFonts w:ascii="Arial" w:hAnsi="Arial" w:cs="Arial"/>
          <w:sz w:val="22"/>
          <w:szCs w:val="22"/>
        </w:rPr>
        <w:noBreakHyphen/>
        <w:t>management procedures. A Head of Service</w:t>
      </w:r>
      <w:r w:rsidRPr="002B4FED">
        <w:rPr>
          <w:rFonts w:ascii="Arial" w:hAnsi="Arial" w:cs="Arial"/>
          <w:sz w:val="22"/>
          <w:szCs w:val="22"/>
        </w:rPr>
        <w:noBreakHyphen/>
        <w:t>level assessment identified heightened risks to practitioner safety, leading to a requirement for 2:1 staffing for all future direct work. This aligned with Social Care Wales (2026) guidance on lone</w:t>
      </w:r>
      <w:r w:rsidRPr="002B4FED">
        <w:rPr>
          <w:rFonts w:ascii="Arial" w:hAnsi="Arial" w:cs="Arial"/>
          <w:sz w:val="22"/>
          <w:szCs w:val="22"/>
        </w:rPr>
        <w:noBreakHyphen/>
        <w:t>working and defensible practice.</w:t>
      </w:r>
    </w:p>
    <w:p w14:paraId="51316BC5" w14:textId="77777777" w:rsidR="002B4FED" w:rsidRPr="002B4FED" w:rsidRDefault="002B4FED" w:rsidP="002B4FED">
      <w:pPr>
        <w:spacing w:after="160" w:line="360" w:lineRule="auto"/>
        <w:rPr>
          <w:rFonts w:ascii="Arial" w:hAnsi="Arial" w:cs="Arial"/>
          <w:sz w:val="22"/>
          <w:szCs w:val="22"/>
        </w:rPr>
      </w:pPr>
      <w:r w:rsidRPr="002B4FED">
        <w:rPr>
          <w:rFonts w:ascii="Arial" w:hAnsi="Arial" w:cs="Arial"/>
          <w:sz w:val="22"/>
          <w:szCs w:val="22"/>
        </w:rPr>
        <w:t>Integrated within the Signs of Safety analysis, the father’s behaviour strengthened danger statements relating to fluctuating mental health, suicidal ideation and a militarised view of harm. These dynamics increased risk within the child’s caregiving environment and reinforced the need for ongoing statutory oversight.</w:t>
      </w:r>
    </w:p>
    <w:p w14:paraId="700044EC" w14:textId="77777777" w:rsidR="002B4FED" w:rsidRPr="002B4FED" w:rsidRDefault="002B4FED" w:rsidP="002B4FED">
      <w:pPr>
        <w:spacing w:after="160" w:line="360" w:lineRule="auto"/>
        <w:rPr>
          <w:rFonts w:ascii="Arial" w:hAnsi="Arial" w:cs="Arial"/>
          <w:sz w:val="22"/>
          <w:szCs w:val="22"/>
        </w:rPr>
      </w:pPr>
      <w:r w:rsidRPr="002B4FED">
        <w:rPr>
          <w:rFonts w:ascii="Arial" w:hAnsi="Arial" w:cs="Arial"/>
          <w:sz w:val="22"/>
          <w:szCs w:val="22"/>
        </w:rPr>
        <w:t>The integration of ecological theory, trauma</w:t>
      </w:r>
      <w:r w:rsidRPr="002B4FED">
        <w:rPr>
          <w:rFonts w:ascii="Arial" w:hAnsi="Arial" w:cs="Arial"/>
          <w:sz w:val="22"/>
          <w:szCs w:val="22"/>
        </w:rPr>
        <w:noBreakHyphen/>
        <w:t>informed practice, Signs of Safety and multi</w:t>
      </w:r>
      <w:r w:rsidRPr="002B4FED">
        <w:rPr>
          <w:rFonts w:ascii="Arial" w:hAnsi="Arial" w:cs="Arial"/>
          <w:sz w:val="22"/>
          <w:szCs w:val="22"/>
        </w:rPr>
        <w:noBreakHyphen/>
        <w:t>agency information enabled an assessment that was analytical, defensible and grounded in the child’s lived experience. While the AIT social worker completed the Section 47 assessment, my direct therapeutic work, observational insights and close multi</w:t>
      </w:r>
      <w:r w:rsidRPr="002B4FED">
        <w:rPr>
          <w:rFonts w:ascii="Arial" w:hAnsi="Arial" w:cs="Arial"/>
          <w:sz w:val="22"/>
          <w:szCs w:val="22"/>
        </w:rPr>
        <w:noBreakHyphen/>
        <w:t>agency liaison formed a significant and essential part of the overall safeguarding response.</w:t>
      </w:r>
    </w:p>
    <w:p w14:paraId="59EA6D64" w14:textId="77777777" w:rsidR="0058579E" w:rsidRPr="001E2819" w:rsidRDefault="0058579E" w:rsidP="001E2819">
      <w:pPr>
        <w:spacing w:after="160" w:line="360" w:lineRule="auto"/>
        <w:rPr>
          <w:rFonts w:ascii="Arial" w:hAnsi="Arial" w:cs="Arial"/>
          <w:b/>
          <w:bCs/>
          <w:sz w:val="22"/>
          <w:szCs w:val="22"/>
        </w:rPr>
      </w:pPr>
    </w:p>
    <w:p w14:paraId="573234D1" w14:textId="1501A08F" w:rsidR="003950A7" w:rsidRPr="001E2819" w:rsidRDefault="003950A7" w:rsidP="001E2819">
      <w:pPr>
        <w:spacing w:after="160" w:line="360" w:lineRule="auto"/>
        <w:rPr>
          <w:rFonts w:ascii="Arial" w:hAnsi="Arial" w:cs="Arial"/>
          <w:b/>
          <w:bCs/>
          <w:sz w:val="22"/>
          <w:szCs w:val="22"/>
        </w:rPr>
      </w:pPr>
      <w:r w:rsidRPr="001E2819">
        <w:rPr>
          <w:rFonts w:ascii="Arial" w:hAnsi="Arial" w:cs="Arial"/>
          <w:b/>
          <w:bCs/>
          <w:sz w:val="22"/>
          <w:szCs w:val="22"/>
        </w:rPr>
        <w:t xml:space="preserve">Section 4 — Collaborative Working &amp; Communication </w:t>
      </w:r>
    </w:p>
    <w:p w14:paraId="3F0672BF" w14:textId="192CFBFB" w:rsidR="003950A7" w:rsidRPr="001E2819" w:rsidRDefault="003950A7" w:rsidP="001E2819">
      <w:pPr>
        <w:spacing w:after="160" w:line="360" w:lineRule="auto"/>
        <w:rPr>
          <w:rFonts w:ascii="Arial" w:hAnsi="Arial" w:cs="Arial"/>
          <w:sz w:val="22"/>
          <w:szCs w:val="22"/>
        </w:rPr>
      </w:pPr>
      <w:r w:rsidRPr="001E2819">
        <w:rPr>
          <w:rFonts w:ascii="Arial" w:hAnsi="Arial" w:cs="Arial"/>
          <w:sz w:val="22"/>
          <w:szCs w:val="22"/>
        </w:rPr>
        <w:t>Managing the crisis within this family required a dynamic application of multi</w:t>
      </w:r>
      <w:r w:rsidRPr="001E2819">
        <w:rPr>
          <w:rFonts w:ascii="Arial" w:hAnsi="Arial" w:cs="Arial"/>
          <w:sz w:val="22"/>
          <w:szCs w:val="22"/>
        </w:rPr>
        <w:noBreakHyphen/>
        <w:t>agency collaboration and communication, underpinned by the statutory duties set out in the Social Services and Well-being (Wales) Act 2014. In Wales, safeguarding practice is shaped by a legal “duty to co</w:t>
      </w:r>
      <w:r w:rsidRPr="001E2819">
        <w:rPr>
          <w:rFonts w:ascii="Arial" w:hAnsi="Arial" w:cs="Arial"/>
          <w:sz w:val="22"/>
          <w:szCs w:val="22"/>
        </w:rPr>
        <w:noBreakHyphen/>
        <w:t>operate,” emphasising that child protection cannot be a single</w:t>
      </w:r>
      <w:r w:rsidRPr="001E2819">
        <w:rPr>
          <w:rFonts w:ascii="Arial" w:hAnsi="Arial" w:cs="Arial"/>
          <w:sz w:val="22"/>
          <w:szCs w:val="22"/>
        </w:rPr>
        <w:noBreakHyphen/>
        <w:t>agency endeavour but relies on coordinated professional judgement, timely information</w:t>
      </w:r>
      <w:r w:rsidRPr="001E2819">
        <w:rPr>
          <w:rFonts w:ascii="Arial" w:hAnsi="Arial" w:cs="Arial"/>
          <w:sz w:val="22"/>
          <w:szCs w:val="22"/>
        </w:rPr>
        <w:noBreakHyphen/>
        <w:t>sharing, and aligned risk assessment (Welsh Government, 2019; Safeguarding Wales, 2026). Throughout this intervention, the collaborative engagement of professionals ensured that no single perspective dominated the analysis and that the child’s safety remained the central point of reference.</w:t>
      </w:r>
    </w:p>
    <w:p w14:paraId="756CD330" w14:textId="77777777" w:rsidR="003950A7" w:rsidRPr="001E2819" w:rsidRDefault="003950A7" w:rsidP="001E2819">
      <w:pPr>
        <w:spacing w:after="160" w:line="360" w:lineRule="auto"/>
        <w:rPr>
          <w:rFonts w:ascii="Arial" w:hAnsi="Arial" w:cs="Arial"/>
          <w:sz w:val="22"/>
          <w:szCs w:val="22"/>
        </w:rPr>
      </w:pPr>
      <w:r w:rsidRPr="001E2819">
        <w:rPr>
          <w:rFonts w:ascii="Arial" w:hAnsi="Arial" w:cs="Arial"/>
          <w:sz w:val="22"/>
          <w:szCs w:val="22"/>
        </w:rPr>
        <w:lastRenderedPageBreak/>
        <w:t>A central aspect of this intervention was the involvement of the Community Psychiatric Nurse (CPN), whose clinical role complemented my responsibility as a child</w:t>
      </w:r>
      <w:r w:rsidRPr="001E2819">
        <w:rPr>
          <w:rFonts w:ascii="Arial" w:hAnsi="Arial" w:cs="Arial"/>
          <w:sz w:val="22"/>
          <w:szCs w:val="22"/>
        </w:rPr>
        <w:noBreakHyphen/>
        <w:t>centred practitioner. While my focus remained on the child’s lived experience, environmental safety and parental capacity, the CPN provided essential psychiatric assessment and emotional containment for the father. This reflected Trevithick’s (2012) argument that effective safeguarding practice requires the integration of different professional knowledge bases to manage complex, emotionally charged situations. The father’s fluctuating mental health, suicidal ideation and dysregulation required specialist input, and the CPN’s presence reduced the emotional temperature in the home, enabling a calmer and safer environment for the child and mother. This approach aligns with Koprowska’s (2020) emphasis on coordinated skill</w:t>
      </w:r>
      <w:r w:rsidRPr="001E2819">
        <w:rPr>
          <w:rFonts w:ascii="Arial" w:hAnsi="Arial" w:cs="Arial"/>
          <w:sz w:val="22"/>
          <w:szCs w:val="22"/>
        </w:rPr>
        <w:noBreakHyphen/>
        <w:t>sharing to ensure that each practitioner remains grounded in their own professional identity without being overwhelmed by the heightened emotional climate.</w:t>
      </w:r>
    </w:p>
    <w:p w14:paraId="45056A66" w14:textId="33747036" w:rsidR="00464552" w:rsidRPr="001E2819" w:rsidRDefault="003950A7" w:rsidP="001E2819">
      <w:pPr>
        <w:spacing w:after="160" w:line="360" w:lineRule="auto"/>
        <w:rPr>
          <w:rFonts w:ascii="Arial" w:hAnsi="Arial" w:cs="Arial"/>
          <w:sz w:val="22"/>
          <w:szCs w:val="22"/>
        </w:rPr>
      </w:pPr>
      <w:r w:rsidRPr="001E2819">
        <w:rPr>
          <w:rFonts w:ascii="Arial" w:hAnsi="Arial" w:cs="Arial"/>
          <w:sz w:val="22"/>
          <w:szCs w:val="22"/>
        </w:rPr>
        <w:t xml:space="preserve">The Flying Start domestic abuse worker also played a vital role, providing specific expertise in understanding the impact of coercive and controlling behaviour on the family system. In Wales, domestic abuse is understood as a direct child protection concern, not solely an adult safeguarding matter. The Wales Safeguarding Procedures explicitly recognise children who see, hear or experience domestic abuse as victims of harm </w:t>
      </w:r>
      <w:proofErr w:type="gramStart"/>
      <w:r w:rsidRPr="001E2819">
        <w:rPr>
          <w:rFonts w:ascii="Arial" w:hAnsi="Arial" w:cs="Arial"/>
          <w:sz w:val="22"/>
          <w:szCs w:val="22"/>
        </w:rPr>
        <w:t>in their own right due to</w:t>
      </w:r>
      <w:proofErr w:type="gramEnd"/>
      <w:r w:rsidRPr="001E2819">
        <w:rPr>
          <w:rFonts w:ascii="Arial" w:hAnsi="Arial" w:cs="Arial"/>
          <w:sz w:val="22"/>
          <w:szCs w:val="22"/>
        </w:rPr>
        <w:t xml:space="preserve"> the emotional distress, fear and instability it creates (Safeguarding Wales, 2026). This is consistent with the Domestic Abuse Act 2021, which formally establishes that children exposed to domestic abuse are victims, reflecting evidence that coercive control and parental dysregulation have significant emotional and developmental impacts (Stark, 2007). In this case, the child’s exposure to shouting, parental fear, emotional volatility and threats of self</w:t>
      </w:r>
      <w:r w:rsidRPr="001E2819">
        <w:rPr>
          <w:rFonts w:ascii="Arial" w:hAnsi="Arial" w:cs="Arial"/>
          <w:sz w:val="22"/>
          <w:szCs w:val="22"/>
        </w:rPr>
        <w:noBreakHyphen/>
        <w:t>harm clearly met the statutory definition of emotional harm under the Social Services and Well</w:t>
      </w:r>
      <w:r w:rsidRPr="001E2819">
        <w:rPr>
          <w:rFonts w:ascii="Arial" w:hAnsi="Arial" w:cs="Arial"/>
          <w:sz w:val="22"/>
          <w:szCs w:val="22"/>
        </w:rPr>
        <w:noBreakHyphen/>
        <w:t>being (Wales) Act 2014 (Welsh Government, 2019). Recognising this ensured that the domestic abuse worker’s support for the mother—including safety planning and her eventual decision to leave the relationship—was treated as a child safeguarding measure, enhancing protective capacity and reducing harm.</w:t>
      </w:r>
    </w:p>
    <w:p w14:paraId="5D4EF722" w14:textId="1E1A333C" w:rsidR="00464552" w:rsidRPr="001E2819" w:rsidRDefault="003950A7" w:rsidP="001E2819">
      <w:pPr>
        <w:spacing w:after="160" w:line="360" w:lineRule="auto"/>
        <w:rPr>
          <w:rFonts w:ascii="Arial" w:hAnsi="Arial" w:cs="Arial"/>
          <w:sz w:val="22"/>
          <w:szCs w:val="22"/>
        </w:rPr>
      </w:pPr>
      <w:r w:rsidRPr="001E2819">
        <w:rPr>
          <w:rFonts w:ascii="Arial" w:hAnsi="Arial" w:cs="Arial"/>
          <w:sz w:val="22"/>
          <w:szCs w:val="22"/>
        </w:rPr>
        <w:t>Information</w:t>
      </w:r>
      <w:r w:rsidRPr="001E2819">
        <w:rPr>
          <w:rFonts w:ascii="Arial" w:hAnsi="Arial" w:cs="Arial"/>
          <w:sz w:val="22"/>
          <w:szCs w:val="22"/>
        </w:rPr>
        <w:noBreakHyphen/>
        <w:t xml:space="preserve">sharing was another critical element of this partnership approach. Applying the Wales Accord on the Sharing of Personal Information (WASPI), I assessed whether disclosing the father’s threats to the Single Point of Access (SPOA), the Police and senior managers without his consent was justified. The Public Interest Test places child safety above confidentiality when there is a risk of significant harm, and in this case, the immediacy and severity of the threats clearly met the threshold under the Children Act 1989. Following the “Seven Golden Rules” of information sharing (Safeguarding Wales, 2026), I ensured that all disclosure was necessary, proportionate, relevant and securely communicated. This </w:t>
      </w:r>
      <w:r w:rsidRPr="001E2819">
        <w:rPr>
          <w:rFonts w:ascii="Arial" w:hAnsi="Arial" w:cs="Arial"/>
          <w:sz w:val="22"/>
          <w:szCs w:val="22"/>
        </w:rPr>
        <w:lastRenderedPageBreak/>
        <w:t>timely sharing provided the statutory trigger for progressing to a Section 47 Strategy Discussion.</w:t>
      </w:r>
    </w:p>
    <w:p w14:paraId="12B34FD1" w14:textId="21A0FA5A" w:rsidR="00464552" w:rsidRPr="001E2819" w:rsidRDefault="003950A7" w:rsidP="001E2819">
      <w:pPr>
        <w:spacing w:after="160" w:line="360" w:lineRule="auto"/>
        <w:rPr>
          <w:rFonts w:ascii="Arial" w:hAnsi="Arial" w:cs="Arial"/>
          <w:sz w:val="22"/>
          <w:szCs w:val="22"/>
        </w:rPr>
      </w:pPr>
      <w:r w:rsidRPr="001E2819">
        <w:rPr>
          <w:rFonts w:ascii="Arial" w:hAnsi="Arial" w:cs="Arial"/>
          <w:sz w:val="22"/>
          <w:szCs w:val="22"/>
        </w:rPr>
        <w:t>The culmination of collaborative efforts took place within the multi</w:t>
      </w:r>
      <w:r w:rsidRPr="001E2819">
        <w:rPr>
          <w:rFonts w:ascii="Arial" w:hAnsi="Arial" w:cs="Arial"/>
          <w:sz w:val="22"/>
          <w:szCs w:val="22"/>
        </w:rPr>
        <w:noBreakHyphen/>
        <w:t xml:space="preserve">agency Section 47 Strategy Discussion, which brought together Children’s Services, Police, the CPN, the domestic abuse worker and </w:t>
      </w:r>
      <w:proofErr w:type="gramStart"/>
      <w:r w:rsidRPr="001E2819">
        <w:rPr>
          <w:rFonts w:ascii="Arial" w:hAnsi="Arial" w:cs="Arial"/>
          <w:sz w:val="22"/>
          <w:szCs w:val="22"/>
        </w:rPr>
        <w:t>myself</w:t>
      </w:r>
      <w:proofErr w:type="gramEnd"/>
      <w:r w:rsidRPr="001E2819">
        <w:rPr>
          <w:rFonts w:ascii="Arial" w:hAnsi="Arial" w:cs="Arial"/>
          <w:sz w:val="22"/>
          <w:szCs w:val="22"/>
        </w:rPr>
        <w:t xml:space="preserve"> to pool information, analyse risk and plan next steps. My contribution centred on the child’s daily lived experience, the cumulative emotional harm, the father’s deteriorating mental health, and the mother’s demonstration of protective capacity. This partnership approach reflects Munro’s (2011) principle that defensible decision</w:t>
      </w:r>
      <w:r w:rsidRPr="001E2819">
        <w:rPr>
          <w:rFonts w:ascii="Arial" w:hAnsi="Arial" w:cs="Arial"/>
          <w:sz w:val="22"/>
          <w:szCs w:val="22"/>
        </w:rPr>
        <w:noBreakHyphen/>
        <w:t>making arises from collective professional reasoning rather than isolated judgement.</w:t>
      </w:r>
    </w:p>
    <w:p w14:paraId="2CCD7A96" w14:textId="103B7188" w:rsidR="00A85ADD" w:rsidRDefault="003950A7" w:rsidP="001E2819">
      <w:pPr>
        <w:spacing w:after="160" w:line="360" w:lineRule="auto"/>
        <w:rPr>
          <w:rFonts w:ascii="Arial" w:hAnsi="Arial" w:cs="Arial"/>
          <w:sz w:val="22"/>
          <w:szCs w:val="22"/>
        </w:rPr>
      </w:pPr>
      <w:r w:rsidRPr="001E2819">
        <w:rPr>
          <w:rFonts w:ascii="Arial" w:hAnsi="Arial" w:cs="Arial"/>
          <w:sz w:val="22"/>
          <w:szCs w:val="22"/>
        </w:rPr>
        <w:t>In conclusion, the integration of multi</w:t>
      </w:r>
      <w:r w:rsidRPr="001E2819">
        <w:rPr>
          <w:rFonts w:ascii="Arial" w:hAnsi="Arial" w:cs="Arial"/>
          <w:sz w:val="22"/>
          <w:szCs w:val="22"/>
        </w:rPr>
        <w:noBreakHyphen/>
        <w:t>agency expertise, trauma</w:t>
      </w:r>
      <w:r w:rsidRPr="001E2819">
        <w:rPr>
          <w:rFonts w:ascii="Arial" w:hAnsi="Arial" w:cs="Arial"/>
          <w:sz w:val="22"/>
          <w:szCs w:val="22"/>
        </w:rPr>
        <w:noBreakHyphen/>
        <w:t>informed communication, lawful information</w:t>
      </w:r>
      <w:r w:rsidRPr="001E2819">
        <w:rPr>
          <w:rFonts w:ascii="Arial" w:hAnsi="Arial" w:cs="Arial"/>
          <w:sz w:val="22"/>
          <w:szCs w:val="22"/>
        </w:rPr>
        <w:noBreakHyphen/>
        <w:t>sharing and strong professional boundaries resulted in a defensible, proportionate and child</w:t>
      </w:r>
      <w:r w:rsidRPr="001E2819">
        <w:rPr>
          <w:rFonts w:ascii="Arial" w:hAnsi="Arial" w:cs="Arial"/>
          <w:sz w:val="22"/>
          <w:szCs w:val="22"/>
        </w:rPr>
        <w:noBreakHyphen/>
        <w:t>centred safeguarding intervention. Through effective collaboration and adherence to statutory duties, the intervention fulfilled the principles of the Social Services and Well</w:t>
      </w:r>
      <w:r w:rsidRPr="001E2819">
        <w:rPr>
          <w:rFonts w:ascii="Arial" w:hAnsi="Arial" w:cs="Arial"/>
          <w:sz w:val="22"/>
          <w:szCs w:val="22"/>
        </w:rPr>
        <w:noBreakHyphen/>
        <w:t>being (Wales) Act 2014—protection, partnership and prevention—ensuring the child’s safety remained paramount.</w:t>
      </w:r>
    </w:p>
    <w:p w14:paraId="4EBF72B9" w14:textId="77777777" w:rsidR="001E2819" w:rsidRPr="001E2819" w:rsidRDefault="001E2819" w:rsidP="001E2819">
      <w:pPr>
        <w:spacing w:after="160" w:line="360" w:lineRule="auto"/>
        <w:rPr>
          <w:rFonts w:ascii="Arial" w:hAnsi="Arial" w:cs="Arial"/>
          <w:b/>
          <w:bCs/>
          <w:sz w:val="22"/>
          <w:szCs w:val="22"/>
        </w:rPr>
      </w:pPr>
    </w:p>
    <w:p w14:paraId="792FFFD8" w14:textId="3002F1F6" w:rsidR="00022501" w:rsidRDefault="00A85ADD" w:rsidP="001E2819">
      <w:pPr>
        <w:spacing w:after="160" w:line="360" w:lineRule="auto"/>
        <w:rPr>
          <w:rFonts w:ascii="Arial" w:hAnsi="Arial" w:cs="Arial"/>
          <w:b/>
          <w:bCs/>
          <w:sz w:val="22"/>
          <w:szCs w:val="22"/>
        </w:rPr>
      </w:pPr>
      <w:r w:rsidRPr="00A85ADD">
        <w:rPr>
          <w:rFonts w:ascii="Arial" w:hAnsi="Arial" w:cs="Arial"/>
          <w:b/>
          <w:bCs/>
          <w:sz w:val="22"/>
          <w:szCs w:val="22"/>
        </w:rPr>
        <w:t>Section 5: Recording, Accountability, &amp; Reflection</w:t>
      </w:r>
    </w:p>
    <w:p w14:paraId="211EE64E" w14:textId="77777777" w:rsidR="00022501" w:rsidRPr="00022501" w:rsidRDefault="00022501" w:rsidP="00022501">
      <w:pPr>
        <w:spacing w:after="160" w:line="360" w:lineRule="auto"/>
        <w:rPr>
          <w:rFonts w:ascii="Arial" w:hAnsi="Arial" w:cs="Arial"/>
          <w:sz w:val="22"/>
          <w:szCs w:val="22"/>
        </w:rPr>
      </w:pPr>
      <w:r w:rsidRPr="00022501">
        <w:rPr>
          <w:rFonts w:ascii="Arial" w:hAnsi="Arial" w:cs="Arial"/>
          <w:sz w:val="22"/>
          <w:szCs w:val="22"/>
        </w:rPr>
        <w:t xml:space="preserve">The strength of this safeguarding intervention depended on the quality of the professional record. In Wales, “accurate, cogent and analytical” recording is not administrative routine but a core protective mechanism (Social Care Wales, 2026). Had I simply described the father’s “axe and </w:t>
      </w:r>
      <w:proofErr w:type="spellStart"/>
      <w:r w:rsidRPr="00022501">
        <w:rPr>
          <w:rFonts w:ascii="Arial" w:hAnsi="Arial" w:cs="Arial"/>
          <w:sz w:val="22"/>
          <w:szCs w:val="22"/>
        </w:rPr>
        <w:t>Oromorph</w:t>
      </w:r>
      <w:proofErr w:type="spellEnd"/>
      <w:r w:rsidRPr="00022501">
        <w:rPr>
          <w:rFonts w:ascii="Arial" w:hAnsi="Arial" w:cs="Arial"/>
          <w:sz w:val="22"/>
          <w:szCs w:val="22"/>
        </w:rPr>
        <w:t>” threat, the Section 47 Strategy Discussion may not have had the evidential weight needed to justify statutory investigation. By clearly documenting the child’s distress as the central fact, I ensured her lived experience stayed at the forefront, preventing it from being eclipsed by the parents’ crisis.</w:t>
      </w:r>
    </w:p>
    <w:p w14:paraId="150E27F6" w14:textId="4176F83B" w:rsidR="00A85ADD" w:rsidRPr="00A85ADD" w:rsidRDefault="00A85ADD" w:rsidP="001E2819">
      <w:pPr>
        <w:spacing w:after="160" w:line="360" w:lineRule="auto"/>
        <w:rPr>
          <w:rFonts w:ascii="Arial" w:hAnsi="Arial" w:cs="Arial"/>
          <w:sz w:val="22"/>
          <w:szCs w:val="22"/>
        </w:rPr>
      </w:pPr>
      <w:r w:rsidRPr="00A85ADD">
        <w:rPr>
          <w:rFonts w:ascii="Arial" w:hAnsi="Arial" w:cs="Arial"/>
          <w:sz w:val="22"/>
          <w:szCs w:val="22"/>
        </w:rPr>
        <w:t>Reflecting on this case through the lens of Luke Clements (2020), there is an inherent discourse between the 2014 Act’s aspirations for "voice and control" and the paternalistic reality of safeguarding practice. Working with parents within a statutory framework often creates a "professional paradox": we are mandated to co-produce "What Matters" outcomes, yet we must simultaneously exercise the state’s power to intervene when those outcomes fail to secure a child’s safety (Clements, 2020). In this case, the shift from a voluntary "carer’s support" model to a Section 47 enquiry represented a necessary move from "partnership" to "protection."</w:t>
      </w:r>
    </w:p>
    <w:p w14:paraId="5B1FBEFD" w14:textId="77777777" w:rsidR="00A85ADD" w:rsidRPr="00A85ADD" w:rsidRDefault="00A85ADD" w:rsidP="001E2819">
      <w:pPr>
        <w:spacing w:after="160" w:line="360" w:lineRule="auto"/>
        <w:rPr>
          <w:rFonts w:ascii="Arial" w:hAnsi="Arial" w:cs="Arial"/>
          <w:sz w:val="22"/>
          <w:szCs w:val="22"/>
        </w:rPr>
      </w:pPr>
      <w:r w:rsidRPr="00A85ADD">
        <w:rPr>
          <w:rFonts w:ascii="Arial" w:hAnsi="Arial" w:cs="Arial"/>
          <w:sz w:val="22"/>
          <w:szCs w:val="22"/>
        </w:rPr>
        <w:t xml:space="preserve">However, by maintaining a trauma-informed, relational stance, I ensured that the mother’s "voice" was not silenced by the safeguarding process. Instead, the statutory intervention </w:t>
      </w:r>
      <w:r w:rsidRPr="00A85ADD">
        <w:rPr>
          <w:rFonts w:ascii="Arial" w:hAnsi="Arial" w:cs="Arial"/>
          <w:sz w:val="22"/>
          <w:szCs w:val="22"/>
        </w:rPr>
        <w:lastRenderedPageBreak/>
        <w:t>acted as a catalyst; the "control" shifted from the father’s coercive patterns to a structured, multi-agency safety plan. The mother’s eventual decision to leave the relationship was not a passive compliance with a child protection plan, but a powerful exercise of her own agency—a key "personal outcome" under the Social Services and Well-being (Wales) Act 2014.</w:t>
      </w:r>
    </w:p>
    <w:p w14:paraId="6BEED9B5" w14:textId="77777777" w:rsidR="00A85ADD" w:rsidRPr="00A85ADD" w:rsidRDefault="00A85ADD" w:rsidP="001E2819">
      <w:pPr>
        <w:spacing w:after="160" w:line="360" w:lineRule="auto"/>
        <w:rPr>
          <w:rFonts w:ascii="Arial" w:hAnsi="Arial" w:cs="Arial"/>
          <w:sz w:val="22"/>
          <w:szCs w:val="22"/>
        </w:rPr>
      </w:pPr>
      <w:r w:rsidRPr="00A85ADD">
        <w:rPr>
          <w:rFonts w:ascii="Arial" w:hAnsi="Arial" w:cs="Arial"/>
          <w:sz w:val="22"/>
          <w:szCs w:val="22"/>
        </w:rPr>
        <w:t>My professional evolution is evident in the transition from viewing this as a "substance misuse case" to managing a complex, multi-layered ecological system (Bronfenbrenner, 1979). The requirement for a 2:1 worker policy following the father’s direct threats further highlighted the need for robust professional boundaries and organisational accountability. Ultimately, this case demonstrates that when the 2014 Act is integrated with multi-agency expertise and critical theoretical analysis, it provides a powerful, if challenging, framework for securing safer outcomes. The child is no longer an "invisible witness" to domestic volatility but is now protected through a defensible, proportionate, and child-centred intervention.</w:t>
      </w:r>
    </w:p>
    <w:p w14:paraId="71F2ECDD" w14:textId="77777777" w:rsidR="00076769" w:rsidRDefault="00076769" w:rsidP="00076769">
      <w:pPr>
        <w:spacing w:after="160" w:line="360" w:lineRule="auto"/>
        <w:rPr>
          <w:rFonts w:ascii="Arial" w:hAnsi="Arial" w:cs="Arial"/>
          <w:sz w:val="22"/>
          <w:szCs w:val="22"/>
        </w:rPr>
      </w:pPr>
      <w:r w:rsidRPr="00076769">
        <w:rPr>
          <w:rFonts w:ascii="Arial" w:hAnsi="Arial" w:cs="Arial"/>
          <w:sz w:val="22"/>
          <w:szCs w:val="22"/>
        </w:rPr>
        <w:t xml:space="preserve">Reflecting on my role, I recognise that my early focus on substance misuse did not fully capture the wider ecological risks. The later need for a 2:1 worker policy exposed </w:t>
      </w:r>
      <w:proofErr w:type="gramStart"/>
      <w:r w:rsidRPr="00076769">
        <w:rPr>
          <w:rFonts w:ascii="Arial" w:hAnsi="Arial" w:cs="Arial"/>
          <w:sz w:val="22"/>
          <w:szCs w:val="22"/>
        </w:rPr>
        <w:t>gaps</w:t>
      </w:r>
      <w:proofErr w:type="gramEnd"/>
      <w:r w:rsidRPr="00076769">
        <w:rPr>
          <w:rFonts w:ascii="Arial" w:hAnsi="Arial" w:cs="Arial"/>
          <w:sz w:val="22"/>
          <w:szCs w:val="22"/>
        </w:rPr>
        <w:t xml:space="preserve"> in how I anticipated practitioner safety and the cumulative impact of trauma and coercive dynamics. Although not leading the multi</w:t>
      </w:r>
      <w:r w:rsidRPr="00076769">
        <w:rPr>
          <w:rFonts w:ascii="Arial" w:hAnsi="Arial" w:cs="Arial"/>
          <w:sz w:val="22"/>
          <w:szCs w:val="22"/>
        </w:rPr>
        <w:noBreakHyphen/>
        <w:t>agency process, my direct work with the father and close liaison with partners were essential to the collective response. Ultimately, the child—initially an “invisible witness” within a volatile home—became the clear focus of a defensible, proportionate and child</w:t>
      </w:r>
      <w:r w:rsidRPr="00076769">
        <w:rPr>
          <w:rFonts w:ascii="Arial" w:hAnsi="Arial" w:cs="Arial"/>
          <w:sz w:val="22"/>
          <w:szCs w:val="22"/>
        </w:rPr>
        <w:noBreakHyphen/>
        <w:t>centred safeguarding intervention.</w:t>
      </w:r>
    </w:p>
    <w:p w14:paraId="54A76112" w14:textId="77777777" w:rsidR="002B4FED" w:rsidRPr="00076769" w:rsidRDefault="002B4FED" w:rsidP="00076769">
      <w:pPr>
        <w:spacing w:after="160" w:line="360" w:lineRule="auto"/>
        <w:rPr>
          <w:rFonts w:ascii="Arial" w:hAnsi="Arial" w:cs="Arial"/>
          <w:sz w:val="22"/>
          <w:szCs w:val="22"/>
        </w:rPr>
      </w:pPr>
    </w:p>
    <w:p w14:paraId="1A806B8E" w14:textId="1C65A9F8" w:rsidR="00A85ADD" w:rsidRPr="002B4FED" w:rsidRDefault="002B4FED" w:rsidP="001E2819">
      <w:pPr>
        <w:spacing w:after="160" w:line="360" w:lineRule="auto"/>
        <w:rPr>
          <w:rFonts w:ascii="Arial" w:hAnsi="Arial" w:cs="Arial"/>
          <w:sz w:val="18"/>
          <w:szCs w:val="18"/>
        </w:rPr>
      </w:pPr>
      <w:r w:rsidRPr="002B4FED">
        <w:rPr>
          <w:rFonts w:ascii="Arial" w:hAnsi="Arial" w:cs="Arial"/>
          <w:sz w:val="18"/>
          <w:szCs w:val="18"/>
        </w:rPr>
        <w:t>Word Count - 4011</w:t>
      </w:r>
    </w:p>
    <w:p w14:paraId="513E770A" w14:textId="77777777" w:rsidR="00F358A0" w:rsidRPr="001E2819" w:rsidRDefault="00F358A0" w:rsidP="001E2819">
      <w:pPr>
        <w:spacing w:after="160" w:line="360" w:lineRule="auto"/>
        <w:rPr>
          <w:rFonts w:ascii="Arial" w:hAnsi="Arial" w:cs="Arial"/>
          <w:sz w:val="22"/>
          <w:szCs w:val="22"/>
        </w:rPr>
      </w:pPr>
    </w:p>
    <w:p w14:paraId="2968E1B5" w14:textId="77777777" w:rsidR="002B4FED" w:rsidRDefault="002B4FED" w:rsidP="001E2819">
      <w:pPr>
        <w:spacing w:after="160" w:line="360" w:lineRule="auto"/>
        <w:rPr>
          <w:rFonts w:ascii="Arial" w:hAnsi="Arial" w:cs="Arial"/>
          <w:sz w:val="22"/>
          <w:szCs w:val="22"/>
        </w:rPr>
      </w:pPr>
    </w:p>
    <w:p w14:paraId="331B502F" w14:textId="77777777" w:rsidR="002B4FED" w:rsidRDefault="002B4FED" w:rsidP="001E2819">
      <w:pPr>
        <w:spacing w:after="160" w:line="360" w:lineRule="auto"/>
        <w:rPr>
          <w:rFonts w:ascii="Arial" w:hAnsi="Arial" w:cs="Arial"/>
          <w:sz w:val="22"/>
          <w:szCs w:val="22"/>
        </w:rPr>
      </w:pPr>
    </w:p>
    <w:p w14:paraId="5D53C2BE" w14:textId="77777777" w:rsidR="002B4FED" w:rsidRDefault="002B4FED" w:rsidP="001E2819">
      <w:pPr>
        <w:spacing w:after="160" w:line="360" w:lineRule="auto"/>
        <w:rPr>
          <w:rFonts w:ascii="Arial" w:hAnsi="Arial" w:cs="Arial"/>
          <w:sz w:val="22"/>
          <w:szCs w:val="22"/>
        </w:rPr>
      </w:pPr>
    </w:p>
    <w:p w14:paraId="7811D82B" w14:textId="77777777" w:rsidR="002B4FED" w:rsidRDefault="002B4FED" w:rsidP="001E2819">
      <w:pPr>
        <w:spacing w:after="160" w:line="360" w:lineRule="auto"/>
        <w:rPr>
          <w:rFonts w:ascii="Arial" w:hAnsi="Arial" w:cs="Arial"/>
          <w:sz w:val="22"/>
          <w:szCs w:val="22"/>
        </w:rPr>
      </w:pPr>
    </w:p>
    <w:p w14:paraId="6BEDB2E2" w14:textId="77777777" w:rsidR="002B4FED" w:rsidRDefault="002B4FED" w:rsidP="001E2819">
      <w:pPr>
        <w:spacing w:after="160" w:line="360" w:lineRule="auto"/>
        <w:rPr>
          <w:rFonts w:ascii="Arial" w:hAnsi="Arial" w:cs="Arial"/>
          <w:sz w:val="22"/>
          <w:szCs w:val="22"/>
        </w:rPr>
      </w:pPr>
    </w:p>
    <w:p w14:paraId="71870EBD" w14:textId="77777777" w:rsidR="001E2819" w:rsidRPr="001E2819" w:rsidRDefault="001E2819" w:rsidP="001E2819">
      <w:pPr>
        <w:spacing w:after="160" w:line="360" w:lineRule="auto"/>
        <w:rPr>
          <w:rFonts w:ascii="Arial" w:hAnsi="Arial" w:cs="Arial"/>
          <w:sz w:val="22"/>
          <w:szCs w:val="22"/>
        </w:rPr>
      </w:pPr>
    </w:p>
    <w:sectPr w:rsidR="001E2819" w:rsidRPr="001E2819">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644B4B" w14:textId="77777777" w:rsidR="00844006" w:rsidRDefault="00844006" w:rsidP="0053302F">
      <w:r>
        <w:separator/>
      </w:r>
    </w:p>
  </w:endnote>
  <w:endnote w:type="continuationSeparator" w:id="0">
    <w:p w14:paraId="27358633" w14:textId="77777777" w:rsidR="00844006" w:rsidRDefault="00844006" w:rsidP="005330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92D23F" w14:textId="77777777" w:rsidR="0053302F" w:rsidRDefault="005330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3644147"/>
      <w:docPartObj>
        <w:docPartGallery w:val="Page Numbers (Bottom of Page)"/>
        <w:docPartUnique/>
      </w:docPartObj>
    </w:sdtPr>
    <w:sdtEndPr>
      <w:rPr>
        <w:noProof/>
      </w:rPr>
    </w:sdtEndPr>
    <w:sdtContent>
      <w:p w14:paraId="09E843F0" w14:textId="4E561678" w:rsidR="0053302F" w:rsidRDefault="005330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77F8CF" w14:textId="77777777" w:rsidR="0053302F" w:rsidRDefault="0053302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685DEE" w14:textId="77777777" w:rsidR="0053302F" w:rsidRDefault="005330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2E1C54" w14:textId="77777777" w:rsidR="00844006" w:rsidRDefault="00844006" w:rsidP="0053302F">
      <w:r>
        <w:separator/>
      </w:r>
    </w:p>
  </w:footnote>
  <w:footnote w:type="continuationSeparator" w:id="0">
    <w:p w14:paraId="0A2E05D6" w14:textId="77777777" w:rsidR="00844006" w:rsidRDefault="00844006" w:rsidP="005330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B41D8B" w14:textId="77777777" w:rsidR="0053302F" w:rsidRDefault="005330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F81B52" w14:textId="7F8B385F" w:rsidR="0053302F" w:rsidRDefault="0053302F">
    <w:pPr>
      <w:pStyle w:val="Header"/>
    </w:pPr>
    <w:r>
      <w:t>Student Number: 2425519</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AD4B78" w14:textId="77777777" w:rsidR="0053302F" w:rsidRDefault="005330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710DC"/>
    <w:multiLevelType w:val="multilevel"/>
    <w:tmpl w:val="14625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0225F1"/>
    <w:multiLevelType w:val="multilevel"/>
    <w:tmpl w:val="9468EC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E400D1"/>
    <w:multiLevelType w:val="multilevel"/>
    <w:tmpl w:val="DE5C0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442690"/>
    <w:multiLevelType w:val="hybridMultilevel"/>
    <w:tmpl w:val="14321C00"/>
    <w:lvl w:ilvl="0" w:tplc="A0902DF0">
      <w:start w:val="1"/>
      <w:numFmt w:val="bullet"/>
      <w:lvlText w:val="•"/>
      <w:lvlJc w:val="left"/>
      <w:pPr>
        <w:tabs>
          <w:tab w:val="num" w:pos="720"/>
        </w:tabs>
        <w:ind w:left="720" w:hanging="360"/>
      </w:pPr>
      <w:rPr>
        <w:rFonts w:ascii="Arial" w:hAnsi="Arial" w:hint="default"/>
      </w:rPr>
    </w:lvl>
    <w:lvl w:ilvl="1" w:tplc="9A54326A" w:tentative="1">
      <w:start w:val="1"/>
      <w:numFmt w:val="bullet"/>
      <w:lvlText w:val="•"/>
      <w:lvlJc w:val="left"/>
      <w:pPr>
        <w:tabs>
          <w:tab w:val="num" w:pos="1440"/>
        </w:tabs>
        <w:ind w:left="1440" w:hanging="360"/>
      </w:pPr>
      <w:rPr>
        <w:rFonts w:ascii="Arial" w:hAnsi="Arial" w:hint="default"/>
      </w:rPr>
    </w:lvl>
    <w:lvl w:ilvl="2" w:tplc="9574FFF0" w:tentative="1">
      <w:start w:val="1"/>
      <w:numFmt w:val="bullet"/>
      <w:lvlText w:val="•"/>
      <w:lvlJc w:val="left"/>
      <w:pPr>
        <w:tabs>
          <w:tab w:val="num" w:pos="2160"/>
        </w:tabs>
        <w:ind w:left="2160" w:hanging="360"/>
      </w:pPr>
      <w:rPr>
        <w:rFonts w:ascii="Arial" w:hAnsi="Arial" w:hint="default"/>
      </w:rPr>
    </w:lvl>
    <w:lvl w:ilvl="3" w:tplc="48962550" w:tentative="1">
      <w:start w:val="1"/>
      <w:numFmt w:val="bullet"/>
      <w:lvlText w:val="•"/>
      <w:lvlJc w:val="left"/>
      <w:pPr>
        <w:tabs>
          <w:tab w:val="num" w:pos="2880"/>
        </w:tabs>
        <w:ind w:left="2880" w:hanging="360"/>
      </w:pPr>
      <w:rPr>
        <w:rFonts w:ascii="Arial" w:hAnsi="Arial" w:hint="default"/>
      </w:rPr>
    </w:lvl>
    <w:lvl w:ilvl="4" w:tplc="DE921EF2" w:tentative="1">
      <w:start w:val="1"/>
      <w:numFmt w:val="bullet"/>
      <w:lvlText w:val="•"/>
      <w:lvlJc w:val="left"/>
      <w:pPr>
        <w:tabs>
          <w:tab w:val="num" w:pos="3600"/>
        </w:tabs>
        <w:ind w:left="3600" w:hanging="360"/>
      </w:pPr>
      <w:rPr>
        <w:rFonts w:ascii="Arial" w:hAnsi="Arial" w:hint="default"/>
      </w:rPr>
    </w:lvl>
    <w:lvl w:ilvl="5" w:tplc="994A5BE8" w:tentative="1">
      <w:start w:val="1"/>
      <w:numFmt w:val="bullet"/>
      <w:lvlText w:val="•"/>
      <w:lvlJc w:val="left"/>
      <w:pPr>
        <w:tabs>
          <w:tab w:val="num" w:pos="4320"/>
        </w:tabs>
        <w:ind w:left="4320" w:hanging="360"/>
      </w:pPr>
      <w:rPr>
        <w:rFonts w:ascii="Arial" w:hAnsi="Arial" w:hint="default"/>
      </w:rPr>
    </w:lvl>
    <w:lvl w:ilvl="6" w:tplc="5DA62900" w:tentative="1">
      <w:start w:val="1"/>
      <w:numFmt w:val="bullet"/>
      <w:lvlText w:val="•"/>
      <w:lvlJc w:val="left"/>
      <w:pPr>
        <w:tabs>
          <w:tab w:val="num" w:pos="5040"/>
        </w:tabs>
        <w:ind w:left="5040" w:hanging="360"/>
      </w:pPr>
      <w:rPr>
        <w:rFonts w:ascii="Arial" w:hAnsi="Arial" w:hint="default"/>
      </w:rPr>
    </w:lvl>
    <w:lvl w:ilvl="7" w:tplc="4ACE2046" w:tentative="1">
      <w:start w:val="1"/>
      <w:numFmt w:val="bullet"/>
      <w:lvlText w:val="•"/>
      <w:lvlJc w:val="left"/>
      <w:pPr>
        <w:tabs>
          <w:tab w:val="num" w:pos="5760"/>
        </w:tabs>
        <w:ind w:left="5760" w:hanging="360"/>
      </w:pPr>
      <w:rPr>
        <w:rFonts w:ascii="Arial" w:hAnsi="Arial" w:hint="default"/>
      </w:rPr>
    </w:lvl>
    <w:lvl w:ilvl="8" w:tplc="8D7E860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3F76633"/>
    <w:multiLevelType w:val="multilevel"/>
    <w:tmpl w:val="24C26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132115B"/>
    <w:multiLevelType w:val="multilevel"/>
    <w:tmpl w:val="0AC0CC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FD28E1"/>
    <w:multiLevelType w:val="multilevel"/>
    <w:tmpl w:val="132CE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1972197">
    <w:abstractNumId w:val="3"/>
  </w:num>
  <w:num w:numId="2" w16cid:durableId="724526233">
    <w:abstractNumId w:val="0"/>
  </w:num>
  <w:num w:numId="3" w16cid:durableId="1578440994">
    <w:abstractNumId w:val="1"/>
  </w:num>
  <w:num w:numId="4" w16cid:durableId="628776886">
    <w:abstractNumId w:val="5"/>
  </w:num>
  <w:num w:numId="5" w16cid:durableId="571041295">
    <w:abstractNumId w:val="4"/>
  </w:num>
  <w:num w:numId="6" w16cid:durableId="657851169">
    <w:abstractNumId w:val="2"/>
  </w:num>
  <w:num w:numId="7" w16cid:durableId="73311710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8A8"/>
    <w:rsid w:val="00022501"/>
    <w:rsid w:val="00026046"/>
    <w:rsid w:val="00076769"/>
    <w:rsid w:val="001038FE"/>
    <w:rsid w:val="00186146"/>
    <w:rsid w:val="001A2502"/>
    <w:rsid w:val="001E2819"/>
    <w:rsid w:val="002064EE"/>
    <w:rsid w:val="00266D70"/>
    <w:rsid w:val="002B4FED"/>
    <w:rsid w:val="00323C9E"/>
    <w:rsid w:val="0032571C"/>
    <w:rsid w:val="00337D09"/>
    <w:rsid w:val="00364326"/>
    <w:rsid w:val="003950A7"/>
    <w:rsid w:val="00464552"/>
    <w:rsid w:val="00467430"/>
    <w:rsid w:val="004816F6"/>
    <w:rsid w:val="004F305A"/>
    <w:rsid w:val="0053302F"/>
    <w:rsid w:val="0058579E"/>
    <w:rsid w:val="0059252C"/>
    <w:rsid w:val="006B4683"/>
    <w:rsid w:val="0071311D"/>
    <w:rsid w:val="007D4B20"/>
    <w:rsid w:val="00806340"/>
    <w:rsid w:val="00844006"/>
    <w:rsid w:val="008D2DE6"/>
    <w:rsid w:val="00944E73"/>
    <w:rsid w:val="0095299F"/>
    <w:rsid w:val="009922C3"/>
    <w:rsid w:val="00A85ADD"/>
    <w:rsid w:val="00AB5227"/>
    <w:rsid w:val="00B6053A"/>
    <w:rsid w:val="00BB492E"/>
    <w:rsid w:val="00C41AB2"/>
    <w:rsid w:val="00D21A0E"/>
    <w:rsid w:val="00DD6B73"/>
    <w:rsid w:val="00E318A8"/>
    <w:rsid w:val="00E655CE"/>
    <w:rsid w:val="00E70F3F"/>
    <w:rsid w:val="00E91DB8"/>
    <w:rsid w:val="00F358A0"/>
    <w:rsid w:val="00F436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3589F"/>
  <w15:chartTrackingRefBased/>
  <w15:docId w15:val="{0DCC75CC-2065-4C9F-B239-55A26708B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5ADD"/>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318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18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18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18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18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18A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18A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18A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18A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18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18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18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18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18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18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18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18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18A8"/>
    <w:rPr>
      <w:rFonts w:eastAsiaTheme="majorEastAsia" w:cstheme="majorBidi"/>
      <w:color w:val="272727" w:themeColor="text1" w:themeTint="D8"/>
    </w:rPr>
  </w:style>
  <w:style w:type="paragraph" w:styleId="Title">
    <w:name w:val="Title"/>
    <w:basedOn w:val="Normal"/>
    <w:next w:val="Normal"/>
    <w:link w:val="TitleChar"/>
    <w:uiPriority w:val="10"/>
    <w:qFormat/>
    <w:rsid w:val="00E318A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18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18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18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18A8"/>
    <w:pPr>
      <w:spacing w:before="160"/>
      <w:jc w:val="center"/>
    </w:pPr>
    <w:rPr>
      <w:i/>
      <w:iCs/>
      <w:color w:val="404040" w:themeColor="text1" w:themeTint="BF"/>
    </w:rPr>
  </w:style>
  <w:style w:type="character" w:customStyle="1" w:styleId="QuoteChar">
    <w:name w:val="Quote Char"/>
    <w:basedOn w:val="DefaultParagraphFont"/>
    <w:link w:val="Quote"/>
    <w:uiPriority w:val="29"/>
    <w:rsid w:val="00E318A8"/>
    <w:rPr>
      <w:i/>
      <w:iCs/>
      <w:color w:val="404040" w:themeColor="text1" w:themeTint="BF"/>
    </w:rPr>
  </w:style>
  <w:style w:type="paragraph" w:styleId="ListParagraph">
    <w:name w:val="List Paragraph"/>
    <w:basedOn w:val="Normal"/>
    <w:uiPriority w:val="34"/>
    <w:qFormat/>
    <w:rsid w:val="00E318A8"/>
    <w:pPr>
      <w:ind w:left="720"/>
      <w:contextualSpacing/>
    </w:pPr>
  </w:style>
  <w:style w:type="character" w:styleId="IntenseEmphasis">
    <w:name w:val="Intense Emphasis"/>
    <w:basedOn w:val="DefaultParagraphFont"/>
    <w:uiPriority w:val="21"/>
    <w:qFormat/>
    <w:rsid w:val="00E318A8"/>
    <w:rPr>
      <w:i/>
      <w:iCs/>
      <w:color w:val="0F4761" w:themeColor="accent1" w:themeShade="BF"/>
    </w:rPr>
  </w:style>
  <w:style w:type="paragraph" w:styleId="IntenseQuote">
    <w:name w:val="Intense Quote"/>
    <w:basedOn w:val="Normal"/>
    <w:next w:val="Normal"/>
    <w:link w:val="IntenseQuoteChar"/>
    <w:uiPriority w:val="30"/>
    <w:qFormat/>
    <w:rsid w:val="00E318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18A8"/>
    <w:rPr>
      <w:i/>
      <w:iCs/>
      <w:color w:val="0F4761" w:themeColor="accent1" w:themeShade="BF"/>
    </w:rPr>
  </w:style>
  <w:style w:type="character" w:styleId="IntenseReference">
    <w:name w:val="Intense Reference"/>
    <w:basedOn w:val="DefaultParagraphFont"/>
    <w:uiPriority w:val="32"/>
    <w:qFormat/>
    <w:rsid w:val="00E318A8"/>
    <w:rPr>
      <w:b/>
      <w:bCs/>
      <w:smallCaps/>
      <w:color w:val="0F4761" w:themeColor="accent1" w:themeShade="BF"/>
      <w:spacing w:val="5"/>
    </w:rPr>
  </w:style>
  <w:style w:type="character" w:styleId="Hyperlink">
    <w:name w:val="Hyperlink"/>
    <w:basedOn w:val="DefaultParagraphFont"/>
    <w:uiPriority w:val="99"/>
    <w:unhideWhenUsed/>
    <w:rsid w:val="00E91DB8"/>
    <w:rPr>
      <w:color w:val="467886" w:themeColor="hyperlink"/>
      <w:u w:val="single"/>
    </w:rPr>
  </w:style>
  <w:style w:type="character" w:styleId="UnresolvedMention">
    <w:name w:val="Unresolved Mention"/>
    <w:basedOn w:val="DefaultParagraphFont"/>
    <w:uiPriority w:val="99"/>
    <w:semiHidden/>
    <w:unhideWhenUsed/>
    <w:rsid w:val="00E91DB8"/>
    <w:rPr>
      <w:color w:val="605E5C"/>
      <w:shd w:val="clear" w:color="auto" w:fill="E1DFDD"/>
    </w:rPr>
  </w:style>
  <w:style w:type="paragraph" w:styleId="NormalWeb">
    <w:name w:val="Normal (Web)"/>
    <w:basedOn w:val="Normal"/>
    <w:uiPriority w:val="99"/>
    <w:semiHidden/>
    <w:unhideWhenUsed/>
    <w:rsid w:val="00337D09"/>
    <w:pPr>
      <w:spacing w:before="100" w:beforeAutospacing="1" w:after="100" w:afterAutospacing="1"/>
    </w:pPr>
  </w:style>
  <w:style w:type="character" w:styleId="Strong">
    <w:name w:val="Strong"/>
    <w:basedOn w:val="DefaultParagraphFont"/>
    <w:uiPriority w:val="22"/>
    <w:qFormat/>
    <w:rsid w:val="001038FE"/>
    <w:rPr>
      <w:b/>
      <w:bCs/>
    </w:rPr>
  </w:style>
  <w:style w:type="character" w:customStyle="1" w:styleId="1jturu6">
    <w:name w:val="___1jturu6"/>
    <w:basedOn w:val="DefaultParagraphFont"/>
    <w:rsid w:val="001038FE"/>
  </w:style>
  <w:style w:type="character" w:customStyle="1" w:styleId="1vi0vkd">
    <w:name w:val="___1vi0vkd"/>
    <w:basedOn w:val="DefaultParagraphFont"/>
    <w:rsid w:val="001038FE"/>
  </w:style>
  <w:style w:type="character" w:styleId="Emphasis">
    <w:name w:val="Emphasis"/>
    <w:basedOn w:val="DefaultParagraphFont"/>
    <w:uiPriority w:val="20"/>
    <w:qFormat/>
    <w:rsid w:val="001E2819"/>
    <w:rPr>
      <w:i/>
      <w:iCs/>
    </w:rPr>
  </w:style>
  <w:style w:type="paragraph" w:styleId="Header">
    <w:name w:val="header"/>
    <w:basedOn w:val="Normal"/>
    <w:link w:val="HeaderChar"/>
    <w:uiPriority w:val="99"/>
    <w:unhideWhenUsed/>
    <w:rsid w:val="0053302F"/>
    <w:pPr>
      <w:tabs>
        <w:tab w:val="center" w:pos="4513"/>
        <w:tab w:val="right" w:pos="9026"/>
      </w:tabs>
    </w:pPr>
  </w:style>
  <w:style w:type="character" w:customStyle="1" w:styleId="HeaderChar">
    <w:name w:val="Header Char"/>
    <w:basedOn w:val="DefaultParagraphFont"/>
    <w:link w:val="Header"/>
    <w:uiPriority w:val="99"/>
    <w:rsid w:val="0053302F"/>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53302F"/>
    <w:pPr>
      <w:tabs>
        <w:tab w:val="center" w:pos="4513"/>
        <w:tab w:val="right" w:pos="9026"/>
      </w:tabs>
    </w:pPr>
  </w:style>
  <w:style w:type="character" w:customStyle="1" w:styleId="FooterChar">
    <w:name w:val="Footer Char"/>
    <w:basedOn w:val="DefaultParagraphFont"/>
    <w:link w:val="Footer"/>
    <w:uiPriority w:val="99"/>
    <w:rsid w:val="0053302F"/>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3242181">
      <w:bodyDiv w:val="1"/>
      <w:marLeft w:val="0"/>
      <w:marRight w:val="0"/>
      <w:marTop w:val="0"/>
      <w:marBottom w:val="0"/>
      <w:divBdr>
        <w:top w:val="none" w:sz="0" w:space="0" w:color="auto"/>
        <w:left w:val="none" w:sz="0" w:space="0" w:color="auto"/>
        <w:bottom w:val="none" w:sz="0" w:space="0" w:color="auto"/>
        <w:right w:val="none" w:sz="0" w:space="0" w:color="auto"/>
      </w:divBdr>
    </w:div>
    <w:div w:id="663431902">
      <w:bodyDiv w:val="1"/>
      <w:marLeft w:val="0"/>
      <w:marRight w:val="0"/>
      <w:marTop w:val="0"/>
      <w:marBottom w:val="0"/>
      <w:divBdr>
        <w:top w:val="none" w:sz="0" w:space="0" w:color="auto"/>
        <w:left w:val="none" w:sz="0" w:space="0" w:color="auto"/>
        <w:bottom w:val="none" w:sz="0" w:space="0" w:color="auto"/>
        <w:right w:val="none" w:sz="0" w:space="0" w:color="auto"/>
      </w:divBdr>
    </w:div>
    <w:div w:id="816648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Wel14</b:Tag>
    <b:SourceType>Report</b:SourceType>
    <b:Guid>{8CB28A01-B4BE-4B5C-B5F8-06036DCC72E8}</b:Guid>
    <b:Year>2014</b:Year>
    <b:City>Cardiff</b:City>
    <b:URL>https://www.gov.wales/sites/default/files/publications/2019-05/social-services-and-well-being-wales-act-2014-the-essentials.pdf</b:URL>
    <b:Author>
      <b:Author>
        <b:Corporate>Welsh Goverment </b:Corporate>
      </b:Author>
    </b:Author>
    <b:Publisher>Welsh Goverment</b:Publisher>
    <b:Title>Social Services and well-being (Wales) Act 2014 (SSWWA)</b:Title>
    <b:RefOrder>3</b:RefOrder>
  </b:Source>
  <b:Source>
    <b:Tag>Wel22</b:Tag>
    <b:SourceType>Report</b:SourceType>
    <b:Guid>{A883AF27-346D-4BAF-A636-9AE89C15311C}</b:Guid>
    <b:Title>More than Just Words: Strategic Framework for Promoting the Welsh Language in Health, Social Services and Social Care (2022-2027)</b:Title>
    <b:Year>2022</b:Year>
    <b:City>Cardiff.</b:City>
    <b:Publisher>Welsh Government</b:Publisher>
    <b:Author>
      <b:Author>
        <b:NameList>
          <b:Person>
            <b:Last>Government</b:Last>
            <b:First>Welsh</b:First>
          </b:Person>
        </b:NameList>
      </b:Author>
    </b:Author>
    <b:RefOrder>4</b:RefOrder>
  </b:Source>
  <b:Source>
    <b:Tag>Soc26</b:Tag>
    <b:SourceType>InternetSite</b:SourceType>
    <b:Guid>{B34BBB6D-B802-4788-AF77-626CC198F917}</b:Guid>
    <b:Author>
      <b:Author>
        <b:NameList>
          <b:Person>
            <b:Last>Wales</b:Last>
            <b:First>Social</b:First>
            <b:Middle>Care</b:Middle>
          </b:Person>
        </b:NameList>
      </b:Author>
    </b:Author>
    <b:InternetSiteTitle> Code of Professional Practice for Social Care Workers</b:InternetSiteTitle>
    <b:Year>2026</b:Year>
    <b:Month>Febuary</b:Month>
    <b:Day>09</b:Day>
    <b:URL>https://socialcare.wales/dealing-with-concerns/codes-of-practice-and-guidance/code-of-professional-practice-for-social-care-workers (Accessed: 9 February 2026</b:URL>
    <b:RefOrder>2</b:RefOrder>
  </b:Source>
  <b:Source>
    <b:Tag>Wal17</b:Tag>
    <b:SourceType>Report</b:SourceType>
    <b:Guid>{FF75291C-7CB7-4A35-A743-6EEDDC20569E}</b:Guid>
    <b:Title>Code of Professional Practice</b:Title>
    <b:Year>2017</b:Year>
    <b:City>Cardiff</b:City>
    <b:Publisher>Social Care Wales</b:Publisher>
    <b:Author>
      <b:Author>
        <b:NameList>
          <b:Person>
            <b:Last>Wales</b:Last>
            <b:First>Social</b:First>
            <b:Middle>Care</b:Middle>
          </b:Person>
        </b:NameList>
      </b:Author>
    </b:Author>
    <b:RefOrder>5</b:RefOrder>
  </b:Source>
  <b:Source>
    <b:Tag>BAS21</b:Tag>
    <b:SourceType>Report</b:SourceType>
    <b:Guid>{CEE76BCD-EC31-47D2-AFB0-676C620B7E36}</b:Guid>
    <b:Title>The BASW Code of Ethics for Social Work</b:Title>
    <b:Year>2021</b:Year>
    <b:Author>
      <b:Author>
        <b:NameList>
          <b:Person>
            <b:Last>(BASW)</b:Last>
            <b:First>British</b:First>
            <b:Middle>Association of Social Workers</b:Middle>
          </b:Person>
        </b:NameList>
      </b:Author>
    </b:Author>
    <b:Month>Febuary</b:Month>
    <b:Day>08</b:Day>
    <b:URL>https://new.basw.co.uk/sites/default/files/resources/basw_code_of_ethics_-_2021.pdf</b:URL>
    <b:City>Cardiff</b:City>
    <b:Publisher> British Association of Social Workers</b:Publisher>
    <b:RefOrder>6</b:RefOrder>
  </b:Source>
  <b:Source>
    <b:Tag>Saf26</b:Tag>
    <b:SourceType>InternetSite</b:SourceType>
    <b:Guid>{D5CD7447-6883-43A2-8FB0-C4728059D408}</b:Guid>
    <b:Title>GDPR and information sharing – England and Wales</b:Title>
    <b:Year>2026</b:Year>
    <b:Author>
      <b:Author>
        <b:NameList>
          <b:Person>
            <b:Last>SafeLives</b:Last>
          </b:Person>
        </b:NameList>
      </b:Author>
    </b:Author>
    <b:InternetSiteTitle>SafeLives</b:InternetSiteTitle>
    <b:Month>Febuary</b:Month>
    <b:Day>15</b:Day>
    <b:URL>https://safelives.org.uk/resources-library/gdpr-and-information-sharing/</b:URL>
    <b:RefOrder>1</b:RefOrder>
  </b:Source>
</b:Sources>
</file>

<file path=customXml/itemProps1.xml><?xml version="1.0" encoding="utf-8"?>
<ds:datastoreItem xmlns:ds="http://schemas.openxmlformats.org/officeDocument/2006/customXml" ds:itemID="{A4AD9301-B508-4DCA-85CB-A8B44BAB0F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4068</Words>
  <Characters>25834</Characters>
  <Application>Microsoft Office Word</Application>
  <DocSecurity>0</DocSecurity>
  <Lines>410</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 Pybus</dc:creator>
  <cp:keywords/>
  <dc:description/>
  <cp:lastModifiedBy>Phil Pybus</cp:lastModifiedBy>
  <cp:revision>2</cp:revision>
  <cp:lastPrinted>2026-02-16T13:31:00Z</cp:lastPrinted>
  <dcterms:created xsi:type="dcterms:W3CDTF">2026-02-23T14:55:00Z</dcterms:created>
  <dcterms:modified xsi:type="dcterms:W3CDTF">2026-02-23T14:55:00Z</dcterms:modified>
</cp:coreProperties>
</file>