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5748F" w14:textId="77777777" w:rsidR="004B2F9B" w:rsidRPr="00725208" w:rsidRDefault="004B2F9B" w:rsidP="004B2F9B">
      <w:pPr>
        <w:spacing w:line="360" w:lineRule="auto"/>
        <w:rPr>
          <w:rFonts w:ascii="Arial" w:hAnsi="Arial" w:cs="Arial"/>
          <w:b/>
          <w:bCs/>
          <w:sz w:val="24"/>
          <w:szCs w:val="24"/>
        </w:rPr>
      </w:pPr>
    </w:p>
    <w:p w14:paraId="0FA56700" w14:textId="77777777" w:rsidR="004B2F9B" w:rsidRPr="00725208" w:rsidRDefault="004B2F9B" w:rsidP="004B2F9B">
      <w:pPr>
        <w:spacing w:line="360" w:lineRule="auto"/>
        <w:jc w:val="center"/>
        <w:rPr>
          <w:rFonts w:ascii="Arial" w:hAnsi="Arial" w:cs="Arial"/>
          <w:b/>
          <w:bCs/>
          <w:sz w:val="24"/>
          <w:szCs w:val="24"/>
        </w:rPr>
      </w:pPr>
    </w:p>
    <w:p w14:paraId="576D1555" w14:textId="77777777" w:rsidR="004B2F9B" w:rsidRPr="00725208" w:rsidRDefault="004B2F9B" w:rsidP="004B2F9B">
      <w:pPr>
        <w:spacing w:line="360" w:lineRule="auto"/>
        <w:jc w:val="center"/>
        <w:rPr>
          <w:rFonts w:ascii="Arial" w:hAnsi="Arial" w:cs="Arial"/>
          <w:b/>
          <w:bCs/>
          <w:sz w:val="24"/>
          <w:szCs w:val="24"/>
        </w:rPr>
      </w:pPr>
    </w:p>
    <w:p w14:paraId="0ED84FC6" w14:textId="77777777" w:rsidR="004B2F9B" w:rsidRPr="00725208" w:rsidRDefault="004B2F9B" w:rsidP="004B2F9B">
      <w:pPr>
        <w:spacing w:line="360" w:lineRule="auto"/>
        <w:jc w:val="center"/>
        <w:rPr>
          <w:rFonts w:ascii="Arial" w:hAnsi="Arial" w:cs="Arial"/>
          <w:b/>
          <w:bCs/>
          <w:sz w:val="24"/>
          <w:szCs w:val="24"/>
        </w:rPr>
      </w:pPr>
    </w:p>
    <w:p w14:paraId="1B791601" w14:textId="77777777" w:rsidR="004B2F9B" w:rsidRPr="00725208" w:rsidRDefault="004B2F9B" w:rsidP="004B2F9B">
      <w:pPr>
        <w:spacing w:line="360" w:lineRule="auto"/>
        <w:jc w:val="center"/>
        <w:rPr>
          <w:rFonts w:ascii="Arial" w:hAnsi="Arial" w:cs="Arial"/>
          <w:b/>
          <w:bCs/>
          <w:sz w:val="24"/>
          <w:szCs w:val="24"/>
        </w:rPr>
      </w:pPr>
    </w:p>
    <w:p w14:paraId="0F4DEB40" w14:textId="77777777" w:rsidR="004B2F9B" w:rsidRPr="00725208" w:rsidRDefault="004B2F9B" w:rsidP="004B2F9B">
      <w:pPr>
        <w:spacing w:line="360" w:lineRule="auto"/>
        <w:jc w:val="center"/>
        <w:rPr>
          <w:rFonts w:ascii="Arial" w:hAnsi="Arial" w:cs="Arial"/>
          <w:b/>
          <w:bCs/>
          <w:sz w:val="24"/>
          <w:szCs w:val="24"/>
        </w:rPr>
      </w:pPr>
    </w:p>
    <w:p w14:paraId="3B46A348" w14:textId="77777777" w:rsidR="004B2F9B" w:rsidRPr="00725208" w:rsidRDefault="004B2F9B" w:rsidP="004B2F9B">
      <w:pPr>
        <w:spacing w:line="360" w:lineRule="auto"/>
        <w:jc w:val="center"/>
        <w:rPr>
          <w:rFonts w:ascii="Arial" w:hAnsi="Arial" w:cs="Arial"/>
          <w:b/>
          <w:bCs/>
          <w:sz w:val="24"/>
          <w:szCs w:val="24"/>
        </w:rPr>
      </w:pPr>
      <w:r w:rsidRPr="00725208">
        <w:rPr>
          <w:rFonts w:ascii="Arial" w:hAnsi="Arial" w:cs="Arial"/>
          <w:b/>
          <w:bCs/>
          <w:sz w:val="24"/>
          <w:szCs w:val="24"/>
        </w:rPr>
        <w:t>BA (Hons) International Hotel Management</w:t>
      </w:r>
    </w:p>
    <w:p w14:paraId="1FF2E15E" w14:textId="77777777" w:rsidR="004B2F9B" w:rsidRPr="00725208" w:rsidRDefault="004B2F9B" w:rsidP="004B2F9B">
      <w:pPr>
        <w:spacing w:line="360" w:lineRule="auto"/>
        <w:jc w:val="center"/>
        <w:rPr>
          <w:rFonts w:ascii="Arial" w:hAnsi="Arial" w:cs="Arial"/>
          <w:b/>
          <w:bCs/>
          <w:sz w:val="24"/>
          <w:szCs w:val="24"/>
        </w:rPr>
      </w:pPr>
      <w:r w:rsidRPr="00725208">
        <w:rPr>
          <w:rFonts w:ascii="Arial" w:hAnsi="Arial" w:cs="Arial"/>
          <w:b/>
          <w:bCs/>
          <w:sz w:val="24"/>
          <w:szCs w:val="24"/>
        </w:rPr>
        <w:t>Sustainable Hospitality &amp; Tourism Management</w:t>
      </w:r>
    </w:p>
    <w:p w14:paraId="43BC8F51" w14:textId="77777777" w:rsidR="004B2F9B" w:rsidRPr="00725208" w:rsidRDefault="004B2F9B" w:rsidP="004B2F9B">
      <w:pPr>
        <w:spacing w:line="360" w:lineRule="auto"/>
        <w:jc w:val="center"/>
        <w:rPr>
          <w:rFonts w:ascii="Arial" w:hAnsi="Arial" w:cs="Arial"/>
          <w:b/>
          <w:bCs/>
          <w:sz w:val="24"/>
          <w:szCs w:val="24"/>
        </w:rPr>
      </w:pPr>
      <w:r w:rsidRPr="00725208">
        <w:rPr>
          <w:rFonts w:ascii="Arial" w:hAnsi="Arial" w:cs="Arial"/>
          <w:b/>
          <w:bCs/>
          <w:sz w:val="24"/>
          <w:szCs w:val="24"/>
        </w:rPr>
        <w:t>BMIH5006</w:t>
      </w:r>
    </w:p>
    <w:p w14:paraId="33D2EACC" w14:textId="77777777" w:rsidR="004B2F9B" w:rsidRPr="00725208" w:rsidRDefault="004B2F9B" w:rsidP="004B2F9B">
      <w:pPr>
        <w:spacing w:line="360" w:lineRule="auto"/>
        <w:jc w:val="center"/>
        <w:rPr>
          <w:rFonts w:ascii="Arial" w:hAnsi="Arial" w:cs="Arial"/>
          <w:b/>
          <w:bCs/>
          <w:sz w:val="24"/>
          <w:szCs w:val="24"/>
        </w:rPr>
      </w:pPr>
      <w:r w:rsidRPr="00725208">
        <w:rPr>
          <w:rFonts w:ascii="Arial" w:hAnsi="Arial" w:cs="Arial"/>
          <w:b/>
          <w:bCs/>
          <w:sz w:val="24"/>
          <w:szCs w:val="24"/>
        </w:rPr>
        <w:t>CIRCULAR ECONOMY WITHIN THE CSR OF PREMIER INN</w:t>
      </w:r>
    </w:p>
    <w:p w14:paraId="667D343E" w14:textId="77777777" w:rsidR="004B2F9B" w:rsidRPr="00725208" w:rsidRDefault="004B2F9B" w:rsidP="00450464">
      <w:pPr>
        <w:spacing w:line="360" w:lineRule="auto"/>
        <w:rPr>
          <w:rFonts w:ascii="Arial" w:hAnsi="Arial" w:cs="Arial"/>
          <w:b/>
          <w:bCs/>
          <w:sz w:val="24"/>
          <w:szCs w:val="24"/>
        </w:rPr>
      </w:pPr>
    </w:p>
    <w:p w14:paraId="6C4A2E20" w14:textId="7433F784" w:rsidR="004B2F9B" w:rsidRPr="00725208" w:rsidRDefault="004B2F9B" w:rsidP="004B2F9B">
      <w:pPr>
        <w:spacing w:line="360" w:lineRule="auto"/>
        <w:jc w:val="center"/>
        <w:rPr>
          <w:rFonts w:ascii="Arial" w:hAnsi="Arial" w:cs="Arial"/>
          <w:b/>
          <w:bCs/>
          <w:sz w:val="24"/>
          <w:szCs w:val="24"/>
        </w:rPr>
      </w:pPr>
      <w:r w:rsidRPr="00725208">
        <w:rPr>
          <w:rFonts w:ascii="Arial" w:hAnsi="Arial" w:cs="Arial"/>
          <w:b/>
          <w:bCs/>
          <w:sz w:val="24"/>
          <w:szCs w:val="24"/>
        </w:rPr>
        <w:t>Name: Florin</w:t>
      </w:r>
      <w:r w:rsidR="00450464">
        <w:rPr>
          <w:rFonts w:ascii="Arial" w:hAnsi="Arial" w:cs="Arial"/>
          <w:b/>
          <w:bCs/>
          <w:sz w:val="24"/>
          <w:szCs w:val="24"/>
        </w:rPr>
        <w:t xml:space="preserve"> Matache</w:t>
      </w:r>
    </w:p>
    <w:p w14:paraId="04D4BEC0" w14:textId="77777777" w:rsidR="00450464" w:rsidRDefault="004B2F9B" w:rsidP="004B2F9B">
      <w:pPr>
        <w:spacing w:line="360" w:lineRule="auto"/>
        <w:jc w:val="center"/>
        <w:rPr>
          <w:rFonts w:ascii="Arial" w:hAnsi="Arial" w:cs="Arial"/>
          <w:b/>
          <w:bCs/>
          <w:sz w:val="24"/>
          <w:szCs w:val="24"/>
        </w:rPr>
      </w:pPr>
      <w:r w:rsidRPr="00725208">
        <w:rPr>
          <w:rFonts w:ascii="Arial" w:hAnsi="Arial" w:cs="Arial"/>
          <w:b/>
          <w:bCs/>
          <w:sz w:val="24"/>
          <w:szCs w:val="24"/>
        </w:rPr>
        <w:t>ID:</w:t>
      </w:r>
      <w:r w:rsidR="00450464">
        <w:rPr>
          <w:rFonts w:ascii="Arial" w:hAnsi="Arial" w:cs="Arial"/>
          <w:b/>
          <w:bCs/>
          <w:sz w:val="24"/>
          <w:szCs w:val="24"/>
        </w:rPr>
        <w:t xml:space="preserve"> 2126293</w:t>
      </w:r>
    </w:p>
    <w:p w14:paraId="74D86846" w14:textId="25D767BB" w:rsidR="004B2F9B" w:rsidRPr="00725208" w:rsidRDefault="00450464" w:rsidP="004B2F9B">
      <w:pPr>
        <w:spacing w:line="360" w:lineRule="auto"/>
        <w:jc w:val="center"/>
        <w:rPr>
          <w:rFonts w:ascii="Arial" w:hAnsi="Arial" w:cs="Arial"/>
          <w:b/>
          <w:bCs/>
          <w:sz w:val="24"/>
          <w:szCs w:val="24"/>
        </w:rPr>
      </w:pPr>
      <w:r>
        <w:rPr>
          <w:rFonts w:ascii="Arial" w:hAnsi="Arial" w:cs="Arial"/>
          <w:b/>
          <w:bCs/>
          <w:sz w:val="24"/>
          <w:szCs w:val="24"/>
        </w:rPr>
        <w:t xml:space="preserve">Lecturer name : Kathryn Roberts  </w:t>
      </w:r>
      <w:r w:rsidR="004B2F9B" w:rsidRPr="00725208">
        <w:rPr>
          <w:rFonts w:ascii="Arial" w:hAnsi="Arial" w:cs="Arial"/>
          <w:b/>
          <w:bCs/>
          <w:sz w:val="24"/>
          <w:szCs w:val="24"/>
        </w:rPr>
        <w:br w:type="page"/>
      </w:r>
    </w:p>
    <w:p w14:paraId="2D253FF0" w14:textId="77777777" w:rsidR="004B2F9B" w:rsidRPr="00725208" w:rsidRDefault="004B2F9B" w:rsidP="004B2F9B">
      <w:pPr>
        <w:pStyle w:val="Heading1"/>
        <w:spacing w:before="0" w:after="160"/>
        <w:rPr>
          <w:rFonts w:ascii="Arial" w:hAnsi="Arial" w:cs="Arial"/>
          <w:color w:val="auto"/>
          <w:sz w:val="24"/>
          <w:szCs w:val="24"/>
        </w:rPr>
      </w:pPr>
      <w:bookmarkStart w:id="0" w:name="_Toc156946246"/>
      <w:r w:rsidRPr="00725208">
        <w:rPr>
          <w:rFonts w:ascii="Arial" w:hAnsi="Arial" w:cs="Arial"/>
          <w:color w:val="auto"/>
          <w:sz w:val="24"/>
          <w:szCs w:val="24"/>
        </w:rPr>
        <w:lastRenderedPageBreak/>
        <w:t>Introduction</w:t>
      </w:r>
      <w:bookmarkEnd w:id="0"/>
    </w:p>
    <w:p w14:paraId="0912B36E" w14:textId="77777777" w:rsidR="004B2F9B" w:rsidRPr="00725208" w:rsidRDefault="004B2F9B" w:rsidP="004B2F9B">
      <w:pPr>
        <w:spacing w:line="360" w:lineRule="auto"/>
        <w:jc w:val="both"/>
        <w:rPr>
          <w:rFonts w:ascii="Arial" w:hAnsi="Arial" w:cs="Arial"/>
          <w:sz w:val="24"/>
          <w:szCs w:val="24"/>
        </w:rPr>
      </w:pPr>
      <w:r w:rsidRPr="00725208">
        <w:rPr>
          <w:rFonts w:ascii="Arial" w:hAnsi="Arial" w:cs="Arial"/>
          <w:sz w:val="24"/>
          <w:szCs w:val="24"/>
        </w:rPr>
        <w:t>This paper turns towards the admirable circular economy approach in Premier Inn at its corporate social responsibility (CSR) policy. Circular economy, on the other hand, is a regenerative model of resource use that seeks to renew products continually, involving processes such as reuse and refurbishment alongside recycling. The focal point of the exploration is the examination of how Premier Inn approaches CSR, combined with circular economy understanding (</w:t>
      </w:r>
      <w:proofErr w:type="spellStart"/>
      <w:r w:rsidRPr="00725208">
        <w:rPr>
          <w:rFonts w:ascii="Arial" w:hAnsi="Arial" w:cs="Arial"/>
          <w:sz w:val="24"/>
          <w:szCs w:val="24"/>
        </w:rPr>
        <w:t>Premierinn</w:t>
      </w:r>
      <w:proofErr w:type="spellEnd"/>
      <w:r w:rsidRPr="00725208">
        <w:rPr>
          <w:rFonts w:ascii="Arial" w:hAnsi="Arial" w:cs="Arial"/>
          <w:sz w:val="24"/>
          <w:szCs w:val="24"/>
        </w:rPr>
        <w:t>, 2024). The essay is going to analyse key factors that include supply chain sustainability, waste management, and stakeholder engagement to understand how the organization’s operation aligns with circular economy principles. The major purpose of such analysis in the essay is to demonstrate how this hotel chain contributes towards managing environmental stewardship and practising responsible business behaviours.</w:t>
      </w:r>
    </w:p>
    <w:p w14:paraId="2D7A4340" w14:textId="77777777" w:rsidR="004B2F9B" w:rsidRPr="00725208" w:rsidRDefault="004B2F9B" w:rsidP="004B2F9B">
      <w:pPr>
        <w:pStyle w:val="Heading1"/>
        <w:spacing w:before="0" w:after="160"/>
        <w:rPr>
          <w:rFonts w:ascii="Arial" w:hAnsi="Arial" w:cs="Arial"/>
          <w:color w:val="auto"/>
          <w:sz w:val="24"/>
          <w:szCs w:val="24"/>
        </w:rPr>
      </w:pPr>
      <w:bookmarkStart w:id="1" w:name="_Toc156946247"/>
      <w:r w:rsidRPr="00725208">
        <w:rPr>
          <w:rFonts w:ascii="Arial" w:hAnsi="Arial" w:cs="Arial"/>
          <w:color w:val="auto"/>
          <w:sz w:val="24"/>
          <w:szCs w:val="24"/>
        </w:rPr>
        <w:t>Main Body</w:t>
      </w:r>
      <w:bookmarkEnd w:id="1"/>
    </w:p>
    <w:p w14:paraId="4672C23F" w14:textId="77777777" w:rsidR="004B2F9B" w:rsidRPr="00725208" w:rsidRDefault="004B2F9B" w:rsidP="004B2F9B">
      <w:pPr>
        <w:spacing w:line="360" w:lineRule="auto"/>
        <w:jc w:val="both"/>
        <w:rPr>
          <w:rFonts w:ascii="Arial" w:hAnsi="Arial" w:cs="Arial"/>
          <w:sz w:val="24"/>
          <w:szCs w:val="24"/>
        </w:rPr>
      </w:pPr>
      <w:r w:rsidRPr="00725208">
        <w:rPr>
          <w:rFonts w:ascii="Arial" w:hAnsi="Arial" w:cs="Arial"/>
          <w:sz w:val="24"/>
          <w:szCs w:val="24"/>
        </w:rPr>
        <w:t xml:space="preserve">The circular economy is an economic model that focuses on a sustainable and regenerative approach to address the issues arising from traditional linear economics. In a system of linear economy, resources are mined and transformed into products that eventually become discarded wastes (Chen </w:t>
      </w:r>
      <w:r w:rsidRPr="00725208">
        <w:rPr>
          <w:rFonts w:ascii="Arial" w:hAnsi="Arial" w:cs="Arial"/>
          <w:i/>
          <w:iCs/>
          <w:sz w:val="24"/>
          <w:szCs w:val="24"/>
        </w:rPr>
        <w:t>et al.</w:t>
      </w:r>
      <w:r w:rsidRPr="00725208">
        <w:rPr>
          <w:rFonts w:ascii="Arial" w:hAnsi="Arial" w:cs="Arial"/>
          <w:sz w:val="24"/>
          <w:szCs w:val="24"/>
        </w:rPr>
        <w:t xml:space="preserve"> 2010). This linear approach leads to the exhaustion of resources, environmental pollution, and increasing problems in terms of waste. On the other hand, the circular economy attempts to reverse this linear path by developing a closed-loop scheme wherein products, materials and resources are continuously reused refurbished remanufactured or recycled. </w:t>
      </w:r>
    </w:p>
    <w:p w14:paraId="3B92B61E" w14:textId="77777777" w:rsidR="004B2F9B" w:rsidRPr="00725208" w:rsidRDefault="004B2F9B" w:rsidP="004B2F9B">
      <w:pPr>
        <w:spacing w:line="360" w:lineRule="auto"/>
        <w:jc w:val="both"/>
        <w:rPr>
          <w:rFonts w:ascii="Arial" w:hAnsi="Arial" w:cs="Arial"/>
          <w:sz w:val="24"/>
          <w:szCs w:val="24"/>
        </w:rPr>
      </w:pPr>
      <w:r w:rsidRPr="00725208">
        <w:rPr>
          <w:rFonts w:ascii="Arial" w:hAnsi="Arial" w:cs="Arial"/>
          <w:sz w:val="24"/>
          <w:szCs w:val="24"/>
        </w:rPr>
        <w:t>The basic tenet of the circular economy is to limit waste and increase resource use, leading toward an eco-friendly infrastructure (</w:t>
      </w:r>
      <w:r w:rsidRPr="00725208">
        <w:rPr>
          <w:rFonts w:ascii="Arial" w:hAnsi="Arial" w:cs="Arial"/>
          <w:sz w:val="24"/>
          <w:szCs w:val="24"/>
          <w:shd w:val="clear" w:color="auto" w:fill="FFFFFF"/>
        </w:rPr>
        <w:t>Morgenstern, 2021</w:t>
      </w:r>
      <w:r w:rsidRPr="00725208">
        <w:rPr>
          <w:rFonts w:ascii="Arial" w:hAnsi="Arial" w:cs="Arial"/>
          <w:sz w:val="24"/>
          <w:szCs w:val="24"/>
        </w:rPr>
        <w:t xml:space="preserve">). At its core, the circular economy opposes the traditional "take-make-dispose" paradigm of modern manufacturing and consumption. The "take-make-dispose" paradigm represents a linear economic model where resources are extracted, transformed into products, and discarded as waste, contributing to environmental degradation and resource depletion. In contrast, the circular economy aims to break this linear cycle by promoting continuous reuse, refurbishment, and recycling of products, fostering a more sustainable and regenerative approach. The linear model has a tendency towards disposal and can cause damage to the environment as environmental pollution, loss of biodiversity or use up finite resources. However, the circular economy </w:t>
      </w:r>
      <w:r w:rsidRPr="00725208">
        <w:rPr>
          <w:rFonts w:ascii="Arial" w:hAnsi="Arial" w:cs="Arial"/>
          <w:sz w:val="24"/>
          <w:szCs w:val="24"/>
        </w:rPr>
        <w:lastRenderedPageBreak/>
        <w:t>looks forward to a restorative and regenerative system like what natural processes undergo in cycles. It tries to break the connection between economic development and resource use, creating a cyclic model where waste serves as an input for new products or processes.</w:t>
      </w:r>
    </w:p>
    <w:p w14:paraId="06615E77" w14:textId="77777777" w:rsidR="004B2F9B" w:rsidRPr="00725208" w:rsidRDefault="004B2F9B" w:rsidP="004B2F9B">
      <w:pPr>
        <w:spacing w:line="360" w:lineRule="auto"/>
        <w:jc w:val="both"/>
        <w:rPr>
          <w:rFonts w:ascii="Arial" w:hAnsi="Arial" w:cs="Arial"/>
          <w:sz w:val="24"/>
          <w:szCs w:val="24"/>
        </w:rPr>
      </w:pPr>
      <w:r w:rsidRPr="00725208">
        <w:rPr>
          <w:rFonts w:ascii="Arial" w:hAnsi="Arial" w:cs="Arial"/>
          <w:sz w:val="24"/>
          <w:szCs w:val="24"/>
        </w:rPr>
        <w:t xml:space="preserve">The circular economy has demonstrated the practices that measures focused on figuring out the products of the life cycle, funds’ investments on raw materials used and reducing the environmental outcomes. It is especially important to make products that consider durability and repair which would extend the duration of use, thereby dispensing with visit replacements. Secondly, the circular economy places a lot of time on feasible securing and years. The statement suggests that the circular economy emphasizes the importance of sustainable sourcing practices and long-lasting product design, focusing on durability and repairability to extend product lifespan (Bowen, Appiah, and Okafor, 2020). This approach contributes to minimizing environmental impact by reducing the need for frequent replacements and encouraging responsible consumption. A crucial factor of the circular economy is resource efficiency, supporting maximizing utilization during a product’s life span. This incorporates decreasing production waste, going ahead with the efficiency of energy utilization and motivating material reuse. </w:t>
      </w:r>
    </w:p>
    <w:p w14:paraId="6071AC3B" w14:textId="77777777" w:rsidR="004B2F9B" w:rsidRPr="00725208" w:rsidRDefault="004B2F9B" w:rsidP="004B2F9B">
      <w:pPr>
        <w:spacing w:line="360" w:lineRule="auto"/>
        <w:jc w:val="both"/>
        <w:rPr>
          <w:rFonts w:ascii="Arial" w:hAnsi="Arial" w:cs="Arial"/>
          <w:sz w:val="24"/>
          <w:szCs w:val="24"/>
        </w:rPr>
      </w:pPr>
      <w:r w:rsidRPr="00725208">
        <w:rPr>
          <w:rFonts w:ascii="Arial" w:hAnsi="Arial" w:cs="Arial"/>
          <w:sz w:val="24"/>
          <w:szCs w:val="24"/>
        </w:rPr>
        <w:t xml:space="preserve">The circular economy energizes reusing and recovery frameworks, where materials are occupied absent from landfills and repurposed through the generation handle (Chen </w:t>
      </w:r>
      <w:r w:rsidRPr="00725208">
        <w:rPr>
          <w:rFonts w:ascii="Arial" w:hAnsi="Arial" w:cs="Arial"/>
          <w:i/>
          <w:iCs/>
          <w:sz w:val="24"/>
          <w:szCs w:val="24"/>
        </w:rPr>
        <w:t>et al.</w:t>
      </w:r>
      <w:r w:rsidRPr="00725208">
        <w:rPr>
          <w:rFonts w:ascii="Arial" w:hAnsi="Arial" w:cs="Arial"/>
          <w:sz w:val="24"/>
          <w:szCs w:val="24"/>
        </w:rPr>
        <w:t xml:space="preserve"> 2010). By making waste a resource, recycling becomes one of the main approaches to tightening the loop and reducing the negative impact on the environment using discarded materials. The circular economy is more than just a theoretical construct it has gained momentum as a practical and strategic strategy for businesses, governments, and communities across the globe. Firms including their businesses, supply chain and product life cycle are now adopting the circular economy principle. Governments are implementing policies to promote circular practices, including measures such as incentivizing recycling initiatives, imposing extended producer responsibility (EPR) regulations, and creating financial incentives for businesses adopting sustainable and circular business models. Additionally, some governments are introducing product stewardship programs to ensure that manufacturers take responsibility for the entire life cycle of their products, encouraging a shift towards circularity.</w:t>
      </w:r>
    </w:p>
    <w:p w14:paraId="03E94BB3"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lastRenderedPageBreak/>
        <w:t xml:space="preserve">Premier Inn, one of the famous hotels, which is different from other businesses, can make a major contribution to Corporate Social Responsibility (CSR) via multiple actions and practices that focus on social, environmental, and economic sustainability. CSR may be a marketing system that makes valuable coordination of moral, social, and environmental matters into a company's values, culture, decision-making, and functions (Bowen, Appiah, and Okafor, 2020). Implementing energy-efficient practices in hotel functions, such as using appliances, which save energy, LED lighting, and crowding renewable energy sources. Implementing waste reduction and recycling schedules to minimise the major environmental impact of waste generated by the hotel. To support the local society and contribute to social well-being, a range of operations such as partnerships with NGOs, sponsorships, or charitable donations are conducted by Premier Inn. Moreover, ensuring proper labour practices, diversity inclusion, improvement of working atmosphere, and providing training and opportunities, are offered by the organisation, which will develop for employees. </w:t>
      </w:r>
    </w:p>
    <w:p w14:paraId="2809B399"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Prioritizing the health and safety of guests by implementing safety measures and healthy practices, in the context of circumstances such as the COVID-19 pandemic, are some of the essential practices by Premier Inn. Ensuring that facilities are accessible to every person with incapacities, demonstrating inclusivity. Furthermore, attention is given to ensuring that management and products are sourced ethically, considering the environmental and social influence of the supply chain. In addition to this, sharing information on CSR actions, enterprises' positive impacts and continuous development and improvement efforts, have been practised by the organisational authorities of Premier Inn (</w:t>
      </w:r>
      <w:r w:rsidRPr="00725208">
        <w:rPr>
          <w:rFonts w:ascii="Arial" w:hAnsi="Arial" w:cs="Arial"/>
          <w:shd w:val="clear" w:color="auto" w:fill="FFFFFF"/>
        </w:rPr>
        <w:t>Abdelmoaty and Soliman, 2020</w:t>
      </w:r>
      <w:r w:rsidRPr="00725208">
        <w:rPr>
          <w:rFonts w:ascii="Arial" w:hAnsi="Arial" w:cs="Arial"/>
        </w:rPr>
        <w:t xml:space="preserve">). </w:t>
      </w:r>
    </w:p>
    <w:p w14:paraId="173BB672"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Nonetheless, Premier Inn gives importance to joining sustainable building practices in creative innovation or renovations to reduce the footprints naturally of the hotel, implementing the measures, which will save water and technologies to reduce water use. Apart from that, the organisational management is keen on engaging in actions that say and give information about the local community and guests across maintainability, environmental protection, and responsible tourism practices. The organisational management of Premier Inn focuses on the processes of assuming highly creative technologies and adapting to practices that contribute to supportability and efficiency in hotel operations (</w:t>
      </w:r>
      <w:proofErr w:type="spellStart"/>
      <w:r w:rsidRPr="00725208">
        <w:rPr>
          <w:rFonts w:ascii="Arial" w:hAnsi="Arial" w:cs="Arial"/>
          <w:shd w:val="clear" w:color="auto" w:fill="FFFFFF"/>
        </w:rPr>
        <w:t>Filimonau</w:t>
      </w:r>
      <w:proofErr w:type="spellEnd"/>
      <w:r w:rsidRPr="00725208">
        <w:rPr>
          <w:rFonts w:ascii="Arial" w:hAnsi="Arial" w:cs="Arial"/>
          <w:shd w:val="clear" w:color="auto" w:fill="FFFFFF"/>
        </w:rPr>
        <w:t xml:space="preserve"> and </w:t>
      </w:r>
      <w:proofErr w:type="spellStart"/>
      <w:r w:rsidRPr="00725208">
        <w:rPr>
          <w:rFonts w:ascii="Arial" w:hAnsi="Arial" w:cs="Arial"/>
          <w:shd w:val="clear" w:color="auto" w:fill="FFFFFF"/>
        </w:rPr>
        <w:t>Magklaropoulou</w:t>
      </w:r>
      <w:proofErr w:type="spellEnd"/>
      <w:r w:rsidRPr="00725208">
        <w:rPr>
          <w:rFonts w:ascii="Arial" w:hAnsi="Arial" w:cs="Arial"/>
          <w:shd w:val="clear" w:color="auto" w:fill="FFFFFF"/>
        </w:rPr>
        <w:t>, 2022</w:t>
      </w:r>
      <w:r w:rsidRPr="00725208">
        <w:rPr>
          <w:rFonts w:ascii="Arial" w:hAnsi="Arial" w:cs="Arial"/>
        </w:rPr>
        <w:t xml:space="preserve">). By actively engaging in these ranges, Premier Inn can enhance its CSR cracks, contributing to </w:t>
      </w:r>
      <w:r w:rsidRPr="00725208">
        <w:rPr>
          <w:rFonts w:ascii="Arial" w:hAnsi="Arial" w:cs="Arial"/>
        </w:rPr>
        <w:lastRenderedPageBreak/>
        <w:t>positive social and environmental impacts while growing a corporate vision positively. Companies must adjust their CSR strategies with their core values and the expectations of their stakeholders to create a significant and lasting impact.</w:t>
      </w:r>
    </w:p>
    <w:p w14:paraId="68D3004A"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A noticeable hotel chain like Premier Inn can integrate Corporate Social Responsibility (CSR) into its functions in many ways to develop its social and environmental impact. Learning sustainable practices in its supply chain, energy consumption, and waste management can reduce its impression on ecology (</w:t>
      </w:r>
      <w:proofErr w:type="spellStart"/>
      <w:r w:rsidRPr="00725208">
        <w:rPr>
          <w:rFonts w:ascii="Arial" w:hAnsi="Arial" w:cs="Arial"/>
          <w:shd w:val="clear" w:color="auto" w:fill="FFFFFF"/>
        </w:rPr>
        <w:t>Filimonau</w:t>
      </w:r>
      <w:proofErr w:type="spellEnd"/>
      <w:r w:rsidRPr="00725208">
        <w:rPr>
          <w:rFonts w:ascii="Arial" w:hAnsi="Arial" w:cs="Arial"/>
          <w:shd w:val="clear" w:color="auto" w:fill="FFFFFF"/>
        </w:rPr>
        <w:t xml:space="preserve"> and </w:t>
      </w:r>
      <w:proofErr w:type="spellStart"/>
      <w:r w:rsidRPr="00725208">
        <w:rPr>
          <w:rFonts w:ascii="Arial" w:hAnsi="Arial" w:cs="Arial"/>
          <w:shd w:val="clear" w:color="auto" w:fill="FFFFFF"/>
        </w:rPr>
        <w:t>Magklaropoulou</w:t>
      </w:r>
      <w:proofErr w:type="spellEnd"/>
      <w:r w:rsidRPr="00725208">
        <w:rPr>
          <w:rFonts w:ascii="Arial" w:hAnsi="Arial" w:cs="Arial"/>
          <w:shd w:val="clear" w:color="auto" w:fill="FFFFFF"/>
        </w:rPr>
        <w:t>, 2022</w:t>
      </w:r>
      <w:r w:rsidRPr="00725208">
        <w:rPr>
          <w:rFonts w:ascii="Arial" w:hAnsi="Arial" w:cs="Arial"/>
        </w:rPr>
        <w:t>). Additionally, Premier Inn can contribute to the local society by engaging in actions, which are magnanimous such as motivating local charities, highly informative programs, or projects, which will develop the society. Prioritizing ethical employment practices, diversity, and employee well-being to adapt and adjust with the principles of CSR, fostering a positive workplace culture. Furthermore, the transparent interaction these actions can develop the organisation's reputation and appeal to socially conscious shoppers. By participating actively in CSR, Premier Inn not only highlights a commitment to environmental and social issues but also fortifies its long-term supportability and positive societal influence.</w:t>
      </w:r>
      <w:bookmarkStart w:id="2" w:name="_Toc156946248"/>
    </w:p>
    <w:p w14:paraId="01BEFEAA"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The Corporate Social Responsibility (CSR) approach of Premier Inn reflects a fantastic dedication to social and environmental duty. The company has outlined a specific technique that involves several factors of maintainability. Eminently, Premier Inn underscores its devotion to lowering its impact naturally by converting the energy-efficient practices and minimizing waste era (</w:t>
      </w:r>
      <w:r w:rsidRPr="00725208">
        <w:rPr>
          <w:rFonts w:ascii="Arial" w:hAnsi="Arial" w:cs="Arial"/>
          <w:shd w:val="clear" w:color="auto" w:fill="FFFFFF"/>
        </w:rPr>
        <w:t>Wernick, 2020</w:t>
      </w:r>
      <w:r w:rsidRPr="00725208">
        <w:rPr>
          <w:rFonts w:ascii="Arial" w:hAnsi="Arial" w:cs="Arial"/>
        </w:rPr>
        <w:t xml:space="preserve">). The collection also underscores a devotion, which is solid to the engagement of the society, showing the actions that support the society, which are local and helping organizations. Premier Inn's emphasis on conscious sourcing and ethical business practices further strengthens its CSR framework. However, to the transparent upgradation and commitment of its CSR efforts, the company may consider giving dimension in a specific manner and measurable targets for major actions. Overall, Premier Inn's CSR technique highlights a genuine effort to harmonise maintainability into its business functions and contribute positively to society. </w:t>
      </w:r>
    </w:p>
    <w:p w14:paraId="173C62D4"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 xml:space="preserve">Premier Inn's Corporate Social Responsibility (CSR) procedure reflects a fantastic devotion to economic and responsible business practices. The company underlines its devotion to underrating its environmental impact by implementing measures for </w:t>
      </w:r>
      <w:r w:rsidRPr="00725208">
        <w:rPr>
          <w:rFonts w:ascii="Arial" w:hAnsi="Arial" w:cs="Arial"/>
        </w:rPr>
        <w:lastRenderedPageBreak/>
        <w:t xml:space="preserve">energy efficiency, methods of waste reduction, and sourcing sustainable materials. Premier Inn's </w:t>
      </w:r>
      <w:proofErr w:type="gramStart"/>
      <w:r w:rsidRPr="00725208">
        <w:rPr>
          <w:rFonts w:ascii="Arial" w:hAnsi="Arial" w:cs="Arial"/>
        </w:rPr>
        <w:t>main focus</w:t>
      </w:r>
      <w:proofErr w:type="gramEnd"/>
      <w:r w:rsidRPr="00725208">
        <w:rPr>
          <w:rFonts w:ascii="Arial" w:hAnsi="Arial" w:cs="Arial"/>
        </w:rPr>
        <w:t xml:space="preserve"> steps for societal meetings are evident through its support for local actions and charities, fostering a positive relationship inside the zones where it operates (</w:t>
      </w:r>
      <w:proofErr w:type="spellStart"/>
      <w:r w:rsidRPr="00725208">
        <w:rPr>
          <w:rFonts w:ascii="Arial" w:hAnsi="Arial" w:cs="Arial"/>
          <w:shd w:val="clear" w:color="auto" w:fill="FFFFFF"/>
        </w:rPr>
        <w:t>Filimonau</w:t>
      </w:r>
      <w:proofErr w:type="spellEnd"/>
      <w:r w:rsidRPr="00725208">
        <w:rPr>
          <w:rFonts w:ascii="Arial" w:hAnsi="Arial" w:cs="Arial"/>
          <w:shd w:val="clear" w:color="auto" w:fill="FFFFFF"/>
        </w:rPr>
        <w:t xml:space="preserve"> and </w:t>
      </w:r>
      <w:proofErr w:type="spellStart"/>
      <w:r w:rsidRPr="00725208">
        <w:rPr>
          <w:rFonts w:ascii="Arial" w:hAnsi="Arial" w:cs="Arial"/>
          <w:shd w:val="clear" w:color="auto" w:fill="FFFFFF"/>
        </w:rPr>
        <w:t>Magklaropoulou</w:t>
      </w:r>
      <w:proofErr w:type="spellEnd"/>
      <w:r w:rsidRPr="00725208">
        <w:rPr>
          <w:rFonts w:ascii="Arial" w:hAnsi="Arial" w:cs="Arial"/>
          <w:shd w:val="clear" w:color="auto" w:fill="FFFFFF"/>
        </w:rPr>
        <w:t>, 2022</w:t>
      </w:r>
      <w:r w:rsidRPr="00725208">
        <w:rPr>
          <w:rFonts w:ascii="Arial" w:hAnsi="Arial" w:cs="Arial"/>
        </w:rPr>
        <w:t xml:space="preserve">). The performance of corporate social responsibility also underlines the devotion of the firm to diversity and incorporation, improving the culture of the workplace that values equality and employee well-being. </w:t>
      </w:r>
    </w:p>
    <w:p w14:paraId="02A812CC"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Additionally, Premier Inn highlights transparency and accountability by regularly communicating its CSR efforts and improvements to stakeholders. Premier Inn's Corporate Social Responsibility (CSR) practice reflects faithfulness to sustainable and ethical practices of business. The hotel chain places a strong emphasis on environmental stewardship, focusing on minimizing its footprint, which is natural through various initiatives such as energy efficiency measures, waste reduction, and responsible sourcing (</w:t>
      </w:r>
      <w:r w:rsidRPr="00725208">
        <w:rPr>
          <w:rFonts w:ascii="Arial" w:hAnsi="Arial" w:cs="Arial"/>
          <w:shd w:val="clear" w:color="auto" w:fill="FFFFFF"/>
        </w:rPr>
        <w:t xml:space="preserve">Ansari </w:t>
      </w:r>
      <w:r w:rsidRPr="00725208">
        <w:rPr>
          <w:rFonts w:ascii="Arial" w:hAnsi="Arial" w:cs="Arial"/>
          <w:i/>
          <w:iCs/>
          <w:shd w:val="clear" w:color="auto" w:fill="FFFFFF"/>
        </w:rPr>
        <w:t>et al.</w:t>
      </w:r>
      <w:r w:rsidRPr="00725208">
        <w:rPr>
          <w:rFonts w:ascii="Arial" w:hAnsi="Arial" w:cs="Arial"/>
          <w:shd w:val="clear" w:color="auto" w:fill="FFFFFF"/>
        </w:rPr>
        <w:t xml:space="preserve"> 2023</w:t>
      </w:r>
      <w:r w:rsidRPr="00725208">
        <w:rPr>
          <w:rFonts w:ascii="Arial" w:hAnsi="Arial" w:cs="Arial"/>
        </w:rPr>
        <w:t>). By actively engaging with local societies, Premier Inn initiatives to make an impact which is powerful and positive, supporting charitable causes and encouraging employee volunteerism. The method also underscores the importance of improving various considerations internally in the firm, fostering a workplace culture that values equality and fairness. In addition, Premier Inn's CSR extends its methods to ensure lofty standards of ethical conduct throughout its supply chain. While it is broad, a careful evaluation would benefit from the specific performance of the dimension and transparent announcing mechanisms to gauge the effectiveness of these actions and their impact, which is tangible on sustainability and social responsibility.</w:t>
      </w:r>
    </w:p>
    <w:p w14:paraId="04E5D3EF"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The Corporate Social Responsibility (CSR) system of Premier Inn Hotel demonstrates a better devotion to ethical and attainable business practices (</w:t>
      </w:r>
      <w:r w:rsidRPr="00725208">
        <w:rPr>
          <w:rFonts w:ascii="Arial" w:hAnsi="Arial" w:cs="Arial"/>
          <w:shd w:val="clear" w:color="auto" w:fill="FFFFFF"/>
        </w:rPr>
        <w:t xml:space="preserve">Bas and </w:t>
      </w:r>
      <w:proofErr w:type="spellStart"/>
      <w:r w:rsidRPr="00725208">
        <w:rPr>
          <w:rFonts w:ascii="Arial" w:hAnsi="Arial" w:cs="Arial"/>
          <w:shd w:val="clear" w:color="auto" w:fill="FFFFFF"/>
        </w:rPr>
        <w:t>Sivaprasad</w:t>
      </w:r>
      <w:proofErr w:type="spellEnd"/>
      <w:r w:rsidRPr="00725208">
        <w:rPr>
          <w:rFonts w:ascii="Arial" w:hAnsi="Arial" w:cs="Arial"/>
          <w:shd w:val="clear" w:color="auto" w:fill="FFFFFF"/>
        </w:rPr>
        <w:t>, 2022</w:t>
      </w:r>
      <w:r w:rsidRPr="00725208">
        <w:rPr>
          <w:rFonts w:ascii="Arial" w:hAnsi="Arial" w:cs="Arial"/>
        </w:rPr>
        <w:t xml:space="preserve">). The appointment encircles many dimensions, calculating the natural maintainability, arrangement of the society and employee welfare. In terms of actions or initiatives, which are natural, Premier Inn charts attempts to minimize its footprints naturally through energy significance, waste depreciation, and skilled sourcing. The hotel chain's devotion to the society meetings is perfect in its support for society humanitarianism and community projects, fostering a relationship, which is positive with the neighbourhoods it serves (Mody, 2023). Moreover, the understanding underscores the effectiveness of worker well-being, with a focus on diversity, making </w:t>
      </w:r>
      <w:r w:rsidRPr="00725208">
        <w:rPr>
          <w:rFonts w:ascii="Arial" w:hAnsi="Arial" w:cs="Arial"/>
        </w:rPr>
        <w:lastRenderedPageBreak/>
        <w:t>and training a safe and inclusive work environment. Overall, Premier Inn's CSR performance reflects a holistic system depending on business practices, aligning environmental issues, involvement of the society, and employee welfare, which positions the hotel chain as a socially conscious player in the hospitality sector.</w:t>
      </w:r>
    </w:p>
    <w:p w14:paraId="000037AB"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There are multiple companies across various industries have demonstrated the factors and principles of the circular economy, to minimize and focus on waste, develop maintainability, and maximize the efficiency of the resources (</w:t>
      </w:r>
      <w:proofErr w:type="spellStart"/>
      <w:r w:rsidRPr="00725208">
        <w:rPr>
          <w:rFonts w:ascii="Arial" w:hAnsi="Arial" w:cs="Arial"/>
          <w:shd w:val="clear" w:color="auto" w:fill="FFFFFF"/>
        </w:rPr>
        <w:t>Silalahi</w:t>
      </w:r>
      <w:proofErr w:type="spellEnd"/>
      <w:r w:rsidRPr="00725208">
        <w:rPr>
          <w:rFonts w:ascii="Arial" w:hAnsi="Arial" w:cs="Arial"/>
          <w:shd w:val="clear" w:color="auto" w:fill="FFFFFF"/>
        </w:rPr>
        <w:t xml:space="preserve"> and </w:t>
      </w:r>
      <w:proofErr w:type="spellStart"/>
      <w:r w:rsidRPr="00725208">
        <w:rPr>
          <w:rFonts w:ascii="Arial" w:hAnsi="Arial" w:cs="Arial"/>
          <w:shd w:val="clear" w:color="auto" w:fill="FFFFFF"/>
        </w:rPr>
        <w:t>Puspitasari</w:t>
      </w:r>
      <w:proofErr w:type="spellEnd"/>
      <w:r w:rsidRPr="00725208">
        <w:rPr>
          <w:rFonts w:ascii="Arial" w:hAnsi="Arial" w:cs="Arial"/>
          <w:shd w:val="clear" w:color="auto" w:fill="FFFFFF"/>
        </w:rPr>
        <w:t>, 2023</w:t>
      </w:r>
      <w:r w:rsidRPr="00725208">
        <w:rPr>
          <w:rFonts w:ascii="Arial" w:hAnsi="Arial" w:cs="Arial"/>
        </w:rPr>
        <w:t xml:space="preserve">). Patagonia is known for its devotion to sustainability and circular economy practices in the structure of the industry. The company motivates the clients to repair and recycle their clothing via actions like the "Worn Wear" program, which improves the resale of used Patagonia gear and offers repair management. IKEA has implemented the circular economy technique by focusing on the product's longevity and recycling. The company is researching ways to use renewable and recycled materials in its products, as well as offering management like furniture leasing and take-back programs to motivate product reuse and recycling. </w:t>
      </w:r>
    </w:p>
    <w:p w14:paraId="23645C4D"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Interface, a global manufacturer of carpet tile, has been a frontiersperson in adopting circular economy principles. The company and its purpose are to eliminate its negative environmental impact by 2020 through its actions such as recycling used carpet tiles into current products and sourcing materials politely. Tesla is revolutionizing the automotive industry with its electrified vehicles and devotion to a circular economy (Naor, 2022). The firm is focused on recycling materials from antique batteries, reducing waste in production conditions, and product designing with recyclability in mind. Unilever, a multinational goods buyer company, has set longing goals for a circular economy, involving making all packaging plastic recyclable, reusable, or compostable by 2025. Unilever also motivates sustainable sourcing of raw materials and lessens overall impact naturally. Caterpillar, a manufacturer of improvement and equipment of mining, has embraced circular economy principles through its remanufacturing schedules (</w:t>
      </w:r>
      <w:r w:rsidRPr="00725208">
        <w:rPr>
          <w:rFonts w:ascii="Arial" w:hAnsi="Arial" w:cs="Arial"/>
          <w:shd w:val="clear" w:color="auto" w:fill="FFFFFF"/>
        </w:rPr>
        <w:t>Manns, 2020</w:t>
      </w:r>
      <w:r w:rsidRPr="00725208">
        <w:rPr>
          <w:rFonts w:ascii="Arial" w:hAnsi="Arial" w:cs="Arial"/>
        </w:rPr>
        <w:t xml:space="preserve">). </w:t>
      </w:r>
    </w:p>
    <w:p w14:paraId="5C35C19A"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 xml:space="preserve">The firms renovate utilised elements and equipment, expanding their lifecycle and reducing the demand for the current resources. DS Smith may be a leading provider of sustainable packaging configurations. The firm has focused on creating a plan for recyclable packaging, using recycled materials in its objects, and developing a circular </w:t>
      </w:r>
      <w:r w:rsidRPr="00725208">
        <w:rPr>
          <w:rFonts w:ascii="Arial" w:hAnsi="Arial" w:cs="Arial"/>
        </w:rPr>
        <w:lastRenderedPageBreak/>
        <w:t>economy for paper and cardboard (</w:t>
      </w:r>
      <w:proofErr w:type="spellStart"/>
      <w:r w:rsidRPr="00725208">
        <w:rPr>
          <w:rFonts w:ascii="Arial" w:hAnsi="Arial" w:cs="Arial"/>
          <w:shd w:val="clear" w:color="auto" w:fill="FFFFFF"/>
        </w:rPr>
        <w:t>Filimonau</w:t>
      </w:r>
      <w:proofErr w:type="spellEnd"/>
      <w:r w:rsidRPr="00725208">
        <w:rPr>
          <w:rFonts w:ascii="Arial" w:hAnsi="Arial" w:cs="Arial"/>
          <w:shd w:val="clear" w:color="auto" w:fill="FFFFFF"/>
        </w:rPr>
        <w:t xml:space="preserve"> and </w:t>
      </w:r>
      <w:proofErr w:type="spellStart"/>
      <w:r w:rsidRPr="00725208">
        <w:rPr>
          <w:rFonts w:ascii="Arial" w:hAnsi="Arial" w:cs="Arial"/>
          <w:shd w:val="clear" w:color="auto" w:fill="FFFFFF"/>
        </w:rPr>
        <w:t>Magklaropoulou</w:t>
      </w:r>
      <w:proofErr w:type="spellEnd"/>
      <w:r w:rsidRPr="00725208">
        <w:rPr>
          <w:rFonts w:ascii="Arial" w:hAnsi="Arial" w:cs="Arial"/>
          <w:shd w:val="clear" w:color="auto" w:fill="FFFFFF"/>
        </w:rPr>
        <w:t>, 2022</w:t>
      </w:r>
      <w:r w:rsidRPr="00725208">
        <w:rPr>
          <w:rFonts w:ascii="Arial" w:hAnsi="Arial" w:cs="Arial"/>
        </w:rPr>
        <w:t>). These representatives describe how companies across multiple industries are collaborating circular economy principles into their business framework developing supportability and diminishing the impact naturally of their major functions.</w:t>
      </w:r>
    </w:p>
    <w:p w14:paraId="15512A8F" w14:textId="77777777" w:rsidR="004B2F9B" w:rsidRPr="00725208" w:rsidRDefault="004B2F9B" w:rsidP="004B2F9B">
      <w:pPr>
        <w:pStyle w:val="NormalWeb"/>
        <w:spacing w:before="0" w:beforeAutospacing="0" w:after="160" w:afterAutospacing="0" w:line="360" w:lineRule="auto"/>
        <w:jc w:val="both"/>
        <w:rPr>
          <w:rFonts w:ascii="Arial" w:hAnsi="Arial" w:cs="Arial"/>
        </w:rPr>
      </w:pPr>
      <w:r w:rsidRPr="00725208">
        <w:rPr>
          <w:rFonts w:ascii="Arial" w:hAnsi="Arial" w:cs="Arial"/>
        </w:rPr>
        <w:t>Implementing a circular economy method by the hotel industry like Premier Inn, involves adopting sustainable practices that reduce waste, natural impact reducing, and efficiency of resources and improvement (</w:t>
      </w:r>
      <w:proofErr w:type="spellStart"/>
      <w:r w:rsidRPr="00725208">
        <w:rPr>
          <w:rFonts w:ascii="Arial" w:hAnsi="Arial" w:cs="Arial"/>
          <w:shd w:val="clear" w:color="auto" w:fill="FFFFFF"/>
        </w:rPr>
        <w:t>Giousmpasoglou</w:t>
      </w:r>
      <w:proofErr w:type="spellEnd"/>
      <w:r w:rsidRPr="00725208">
        <w:rPr>
          <w:rFonts w:ascii="Arial" w:hAnsi="Arial" w:cs="Arial"/>
          <w:shd w:val="clear" w:color="auto" w:fill="FFFFFF"/>
        </w:rPr>
        <w:t xml:space="preserve"> and Hua, 2020</w:t>
      </w:r>
      <w:r w:rsidRPr="00725208">
        <w:rPr>
          <w:rFonts w:ascii="Arial" w:hAnsi="Arial" w:cs="Arial"/>
        </w:rPr>
        <w:t>). Consider correcting or repurposing furniture and decor things rather than positioning them. Giving or selling products that are waste and not so important instead of discarding them. Execute refillable toiletry dispensers to diminish single-use plastic waste. Motivate the guest to use towels and linens more than once before cleaning.</w:t>
      </w:r>
    </w:p>
    <w:p w14:paraId="65DA5BDB" w14:textId="77777777" w:rsidR="004B2F9B" w:rsidRPr="00725208" w:rsidRDefault="004B2F9B" w:rsidP="004B2F9B">
      <w:pPr>
        <w:pStyle w:val="NormalWeb"/>
        <w:spacing w:before="0" w:beforeAutospacing="0" w:after="160" w:afterAutospacing="0" w:line="360" w:lineRule="auto"/>
        <w:jc w:val="both"/>
        <w:rPr>
          <w:rFonts w:ascii="Arial" w:hAnsi="Arial" w:cs="Arial"/>
          <w:b/>
          <w:bCs/>
        </w:rPr>
      </w:pPr>
      <w:r w:rsidRPr="00725208">
        <w:rPr>
          <w:rFonts w:ascii="Arial" w:hAnsi="Arial" w:cs="Arial"/>
          <w:b/>
          <w:bCs/>
        </w:rPr>
        <w:t>Conclusion</w:t>
      </w:r>
      <w:bookmarkEnd w:id="2"/>
    </w:p>
    <w:p w14:paraId="0502CB56" w14:textId="77777777" w:rsidR="004B2F9B" w:rsidRPr="00725208" w:rsidRDefault="004B2F9B" w:rsidP="004B2F9B">
      <w:pPr>
        <w:spacing w:line="360" w:lineRule="auto"/>
        <w:jc w:val="both"/>
        <w:rPr>
          <w:rFonts w:ascii="Arial" w:hAnsi="Arial" w:cs="Arial"/>
          <w:sz w:val="24"/>
          <w:szCs w:val="24"/>
        </w:rPr>
      </w:pPr>
      <w:r w:rsidRPr="00725208">
        <w:rPr>
          <w:rFonts w:ascii="Arial" w:hAnsi="Arial" w:cs="Arial"/>
          <w:sz w:val="24"/>
          <w:szCs w:val="24"/>
        </w:rPr>
        <w:t>In conclusion, the essay portrays comprehensive information or an overview of the circular economy, underscoring its contrast with the straight economic illustrate and its advantages, which is the potential for maintainability. The focus on Premier Inn, a specific hotel chain, traces how businesses can harmonise circular economy principles into their functions to contribute to Corporate Social Responsibility (CSR).</w:t>
      </w:r>
      <w:r w:rsidRPr="00725208">
        <w:rPr>
          <w:rFonts w:ascii="Arial" w:hAnsi="Arial" w:cs="Arial"/>
          <w:sz w:val="24"/>
          <w:szCs w:val="24"/>
        </w:rPr>
        <w:br w:type="page"/>
      </w:r>
    </w:p>
    <w:p w14:paraId="573F4F7F" w14:textId="77777777" w:rsidR="004B2F9B" w:rsidRPr="00725208" w:rsidRDefault="004B2F9B" w:rsidP="004B2F9B">
      <w:pPr>
        <w:pStyle w:val="Heading1"/>
        <w:spacing w:before="0" w:after="160"/>
        <w:rPr>
          <w:rFonts w:ascii="Arial" w:hAnsi="Arial" w:cs="Arial"/>
          <w:color w:val="auto"/>
          <w:sz w:val="24"/>
          <w:szCs w:val="24"/>
        </w:rPr>
      </w:pPr>
      <w:bookmarkStart w:id="3" w:name="_Toc156946249"/>
      <w:r w:rsidRPr="00725208">
        <w:rPr>
          <w:rFonts w:ascii="Arial" w:hAnsi="Arial" w:cs="Arial"/>
          <w:color w:val="auto"/>
          <w:sz w:val="24"/>
          <w:szCs w:val="24"/>
        </w:rPr>
        <w:lastRenderedPageBreak/>
        <w:t>References</w:t>
      </w:r>
      <w:bookmarkEnd w:id="3"/>
    </w:p>
    <w:p w14:paraId="32D9B040"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Abdelmoaty, G.A. and Soliman, S.A.E.M., (2020). Smart Technology Applications in Tourism and Hospitality Industry of The New Administrative Capital, Egypt. </w:t>
      </w:r>
      <w:r w:rsidRPr="00725208">
        <w:rPr>
          <w:rFonts w:ascii="Arial" w:hAnsi="Arial" w:cs="Arial"/>
          <w:i/>
          <w:iCs/>
          <w:sz w:val="24"/>
          <w:szCs w:val="24"/>
          <w:shd w:val="clear" w:color="auto" w:fill="FFFFFF"/>
        </w:rPr>
        <w:t>Journal of Association of Arab Universities for Tourism and Hospitality</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19</w:t>
      </w:r>
      <w:r w:rsidRPr="00725208">
        <w:rPr>
          <w:rFonts w:ascii="Arial" w:hAnsi="Arial" w:cs="Arial"/>
          <w:sz w:val="24"/>
          <w:szCs w:val="24"/>
          <w:shd w:val="clear" w:color="auto" w:fill="FFFFFF"/>
        </w:rPr>
        <w:t>(2), pp.102-129.</w:t>
      </w:r>
    </w:p>
    <w:p w14:paraId="644B5D6A"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Ansari, A.I., Singh, A. and Singh, V., (2023). The impact of differential pricing on perceived service quality and guest satisfaction: An empirical study of mid-scale hotels in India. </w:t>
      </w:r>
      <w:proofErr w:type="spellStart"/>
      <w:r w:rsidRPr="00725208">
        <w:rPr>
          <w:rFonts w:ascii="Arial" w:hAnsi="Arial" w:cs="Arial"/>
          <w:i/>
          <w:iCs/>
          <w:sz w:val="24"/>
          <w:szCs w:val="24"/>
          <w:shd w:val="clear" w:color="auto" w:fill="FFFFFF"/>
        </w:rPr>
        <w:t>Turyzm</w:t>
      </w:r>
      <w:proofErr w:type="spellEnd"/>
      <w:r w:rsidRPr="00725208">
        <w:rPr>
          <w:rFonts w:ascii="Arial" w:hAnsi="Arial" w:cs="Arial"/>
          <w:i/>
          <w:iCs/>
          <w:sz w:val="24"/>
          <w:szCs w:val="24"/>
          <w:shd w:val="clear" w:color="auto" w:fill="FFFFFF"/>
        </w:rPr>
        <w:t>/Tourism</w:t>
      </w:r>
      <w:r w:rsidRPr="00725208">
        <w:rPr>
          <w:rFonts w:ascii="Arial" w:hAnsi="Arial" w:cs="Arial"/>
          <w:sz w:val="24"/>
          <w:szCs w:val="24"/>
          <w:shd w:val="clear" w:color="auto" w:fill="FFFFFF"/>
        </w:rPr>
        <w:t>, pp.121-132.</w:t>
      </w:r>
    </w:p>
    <w:p w14:paraId="3A4BA75D"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 xml:space="preserve">Bas, T. and </w:t>
      </w:r>
      <w:proofErr w:type="spellStart"/>
      <w:r w:rsidRPr="00725208">
        <w:rPr>
          <w:rFonts w:ascii="Arial" w:hAnsi="Arial" w:cs="Arial"/>
          <w:sz w:val="24"/>
          <w:szCs w:val="24"/>
          <w:shd w:val="clear" w:color="auto" w:fill="FFFFFF"/>
        </w:rPr>
        <w:t>Sivaprasad</w:t>
      </w:r>
      <w:proofErr w:type="spellEnd"/>
      <w:r w:rsidRPr="00725208">
        <w:rPr>
          <w:rFonts w:ascii="Arial" w:hAnsi="Arial" w:cs="Arial"/>
          <w:sz w:val="24"/>
          <w:szCs w:val="24"/>
          <w:shd w:val="clear" w:color="auto" w:fill="FFFFFF"/>
        </w:rPr>
        <w:t>, S., (2022). An Exploratory Insight into the Impact of COVID-19 on the Travel and Tourism Sector: UK Evidence. </w:t>
      </w:r>
      <w:r w:rsidRPr="00725208">
        <w:rPr>
          <w:rFonts w:ascii="Arial" w:hAnsi="Arial" w:cs="Arial"/>
          <w:i/>
          <w:iCs/>
          <w:sz w:val="24"/>
          <w:szCs w:val="24"/>
          <w:shd w:val="clear" w:color="auto" w:fill="FFFFFF"/>
        </w:rPr>
        <w:t>Bas, T. &amp;</w:t>
      </w:r>
      <w:proofErr w:type="spellStart"/>
      <w:r w:rsidRPr="00725208">
        <w:rPr>
          <w:rFonts w:ascii="Arial" w:hAnsi="Arial" w:cs="Arial"/>
          <w:i/>
          <w:iCs/>
          <w:sz w:val="24"/>
          <w:szCs w:val="24"/>
          <w:shd w:val="clear" w:color="auto" w:fill="FFFFFF"/>
        </w:rPr>
        <w:t>Sivaprasad</w:t>
      </w:r>
      <w:proofErr w:type="spellEnd"/>
      <w:r w:rsidRPr="00725208">
        <w:rPr>
          <w:rFonts w:ascii="Arial" w:hAnsi="Arial" w:cs="Arial"/>
          <w:i/>
          <w:iCs/>
          <w:sz w:val="24"/>
          <w:szCs w:val="24"/>
          <w:shd w:val="clear" w:color="auto" w:fill="FFFFFF"/>
        </w:rPr>
        <w:t xml:space="preserve">, </w:t>
      </w:r>
      <w:proofErr w:type="gramStart"/>
      <w:r w:rsidRPr="00725208">
        <w:rPr>
          <w:rFonts w:ascii="Arial" w:hAnsi="Arial" w:cs="Arial"/>
          <w:i/>
          <w:iCs/>
          <w:sz w:val="24"/>
          <w:szCs w:val="24"/>
          <w:shd w:val="clear" w:color="auto" w:fill="FFFFFF"/>
        </w:rPr>
        <w:t>S.(</w:t>
      </w:r>
      <w:proofErr w:type="gramEnd"/>
      <w:r w:rsidRPr="00725208">
        <w:rPr>
          <w:rFonts w:ascii="Arial" w:hAnsi="Arial" w:cs="Arial"/>
          <w:i/>
          <w:iCs/>
          <w:sz w:val="24"/>
          <w:szCs w:val="24"/>
          <w:shd w:val="clear" w:color="auto" w:fill="FFFFFF"/>
        </w:rPr>
        <w:t>2022). An exploratory insight into the impact of COVID-19 on the travel and tourism sector: UK evidence. In S. Karabulut (Ed.), Economic and Financial Analysis of Global and National Developments</w:t>
      </w:r>
      <w:r w:rsidRPr="00725208">
        <w:rPr>
          <w:rFonts w:ascii="Arial" w:hAnsi="Arial" w:cs="Arial"/>
          <w:sz w:val="24"/>
          <w:szCs w:val="24"/>
          <w:shd w:val="clear" w:color="auto" w:fill="FFFFFF"/>
        </w:rPr>
        <w:t>, pp.355-369.</w:t>
      </w:r>
    </w:p>
    <w:p w14:paraId="03607E4B"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Bowen, G., Appiah, D. and Okafor, S., 2020. The influence of corporate social responsibility (CSR) and social media on the strategy formulation process. </w:t>
      </w:r>
      <w:r w:rsidRPr="00725208">
        <w:rPr>
          <w:rFonts w:ascii="Arial" w:hAnsi="Arial" w:cs="Arial"/>
          <w:i/>
          <w:iCs/>
          <w:sz w:val="24"/>
          <w:szCs w:val="24"/>
          <w:shd w:val="clear" w:color="auto" w:fill="FFFFFF"/>
        </w:rPr>
        <w:t>Sustainability</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12</w:t>
      </w:r>
      <w:r w:rsidRPr="00725208">
        <w:rPr>
          <w:rFonts w:ascii="Arial" w:hAnsi="Arial" w:cs="Arial"/>
          <w:sz w:val="24"/>
          <w:szCs w:val="24"/>
          <w:shd w:val="clear" w:color="auto" w:fill="FFFFFF"/>
        </w:rPr>
        <w:t>(15), p.6057.</w:t>
      </w:r>
    </w:p>
    <w:p w14:paraId="27D9BF1E"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Chen, J., Sloan, P. and Legrand, W., (2010). </w:t>
      </w:r>
      <w:r w:rsidRPr="00725208">
        <w:rPr>
          <w:rFonts w:ascii="Arial" w:hAnsi="Arial" w:cs="Arial"/>
          <w:i/>
          <w:iCs/>
          <w:sz w:val="24"/>
          <w:szCs w:val="24"/>
          <w:shd w:val="clear" w:color="auto" w:fill="FFFFFF"/>
        </w:rPr>
        <w:t>Sustainability in the hospitality industry</w:t>
      </w:r>
      <w:r w:rsidRPr="00725208">
        <w:rPr>
          <w:rFonts w:ascii="Arial" w:hAnsi="Arial" w:cs="Arial"/>
          <w:sz w:val="24"/>
          <w:szCs w:val="24"/>
          <w:shd w:val="clear" w:color="auto" w:fill="FFFFFF"/>
        </w:rPr>
        <w:t>. Routledge.</w:t>
      </w:r>
    </w:p>
    <w:p w14:paraId="67859A64" w14:textId="77777777" w:rsidR="004B2F9B" w:rsidRPr="00725208" w:rsidRDefault="004B2F9B" w:rsidP="004B2F9B">
      <w:pPr>
        <w:spacing w:line="360" w:lineRule="auto"/>
        <w:jc w:val="both"/>
        <w:rPr>
          <w:rFonts w:ascii="Arial" w:hAnsi="Arial" w:cs="Arial"/>
          <w:sz w:val="24"/>
          <w:szCs w:val="24"/>
          <w:shd w:val="clear" w:color="auto" w:fill="FFFFFF"/>
        </w:rPr>
      </w:pPr>
      <w:proofErr w:type="spellStart"/>
      <w:r w:rsidRPr="00725208">
        <w:rPr>
          <w:rFonts w:ascii="Arial" w:hAnsi="Arial" w:cs="Arial"/>
          <w:sz w:val="24"/>
          <w:szCs w:val="24"/>
          <w:shd w:val="clear" w:color="auto" w:fill="FFFFFF"/>
        </w:rPr>
        <w:t>Filimonau</w:t>
      </w:r>
      <w:proofErr w:type="spellEnd"/>
      <w:r w:rsidRPr="00725208">
        <w:rPr>
          <w:rFonts w:ascii="Arial" w:hAnsi="Arial" w:cs="Arial"/>
          <w:sz w:val="24"/>
          <w:szCs w:val="24"/>
          <w:shd w:val="clear" w:color="auto" w:fill="FFFFFF"/>
        </w:rPr>
        <w:t xml:space="preserve">, V. and </w:t>
      </w:r>
      <w:proofErr w:type="spellStart"/>
      <w:r w:rsidRPr="00725208">
        <w:rPr>
          <w:rFonts w:ascii="Arial" w:hAnsi="Arial" w:cs="Arial"/>
          <w:sz w:val="24"/>
          <w:szCs w:val="24"/>
          <w:shd w:val="clear" w:color="auto" w:fill="FFFFFF"/>
        </w:rPr>
        <w:t>Magklaropoulou</w:t>
      </w:r>
      <w:proofErr w:type="spellEnd"/>
      <w:r w:rsidRPr="00725208">
        <w:rPr>
          <w:rFonts w:ascii="Arial" w:hAnsi="Arial" w:cs="Arial"/>
          <w:sz w:val="24"/>
          <w:szCs w:val="24"/>
          <w:shd w:val="clear" w:color="auto" w:fill="FFFFFF"/>
        </w:rPr>
        <w:t>, A., (2020). Exploring the viability of a new ‘pay-as-you-</w:t>
      </w:r>
      <w:proofErr w:type="spellStart"/>
      <w:r w:rsidRPr="00725208">
        <w:rPr>
          <w:rFonts w:ascii="Arial" w:hAnsi="Arial" w:cs="Arial"/>
          <w:sz w:val="24"/>
          <w:szCs w:val="24"/>
          <w:shd w:val="clear" w:color="auto" w:fill="FFFFFF"/>
        </w:rPr>
        <w:t>use’energy</w:t>
      </w:r>
      <w:proofErr w:type="spellEnd"/>
      <w:r w:rsidRPr="00725208">
        <w:rPr>
          <w:rFonts w:ascii="Arial" w:hAnsi="Arial" w:cs="Arial"/>
          <w:sz w:val="24"/>
          <w:szCs w:val="24"/>
          <w:shd w:val="clear" w:color="auto" w:fill="FFFFFF"/>
        </w:rPr>
        <w:t xml:space="preserve"> management model in budget hotels. </w:t>
      </w:r>
      <w:r w:rsidRPr="00725208">
        <w:rPr>
          <w:rFonts w:ascii="Arial" w:hAnsi="Arial" w:cs="Arial"/>
          <w:i/>
          <w:iCs/>
          <w:sz w:val="24"/>
          <w:szCs w:val="24"/>
          <w:shd w:val="clear" w:color="auto" w:fill="FFFFFF"/>
        </w:rPr>
        <w:t>International Journal of Hospitality Management</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89</w:t>
      </w:r>
      <w:r w:rsidRPr="00725208">
        <w:rPr>
          <w:rFonts w:ascii="Arial" w:hAnsi="Arial" w:cs="Arial"/>
          <w:sz w:val="24"/>
          <w:szCs w:val="24"/>
          <w:shd w:val="clear" w:color="auto" w:fill="FFFFFF"/>
        </w:rPr>
        <w:t>, p.102538.</w:t>
      </w:r>
    </w:p>
    <w:p w14:paraId="0B80ECE3" w14:textId="77777777" w:rsidR="004B2F9B" w:rsidRPr="00725208" w:rsidRDefault="004B2F9B" w:rsidP="004B2F9B">
      <w:pPr>
        <w:spacing w:line="360" w:lineRule="auto"/>
        <w:jc w:val="both"/>
        <w:rPr>
          <w:rFonts w:ascii="Arial" w:hAnsi="Arial" w:cs="Arial"/>
          <w:sz w:val="24"/>
          <w:szCs w:val="24"/>
          <w:shd w:val="clear" w:color="auto" w:fill="FFFFFF"/>
        </w:rPr>
      </w:pPr>
      <w:proofErr w:type="spellStart"/>
      <w:r w:rsidRPr="00725208">
        <w:rPr>
          <w:rFonts w:ascii="Arial" w:hAnsi="Arial" w:cs="Arial"/>
          <w:sz w:val="24"/>
          <w:szCs w:val="24"/>
          <w:shd w:val="clear" w:color="auto" w:fill="FFFFFF"/>
        </w:rPr>
        <w:t>Giousmpasoglou</w:t>
      </w:r>
      <w:proofErr w:type="spellEnd"/>
      <w:r w:rsidRPr="00725208">
        <w:rPr>
          <w:rFonts w:ascii="Arial" w:hAnsi="Arial" w:cs="Arial"/>
          <w:sz w:val="24"/>
          <w:szCs w:val="24"/>
          <w:shd w:val="clear" w:color="auto" w:fill="FFFFFF"/>
        </w:rPr>
        <w:t>, C. and Hua, T.T., (2020). The use of self-service technologies in budget hotels: the case of Bournemouth. </w:t>
      </w:r>
      <w:r w:rsidRPr="00725208">
        <w:rPr>
          <w:rFonts w:ascii="Arial" w:hAnsi="Arial" w:cs="Arial"/>
          <w:i/>
          <w:iCs/>
          <w:sz w:val="24"/>
          <w:szCs w:val="24"/>
          <w:shd w:val="clear" w:color="auto" w:fill="FFFFFF"/>
        </w:rPr>
        <w:t>European Journal of Tourism, Hospitality and Recreation</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10</w:t>
      </w:r>
      <w:r w:rsidRPr="00725208">
        <w:rPr>
          <w:rFonts w:ascii="Arial" w:hAnsi="Arial" w:cs="Arial"/>
          <w:sz w:val="24"/>
          <w:szCs w:val="24"/>
          <w:shd w:val="clear" w:color="auto" w:fill="FFFFFF"/>
        </w:rPr>
        <w:t>(3), pp.251-261.</w:t>
      </w:r>
    </w:p>
    <w:p w14:paraId="6C0C6BEC"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Manns, J., (2020). Growing closer: Reflections on the future of visitor accommodation and the city. </w:t>
      </w:r>
      <w:r w:rsidRPr="00725208">
        <w:rPr>
          <w:rFonts w:ascii="Arial" w:hAnsi="Arial" w:cs="Arial"/>
          <w:i/>
          <w:iCs/>
          <w:sz w:val="24"/>
          <w:szCs w:val="24"/>
          <w:shd w:val="clear" w:color="auto" w:fill="FFFFFF"/>
        </w:rPr>
        <w:t>Journal of Urban Regeneration &amp; Renewal</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13</w:t>
      </w:r>
      <w:r w:rsidRPr="00725208">
        <w:rPr>
          <w:rFonts w:ascii="Arial" w:hAnsi="Arial" w:cs="Arial"/>
          <w:sz w:val="24"/>
          <w:szCs w:val="24"/>
          <w:shd w:val="clear" w:color="auto" w:fill="FFFFFF"/>
        </w:rPr>
        <w:t>(4), pp.357-364.</w:t>
      </w:r>
    </w:p>
    <w:p w14:paraId="33952410"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Mody, M., (2023). Hospitality as the bridge: advancing transformative service research towards human flourishing. </w:t>
      </w:r>
      <w:r w:rsidRPr="00725208">
        <w:rPr>
          <w:rFonts w:ascii="Arial" w:hAnsi="Arial" w:cs="Arial"/>
          <w:i/>
          <w:iCs/>
          <w:sz w:val="24"/>
          <w:szCs w:val="24"/>
          <w:shd w:val="clear" w:color="auto" w:fill="FFFFFF"/>
        </w:rPr>
        <w:t>The Service Industries Journal</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43</w:t>
      </w:r>
      <w:r w:rsidRPr="00725208">
        <w:rPr>
          <w:rFonts w:ascii="Arial" w:hAnsi="Arial" w:cs="Arial"/>
          <w:sz w:val="24"/>
          <w:szCs w:val="24"/>
          <w:shd w:val="clear" w:color="auto" w:fill="FFFFFF"/>
        </w:rPr>
        <w:t>(7-8), pp.423-453.</w:t>
      </w:r>
    </w:p>
    <w:p w14:paraId="7B953FDE"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Morgenstern, T., (2021). Flagler’s Whitehall: Beaux-Arts Grandeur in the American Tropics. </w:t>
      </w:r>
      <w:r w:rsidRPr="00725208">
        <w:rPr>
          <w:rFonts w:ascii="Arial" w:hAnsi="Arial" w:cs="Arial"/>
          <w:i/>
          <w:iCs/>
          <w:sz w:val="24"/>
          <w:szCs w:val="24"/>
          <w:shd w:val="clear" w:color="auto" w:fill="FFFFFF"/>
        </w:rPr>
        <w:t>Architectural History</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64</w:t>
      </w:r>
      <w:r w:rsidRPr="00725208">
        <w:rPr>
          <w:rFonts w:ascii="Arial" w:hAnsi="Arial" w:cs="Arial"/>
          <w:sz w:val="24"/>
          <w:szCs w:val="24"/>
          <w:shd w:val="clear" w:color="auto" w:fill="FFFFFF"/>
        </w:rPr>
        <w:t>, pp.113-136.</w:t>
      </w:r>
    </w:p>
    <w:p w14:paraId="27C0217C"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lastRenderedPageBreak/>
        <w:t>Naor, M., (2022). Tesla’s Circular Economy Strategy to Recycle, Reduce, Reuse, Repurpose and Recover Batteries. In </w:t>
      </w:r>
      <w:r w:rsidRPr="00725208">
        <w:rPr>
          <w:rFonts w:ascii="Arial" w:hAnsi="Arial" w:cs="Arial"/>
          <w:i/>
          <w:iCs/>
          <w:sz w:val="24"/>
          <w:szCs w:val="24"/>
          <w:shd w:val="clear" w:color="auto" w:fill="FFFFFF"/>
        </w:rPr>
        <w:t>Recycling-Recent Advances</w:t>
      </w:r>
      <w:r w:rsidRPr="00725208">
        <w:rPr>
          <w:rFonts w:ascii="Arial" w:hAnsi="Arial" w:cs="Arial"/>
          <w:sz w:val="24"/>
          <w:szCs w:val="24"/>
          <w:shd w:val="clear" w:color="auto" w:fill="FFFFFF"/>
        </w:rPr>
        <w:t xml:space="preserve">. </w:t>
      </w:r>
      <w:proofErr w:type="spellStart"/>
      <w:r w:rsidRPr="00725208">
        <w:rPr>
          <w:rFonts w:ascii="Arial" w:hAnsi="Arial" w:cs="Arial"/>
          <w:sz w:val="24"/>
          <w:szCs w:val="24"/>
          <w:shd w:val="clear" w:color="auto" w:fill="FFFFFF"/>
        </w:rPr>
        <w:t>IntechOpen</w:t>
      </w:r>
      <w:proofErr w:type="spellEnd"/>
      <w:r w:rsidRPr="00725208">
        <w:rPr>
          <w:rFonts w:ascii="Arial" w:hAnsi="Arial" w:cs="Arial"/>
          <w:sz w:val="24"/>
          <w:szCs w:val="24"/>
          <w:shd w:val="clear" w:color="auto" w:fill="FFFFFF"/>
        </w:rPr>
        <w:t>.</w:t>
      </w:r>
    </w:p>
    <w:p w14:paraId="10D15303" w14:textId="77777777" w:rsidR="004B2F9B" w:rsidRPr="00725208" w:rsidRDefault="004B2F9B" w:rsidP="004B2F9B">
      <w:pPr>
        <w:spacing w:line="360" w:lineRule="auto"/>
        <w:jc w:val="both"/>
        <w:rPr>
          <w:rFonts w:ascii="Arial" w:hAnsi="Arial" w:cs="Arial"/>
          <w:sz w:val="24"/>
          <w:szCs w:val="24"/>
        </w:rPr>
      </w:pPr>
      <w:proofErr w:type="spellStart"/>
      <w:r w:rsidRPr="00725208">
        <w:rPr>
          <w:rFonts w:ascii="Arial" w:hAnsi="Arial" w:cs="Arial"/>
          <w:sz w:val="24"/>
          <w:szCs w:val="24"/>
        </w:rPr>
        <w:t>Premierinn</w:t>
      </w:r>
      <w:proofErr w:type="spellEnd"/>
      <w:r w:rsidRPr="00725208">
        <w:rPr>
          <w:rFonts w:ascii="Arial" w:hAnsi="Arial" w:cs="Arial"/>
          <w:sz w:val="24"/>
          <w:szCs w:val="24"/>
        </w:rPr>
        <w:t xml:space="preserve">, (2024). </w:t>
      </w:r>
      <w:r w:rsidRPr="00725208">
        <w:rPr>
          <w:rFonts w:ascii="Arial" w:hAnsi="Arial" w:cs="Arial"/>
          <w:i/>
          <w:iCs/>
          <w:sz w:val="24"/>
          <w:szCs w:val="24"/>
        </w:rPr>
        <w:t xml:space="preserve">Home Page </w:t>
      </w:r>
      <w:r w:rsidRPr="00725208">
        <w:rPr>
          <w:rFonts w:ascii="Arial" w:hAnsi="Arial" w:cs="Arial"/>
          <w:sz w:val="24"/>
          <w:szCs w:val="24"/>
        </w:rPr>
        <w:t xml:space="preserve">[Online], Available at: </w:t>
      </w:r>
      <w:hyperlink r:id="rId4" w:history="1">
        <w:r w:rsidRPr="00725208">
          <w:rPr>
            <w:rStyle w:val="Hyperlink"/>
            <w:rFonts w:ascii="Arial" w:hAnsi="Arial" w:cs="Arial"/>
            <w:color w:val="auto"/>
            <w:sz w:val="24"/>
            <w:szCs w:val="24"/>
          </w:rPr>
          <w:t>Premier Inn hotels | Book direct</w:t>
        </w:r>
      </w:hyperlink>
      <w:r w:rsidRPr="00725208">
        <w:rPr>
          <w:rFonts w:ascii="Arial" w:hAnsi="Arial" w:cs="Arial"/>
          <w:sz w:val="24"/>
          <w:szCs w:val="24"/>
        </w:rPr>
        <w:t xml:space="preserve"> [Accessed on 23</w:t>
      </w:r>
      <w:r w:rsidRPr="00725208">
        <w:rPr>
          <w:rFonts w:ascii="Arial" w:hAnsi="Arial" w:cs="Arial"/>
          <w:sz w:val="24"/>
          <w:szCs w:val="24"/>
          <w:vertAlign w:val="superscript"/>
        </w:rPr>
        <w:t>rd</w:t>
      </w:r>
      <w:r w:rsidRPr="00725208">
        <w:rPr>
          <w:rFonts w:ascii="Arial" w:hAnsi="Arial" w:cs="Arial"/>
          <w:sz w:val="24"/>
          <w:szCs w:val="24"/>
        </w:rPr>
        <w:t xml:space="preserve"> </w:t>
      </w:r>
      <w:proofErr w:type="gramStart"/>
      <w:r w:rsidRPr="00725208">
        <w:rPr>
          <w:rFonts w:ascii="Arial" w:hAnsi="Arial" w:cs="Arial"/>
          <w:sz w:val="24"/>
          <w:szCs w:val="24"/>
        </w:rPr>
        <w:t>Jan,</w:t>
      </w:r>
      <w:proofErr w:type="gramEnd"/>
      <w:r w:rsidRPr="00725208">
        <w:rPr>
          <w:rFonts w:ascii="Arial" w:hAnsi="Arial" w:cs="Arial"/>
          <w:sz w:val="24"/>
          <w:szCs w:val="24"/>
        </w:rPr>
        <w:t xml:space="preserve"> 2024]</w:t>
      </w:r>
    </w:p>
    <w:p w14:paraId="496A6013" w14:textId="77777777" w:rsidR="004B2F9B" w:rsidRPr="00725208" w:rsidRDefault="004B2F9B" w:rsidP="004B2F9B">
      <w:pPr>
        <w:spacing w:line="360" w:lineRule="auto"/>
        <w:jc w:val="both"/>
        <w:rPr>
          <w:rFonts w:ascii="Arial" w:hAnsi="Arial" w:cs="Arial"/>
          <w:sz w:val="24"/>
          <w:szCs w:val="24"/>
          <w:shd w:val="clear" w:color="auto" w:fill="FFFFFF"/>
        </w:rPr>
      </w:pPr>
      <w:proofErr w:type="spellStart"/>
      <w:r w:rsidRPr="00725208">
        <w:rPr>
          <w:rFonts w:ascii="Arial" w:hAnsi="Arial" w:cs="Arial"/>
          <w:sz w:val="24"/>
          <w:szCs w:val="24"/>
          <w:shd w:val="clear" w:color="auto" w:fill="FFFFFF"/>
        </w:rPr>
        <w:t>Silalahi</w:t>
      </w:r>
      <w:proofErr w:type="spellEnd"/>
      <w:r w:rsidRPr="00725208">
        <w:rPr>
          <w:rFonts w:ascii="Arial" w:hAnsi="Arial" w:cs="Arial"/>
          <w:sz w:val="24"/>
          <w:szCs w:val="24"/>
          <w:shd w:val="clear" w:color="auto" w:fill="FFFFFF"/>
        </w:rPr>
        <w:t xml:space="preserve">, R.M. and </w:t>
      </w:r>
      <w:proofErr w:type="spellStart"/>
      <w:r w:rsidRPr="00725208">
        <w:rPr>
          <w:rFonts w:ascii="Arial" w:hAnsi="Arial" w:cs="Arial"/>
          <w:sz w:val="24"/>
          <w:szCs w:val="24"/>
          <w:shd w:val="clear" w:color="auto" w:fill="FFFFFF"/>
        </w:rPr>
        <w:t>Puspitasari</w:t>
      </w:r>
      <w:proofErr w:type="spellEnd"/>
      <w:r w:rsidRPr="00725208">
        <w:rPr>
          <w:rFonts w:ascii="Arial" w:hAnsi="Arial" w:cs="Arial"/>
          <w:sz w:val="24"/>
          <w:szCs w:val="24"/>
          <w:shd w:val="clear" w:color="auto" w:fill="FFFFFF"/>
        </w:rPr>
        <w:t xml:space="preserve">, V.A., (2023). Americanization and Cultural Imperialism </w:t>
      </w:r>
      <w:proofErr w:type="gramStart"/>
      <w:r w:rsidRPr="00725208">
        <w:rPr>
          <w:rFonts w:ascii="Arial" w:hAnsi="Arial" w:cs="Arial"/>
          <w:sz w:val="24"/>
          <w:szCs w:val="24"/>
          <w:shd w:val="clear" w:color="auto" w:fill="FFFFFF"/>
        </w:rPr>
        <w:t>In</w:t>
      </w:r>
      <w:proofErr w:type="gramEnd"/>
      <w:r w:rsidRPr="00725208">
        <w:rPr>
          <w:rFonts w:ascii="Arial" w:hAnsi="Arial" w:cs="Arial"/>
          <w:sz w:val="24"/>
          <w:szCs w:val="24"/>
          <w:shd w:val="clear" w:color="auto" w:fill="FFFFFF"/>
        </w:rPr>
        <w:t xml:space="preserve"> The American Hotel Franchise Chain In Indonesia. </w:t>
      </w:r>
      <w:r w:rsidRPr="00725208">
        <w:rPr>
          <w:rFonts w:ascii="Arial" w:hAnsi="Arial" w:cs="Arial"/>
          <w:i/>
          <w:iCs/>
          <w:sz w:val="24"/>
          <w:szCs w:val="24"/>
          <w:shd w:val="clear" w:color="auto" w:fill="FFFFFF"/>
        </w:rPr>
        <w:t xml:space="preserve">Journal FAME: Journal Food and Beverage, Product and Services, </w:t>
      </w:r>
      <w:proofErr w:type="spellStart"/>
      <w:r w:rsidRPr="00725208">
        <w:rPr>
          <w:rFonts w:ascii="Arial" w:hAnsi="Arial" w:cs="Arial"/>
          <w:i/>
          <w:iCs/>
          <w:sz w:val="24"/>
          <w:szCs w:val="24"/>
          <w:shd w:val="clear" w:color="auto" w:fill="FFFFFF"/>
        </w:rPr>
        <w:t>Accomodation</w:t>
      </w:r>
      <w:proofErr w:type="spellEnd"/>
      <w:r w:rsidRPr="00725208">
        <w:rPr>
          <w:rFonts w:ascii="Arial" w:hAnsi="Arial" w:cs="Arial"/>
          <w:i/>
          <w:iCs/>
          <w:sz w:val="24"/>
          <w:szCs w:val="24"/>
          <w:shd w:val="clear" w:color="auto" w:fill="FFFFFF"/>
        </w:rPr>
        <w:t xml:space="preserve"> Industry, Entertainment Services</w:t>
      </w:r>
      <w:r w:rsidRPr="00725208">
        <w:rPr>
          <w:rFonts w:ascii="Arial" w:hAnsi="Arial" w:cs="Arial"/>
          <w:sz w:val="24"/>
          <w:szCs w:val="24"/>
          <w:shd w:val="clear" w:color="auto" w:fill="FFFFFF"/>
        </w:rPr>
        <w:t>, </w:t>
      </w:r>
      <w:r w:rsidRPr="00725208">
        <w:rPr>
          <w:rFonts w:ascii="Arial" w:hAnsi="Arial" w:cs="Arial"/>
          <w:i/>
          <w:iCs/>
          <w:sz w:val="24"/>
          <w:szCs w:val="24"/>
          <w:shd w:val="clear" w:color="auto" w:fill="FFFFFF"/>
        </w:rPr>
        <w:t>5</w:t>
      </w:r>
      <w:r w:rsidRPr="00725208">
        <w:rPr>
          <w:rFonts w:ascii="Arial" w:hAnsi="Arial" w:cs="Arial"/>
          <w:sz w:val="24"/>
          <w:szCs w:val="24"/>
          <w:shd w:val="clear" w:color="auto" w:fill="FFFFFF"/>
        </w:rPr>
        <w:t>(2), pp.42-48.</w:t>
      </w:r>
    </w:p>
    <w:p w14:paraId="10F48568" w14:textId="77777777" w:rsidR="004B2F9B" w:rsidRPr="00725208" w:rsidRDefault="004B2F9B" w:rsidP="004B2F9B">
      <w:pPr>
        <w:spacing w:line="360" w:lineRule="auto"/>
        <w:jc w:val="both"/>
        <w:rPr>
          <w:rFonts w:ascii="Arial" w:hAnsi="Arial" w:cs="Arial"/>
          <w:sz w:val="24"/>
          <w:szCs w:val="24"/>
          <w:shd w:val="clear" w:color="auto" w:fill="FFFFFF"/>
        </w:rPr>
      </w:pPr>
      <w:r w:rsidRPr="00725208">
        <w:rPr>
          <w:rFonts w:ascii="Arial" w:hAnsi="Arial" w:cs="Arial"/>
          <w:sz w:val="24"/>
          <w:szCs w:val="24"/>
          <w:shd w:val="clear" w:color="auto" w:fill="FFFFFF"/>
        </w:rPr>
        <w:t xml:space="preserve">Wernick, D., (2020), March. Should Lemon Tree Hotels Attempt to Replicate its Inclusion-Based Human Resources Strategy in the US </w:t>
      </w:r>
      <w:proofErr w:type="gramStart"/>
      <w:r w:rsidRPr="00725208">
        <w:rPr>
          <w:rFonts w:ascii="Arial" w:hAnsi="Arial" w:cs="Arial"/>
          <w:sz w:val="24"/>
          <w:szCs w:val="24"/>
          <w:shd w:val="clear" w:color="auto" w:fill="FFFFFF"/>
        </w:rPr>
        <w:t>Market?.</w:t>
      </w:r>
      <w:proofErr w:type="gramEnd"/>
      <w:r w:rsidRPr="00725208">
        <w:rPr>
          <w:rFonts w:ascii="Arial" w:hAnsi="Arial" w:cs="Arial"/>
          <w:sz w:val="24"/>
          <w:szCs w:val="24"/>
          <w:shd w:val="clear" w:color="auto" w:fill="FFFFFF"/>
        </w:rPr>
        <w:t xml:space="preserve"> In </w:t>
      </w:r>
      <w:r w:rsidRPr="00725208">
        <w:rPr>
          <w:rFonts w:ascii="Arial" w:hAnsi="Arial" w:cs="Arial"/>
          <w:i/>
          <w:iCs/>
          <w:sz w:val="24"/>
          <w:szCs w:val="24"/>
          <w:shd w:val="clear" w:color="auto" w:fill="FFFFFF"/>
        </w:rPr>
        <w:t>International Conference on Tourism Research</w:t>
      </w:r>
      <w:r w:rsidRPr="00725208">
        <w:rPr>
          <w:rFonts w:ascii="Arial" w:hAnsi="Arial" w:cs="Arial"/>
          <w:sz w:val="24"/>
          <w:szCs w:val="24"/>
          <w:shd w:val="clear" w:color="auto" w:fill="FFFFFF"/>
        </w:rPr>
        <w:t> (pp. 293-XII). Academic Conferences International Limited.</w:t>
      </w:r>
    </w:p>
    <w:p w14:paraId="7E074E50" w14:textId="77777777" w:rsidR="00F81D54" w:rsidRPr="00A40827" w:rsidRDefault="00F81D54" w:rsidP="00A40827"/>
    <w:sectPr w:rsidR="00F81D54" w:rsidRPr="00A40827" w:rsidSect="00EB7603">
      <w:footerReference w:type="default" r:id="rId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428539"/>
      <w:docPartObj>
        <w:docPartGallery w:val="Page Numbers (Bottom of Page)"/>
        <w:docPartUnique/>
      </w:docPartObj>
    </w:sdtPr>
    <w:sdtEndPr>
      <w:rPr>
        <w:rFonts w:ascii="Times New Roman" w:hAnsi="Times New Roman" w:cs="Times New Roman"/>
        <w:noProof/>
        <w:sz w:val="20"/>
        <w:szCs w:val="20"/>
      </w:rPr>
    </w:sdtEndPr>
    <w:sdtContent>
      <w:p w14:paraId="0FAEABB8" w14:textId="77777777" w:rsidR="00000000" w:rsidRPr="00D11C5E" w:rsidRDefault="00000000">
        <w:pPr>
          <w:pStyle w:val="Footer"/>
          <w:jc w:val="right"/>
          <w:rPr>
            <w:rFonts w:ascii="Times New Roman" w:hAnsi="Times New Roman" w:cs="Times New Roman"/>
            <w:sz w:val="20"/>
            <w:szCs w:val="20"/>
          </w:rPr>
        </w:pPr>
        <w:r w:rsidRPr="00D11C5E">
          <w:rPr>
            <w:rFonts w:ascii="Times New Roman" w:hAnsi="Times New Roman" w:cs="Times New Roman"/>
            <w:sz w:val="20"/>
            <w:szCs w:val="20"/>
          </w:rPr>
          <w:fldChar w:fldCharType="begin"/>
        </w:r>
        <w:r w:rsidRPr="00D11C5E">
          <w:rPr>
            <w:rFonts w:ascii="Times New Roman" w:hAnsi="Times New Roman" w:cs="Times New Roman"/>
            <w:sz w:val="20"/>
            <w:szCs w:val="20"/>
          </w:rPr>
          <w:instrText xml:space="preserve"> PAGE   \* MERGEFORMAT </w:instrText>
        </w:r>
        <w:r w:rsidRPr="00D11C5E">
          <w:rPr>
            <w:rFonts w:ascii="Times New Roman" w:hAnsi="Times New Roman" w:cs="Times New Roman"/>
            <w:sz w:val="20"/>
            <w:szCs w:val="20"/>
          </w:rPr>
          <w:fldChar w:fldCharType="separate"/>
        </w:r>
        <w:r>
          <w:rPr>
            <w:rFonts w:ascii="Times New Roman" w:hAnsi="Times New Roman" w:cs="Times New Roman"/>
            <w:noProof/>
            <w:sz w:val="20"/>
            <w:szCs w:val="20"/>
          </w:rPr>
          <w:t>3</w:t>
        </w:r>
        <w:r w:rsidRPr="00D11C5E">
          <w:rPr>
            <w:rFonts w:ascii="Times New Roman" w:hAnsi="Times New Roman" w:cs="Times New Roman"/>
            <w:noProof/>
            <w:sz w:val="20"/>
            <w:szCs w:val="20"/>
          </w:rPr>
          <w:fldChar w:fldCharType="end"/>
        </w:r>
      </w:p>
    </w:sdtContent>
  </w:sdt>
  <w:p w14:paraId="3AFE6984"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12A"/>
    <w:rsid w:val="000A5B9B"/>
    <w:rsid w:val="003C3276"/>
    <w:rsid w:val="00450464"/>
    <w:rsid w:val="004B2F9B"/>
    <w:rsid w:val="004F4026"/>
    <w:rsid w:val="0053312A"/>
    <w:rsid w:val="00844E6D"/>
    <w:rsid w:val="00A40827"/>
    <w:rsid w:val="00B74214"/>
    <w:rsid w:val="00EB7603"/>
    <w:rsid w:val="00EE0139"/>
    <w:rsid w:val="00F81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AC94"/>
  <w15:chartTrackingRefBased/>
  <w15:docId w15:val="{371BDDDC-614D-49A9-9F35-C39013B9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26"/>
    <w:rPr>
      <w:rFonts w:eastAsiaTheme="minorEastAsia"/>
      <w:lang w:val="en-IN" w:eastAsia="zh-CN"/>
    </w:rPr>
  </w:style>
  <w:style w:type="paragraph" w:styleId="Heading1">
    <w:name w:val="heading 1"/>
    <w:basedOn w:val="Normal"/>
    <w:next w:val="Normal"/>
    <w:link w:val="Heading1Char"/>
    <w:uiPriority w:val="9"/>
    <w:qFormat/>
    <w:rsid w:val="0053312A"/>
    <w:pPr>
      <w:keepNext/>
      <w:keepLines/>
      <w:spacing w:before="360" w:after="80"/>
      <w:outlineLvl w:val="0"/>
    </w:pPr>
    <w:rPr>
      <w:rFonts w:asciiTheme="majorHAnsi" w:eastAsiaTheme="majorEastAsia" w:hAnsiTheme="majorHAnsi" w:cstheme="majorBidi"/>
      <w:color w:val="0F4761" w:themeColor="accent1" w:themeShade="BF"/>
      <w:sz w:val="40"/>
      <w:szCs w:val="40"/>
      <w:lang w:val="en-GB" w:eastAsia="en-US"/>
    </w:rPr>
  </w:style>
  <w:style w:type="paragraph" w:styleId="Heading2">
    <w:name w:val="heading 2"/>
    <w:basedOn w:val="Normal"/>
    <w:next w:val="Normal"/>
    <w:link w:val="Heading2Char"/>
    <w:uiPriority w:val="9"/>
    <w:semiHidden/>
    <w:unhideWhenUsed/>
    <w:qFormat/>
    <w:rsid w:val="0053312A"/>
    <w:pPr>
      <w:keepNext/>
      <w:keepLines/>
      <w:spacing w:before="160" w:after="80"/>
      <w:outlineLvl w:val="1"/>
    </w:pPr>
    <w:rPr>
      <w:rFonts w:asciiTheme="majorHAnsi" w:eastAsiaTheme="majorEastAsia" w:hAnsiTheme="majorHAnsi" w:cstheme="majorBidi"/>
      <w:color w:val="0F4761" w:themeColor="accent1" w:themeShade="BF"/>
      <w:sz w:val="32"/>
      <w:szCs w:val="32"/>
      <w:lang w:val="en-GB" w:eastAsia="en-US"/>
    </w:rPr>
  </w:style>
  <w:style w:type="paragraph" w:styleId="Heading3">
    <w:name w:val="heading 3"/>
    <w:basedOn w:val="Normal"/>
    <w:next w:val="Normal"/>
    <w:link w:val="Heading3Char"/>
    <w:uiPriority w:val="9"/>
    <w:semiHidden/>
    <w:unhideWhenUsed/>
    <w:qFormat/>
    <w:rsid w:val="0053312A"/>
    <w:pPr>
      <w:keepNext/>
      <w:keepLines/>
      <w:spacing w:before="160" w:after="80"/>
      <w:outlineLvl w:val="2"/>
    </w:pPr>
    <w:rPr>
      <w:rFonts w:eastAsiaTheme="majorEastAsia" w:cstheme="majorBidi"/>
      <w:color w:val="0F4761" w:themeColor="accent1" w:themeShade="BF"/>
      <w:sz w:val="28"/>
      <w:szCs w:val="28"/>
      <w:lang w:val="en-GB" w:eastAsia="en-US"/>
    </w:rPr>
  </w:style>
  <w:style w:type="paragraph" w:styleId="Heading4">
    <w:name w:val="heading 4"/>
    <w:basedOn w:val="Normal"/>
    <w:next w:val="Normal"/>
    <w:link w:val="Heading4Char"/>
    <w:uiPriority w:val="9"/>
    <w:semiHidden/>
    <w:unhideWhenUsed/>
    <w:qFormat/>
    <w:rsid w:val="0053312A"/>
    <w:pPr>
      <w:keepNext/>
      <w:keepLines/>
      <w:spacing w:before="80" w:after="40"/>
      <w:outlineLvl w:val="3"/>
    </w:pPr>
    <w:rPr>
      <w:rFonts w:eastAsiaTheme="majorEastAsia" w:cstheme="majorBidi"/>
      <w:i/>
      <w:iCs/>
      <w:color w:val="0F4761" w:themeColor="accent1" w:themeShade="BF"/>
      <w:lang w:val="en-GB" w:eastAsia="en-US"/>
    </w:rPr>
  </w:style>
  <w:style w:type="paragraph" w:styleId="Heading5">
    <w:name w:val="heading 5"/>
    <w:basedOn w:val="Normal"/>
    <w:next w:val="Normal"/>
    <w:link w:val="Heading5Char"/>
    <w:uiPriority w:val="9"/>
    <w:semiHidden/>
    <w:unhideWhenUsed/>
    <w:qFormat/>
    <w:rsid w:val="0053312A"/>
    <w:pPr>
      <w:keepNext/>
      <w:keepLines/>
      <w:spacing w:before="80" w:after="40"/>
      <w:outlineLvl w:val="4"/>
    </w:pPr>
    <w:rPr>
      <w:rFonts w:eastAsiaTheme="majorEastAsia" w:cstheme="majorBidi"/>
      <w:color w:val="0F4761" w:themeColor="accent1" w:themeShade="BF"/>
      <w:lang w:val="en-GB" w:eastAsia="en-US"/>
    </w:rPr>
  </w:style>
  <w:style w:type="paragraph" w:styleId="Heading6">
    <w:name w:val="heading 6"/>
    <w:basedOn w:val="Normal"/>
    <w:next w:val="Normal"/>
    <w:link w:val="Heading6Char"/>
    <w:uiPriority w:val="9"/>
    <w:semiHidden/>
    <w:unhideWhenUsed/>
    <w:qFormat/>
    <w:rsid w:val="0053312A"/>
    <w:pPr>
      <w:keepNext/>
      <w:keepLines/>
      <w:spacing w:before="40" w:after="0"/>
      <w:outlineLvl w:val="5"/>
    </w:pPr>
    <w:rPr>
      <w:rFonts w:eastAsiaTheme="majorEastAsia" w:cstheme="majorBidi"/>
      <w:i/>
      <w:iCs/>
      <w:color w:val="595959" w:themeColor="text1" w:themeTint="A6"/>
      <w:lang w:val="en-GB" w:eastAsia="en-US"/>
    </w:rPr>
  </w:style>
  <w:style w:type="paragraph" w:styleId="Heading7">
    <w:name w:val="heading 7"/>
    <w:basedOn w:val="Normal"/>
    <w:next w:val="Normal"/>
    <w:link w:val="Heading7Char"/>
    <w:uiPriority w:val="9"/>
    <w:semiHidden/>
    <w:unhideWhenUsed/>
    <w:qFormat/>
    <w:rsid w:val="0053312A"/>
    <w:pPr>
      <w:keepNext/>
      <w:keepLines/>
      <w:spacing w:before="40" w:after="0"/>
      <w:outlineLvl w:val="6"/>
    </w:pPr>
    <w:rPr>
      <w:rFonts w:eastAsiaTheme="majorEastAsia" w:cstheme="majorBidi"/>
      <w:color w:val="595959" w:themeColor="text1" w:themeTint="A6"/>
      <w:lang w:val="en-GB" w:eastAsia="en-US"/>
    </w:rPr>
  </w:style>
  <w:style w:type="paragraph" w:styleId="Heading8">
    <w:name w:val="heading 8"/>
    <w:basedOn w:val="Normal"/>
    <w:next w:val="Normal"/>
    <w:link w:val="Heading8Char"/>
    <w:uiPriority w:val="9"/>
    <w:semiHidden/>
    <w:unhideWhenUsed/>
    <w:qFormat/>
    <w:rsid w:val="0053312A"/>
    <w:pPr>
      <w:keepNext/>
      <w:keepLines/>
      <w:spacing w:after="0"/>
      <w:outlineLvl w:val="7"/>
    </w:pPr>
    <w:rPr>
      <w:rFonts w:eastAsiaTheme="majorEastAsia" w:cstheme="majorBidi"/>
      <w:i/>
      <w:iCs/>
      <w:color w:val="272727" w:themeColor="text1" w:themeTint="D8"/>
      <w:lang w:val="en-GB" w:eastAsia="en-US"/>
    </w:rPr>
  </w:style>
  <w:style w:type="paragraph" w:styleId="Heading9">
    <w:name w:val="heading 9"/>
    <w:basedOn w:val="Normal"/>
    <w:next w:val="Normal"/>
    <w:link w:val="Heading9Char"/>
    <w:uiPriority w:val="9"/>
    <w:semiHidden/>
    <w:unhideWhenUsed/>
    <w:qFormat/>
    <w:rsid w:val="0053312A"/>
    <w:pPr>
      <w:keepNext/>
      <w:keepLines/>
      <w:spacing w:after="0"/>
      <w:outlineLvl w:val="8"/>
    </w:pPr>
    <w:rPr>
      <w:rFonts w:eastAsiaTheme="majorEastAsia" w:cstheme="majorBidi"/>
      <w:color w:val="272727" w:themeColor="text1" w:themeTint="D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1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1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1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1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12A"/>
    <w:rPr>
      <w:rFonts w:eastAsiaTheme="majorEastAsia" w:cstheme="majorBidi"/>
      <w:color w:val="272727" w:themeColor="text1" w:themeTint="D8"/>
    </w:rPr>
  </w:style>
  <w:style w:type="paragraph" w:styleId="Title">
    <w:name w:val="Title"/>
    <w:basedOn w:val="Normal"/>
    <w:next w:val="Normal"/>
    <w:link w:val="TitleChar"/>
    <w:uiPriority w:val="10"/>
    <w:qFormat/>
    <w:rsid w:val="0053312A"/>
    <w:pPr>
      <w:spacing w:after="80" w:line="240" w:lineRule="auto"/>
      <w:contextualSpacing/>
    </w:pPr>
    <w:rPr>
      <w:rFonts w:asciiTheme="majorHAnsi" w:eastAsiaTheme="majorEastAsia" w:hAnsiTheme="majorHAnsi" w:cstheme="majorBidi"/>
      <w:spacing w:val="-10"/>
      <w:kern w:val="28"/>
      <w:sz w:val="56"/>
      <w:szCs w:val="56"/>
      <w:lang w:val="en-GB" w:eastAsia="en-US"/>
    </w:rPr>
  </w:style>
  <w:style w:type="character" w:customStyle="1" w:styleId="TitleChar">
    <w:name w:val="Title Char"/>
    <w:basedOn w:val="DefaultParagraphFont"/>
    <w:link w:val="Title"/>
    <w:uiPriority w:val="10"/>
    <w:rsid w:val="00533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12A"/>
    <w:pPr>
      <w:numPr>
        <w:ilvl w:val="1"/>
      </w:numPr>
    </w:pPr>
    <w:rPr>
      <w:rFonts w:eastAsiaTheme="majorEastAsia" w:cstheme="majorBidi"/>
      <w:color w:val="595959" w:themeColor="text1" w:themeTint="A6"/>
      <w:spacing w:val="15"/>
      <w:sz w:val="28"/>
      <w:szCs w:val="28"/>
      <w:lang w:val="en-GB" w:eastAsia="en-US"/>
    </w:rPr>
  </w:style>
  <w:style w:type="character" w:customStyle="1" w:styleId="SubtitleChar">
    <w:name w:val="Subtitle Char"/>
    <w:basedOn w:val="DefaultParagraphFont"/>
    <w:link w:val="Subtitle"/>
    <w:uiPriority w:val="11"/>
    <w:rsid w:val="00533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12A"/>
    <w:pPr>
      <w:spacing w:before="160"/>
      <w:jc w:val="center"/>
    </w:pPr>
    <w:rPr>
      <w:rFonts w:eastAsiaTheme="minorHAnsi"/>
      <w:i/>
      <w:iCs/>
      <w:color w:val="404040" w:themeColor="text1" w:themeTint="BF"/>
      <w:lang w:val="en-GB" w:eastAsia="en-US"/>
    </w:rPr>
  </w:style>
  <w:style w:type="character" w:customStyle="1" w:styleId="QuoteChar">
    <w:name w:val="Quote Char"/>
    <w:basedOn w:val="DefaultParagraphFont"/>
    <w:link w:val="Quote"/>
    <w:uiPriority w:val="29"/>
    <w:rsid w:val="0053312A"/>
    <w:rPr>
      <w:i/>
      <w:iCs/>
      <w:color w:val="404040" w:themeColor="text1" w:themeTint="BF"/>
    </w:rPr>
  </w:style>
  <w:style w:type="paragraph" w:styleId="ListParagraph">
    <w:name w:val="List Paragraph"/>
    <w:basedOn w:val="Normal"/>
    <w:uiPriority w:val="34"/>
    <w:qFormat/>
    <w:rsid w:val="0053312A"/>
    <w:pPr>
      <w:ind w:left="720"/>
      <w:contextualSpacing/>
    </w:pPr>
    <w:rPr>
      <w:rFonts w:eastAsiaTheme="minorHAnsi"/>
      <w:lang w:val="en-GB" w:eastAsia="en-US"/>
    </w:rPr>
  </w:style>
  <w:style w:type="character" w:styleId="IntenseEmphasis">
    <w:name w:val="Intense Emphasis"/>
    <w:basedOn w:val="DefaultParagraphFont"/>
    <w:uiPriority w:val="21"/>
    <w:qFormat/>
    <w:rsid w:val="0053312A"/>
    <w:rPr>
      <w:i/>
      <w:iCs/>
      <w:color w:val="0F4761" w:themeColor="accent1" w:themeShade="BF"/>
    </w:rPr>
  </w:style>
  <w:style w:type="paragraph" w:styleId="IntenseQuote">
    <w:name w:val="Intense Quote"/>
    <w:basedOn w:val="Normal"/>
    <w:next w:val="Normal"/>
    <w:link w:val="IntenseQuoteChar"/>
    <w:uiPriority w:val="30"/>
    <w:qFormat/>
    <w:rsid w:val="0053312A"/>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val="en-GB" w:eastAsia="en-US"/>
    </w:rPr>
  </w:style>
  <w:style w:type="character" w:customStyle="1" w:styleId="IntenseQuoteChar">
    <w:name w:val="Intense Quote Char"/>
    <w:basedOn w:val="DefaultParagraphFont"/>
    <w:link w:val="IntenseQuote"/>
    <w:uiPriority w:val="30"/>
    <w:rsid w:val="0053312A"/>
    <w:rPr>
      <w:i/>
      <w:iCs/>
      <w:color w:val="0F4761" w:themeColor="accent1" w:themeShade="BF"/>
    </w:rPr>
  </w:style>
  <w:style w:type="character" w:styleId="IntenseReference">
    <w:name w:val="Intense Reference"/>
    <w:basedOn w:val="DefaultParagraphFont"/>
    <w:uiPriority w:val="32"/>
    <w:qFormat/>
    <w:rsid w:val="0053312A"/>
    <w:rPr>
      <w:b/>
      <w:bCs/>
      <w:smallCaps/>
      <w:color w:val="0F4761" w:themeColor="accent1" w:themeShade="BF"/>
      <w:spacing w:val="5"/>
    </w:rPr>
  </w:style>
  <w:style w:type="character" w:styleId="Hyperlink">
    <w:name w:val="Hyperlink"/>
    <w:basedOn w:val="DefaultParagraphFont"/>
    <w:uiPriority w:val="99"/>
    <w:unhideWhenUsed/>
    <w:rsid w:val="004F4026"/>
    <w:rPr>
      <w:color w:val="0000FF"/>
      <w:u w:val="single"/>
    </w:rPr>
  </w:style>
  <w:style w:type="paragraph" w:styleId="Footer">
    <w:name w:val="footer"/>
    <w:basedOn w:val="Normal"/>
    <w:link w:val="FooterChar"/>
    <w:uiPriority w:val="99"/>
    <w:unhideWhenUsed/>
    <w:rsid w:val="004B2F9B"/>
    <w:pPr>
      <w:tabs>
        <w:tab w:val="center" w:pos="4513"/>
        <w:tab w:val="right" w:pos="9026"/>
      </w:tabs>
      <w:spacing w:after="0" w:line="240" w:lineRule="auto"/>
    </w:pPr>
    <w:rPr>
      <w:lang w:val="en-GB"/>
      <w14:ligatures w14:val="none"/>
    </w:rPr>
  </w:style>
  <w:style w:type="character" w:customStyle="1" w:styleId="FooterChar">
    <w:name w:val="Footer Char"/>
    <w:basedOn w:val="DefaultParagraphFont"/>
    <w:link w:val="Footer"/>
    <w:uiPriority w:val="99"/>
    <w:rsid w:val="004B2F9B"/>
    <w:rPr>
      <w:rFonts w:eastAsiaTheme="minorEastAsia"/>
      <w:lang w:eastAsia="zh-CN"/>
      <w14:ligatures w14:val="none"/>
    </w:rPr>
  </w:style>
  <w:style w:type="paragraph" w:styleId="NormalWeb">
    <w:name w:val="Normal (Web)"/>
    <w:basedOn w:val="Normal"/>
    <w:uiPriority w:val="99"/>
    <w:unhideWhenUsed/>
    <w:rsid w:val="004B2F9B"/>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yperlink" Target="https://www.premierinn.com/gb/en/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3424</TotalTime>
  <Pages>10</Pages>
  <Words>2959</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Matache (2126293)</dc:creator>
  <cp:keywords/>
  <dc:description/>
  <cp:lastModifiedBy>Florin Matache (2126293)</cp:lastModifiedBy>
  <cp:revision>2</cp:revision>
  <dcterms:created xsi:type="dcterms:W3CDTF">2024-02-01T21:42:00Z</dcterms:created>
  <dcterms:modified xsi:type="dcterms:W3CDTF">2024-02-01T21:42:00Z</dcterms:modified>
</cp:coreProperties>
</file>