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D4B" w:rsidRPr="00EC198C" w:rsidRDefault="000E3D4B" w:rsidP="001801F1">
      <w:pPr>
        <w:pStyle w:val="NormalWeb"/>
        <w:shd w:val="clear" w:color="auto" w:fill="FFFFFF"/>
        <w:spacing w:before="0" w:beforeAutospacing="0" w:after="150" w:afterAutospacing="0" w:line="360" w:lineRule="atLeast"/>
        <w:rPr>
          <w:rFonts w:ascii="Arial" w:hAnsi="Arial" w:cs="Arial"/>
          <w:b/>
        </w:rPr>
      </w:pPr>
      <w:r w:rsidRPr="00EC198C">
        <w:rPr>
          <w:rFonts w:ascii="Arial" w:hAnsi="Arial" w:cs="Arial"/>
          <w:b/>
        </w:rPr>
        <w:t>Supporting Abilities and Behaviour Activity: Partnership Working</w:t>
      </w:r>
      <w:r w:rsidR="00C001D4">
        <w:rPr>
          <w:rFonts w:ascii="Arial" w:hAnsi="Arial" w:cs="Arial"/>
          <w:b/>
        </w:rPr>
        <w:t xml:space="preserve"> </w:t>
      </w:r>
    </w:p>
    <w:p w:rsidR="000E3D4B" w:rsidRPr="00EC198C" w:rsidRDefault="00EC198C" w:rsidP="001801F1">
      <w:pPr>
        <w:pStyle w:val="NormalWeb"/>
        <w:shd w:val="clear" w:color="auto" w:fill="FFFFFF"/>
        <w:spacing w:before="0" w:beforeAutospacing="0" w:after="150" w:afterAutospacing="0" w:line="360" w:lineRule="atLeast"/>
        <w:rPr>
          <w:rFonts w:ascii="Arial" w:hAnsi="Arial" w:cs="Arial"/>
        </w:rPr>
      </w:pPr>
      <w:r w:rsidRPr="00EC198C">
        <w:rPr>
          <w:rFonts w:ascii="Arial" w:hAnsi="Arial" w:cs="Arial"/>
        </w:rPr>
        <w:t xml:space="preserve">Task: Read the case study </w:t>
      </w:r>
      <w:r w:rsidR="00C001D4">
        <w:rPr>
          <w:rFonts w:ascii="Arial" w:hAnsi="Arial" w:cs="Arial"/>
        </w:rPr>
        <w:t xml:space="preserve">below. It is from the </w:t>
      </w:r>
      <w:r w:rsidR="00C001D4" w:rsidRPr="00C001D4">
        <w:rPr>
          <w:rFonts w:ascii="Arial" w:hAnsi="Arial" w:cs="Arial"/>
        </w:rPr>
        <w:t>website of the Gender Identity Development Service, a specialised clinic commissioned by NHS England for young people presenting with difficulties with their gender identity</w:t>
      </w:r>
      <w:r w:rsidRPr="00EC198C">
        <w:rPr>
          <w:rFonts w:ascii="Arial" w:hAnsi="Arial" w:cs="Arial"/>
        </w:rPr>
        <w:t xml:space="preserve">. </w:t>
      </w:r>
      <w:r w:rsidR="000E3D4B" w:rsidRPr="00EC198C">
        <w:rPr>
          <w:rFonts w:ascii="Arial" w:hAnsi="Arial" w:cs="Arial"/>
        </w:rPr>
        <w:t xml:space="preserve">As you </w:t>
      </w:r>
      <w:r w:rsidRPr="00EC198C">
        <w:rPr>
          <w:rFonts w:ascii="Arial" w:hAnsi="Arial" w:cs="Arial"/>
        </w:rPr>
        <w:t>a</w:t>
      </w:r>
      <w:r w:rsidR="000E3D4B" w:rsidRPr="00EC198C">
        <w:rPr>
          <w:rFonts w:ascii="Arial" w:hAnsi="Arial" w:cs="Arial"/>
        </w:rPr>
        <w:t xml:space="preserve">re reading Ed’s case study, consider some of the </w:t>
      </w:r>
      <w:r>
        <w:rPr>
          <w:rFonts w:ascii="Arial" w:hAnsi="Arial" w:cs="Arial"/>
        </w:rPr>
        <w:t xml:space="preserve">benefits and </w:t>
      </w:r>
      <w:r w:rsidR="000E3D4B" w:rsidRPr="00EC198C">
        <w:rPr>
          <w:rFonts w:ascii="Arial" w:hAnsi="Arial" w:cs="Arial"/>
        </w:rPr>
        <w:t xml:space="preserve">challenges of multi-agency working. Make notes and compare your answers to the discussion following the case study. </w:t>
      </w:r>
    </w:p>
    <w:p w:rsidR="000E3D4B" w:rsidRPr="00EC198C" w:rsidRDefault="00EC198C" w:rsidP="000E3D4B">
      <w:pPr>
        <w:pStyle w:val="NormalWeb"/>
        <w:shd w:val="clear" w:color="auto" w:fill="FFFFFF"/>
        <w:spacing w:after="150" w:line="360" w:lineRule="atLeast"/>
        <w:rPr>
          <w:rFonts w:ascii="Arial" w:hAnsi="Arial" w:cs="Arial"/>
          <w:b/>
        </w:rPr>
      </w:pPr>
      <w:r w:rsidRPr="00EC198C">
        <w:rPr>
          <w:rFonts w:ascii="Arial" w:hAnsi="Arial" w:cs="Arial"/>
          <w:b/>
        </w:rPr>
        <w:t xml:space="preserve">Case study: </w:t>
      </w:r>
      <w:r w:rsidR="000E3D4B" w:rsidRPr="00EC198C">
        <w:rPr>
          <w:rFonts w:ascii="Arial" w:hAnsi="Arial" w:cs="Arial"/>
          <w:b/>
        </w:rPr>
        <w:t>Ed</w:t>
      </w:r>
    </w:p>
    <w:p w:rsidR="000E3D4B" w:rsidRPr="00EC198C" w:rsidRDefault="000E3D4B" w:rsidP="00C001D4">
      <w:pPr>
        <w:pStyle w:val="NormalWeb"/>
        <w:shd w:val="clear" w:color="auto" w:fill="FFFFFF"/>
        <w:spacing w:line="360" w:lineRule="atLeast"/>
        <w:rPr>
          <w:rFonts w:ascii="Arial" w:hAnsi="Arial" w:cs="Arial"/>
        </w:rPr>
      </w:pPr>
      <w:r w:rsidRPr="00EC198C">
        <w:rPr>
          <w:rFonts w:ascii="Arial" w:hAnsi="Arial" w:cs="Arial"/>
        </w:rPr>
        <w:t xml:space="preserve">Ed was a nine year old biological boy who was referred by his local CAMHS </w:t>
      </w:r>
      <w:r w:rsidR="00C001D4">
        <w:rPr>
          <w:rFonts w:ascii="Arial" w:hAnsi="Arial" w:cs="Arial"/>
        </w:rPr>
        <w:t xml:space="preserve">(Child and Adolescent Mental Health Service) </w:t>
      </w:r>
      <w:bookmarkStart w:id="0" w:name="_GoBack"/>
      <w:bookmarkEnd w:id="0"/>
      <w:r w:rsidRPr="00EC198C">
        <w:rPr>
          <w:rFonts w:ascii="Arial" w:hAnsi="Arial" w:cs="Arial"/>
        </w:rPr>
        <w:t>due to persistently playing with girls toys and dressing up in female clothes. Ed had experienced bullying, falling behind with school work and difficult peer relations. A history of domestic violence was reported as well as maternal anxiety. Ed was not able to attend meetings in London as his mother did not travel out of the town where they lived. We arranged to meet with Ed and his mother at their local CAMHS for the initial assessment session. We followed this with a meeting at the local hospital to meet with the rest of the professional system. Many professionals had become involved which led to Ed’s mother feeling anxious and confused about their roles and level of intrusion. The network meeting was an opportunity to clarify roles and agree and communicate these with Ed and his mother. Given the difficulty of accessing the GIDS a process of indirect work was agreed so that Ed could be assessed without having to come to London. Given a history of domestic violence, elements of risk were shared across the agencies with risk assessments being documented and communicated appropriately.</w:t>
      </w:r>
    </w:p>
    <w:p w:rsidR="000E3D4B" w:rsidRPr="00EC198C" w:rsidRDefault="000E3D4B" w:rsidP="000E3D4B">
      <w:pPr>
        <w:pStyle w:val="NormalWeb"/>
        <w:shd w:val="clear" w:color="auto" w:fill="FFFFFF"/>
        <w:spacing w:after="150" w:line="360" w:lineRule="atLeast"/>
        <w:rPr>
          <w:rFonts w:ascii="Arial" w:hAnsi="Arial" w:cs="Arial"/>
        </w:rPr>
      </w:pPr>
      <w:r w:rsidRPr="00EC198C">
        <w:rPr>
          <w:rFonts w:ascii="Arial" w:hAnsi="Arial" w:cs="Arial"/>
        </w:rPr>
        <w:t>Ed was unsure about his feelings regarding his gender identity and concerned about the effects of social prejudices such as he experienced with the school bullying. This influenced Ed’s mother’s ambivalence about engaging with services preferring not to continue to seek professional input to address the issues. Some staff members involved had to leave their service and this resulted in further discontinuity for Ed. Follow up meetings aimed to elicit and address different perspectives on Ed’s presentation and to generate a context where ideas, beliefs, alternative meanings and behaviours could emerge (</w:t>
      </w:r>
      <w:proofErr w:type="spellStart"/>
      <w:r w:rsidRPr="00EC198C">
        <w:rPr>
          <w:rFonts w:ascii="Arial" w:hAnsi="Arial" w:cs="Arial"/>
        </w:rPr>
        <w:t>Bor</w:t>
      </w:r>
      <w:proofErr w:type="spellEnd"/>
      <w:r w:rsidRPr="00EC198C">
        <w:rPr>
          <w:rFonts w:ascii="Arial" w:hAnsi="Arial" w:cs="Arial"/>
        </w:rPr>
        <w:t xml:space="preserve"> and Miller, 1991). Some professionals had begun to feel hopeless due to the inconsistent engagement so providing this context was found to be highly valuable.</w:t>
      </w:r>
    </w:p>
    <w:p w:rsidR="00C001D4" w:rsidRDefault="00EC198C" w:rsidP="000E3D4B">
      <w:pPr>
        <w:pStyle w:val="NormalWeb"/>
        <w:shd w:val="clear" w:color="auto" w:fill="FFFFFF"/>
        <w:spacing w:after="150" w:line="360" w:lineRule="atLeast"/>
        <w:rPr>
          <w:rFonts w:ascii="Arial" w:hAnsi="Arial" w:cs="Arial"/>
          <w:b/>
        </w:rPr>
      </w:pPr>
      <w:r w:rsidRPr="00EC198C">
        <w:rPr>
          <w:rFonts w:ascii="Arial" w:hAnsi="Arial" w:cs="Arial"/>
          <w:b/>
        </w:rPr>
        <w:t>Notes</w:t>
      </w:r>
    </w:p>
    <w:p w:rsidR="00EC198C" w:rsidRPr="00EC198C" w:rsidRDefault="00EC198C" w:rsidP="000E3D4B">
      <w:pPr>
        <w:pStyle w:val="NormalWeb"/>
        <w:shd w:val="clear" w:color="auto" w:fill="FFFFFF"/>
        <w:spacing w:after="150" w:line="360" w:lineRule="atLeast"/>
        <w:rPr>
          <w:rFonts w:ascii="Arial" w:hAnsi="Arial" w:cs="Arial"/>
          <w:b/>
        </w:rPr>
      </w:pPr>
      <w:r w:rsidRPr="00EC198C">
        <w:rPr>
          <w:rFonts w:ascii="Arial" w:hAnsi="Arial" w:cs="Arial"/>
          <w:b/>
        </w:rPr>
        <w:t>……………………………………………………………………………………………………………………………………………………………………………………………………………………………………………………………………………………………………………………………………………………………………………………………………………………………………………………………………………………………………………………………………………………</w:t>
      </w:r>
      <w:r w:rsidRPr="00EC198C">
        <w:rPr>
          <w:rFonts w:ascii="Arial" w:hAnsi="Arial" w:cs="Arial"/>
          <w:b/>
        </w:rPr>
        <w:lastRenderedPageBreak/>
        <w:t>…………………………………………………………………………………………………………………………………………………………………………………………………………………………………………………………………………………………………………………………………………………………………………………………………………………………………………………………………………………………………………………………………………………………………………………………………………………………………………………………………………………………………………………………………………………………………………………………………………………</w:t>
      </w:r>
      <w:r>
        <w:rPr>
          <w:rFonts w:ascii="Arial" w:hAnsi="Arial" w:cs="Arial"/>
          <w:b/>
        </w:rPr>
        <w:t>……………………………………………………………</w:t>
      </w:r>
    </w:p>
    <w:p w:rsidR="00EC198C" w:rsidRPr="00EC198C" w:rsidRDefault="00EC198C" w:rsidP="000E3D4B">
      <w:pPr>
        <w:pStyle w:val="NormalWeb"/>
        <w:shd w:val="clear" w:color="auto" w:fill="FFFFFF"/>
        <w:spacing w:after="150" w:line="360" w:lineRule="atLeast"/>
        <w:rPr>
          <w:rFonts w:ascii="Arial" w:hAnsi="Arial" w:cs="Arial"/>
          <w:b/>
        </w:rPr>
      </w:pPr>
    </w:p>
    <w:p w:rsidR="00EC198C" w:rsidRPr="00EC198C" w:rsidRDefault="00EC198C" w:rsidP="000E3D4B">
      <w:pPr>
        <w:pStyle w:val="NormalWeb"/>
        <w:shd w:val="clear" w:color="auto" w:fill="FFFFFF"/>
        <w:spacing w:after="150" w:line="360" w:lineRule="atLeast"/>
        <w:rPr>
          <w:rFonts w:ascii="Arial" w:hAnsi="Arial" w:cs="Arial"/>
          <w:b/>
        </w:rPr>
      </w:pPr>
      <w:r w:rsidRPr="00EC198C">
        <w:rPr>
          <w:rFonts w:ascii="Arial" w:hAnsi="Arial" w:cs="Arial"/>
          <w:b/>
        </w:rPr>
        <w:t>Discussion</w:t>
      </w:r>
    </w:p>
    <w:p w:rsidR="00EC198C" w:rsidRPr="00EC198C" w:rsidRDefault="00EC198C" w:rsidP="00EC198C">
      <w:pPr>
        <w:pStyle w:val="NormalWeb"/>
        <w:shd w:val="clear" w:color="auto" w:fill="FFFFFF"/>
        <w:spacing w:after="150" w:line="360" w:lineRule="atLeast"/>
        <w:rPr>
          <w:rFonts w:ascii="Arial" w:hAnsi="Arial" w:cs="Arial"/>
        </w:rPr>
      </w:pPr>
      <w:r w:rsidRPr="00EC198C">
        <w:rPr>
          <w:rFonts w:ascii="Arial" w:hAnsi="Arial" w:cs="Arial"/>
        </w:rPr>
        <w:t xml:space="preserve">Network meetings amongst professionals followed by involving the young person and their family are vital in facilitating communication between professionals from different contexts, with different goals, funding streams and foci. It is important for the young person and their family to feel empowered by understanding the role of each professional involved in their care, to understand and consent to their treatment, and be offered consistency and predictability.  </w:t>
      </w:r>
    </w:p>
    <w:p w:rsidR="00EC198C" w:rsidRPr="00EC198C" w:rsidRDefault="00EC198C" w:rsidP="00EC198C">
      <w:pPr>
        <w:pStyle w:val="NormalWeb"/>
        <w:shd w:val="clear" w:color="auto" w:fill="FFFFFF"/>
        <w:spacing w:after="150" w:line="360" w:lineRule="atLeast"/>
        <w:rPr>
          <w:rFonts w:ascii="Arial" w:hAnsi="Arial" w:cs="Arial"/>
        </w:rPr>
      </w:pPr>
      <w:r w:rsidRPr="00EC198C">
        <w:rPr>
          <w:rFonts w:ascii="Arial" w:hAnsi="Arial" w:cs="Arial"/>
        </w:rPr>
        <w:t>For professionals clear aims, roles and responsibilities and timetables need to be agreed between the involved agencies. Moreover, commitment at all levels of the organisations involved and good systems of communication and information sharing should be facilitated. Guidelines about sharing information are always followed and the implications of confidentiality for each service and for the meeting as a whole are discussed at the beginning of each meeting. The network meetings also facilitate the assessment of risk and clarify each professional’s responsibilities.</w:t>
      </w:r>
    </w:p>
    <w:p w:rsidR="00EC198C" w:rsidRPr="00EC198C" w:rsidRDefault="00EC198C" w:rsidP="00EC198C">
      <w:pPr>
        <w:pStyle w:val="NormalWeb"/>
        <w:shd w:val="clear" w:color="auto" w:fill="FFFFFF"/>
        <w:spacing w:after="150" w:line="360" w:lineRule="atLeast"/>
        <w:rPr>
          <w:rFonts w:ascii="Arial" w:hAnsi="Arial" w:cs="Arial"/>
        </w:rPr>
      </w:pPr>
      <w:r w:rsidRPr="00EC198C">
        <w:rPr>
          <w:rFonts w:ascii="Arial" w:hAnsi="Arial" w:cs="Arial"/>
        </w:rPr>
        <w:t>The challenges of multi-agency working include the complexity of different organisational cultures and their priorities for example different organisations will have different targets to meet. Sometimes work with a particular family will need long term intervention which some services will not be set up to carry out and therefore a handover to other services will be required (e.g., from a young person’s service to an Adult service). There will sometimes be differences between services or between the family and an involved service in formulating difficulties and the appropriate treatment. Professionals may hold different ideas about physical treatment (e.g., the timing of certain physical interventions) from each other and the individual and their family. Problems with housing and financing will often have a significant impact on the individual and the families’ access to services, their priorities and level of engagement. Each of these needs to be explicitly addressed.</w:t>
      </w:r>
    </w:p>
    <w:p w:rsidR="00EC198C" w:rsidRPr="00EC198C" w:rsidRDefault="00EC198C" w:rsidP="00EC198C">
      <w:pPr>
        <w:pStyle w:val="NormalWeb"/>
        <w:shd w:val="clear" w:color="auto" w:fill="FFFFFF"/>
        <w:spacing w:after="150" w:line="360" w:lineRule="atLeast"/>
        <w:rPr>
          <w:rFonts w:ascii="Arial" w:hAnsi="Arial" w:cs="Arial"/>
        </w:rPr>
      </w:pPr>
      <w:r w:rsidRPr="00EC198C">
        <w:rPr>
          <w:rFonts w:ascii="Arial" w:hAnsi="Arial" w:cs="Arial"/>
        </w:rPr>
        <w:lastRenderedPageBreak/>
        <w:t>Moreover, despite the agreement of a plan of action at a team meeting a number of follow up actions are often not followed through due to the problematic engagement of the family, as with Ed. Resources in different organisations or services vary and different services will have different referral thresholds and ways of engaging the young person which may mean discontinuing the offer of a service if the young person does not attend/has difficulty engaging. Furthermore, funding can hinder the speed and amount a service can offer. Long distance travelling takes up economic resources and time which decreases the availability of staff.</w:t>
      </w:r>
    </w:p>
    <w:p w:rsidR="00EC198C" w:rsidRPr="00EC198C" w:rsidRDefault="00EC198C" w:rsidP="00EC198C">
      <w:pPr>
        <w:pStyle w:val="NormalWeb"/>
        <w:shd w:val="clear" w:color="auto" w:fill="FFFFFF"/>
        <w:spacing w:after="150" w:line="360" w:lineRule="atLeast"/>
        <w:rPr>
          <w:rFonts w:ascii="Arial" w:hAnsi="Arial" w:cs="Arial"/>
        </w:rPr>
      </w:pPr>
      <w:r w:rsidRPr="00EC198C">
        <w:rPr>
          <w:rFonts w:ascii="Arial" w:hAnsi="Arial" w:cs="Arial"/>
        </w:rPr>
        <w:t>Despite the challenges, multi-agency working is vital and the advantages are testament to this. We have found that working in this way improves the overall experience for the young person and their family by reducing stigma (e.g. by combating problems at school such as bullying), increasing understanding by finding a common language with which to explore gender and the early identification/intervention for mental health or other problems. Multi-agency working can also promote social inclusion and enable a holistic approach by information sharing and raising awareness/understanding of other agencies (Atkinson, Wilkin, Stott, Doherty and Kinder, 2002). Therefore, support and training in multi-agency working for staff and research on what works and why, is recommended.</w:t>
      </w:r>
    </w:p>
    <w:p w:rsidR="00EC198C" w:rsidRPr="00EC198C" w:rsidRDefault="00EC198C" w:rsidP="000E3D4B">
      <w:pPr>
        <w:pStyle w:val="NormalWeb"/>
        <w:shd w:val="clear" w:color="auto" w:fill="FFFFFF"/>
        <w:spacing w:after="150" w:line="360" w:lineRule="atLeast"/>
        <w:rPr>
          <w:rFonts w:ascii="Arial" w:hAnsi="Arial" w:cs="Arial"/>
          <w:b/>
        </w:rPr>
      </w:pPr>
      <w:r w:rsidRPr="00EC198C">
        <w:rPr>
          <w:rFonts w:ascii="Arial" w:hAnsi="Arial" w:cs="Arial"/>
          <w:b/>
        </w:rPr>
        <w:t>References</w:t>
      </w:r>
    </w:p>
    <w:p w:rsidR="00EC198C" w:rsidRPr="00EC198C" w:rsidRDefault="00EC198C" w:rsidP="000E3D4B">
      <w:pPr>
        <w:pStyle w:val="NormalWeb"/>
        <w:shd w:val="clear" w:color="auto" w:fill="FFFFFF"/>
        <w:spacing w:after="150" w:line="360" w:lineRule="atLeast"/>
        <w:rPr>
          <w:rFonts w:ascii="Arial" w:hAnsi="Arial" w:cs="Arial"/>
        </w:rPr>
      </w:pPr>
      <w:r w:rsidRPr="00EC198C">
        <w:rPr>
          <w:rFonts w:ascii="Arial" w:hAnsi="Arial" w:cs="Arial"/>
        </w:rPr>
        <w:t xml:space="preserve">Atkinson, M., Wilkin, A., Stott, A., Doherty, P. &amp; Kinder, K. (2002). </w:t>
      </w:r>
      <w:r w:rsidRPr="00EC198C">
        <w:rPr>
          <w:rFonts w:ascii="Arial" w:hAnsi="Arial" w:cs="Arial"/>
          <w:i/>
        </w:rPr>
        <w:t>Multi-agency Working: A Detailed Study</w:t>
      </w:r>
      <w:r w:rsidRPr="00EC198C">
        <w:rPr>
          <w:rFonts w:ascii="Arial" w:hAnsi="Arial" w:cs="Arial"/>
        </w:rPr>
        <w:t>. (LGA Research Report 26). Slough: NFER</w:t>
      </w:r>
    </w:p>
    <w:p w:rsidR="00EC198C" w:rsidRPr="00EC198C" w:rsidRDefault="00EC198C" w:rsidP="000E3D4B">
      <w:pPr>
        <w:pStyle w:val="NormalWeb"/>
        <w:shd w:val="clear" w:color="auto" w:fill="FFFFFF"/>
        <w:spacing w:after="150" w:line="360" w:lineRule="atLeast"/>
        <w:rPr>
          <w:rFonts w:ascii="Arial" w:hAnsi="Arial" w:cs="Arial"/>
        </w:rPr>
      </w:pPr>
      <w:proofErr w:type="spellStart"/>
      <w:r w:rsidRPr="00EC198C">
        <w:rPr>
          <w:rFonts w:ascii="Arial" w:hAnsi="Arial" w:cs="Arial"/>
        </w:rPr>
        <w:t>Bor</w:t>
      </w:r>
      <w:proofErr w:type="spellEnd"/>
      <w:r w:rsidRPr="00EC198C">
        <w:rPr>
          <w:rFonts w:ascii="Arial" w:hAnsi="Arial" w:cs="Arial"/>
        </w:rPr>
        <w:t xml:space="preserve">, R. &amp; Miller, R. (1991). </w:t>
      </w:r>
      <w:r w:rsidRPr="00EC198C">
        <w:rPr>
          <w:rFonts w:ascii="Arial" w:hAnsi="Arial" w:cs="Arial"/>
          <w:i/>
        </w:rPr>
        <w:t>Internal Consultation in Health Care Settings</w:t>
      </w:r>
      <w:r w:rsidRPr="00EC198C">
        <w:rPr>
          <w:rFonts w:ascii="Arial" w:hAnsi="Arial" w:cs="Arial"/>
        </w:rPr>
        <w:t xml:space="preserve">. London: </w:t>
      </w:r>
      <w:proofErr w:type="spellStart"/>
      <w:r w:rsidRPr="00EC198C">
        <w:rPr>
          <w:rFonts w:ascii="Arial" w:hAnsi="Arial" w:cs="Arial"/>
        </w:rPr>
        <w:t>Karnac</w:t>
      </w:r>
      <w:proofErr w:type="spellEnd"/>
      <w:r w:rsidRPr="00EC198C">
        <w:rPr>
          <w:rFonts w:ascii="Arial" w:hAnsi="Arial" w:cs="Arial"/>
        </w:rPr>
        <w:t xml:space="preserve"> Books.</w:t>
      </w:r>
    </w:p>
    <w:p w:rsidR="009053D9" w:rsidRPr="00EC198C" w:rsidRDefault="00EC198C" w:rsidP="00C001D4">
      <w:pPr>
        <w:pStyle w:val="NormalWeb"/>
        <w:shd w:val="clear" w:color="auto" w:fill="FFFFFF"/>
        <w:spacing w:after="150" w:line="360" w:lineRule="atLeast"/>
      </w:pPr>
      <w:r>
        <w:rPr>
          <w:rFonts w:ascii="Arial" w:hAnsi="Arial" w:cs="Arial"/>
        </w:rPr>
        <w:t xml:space="preserve">Gender Identity Development Service (2019) </w:t>
      </w:r>
      <w:r w:rsidRPr="00EC198C">
        <w:rPr>
          <w:rFonts w:ascii="Arial" w:hAnsi="Arial" w:cs="Arial"/>
          <w:i/>
        </w:rPr>
        <w:t>Examples of multi-agency working</w:t>
      </w:r>
      <w:r>
        <w:rPr>
          <w:rFonts w:ascii="Arial" w:hAnsi="Arial" w:cs="Arial"/>
          <w:i/>
        </w:rPr>
        <w:t xml:space="preserve"> </w:t>
      </w:r>
      <w:r>
        <w:rPr>
          <w:rFonts w:ascii="Arial" w:hAnsi="Arial" w:cs="Arial"/>
        </w:rPr>
        <w:t xml:space="preserve">Online, available at: </w:t>
      </w:r>
      <w:r w:rsidRPr="00EC198C">
        <w:rPr>
          <w:rFonts w:ascii="Arial" w:hAnsi="Arial" w:cs="Arial"/>
        </w:rPr>
        <w:t>https://gids.nhs.uk/eracleous-davidson-2009</w:t>
      </w:r>
      <w:r w:rsidR="00C001D4">
        <w:rPr>
          <w:rFonts w:ascii="Arial" w:hAnsi="Arial" w:cs="Arial"/>
        </w:rPr>
        <w:t xml:space="preserve"> Accessed 18.3.20</w:t>
      </w:r>
    </w:p>
    <w:sectPr w:rsidR="009053D9" w:rsidRPr="00EC198C" w:rsidSect="00C001D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1F1"/>
    <w:rsid w:val="00074919"/>
    <w:rsid w:val="000E3D4B"/>
    <w:rsid w:val="001801F1"/>
    <w:rsid w:val="001B4E31"/>
    <w:rsid w:val="00266756"/>
    <w:rsid w:val="00292E93"/>
    <w:rsid w:val="004053C6"/>
    <w:rsid w:val="009053D9"/>
    <w:rsid w:val="00A045D2"/>
    <w:rsid w:val="00B604BF"/>
    <w:rsid w:val="00BE4AA4"/>
    <w:rsid w:val="00C001D4"/>
    <w:rsid w:val="00EC198C"/>
    <w:rsid w:val="00F4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D81B03-9905-4DE1-A95B-8D83455EF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01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3D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62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Stephanie Jones</cp:lastModifiedBy>
  <cp:revision>2</cp:revision>
  <dcterms:created xsi:type="dcterms:W3CDTF">2020-03-18T17:33:00Z</dcterms:created>
  <dcterms:modified xsi:type="dcterms:W3CDTF">2020-03-18T17:33:00Z</dcterms:modified>
</cp:coreProperties>
</file>