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84F22" w14:textId="066BC98D" w:rsidR="004D624C" w:rsidRDefault="004D624C" w:rsidP="00A00489">
      <w:pPr>
        <w:spacing w:line="360" w:lineRule="auto"/>
        <w:jc w:val="center"/>
        <w:rPr>
          <w:rFonts w:asciiTheme="minorBidi" w:hAnsiTheme="minorBidi"/>
          <w:b/>
          <w:bCs/>
          <w:sz w:val="24"/>
          <w:szCs w:val="24"/>
          <w:u w:val="single"/>
        </w:rPr>
      </w:pPr>
      <w:r w:rsidRPr="002342BD">
        <w:rPr>
          <w:rFonts w:asciiTheme="minorBidi" w:hAnsiTheme="minorBidi"/>
          <w:b/>
          <w:bCs/>
          <w:sz w:val="24"/>
          <w:szCs w:val="24"/>
          <w:u w:val="single"/>
        </w:rPr>
        <w:t>Title/ Cover page</w:t>
      </w:r>
    </w:p>
    <w:p w14:paraId="02675313" w14:textId="77777777" w:rsidR="00C660A6" w:rsidRDefault="00C660A6" w:rsidP="001161B6">
      <w:pPr>
        <w:jc w:val="center"/>
        <w:rPr>
          <w:rFonts w:asciiTheme="minorBidi" w:hAnsiTheme="minorBidi"/>
          <w:b/>
          <w:bCs/>
          <w:sz w:val="24"/>
          <w:szCs w:val="24"/>
        </w:rPr>
      </w:pPr>
      <w:r w:rsidRPr="0049634D">
        <w:rPr>
          <w:rFonts w:asciiTheme="minorBidi" w:hAnsiTheme="minorBidi"/>
          <w:b/>
          <w:bCs/>
          <w:sz w:val="24"/>
          <w:szCs w:val="24"/>
        </w:rPr>
        <w:t xml:space="preserve">Name: Eduardo Polanco Adoka </w:t>
      </w:r>
    </w:p>
    <w:p w14:paraId="50EAA0F2" w14:textId="77777777" w:rsidR="00C660A6" w:rsidRDefault="00C660A6" w:rsidP="001161B6">
      <w:pPr>
        <w:jc w:val="center"/>
        <w:rPr>
          <w:rFonts w:asciiTheme="minorBidi" w:hAnsiTheme="minorBidi"/>
          <w:b/>
          <w:bCs/>
          <w:sz w:val="24"/>
          <w:szCs w:val="24"/>
        </w:rPr>
      </w:pPr>
      <w:r>
        <w:rPr>
          <w:rFonts w:asciiTheme="minorBidi" w:hAnsiTheme="minorBidi"/>
          <w:b/>
          <w:bCs/>
          <w:sz w:val="24"/>
          <w:szCs w:val="24"/>
        </w:rPr>
        <w:t xml:space="preserve">ID: 2132108 </w:t>
      </w:r>
    </w:p>
    <w:p w14:paraId="542D41BA" w14:textId="77777777" w:rsidR="00C660A6" w:rsidRDefault="00C660A6" w:rsidP="001161B6">
      <w:pPr>
        <w:jc w:val="center"/>
        <w:rPr>
          <w:rFonts w:asciiTheme="minorBidi" w:hAnsiTheme="minorBidi"/>
          <w:b/>
          <w:bCs/>
          <w:sz w:val="24"/>
          <w:szCs w:val="24"/>
        </w:rPr>
      </w:pPr>
      <w:r>
        <w:rPr>
          <w:rFonts w:asciiTheme="minorBidi" w:hAnsiTheme="minorBidi"/>
          <w:b/>
          <w:bCs/>
          <w:sz w:val="24"/>
          <w:szCs w:val="24"/>
        </w:rPr>
        <w:t xml:space="preserve">Module: Management &amp; Organisational Behaviour </w:t>
      </w:r>
    </w:p>
    <w:p w14:paraId="673F56EF" w14:textId="77777777" w:rsidR="00C660A6" w:rsidRPr="0049634D" w:rsidRDefault="00C660A6" w:rsidP="001161B6">
      <w:pPr>
        <w:jc w:val="center"/>
        <w:rPr>
          <w:rFonts w:asciiTheme="minorBidi" w:hAnsiTheme="minorBidi"/>
          <w:b/>
          <w:bCs/>
          <w:sz w:val="24"/>
          <w:szCs w:val="24"/>
        </w:rPr>
      </w:pPr>
      <w:r>
        <w:rPr>
          <w:rFonts w:asciiTheme="minorBidi" w:hAnsiTheme="minorBidi"/>
          <w:b/>
          <w:bCs/>
          <w:sz w:val="24"/>
          <w:szCs w:val="24"/>
        </w:rPr>
        <w:t>Module Code : BMIH5004</w:t>
      </w:r>
    </w:p>
    <w:p w14:paraId="03F6EAEA" w14:textId="77777777" w:rsidR="00C660A6" w:rsidRDefault="00C660A6" w:rsidP="001161B6">
      <w:pPr>
        <w:jc w:val="center"/>
        <w:rPr>
          <w:rFonts w:asciiTheme="minorBidi" w:hAnsiTheme="minorBidi"/>
          <w:b/>
          <w:bCs/>
          <w:sz w:val="24"/>
          <w:szCs w:val="24"/>
        </w:rPr>
      </w:pPr>
      <w:r w:rsidRPr="00204EF1">
        <w:rPr>
          <w:rFonts w:asciiTheme="minorBidi" w:hAnsiTheme="minorBidi"/>
          <w:b/>
          <w:bCs/>
          <w:sz w:val="24"/>
          <w:szCs w:val="24"/>
        </w:rPr>
        <w:t>Lecturer : Ben Chong</w:t>
      </w:r>
    </w:p>
    <w:p w14:paraId="329ECF8D" w14:textId="77777777" w:rsidR="00C660A6" w:rsidRPr="00204EF1" w:rsidRDefault="00C660A6" w:rsidP="001161B6">
      <w:pPr>
        <w:jc w:val="center"/>
        <w:rPr>
          <w:rFonts w:asciiTheme="minorBidi" w:hAnsiTheme="minorBidi"/>
          <w:b/>
          <w:bCs/>
          <w:sz w:val="24"/>
          <w:szCs w:val="24"/>
        </w:rPr>
      </w:pPr>
      <w:r>
        <w:rPr>
          <w:rFonts w:asciiTheme="minorBidi" w:hAnsiTheme="minorBidi"/>
          <w:b/>
          <w:bCs/>
          <w:sz w:val="24"/>
          <w:szCs w:val="24"/>
        </w:rPr>
        <w:t>Assignment title: Report</w:t>
      </w:r>
    </w:p>
    <w:p w14:paraId="4602213D" w14:textId="0EB63D53" w:rsidR="0006446A" w:rsidRDefault="0006446A" w:rsidP="00A00489">
      <w:pPr>
        <w:spacing w:line="360" w:lineRule="auto"/>
        <w:jc w:val="center"/>
        <w:rPr>
          <w:rFonts w:asciiTheme="minorBidi" w:hAnsiTheme="minorBidi"/>
          <w:b/>
          <w:bCs/>
          <w:sz w:val="24"/>
          <w:szCs w:val="24"/>
          <w:u w:val="single"/>
        </w:rPr>
      </w:pPr>
    </w:p>
    <w:p w14:paraId="523C93BC" w14:textId="77777777" w:rsidR="0006446A" w:rsidRPr="002342BD" w:rsidRDefault="0006446A" w:rsidP="00A00489">
      <w:pPr>
        <w:spacing w:line="360" w:lineRule="auto"/>
        <w:jc w:val="center"/>
        <w:rPr>
          <w:rFonts w:asciiTheme="minorBidi" w:hAnsiTheme="minorBidi"/>
          <w:b/>
          <w:bCs/>
          <w:sz w:val="24"/>
          <w:szCs w:val="24"/>
          <w:u w:val="single"/>
        </w:rPr>
      </w:pPr>
    </w:p>
    <w:p w14:paraId="2CFDFBFC" w14:textId="23328C17" w:rsidR="00266118" w:rsidRPr="00204EF1" w:rsidRDefault="00E9444C" w:rsidP="00AE26AA">
      <w:pPr>
        <w:rPr>
          <w:rFonts w:asciiTheme="minorBidi" w:hAnsiTheme="minorBidi"/>
          <w:b/>
          <w:bCs/>
          <w:sz w:val="24"/>
          <w:szCs w:val="24"/>
        </w:rPr>
      </w:pPr>
      <w:r w:rsidRPr="002342BD">
        <w:rPr>
          <w:rFonts w:asciiTheme="minorBidi" w:hAnsiTheme="minorBidi"/>
          <w:b/>
          <w:bCs/>
          <w:sz w:val="24"/>
          <w:szCs w:val="24"/>
          <w:u w:val="single"/>
        </w:rPr>
        <w:br w:type="page"/>
      </w:r>
    </w:p>
    <w:p w14:paraId="7A8B37FA" w14:textId="26B8BB27" w:rsidR="004D624C" w:rsidRPr="002342BD" w:rsidRDefault="004D624C" w:rsidP="00C34DB8">
      <w:pPr>
        <w:spacing w:line="360" w:lineRule="auto"/>
        <w:jc w:val="center"/>
        <w:rPr>
          <w:rFonts w:asciiTheme="minorBidi" w:hAnsiTheme="minorBidi"/>
          <w:b/>
          <w:bCs/>
          <w:sz w:val="24"/>
          <w:szCs w:val="24"/>
          <w:u w:val="single"/>
        </w:rPr>
      </w:pPr>
      <w:r w:rsidRPr="002342BD">
        <w:rPr>
          <w:rFonts w:asciiTheme="minorBidi" w:hAnsiTheme="minorBidi"/>
          <w:b/>
          <w:bCs/>
          <w:sz w:val="24"/>
          <w:szCs w:val="24"/>
          <w:u w:val="single"/>
        </w:rPr>
        <w:lastRenderedPageBreak/>
        <w:t>Executive Summary</w:t>
      </w:r>
    </w:p>
    <w:p w14:paraId="58B87AD7" w14:textId="7311B529" w:rsidR="00572E0C" w:rsidRPr="002342BD" w:rsidRDefault="00BA5F4B" w:rsidP="00A00489">
      <w:pPr>
        <w:spacing w:line="360" w:lineRule="auto"/>
        <w:jc w:val="both"/>
        <w:rPr>
          <w:rFonts w:asciiTheme="minorBidi" w:hAnsiTheme="minorBidi"/>
          <w:sz w:val="24"/>
          <w:szCs w:val="24"/>
        </w:rPr>
      </w:pPr>
      <w:r w:rsidRPr="002342BD">
        <w:rPr>
          <w:rFonts w:asciiTheme="minorBidi" w:hAnsiTheme="minorBidi"/>
          <w:sz w:val="24"/>
          <w:szCs w:val="24"/>
        </w:rPr>
        <w:t>This is a report on Hilton Hotels &amp; Resorts, which involves critical analysis of its organizational structure, corporate culture, recent change initiatives and overall strategic agenda.</w:t>
      </w:r>
      <w:r w:rsidR="00572E0C" w:rsidRPr="002342BD">
        <w:rPr>
          <w:rFonts w:asciiTheme="minorBidi" w:hAnsiTheme="minorBidi"/>
          <w:sz w:val="24"/>
          <w:szCs w:val="24"/>
        </w:rPr>
        <w:t xml:space="preserve"> Hilton operates under a hybrid structure, balancing centralized corporate leadership with decentralized hotel operations, allowing for brand consistency and local flexibility.</w:t>
      </w:r>
    </w:p>
    <w:p w14:paraId="384D6478" w14:textId="77777777" w:rsidR="00572E0C" w:rsidRPr="002342BD" w:rsidRDefault="00572E0C" w:rsidP="00A00489">
      <w:pPr>
        <w:spacing w:line="360" w:lineRule="auto"/>
        <w:jc w:val="both"/>
        <w:rPr>
          <w:rFonts w:asciiTheme="minorBidi" w:hAnsiTheme="minorBidi"/>
          <w:sz w:val="24"/>
          <w:szCs w:val="24"/>
        </w:rPr>
      </w:pPr>
      <w:r w:rsidRPr="002342BD">
        <w:rPr>
          <w:rFonts w:asciiTheme="minorBidi" w:hAnsiTheme="minorBidi"/>
          <w:sz w:val="24"/>
          <w:szCs w:val="24"/>
        </w:rPr>
        <w:t>Hilton has implemented significant change initiatives, including digital transformation, sustainability programs, and diversity and inclusion efforts. Technological advancements, such as the Hilton Honors mobile app and AI-driven guest personalization, have improved efficiency and customer satisfaction. Meanwhile, sustainability initiatives like the LightStay program demonstrate Hilton’s commitment to reducing environmental impact.</w:t>
      </w:r>
    </w:p>
    <w:p w14:paraId="0C142BAF" w14:textId="14886C31" w:rsidR="00572E0C" w:rsidRPr="002342BD" w:rsidRDefault="00572E0C" w:rsidP="00A00489">
      <w:pPr>
        <w:spacing w:line="360" w:lineRule="auto"/>
        <w:jc w:val="both"/>
        <w:rPr>
          <w:rFonts w:asciiTheme="minorBidi" w:hAnsiTheme="minorBidi"/>
          <w:sz w:val="24"/>
          <w:szCs w:val="24"/>
        </w:rPr>
      </w:pPr>
      <w:r w:rsidRPr="002342BD">
        <w:rPr>
          <w:rFonts w:asciiTheme="minorBidi" w:hAnsiTheme="minorBidi"/>
          <w:sz w:val="24"/>
          <w:szCs w:val="24"/>
        </w:rPr>
        <w:t>To strengthen its market position, Hilton should further invest in digital innovation, expand sustainability efforts, enhance workforce development, pursue emerging market opportunities, and improve crisis management strategies. By prioritizing innovation, sustainability, and service excellence, Hilton can continue to set industry standards and drive global success.</w:t>
      </w:r>
    </w:p>
    <w:p w14:paraId="1D855A6F" w14:textId="77777777" w:rsidR="00E9444C" w:rsidRPr="002342BD" w:rsidRDefault="00E9444C" w:rsidP="00A00489">
      <w:pPr>
        <w:spacing w:line="360" w:lineRule="auto"/>
        <w:rPr>
          <w:rFonts w:asciiTheme="minorBidi" w:hAnsiTheme="minorBidi"/>
          <w:b/>
          <w:bCs/>
          <w:sz w:val="24"/>
          <w:szCs w:val="24"/>
          <w:u w:val="single"/>
        </w:rPr>
      </w:pPr>
      <w:r w:rsidRPr="002342BD">
        <w:rPr>
          <w:rFonts w:asciiTheme="minorBidi" w:hAnsiTheme="minorBidi"/>
          <w:b/>
          <w:bCs/>
          <w:sz w:val="24"/>
          <w:szCs w:val="24"/>
          <w:u w:val="single"/>
        </w:rPr>
        <w:br w:type="page"/>
      </w:r>
    </w:p>
    <w:p w14:paraId="7029A63E" w14:textId="14BC7947" w:rsidR="004D624C" w:rsidRPr="002342BD" w:rsidRDefault="004D624C" w:rsidP="00A00489">
      <w:pPr>
        <w:spacing w:line="360" w:lineRule="auto"/>
        <w:jc w:val="center"/>
        <w:rPr>
          <w:rFonts w:asciiTheme="minorBidi" w:hAnsiTheme="minorBidi"/>
          <w:b/>
          <w:bCs/>
          <w:sz w:val="24"/>
          <w:szCs w:val="24"/>
          <w:u w:val="single"/>
        </w:rPr>
      </w:pPr>
      <w:r w:rsidRPr="002342BD">
        <w:rPr>
          <w:rFonts w:asciiTheme="minorBidi" w:hAnsiTheme="minorBidi"/>
          <w:b/>
          <w:bCs/>
          <w:sz w:val="24"/>
          <w:szCs w:val="24"/>
          <w:u w:val="single"/>
        </w:rPr>
        <w:lastRenderedPageBreak/>
        <w:t>Table of Contents</w:t>
      </w:r>
    </w:p>
    <w:sdt>
      <w:sdtPr>
        <w:rPr>
          <w:rFonts w:asciiTheme="minorBidi" w:hAnsiTheme="minorBidi"/>
          <w:sz w:val="24"/>
          <w:szCs w:val="24"/>
        </w:rPr>
        <w:id w:val="985750879"/>
        <w:docPartObj>
          <w:docPartGallery w:val="Table of Contents"/>
          <w:docPartUnique/>
        </w:docPartObj>
      </w:sdtPr>
      <w:sdtEndPr>
        <w:rPr>
          <w:b/>
          <w:bCs/>
          <w:noProof/>
        </w:rPr>
      </w:sdtEndPr>
      <w:sdtContent>
        <w:p w14:paraId="64A2CCC1" w14:textId="50D9442B" w:rsidR="00BF6D83" w:rsidRDefault="00332ED8">
          <w:pPr>
            <w:pStyle w:val="TDC1"/>
            <w:tabs>
              <w:tab w:val="right" w:leader="dot" w:pos="9350"/>
            </w:tabs>
            <w:rPr>
              <w:rFonts w:eastAsiaTheme="minorEastAsia"/>
              <w:noProof/>
              <w:sz w:val="24"/>
              <w:szCs w:val="24"/>
            </w:rPr>
          </w:pPr>
          <w:r w:rsidRPr="002342BD">
            <w:rPr>
              <w:rFonts w:asciiTheme="minorBidi" w:hAnsiTheme="minorBidi"/>
              <w:sz w:val="24"/>
              <w:szCs w:val="24"/>
            </w:rPr>
            <w:fldChar w:fldCharType="begin"/>
          </w:r>
          <w:r w:rsidRPr="002342BD">
            <w:rPr>
              <w:rFonts w:asciiTheme="minorBidi" w:hAnsiTheme="minorBidi"/>
              <w:sz w:val="24"/>
              <w:szCs w:val="24"/>
            </w:rPr>
            <w:instrText xml:space="preserve"> TOC \o "1-3" \h \z \u </w:instrText>
          </w:r>
          <w:r w:rsidRPr="002342BD">
            <w:rPr>
              <w:rFonts w:asciiTheme="minorBidi" w:hAnsiTheme="minorBidi"/>
              <w:sz w:val="24"/>
              <w:szCs w:val="24"/>
            </w:rPr>
            <w:fldChar w:fldCharType="separate"/>
          </w:r>
          <w:hyperlink w:anchor="_Toc192220015" w:history="1">
            <w:r w:rsidR="00BF6D83" w:rsidRPr="00DA58EB">
              <w:rPr>
                <w:rStyle w:val="Hipervnculo"/>
                <w:rFonts w:asciiTheme="minorBidi" w:hAnsiTheme="minorBidi"/>
                <w:b/>
                <w:bCs/>
                <w:noProof/>
              </w:rPr>
              <w:t>Introduction</w:t>
            </w:r>
            <w:r w:rsidR="00BF6D83">
              <w:rPr>
                <w:noProof/>
                <w:webHidden/>
              </w:rPr>
              <w:tab/>
            </w:r>
            <w:r w:rsidR="00BF6D83">
              <w:rPr>
                <w:noProof/>
                <w:webHidden/>
              </w:rPr>
              <w:fldChar w:fldCharType="begin"/>
            </w:r>
            <w:r w:rsidR="00BF6D83">
              <w:rPr>
                <w:noProof/>
                <w:webHidden/>
              </w:rPr>
              <w:instrText xml:space="preserve"> PAGEREF _Toc192220015 \h </w:instrText>
            </w:r>
            <w:r w:rsidR="00BF6D83">
              <w:rPr>
                <w:noProof/>
                <w:webHidden/>
              </w:rPr>
            </w:r>
            <w:r w:rsidR="00BF6D83">
              <w:rPr>
                <w:noProof/>
                <w:webHidden/>
              </w:rPr>
              <w:fldChar w:fldCharType="separate"/>
            </w:r>
            <w:r w:rsidR="00BF6D83">
              <w:rPr>
                <w:noProof/>
                <w:webHidden/>
              </w:rPr>
              <w:t>4</w:t>
            </w:r>
            <w:r w:rsidR="00BF6D83">
              <w:rPr>
                <w:noProof/>
                <w:webHidden/>
              </w:rPr>
              <w:fldChar w:fldCharType="end"/>
            </w:r>
          </w:hyperlink>
        </w:p>
        <w:p w14:paraId="549604DE" w14:textId="212AB522" w:rsidR="00BF6D83" w:rsidRDefault="00BF6D83">
          <w:pPr>
            <w:pStyle w:val="TDC1"/>
            <w:tabs>
              <w:tab w:val="right" w:leader="dot" w:pos="9350"/>
            </w:tabs>
            <w:rPr>
              <w:rFonts w:eastAsiaTheme="minorEastAsia"/>
              <w:noProof/>
              <w:sz w:val="24"/>
              <w:szCs w:val="24"/>
            </w:rPr>
          </w:pPr>
          <w:hyperlink w:anchor="_Toc192220016" w:history="1">
            <w:r w:rsidRPr="00DA58EB">
              <w:rPr>
                <w:rStyle w:val="Hipervnculo"/>
                <w:rFonts w:asciiTheme="minorBidi" w:hAnsiTheme="minorBidi"/>
                <w:b/>
                <w:bCs/>
                <w:noProof/>
              </w:rPr>
              <w:t>Main Body</w:t>
            </w:r>
            <w:r>
              <w:rPr>
                <w:noProof/>
                <w:webHidden/>
              </w:rPr>
              <w:tab/>
            </w:r>
            <w:r>
              <w:rPr>
                <w:noProof/>
                <w:webHidden/>
              </w:rPr>
              <w:fldChar w:fldCharType="begin"/>
            </w:r>
            <w:r>
              <w:rPr>
                <w:noProof/>
                <w:webHidden/>
              </w:rPr>
              <w:instrText xml:space="preserve"> PAGEREF _Toc192220016 \h </w:instrText>
            </w:r>
            <w:r>
              <w:rPr>
                <w:noProof/>
                <w:webHidden/>
              </w:rPr>
            </w:r>
            <w:r>
              <w:rPr>
                <w:noProof/>
                <w:webHidden/>
              </w:rPr>
              <w:fldChar w:fldCharType="separate"/>
            </w:r>
            <w:r>
              <w:rPr>
                <w:noProof/>
                <w:webHidden/>
              </w:rPr>
              <w:t>4</w:t>
            </w:r>
            <w:r>
              <w:rPr>
                <w:noProof/>
                <w:webHidden/>
              </w:rPr>
              <w:fldChar w:fldCharType="end"/>
            </w:r>
          </w:hyperlink>
        </w:p>
        <w:p w14:paraId="1A45A30D" w14:textId="4132E94A" w:rsidR="00BF6D83" w:rsidRDefault="00BF6D83">
          <w:pPr>
            <w:pStyle w:val="TDC2"/>
            <w:tabs>
              <w:tab w:val="right" w:leader="dot" w:pos="9350"/>
            </w:tabs>
            <w:rPr>
              <w:rFonts w:eastAsiaTheme="minorEastAsia"/>
              <w:noProof/>
              <w:sz w:val="24"/>
              <w:szCs w:val="24"/>
            </w:rPr>
          </w:pPr>
          <w:hyperlink w:anchor="_Toc192220017" w:history="1">
            <w:r w:rsidRPr="00DA58EB">
              <w:rPr>
                <w:rStyle w:val="Hipervnculo"/>
                <w:rFonts w:asciiTheme="minorBidi" w:hAnsiTheme="minorBidi"/>
                <w:b/>
                <w:bCs/>
                <w:noProof/>
              </w:rPr>
              <w:t>Recent Change Initiatives</w:t>
            </w:r>
            <w:r>
              <w:rPr>
                <w:noProof/>
                <w:webHidden/>
              </w:rPr>
              <w:tab/>
            </w:r>
            <w:r>
              <w:rPr>
                <w:noProof/>
                <w:webHidden/>
              </w:rPr>
              <w:fldChar w:fldCharType="begin"/>
            </w:r>
            <w:r>
              <w:rPr>
                <w:noProof/>
                <w:webHidden/>
              </w:rPr>
              <w:instrText xml:space="preserve"> PAGEREF _Toc192220017 \h </w:instrText>
            </w:r>
            <w:r>
              <w:rPr>
                <w:noProof/>
                <w:webHidden/>
              </w:rPr>
            </w:r>
            <w:r>
              <w:rPr>
                <w:noProof/>
                <w:webHidden/>
              </w:rPr>
              <w:fldChar w:fldCharType="separate"/>
            </w:r>
            <w:r>
              <w:rPr>
                <w:noProof/>
                <w:webHidden/>
              </w:rPr>
              <w:t>6</w:t>
            </w:r>
            <w:r>
              <w:rPr>
                <w:noProof/>
                <w:webHidden/>
              </w:rPr>
              <w:fldChar w:fldCharType="end"/>
            </w:r>
          </w:hyperlink>
        </w:p>
        <w:p w14:paraId="7C8CDA7F" w14:textId="046EDFCF" w:rsidR="00BF6D83" w:rsidRDefault="00BF6D83">
          <w:pPr>
            <w:pStyle w:val="TDC2"/>
            <w:tabs>
              <w:tab w:val="right" w:leader="dot" w:pos="9350"/>
            </w:tabs>
            <w:rPr>
              <w:rFonts w:eastAsiaTheme="minorEastAsia"/>
              <w:noProof/>
              <w:sz w:val="24"/>
              <w:szCs w:val="24"/>
            </w:rPr>
          </w:pPr>
          <w:hyperlink w:anchor="_Toc192220018" w:history="1">
            <w:r w:rsidRPr="00DA58EB">
              <w:rPr>
                <w:rStyle w:val="Hipervnculo"/>
                <w:rFonts w:asciiTheme="minorBidi" w:hAnsiTheme="minorBidi"/>
                <w:b/>
                <w:bCs/>
                <w:noProof/>
              </w:rPr>
              <w:t>Strategic Direction</w:t>
            </w:r>
            <w:r>
              <w:rPr>
                <w:noProof/>
                <w:webHidden/>
              </w:rPr>
              <w:tab/>
            </w:r>
            <w:r>
              <w:rPr>
                <w:noProof/>
                <w:webHidden/>
              </w:rPr>
              <w:fldChar w:fldCharType="begin"/>
            </w:r>
            <w:r>
              <w:rPr>
                <w:noProof/>
                <w:webHidden/>
              </w:rPr>
              <w:instrText xml:space="preserve"> PAGEREF _Toc192220018 \h </w:instrText>
            </w:r>
            <w:r>
              <w:rPr>
                <w:noProof/>
                <w:webHidden/>
              </w:rPr>
            </w:r>
            <w:r>
              <w:rPr>
                <w:noProof/>
                <w:webHidden/>
              </w:rPr>
              <w:fldChar w:fldCharType="separate"/>
            </w:r>
            <w:r>
              <w:rPr>
                <w:noProof/>
                <w:webHidden/>
              </w:rPr>
              <w:t>8</w:t>
            </w:r>
            <w:r>
              <w:rPr>
                <w:noProof/>
                <w:webHidden/>
              </w:rPr>
              <w:fldChar w:fldCharType="end"/>
            </w:r>
          </w:hyperlink>
        </w:p>
        <w:p w14:paraId="42A743DB" w14:textId="72A8AA04" w:rsidR="00BF6D83" w:rsidRDefault="00BF6D83">
          <w:pPr>
            <w:pStyle w:val="TDC1"/>
            <w:tabs>
              <w:tab w:val="right" w:leader="dot" w:pos="9350"/>
            </w:tabs>
            <w:rPr>
              <w:rFonts w:eastAsiaTheme="minorEastAsia"/>
              <w:noProof/>
              <w:sz w:val="24"/>
              <w:szCs w:val="24"/>
            </w:rPr>
          </w:pPr>
          <w:hyperlink w:anchor="_Toc192220019" w:history="1">
            <w:r w:rsidRPr="00DA58EB">
              <w:rPr>
                <w:rStyle w:val="Hipervnculo"/>
                <w:rFonts w:asciiTheme="minorBidi" w:hAnsiTheme="minorBidi"/>
                <w:b/>
                <w:bCs/>
                <w:noProof/>
              </w:rPr>
              <w:t>Recommendations</w:t>
            </w:r>
            <w:r>
              <w:rPr>
                <w:noProof/>
                <w:webHidden/>
              </w:rPr>
              <w:tab/>
            </w:r>
            <w:r>
              <w:rPr>
                <w:noProof/>
                <w:webHidden/>
              </w:rPr>
              <w:fldChar w:fldCharType="begin"/>
            </w:r>
            <w:r>
              <w:rPr>
                <w:noProof/>
                <w:webHidden/>
              </w:rPr>
              <w:instrText xml:space="preserve"> PAGEREF _Toc192220019 \h </w:instrText>
            </w:r>
            <w:r>
              <w:rPr>
                <w:noProof/>
                <w:webHidden/>
              </w:rPr>
            </w:r>
            <w:r>
              <w:rPr>
                <w:noProof/>
                <w:webHidden/>
              </w:rPr>
              <w:fldChar w:fldCharType="separate"/>
            </w:r>
            <w:r>
              <w:rPr>
                <w:noProof/>
                <w:webHidden/>
              </w:rPr>
              <w:t>9</w:t>
            </w:r>
            <w:r>
              <w:rPr>
                <w:noProof/>
                <w:webHidden/>
              </w:rPr>
              <w:fldChar w:fldCharType="end"/>
            </w:r>
          </w:hyperlink>
        </w:p>
        <w:p w14:paraId="25E2FD01" w14:textId="0D439D4A" w:rsidR="00BF6D83" w:rsidRDefault="00BF6D83">
          <w:pPr>
            <w:pStyle w:val="TDC1"/>
            <w:tabs>
              <w:tab w:val="right" w:leader="dot" w:pos="9350"/>
            </w:tabs>
            <w:rPr>
              <w:rFonts w:eastAsiaTheme="minorEastAsia"/>
              <w:noProof/>
              <w:sz w:val="24"/>
              <w:szCs w:val="24"/>
            </w:rPr>
          </w:pPr>
          <w:hyperlink w:anchor="_Toc192220020" w:history="1">
            <w:r w:rsidRPr="00DA58EB">
              <w:rPr>
                <w:rStyle w:val="Hipervnculo"/>
                <w:rFonts w:asciiTheme="minorBidi" w:hAnsiTheme="minorBidi"/>
                <w:b/>
                <w:bCs/>
                <w:noProof/>
              </w:rPr>
              <w:t>Conclusion</w:t>
            </w:r>
            <w:r>
              <w:rPr>
                <w:noProof/>
                <w:webHidden/>
              </w:rPr>
              <w:tab/>
            </w:r>
            <w:r>
              <w:rPr>
                <w:noProof/>
                <w:webHidden/>
              </w:rPr>
              <w:fldChar w:fldCharType="begin"/>
            </w:r>
            <w:r>
              <w:rPr>
                <w:noProof/>
                <w:webHidden/>
              </w:rPr>
              <w:instrText xml:space="preserve"> PAGEREF _Toc192220020 \h </w:instrText>
            </w:r>
            <w:r>
              <w:rPr>
                <w:noProof/>
                <w:webHidden/>
              </w:rPr>
            </w:r>
            <w:r>
              <w:rPr>
                <w:noProof/>
                <w:webHidden/>
              </w:rPr>
              <w:fldChar w:fldCharType="separate"/>
            </w:r>
            <w:r>
              <w:rPr>
                <w:noProof/>
                <w:webHidden/>
              </w:rPr>
              <w:t>10</w:t>
            </w:r>
            <w:r>
              <w:rPr>
                <w:noProof/>
                <w:webHidden/>
              </w:rPr>
              <w:fldChar w:fldCharType="end"/>
            </w:r>
          </w:hyperlink>
        </w:p>
        <w:p w14:paraId="1010DE0B" w14:textId="3EB0FEA7" w:rsidR="00BF6D83" w:rsidRDefault="00BF6D83">
          <w:pPr>
            <w:pStyle w:val="TDC1"/>
            <w:tabs>
              <w:tab w:val="right" w:leader="dot" w:pos="9350"/>
            </w:tabs>
            <w:rPr>
              <w:rFonts w:eastAsiaTheme="minorEastAsia"/>
              <w:noProof/>
              <w:sz w:val="24"/>
              <w:szCs w:val="24"/>
            </w:rPr>
          </w:pPr>
          <w:hyperlink w:anchor="_Toc192220021" w:history="1">
            <w:r w:rsidRPr="00DA58EB">
              <w:rPr>
                <w:rStyle w:val="Hipervnculo"/>
                <w:rFonts w:asciiTheme="minorBidi" w:hAnsiTheme="minorBidi"/>
                <w:b/>
                <w:bCs/>
                <w:noProof/>
              </w:rPr>
              <w:t>“References”</w:t>
            </w:r>
            <w:r>
              <w:rPr>
                <w:noProof/>
                <w:webHidden/>
              </w:rPr>
              <w:tab/>
            </w:r>
            <w:r>
              <w:rPr>
                <w:noProof/>
                <w:webHidden/>
              </w:rPr>
              <w:fldChar w:fldCharType="begin"/>
            </w:r>
            <w:r>
              <w:rPr>
                <w:noProof/>
                <w:webHidden/>
              </w:rPr>
              <w:instrText xml:space="preserve"> PAGEREF _Toc192220021 \h </w:instrText>
            </w:r>
            <w:r>
              <w:rPr>
                <w:noProof/>
                <w:webHidden/>
              </w:rPr>
            </w:r>
            <w:r>
              <w:rPr>
                <w:noProof/>
                <w:webHidden/>
              </w:rPr>
              <w:fldChar w:fldCharType="separate"/>
            </w:r>
            <w:r>
              <w:rPr>
                <w:noProof/>
                <w:webHidden/>
              </w:rPr>
              <w:t>12</w:t>
            </w:r>
            <w:r>
              <w:rPr>
                <w:noProof/>
                <w:webHidden/>
              </w:rPr>
              <w:fldChar w:fldCharType="end"/>
            </w:r>
          </w:hyperlink>
        </w:p>
        <w:p w14:paraId="442C384E" w14:textId="7222F4D4" w:rsidR="00332ED8" w:rsidRPr="002342BD" w:rsidRDefault="00332ED8" w:rsidP="00A00489">
          <w:pPr>
            <w:spacing w:line="360" w:lineRule="auto"/>
            <w:rPr>
              <w:rFonts w:asciiTheme="minorBidi" w:hAnsiTheme="minorBidi"/>
              <w:sz w:val="24"/>
              <w:szCs w:val="24"/>
            </w:rPr>
          </w:pPr>
          <w:r w:rsidRPr="002342BD">
            <w:rPr>
              <w:rFonts w:asciiTheme="minorBidi" w:hAnsiTheme="minorBidi"/>
              <w:b/>
              <w:bCs/>
              <w:noProof/>
              <w:sz w:val="24"/>
              <w:szCs w:val="24"/>
            </w:rPr>
            <w:fldChar w:fldCharType="end"/>
          </w:r>
        </w:p>
      </w:sdtContent>
    </w:sdt>
    <w:p w14:paraId="6F378756" w14:textId="1FEB0C4C" w:rsidR="00E9444C" w:rsidRPr="002342BD" w:rsidRDefault="00E9444C" w:rsidP="00A00489">
      <w:pPr>
        <w:spacing w:line="360" w:lineRule="auto"/>
        <w:rPr>
          <w:rFonts w:asciiTheme="minorBidi" w:hAnsiTheme="minorBidi"/>
          <w:sz w:val="24"/>
          <w:szCs w:val="24"/>
        </w:rPr>
      </w:pPr>
      <w:r w:rsidRPr="002342BD">
        <w:rPr>
          <w:rFonts w:asciiTheme="minorBidi" w:hAnsiTheme="minorBidi"/>
          <w:sz w:val="24"/>
          <w:szCs w:val="24"/>
        </w:rPr>
        <w:br w:type="page"/>
      </w:r>
    </w:p>
    <w:p w14:paraId="241AD4DF" w14:textId="541725B8" w:rsidR="00AE46B9" w:rsidRPr="002342BD" w:rsidRDefault="00AE46B9" w:rsidP="00A00489">
      <w:pPr>
        <w:pStyle w:val="Ttulo1"/>
        <w:spacing w:line="360" w:lineRule="auto"/>
        <w:jc w:val="center"/>
        <w:rPr>
          <w:rFonts w:asciiTheme="minorBidi" w:hAnsiTheme="minorBidi" w:cstheme="minorBidi"/>
          <w:b/>
          <w:bCs/>
          <w:color w:val="auto"/>
          <w:sz w:val="24"/>
          <w:szCs w:val="24"/>
          <w:u w:val="single"/>
        </w:rPr>
      </w:pPr>
      <w:bookmarkStart w:id="0" w:name="_Toc192220015"/>
      <w:r w:rsidRPr="002342BD">
        <w:rPr>
          <w:rFonts w:asciiTheme="minorBidi" w:hAnsiTheme="minorBidi" w:cstheme="minorBidi"/>
          <w:b/>
          <w:bCs/>
          <w:color w:val="auto"/>
          <w:sz w:val="24"/>
          <w:szCs w:val="24"/>
          <w:u w:val="single"/>
        </w:rPr>
        <w:lastRenderedPageBreak/>
        <w:t>Introduction</w:t>
      </w:r>
      <w:bookmarkEnd w:id="0"/>
    </w:p>
    <w:p w14:paraId="236E3B11" w14:textId="77777777" w:rsidR="00727A9C" w:rsidRPr="002342BD" w:rsidRDefault="00727A9C" w:rsidP="00A00489">
      <w:pPr>
        <w:spacing w:line="360" w:lineRule="auto"/>
        <w:jc w:val="both"/>
        <w:rPr>
          <w:rFonts w:asciiTheme="minorBidi" w:hAnsiTheme="minorBidi"/>
          <w:sz w:val="24"/>
          <w:szCs w:val="24"/>
        </w:rPr>
      </w:pPr>
      <w:r w:rsidRPr="002342BD">
        <w:rPr>
          <w:rFonts w:asciiTheme="minorBidi" w:hAnsiTheme="minorBidi"/>
          <w:sz w:val="24"/>
          <w:szCs w:val="24"/>
        </w:rPr>
        <w:t>Recognized across the globe for its premium services, exciting guest experiences, and expansive global footprint, Hilton Hotels &amp; Resorts is a leading hospitality company. The brand resulted from the establishment of Hilton in 1919 and it has become a multinational corporation with properties over 7,000, across 123 countries (Hilton, 2024b, World Economic Forum, 2024). Hilton’s corporate culture is built on strong culture, strategic growth, as well as commitment to superior hospitality.</w:t>
      </w:r>
    </w:p>
    <w:p w14:paraId="0F96E88E" w14:textId="56DCCB93" w:rsidR="006E0075" w:rsidRPr="002342BD" w:rsidRDefault="00727A9C" w:rsidP="00A00489">
      <w:pPr>
        <w:spacing w:line="360" w:lineRule="auto"/>
        <w:jc w:val="both"/>
        <w:rPr>
          <w:rFonts w:asciiTheme="minorBidi" w:hAnsiTheme="minorBidi"/>
          <w:sz w:val="24"/>
          <w:szCs w:val="24"/>
        </w:rPr>
      </w:pPr>
      <w:r w:rsidRPr="002342BD">
        <w:rPr>
          <w:rFonts w:asciiTheme="minorBidi" w:hAnsiTheme="minorBidi"/>
          <w:sz w:val="24"/>
          <w:szCs w:val="24"/>
        </w:rPr>
        <w:t xml:space="preserve">The main purpose of this report is to undertake a critical examination of Hilton Hotels &amp; Resorts from its corporate and individual hotel levels, by evaluating the underlying organization structure of the corporate, the corporate culture, and the organization’s strategic objectives. This will examine how the recent change initiatives of the company effected on the operations as well as the effectiveness of the management. </w:t>
      </w:r>
      <w:r w:rsidR="006E0075" w:rsidRPr="002342BD">
        <w:rPr>
          <w:rFonts w:asciiTheme="minorBidi" w:hAnsiTheme="minorBidi"/>
          <w:sz w:val="24"/>
          <w:szCs w:val="24"/>
        </w:rPr>
        <w:t xml:space="preserve"> Additionally, the report will examine Hilton’s long-term strategic direction and the approaches taken to maintain its competitive edge in the dynamic hospitality sector.</w:t>
      </w:r>
    </w:p>
    <w:p w14:paraId="2B64407F" w14:textId="7B95CDC9" w:rsidR="006E0075" w:rsidRPr="002342BD" w:rsidRDefault="00977010" w:rsidP="00A00489">
      <w:pPr>
        <w:spacing w:line="360" w:lineRule="auto"/>
        <w:jc w:val="both"/>
        <w:rPr>
          <w:rFonts w:asciiTheme="minorBidi" w:hAnsiTheme="minorBidi"/>
          <w:sz w:val="24"/>
          <w:szCs w:val="24"/>
        </w:rPr>
      </w:pPr>
      <w:r w:rsidRPr="002342BD">
        <w:rPr>
          <w:rFonts w:asciiTheme="minorBidi" w:hAnsiTheme="minorBidi"/>
          <w:sz w:val="24"/>
          <w:szCs w:val="24"/>
        </w:rPr>
        <w:t>By using management and organizational behavior theories that are relevant to it, this analysis will help one to understand more comprehensively whether Hilton’s operational strategies and industry position are appropriate. Finally, a few recommendations are made to Hilton regarding ways to strengthen its market standing, increase guest satisfaction, and how to tackle challenges that are facing the global hospitality industry.</w:t>
      </w:r>
      <w:r w:rsidR="006E0075" w:rsidRPr="002342BD">
        <w:rPr>
          <w:rFonts w:asciiTheme="minorBidi" w:hAnsiTheme="minorBidi"/>
          <w:sz w:val="24"/>
          <w:szCs w:val="24"/>
        </w:rPr>
        <w:t xml:space="preserve"> These insights will be grounded in evidence-based research, ensuring a well-rounded evaluation of Hilton’s corporate and operational strategies.</w:t>
      </w:r>
    </w:p>
    <w:p w14:paraId="0BCA0FFC" w14:textId="77777777" w:rsidR="00AE46B9" w:rsidRPr="002342BD" w:rsidRDefault="00AE46B9" w:rsidP="00A00489">
      <w:pPr>
        <w:spacing w:line="360" w:lineRule="auto"/>
        <w:rPr>
          <w:rFonts w:asciiTheme="minorBidi" w:hAnsiTheme="minorBidi"/>
          <w:sz w:val="24"/>
          <w:szCs w:val="24"/>
        </w:rPr>
      </w:pPr>
    </w:p>
    <w:p w14:paraId="34652E1A" w14:textId="343DE780" w:rsidR="00AE46B9" w:rsidRPr="002342BD" w:rsidRDefault="00AE46B9" w:rsidP="00A00489">
      <w:pPr>
        <w:pStyle w:val="Ttulo1"/>
        <w:spacing w:line="360" w:lineRule="auto"/>
        <w:jc w:val="center"/>
        <w:rPr>
          <w:rFonts w:asciiTheme="minorBidi" w:hAnsiTheme="minorBidi" w:cstheme="minorBidi"/>
          <w:b/>
          <w:bCs/>
          <w:color w:val="auto"/>
          <w:sz w:val="24"/>
          <w:szCs w:val="24"/>
          <w:u w:val="single"/>
        </w:rPr>
      </w:pPr>
      <w:bookmarkStart w:id="1" w:name="_Toc192220016"/>
      <w:r w:rsidRPr="002342BD">
        <w:rPr>
          <w:rFonts w:asciiTheme="minorBidi" w:hAnsiTheme="minorBidi" w:cstheme="minorBidi"/>
          <w:b/>
          <w:bCs/>
          <w:color w:val="auto"/>
          <w:sz w:val="24"/>
          <w:szCs w:val="24"/>
          <w:u w:val="single"/>
        </w:rPr>
        <w:t xml:space="preserve">Main </w:t>
      </w:r>
      <w:r w:rsidR="00C33B0D" w:rsidRPr="002342BD">
        <w:rPr>
          <w:rFonts w:asciiTheme="minorBidi" w:hAnsiTheme="minorBidi" w:cstheme="minorBidi"/>
          <w:b/>
          <w:bCs/>
          <w:color w:val="auto"/>
          <w:sz w:val="24"/>
          <w:szCs w:val="24"/>
          <w:u w:val="single"/>
        </w:rPr>
        <w:t>B</w:t>
      </w:r>
      <w:r w:rsidRPr="002342BD">
        <w:rPr>
          <w:rFonts w:asciiTheme="minorBidi" w:hAnsiTheme="minorBidi" w:cstheme="minorBidi"/>
          <w:b/>
          <w:bCs/>
          <w:color w:val="auto"/>
          <w:sz w:val="24"/>
          <w:szCs w:val="24"/>
          <w:u w:val="single"/>
        </w:rPr>
        <w:t>ody</w:t>
      </w:r>
      <w:bookmarkEnd w:id="1"/>
    </w:p>
    <w:p w14:paraId="50C596DA" w14:textId="77777777" w:rsidR="00C33B0D" w:rsidRPr="003E396F" w:rsidRDefault="00C33B0D" w:rsidP="00A00489">
      <w:pPr>
        <w:spacing w:line="360" w:lineRule="auto"/>
        <w:jc w:val="both"/>
        <w:rPr>
          <w:rFonts w:asciiTheme="minorBidi" w:hAnsiTheme="minorBidi"/>
          <w:b/>
          <w:bCs/>
          <w:sz w:val="24"/>
          <w:szCs w:val="24"/>
          <w:u w:val="single"/>
        </w:rPr>
      </w:pPr>
      <w:r w:rsidRPr="003E396F">
        <w:rPr>
          <w:rFonts w:asciiTheme="minorBidi" w:hAnsiTheme="minorBidi"/>
          <w:b/>
          <w:bCs/>
          <w:sz w:val="24"/>
          <w:szCs w:val="24"/>
          <w:u w:val="single"/>
        </w:rPr>
        <w:t>Organizational Structure</w:t>
      </w:r>
    </w:p>
    <w:p w14:paraId="4738F912" w14:textId="2B0BDBD1" w:rsidR="00C33B0D" w:rsidRPr="006A0F05" w:rsidRDefault="00C33B0D" w:rsidP="00A00489">
      <w:pPr>
        <w:spacing w:line="360" w:lineRule="auto"/>
        <w:jc w:val="both"/>
        <w:rPr>
          <w:rFonts w:asciiTheme="minorBidi" w:hAnsiTheme="minorBidi"/>
          <w:sz w:val="24"/>
          <w:szCs w:val="24"/>
        </w:rPr>
      </w:pPr>
      <w:r w:rsidRPr="002342BD">
        <w:rPr>
          <w:rFonts w:asciiTheme="minorBidi" w:hAnsiTheme="minorBidi"/>
          <w:sz w:val="24"/>
          <w:szCs w:val="24"/>
        </w:rPr>
        <w:t xml:space="preserve">Hilton Hotels &amp; Resorts operates under a </w:t>
      </w:r>
      <w:r w:rsidR="00D03F55" w:rsidRPr="002342BD">
        <w:rPr>
          <w:rFonts w:asciiTheme="minorBidi" w:hAnsiTheme="minorBidi"/>
          <w:sz w:val="24"/>
          <w:szCs w:val="24"/>
        </w:rPr>
        <w:t>“</w:t>
      </w:r>
      <w:r w:rsidRPr="002342BD">
        <w:rPr>
          <w:rFonts w:asciiTheme="minorBidi" w:hAnsiTheme="minorBidi"/>
          <w:sz w:val="24"/>
          <w:szCs w:val="24"/>
        </w:rPr>
        <w:t>hierarchical organizational structure</w:t>
      </w:r>
      <w:r w:rsidR="00D03F55" w:rsidRPr="002342BD">
        <w:rPr>
          <w:rFonts w:asciiTheme="minorBidi" w:hAnsiTheme="minorBidi"/>
          <w:sz w:val="24"/>
          <w:szCs w:val="24"/>
        </w:rPr>
        <w:t>”</w:t>
      </w:r>
      <w:r w:rsidRPr="002342BD">
        <w:rPr>
          <w:rFonts w:asciiTheme="minorBidi" w:hAnsiTheme="minorBidi"/>
          <w:sz w:val="24"/>
          <w:szCs w:val="24"/>
        </w:rPr>
        <w:t xml:space="preserve">, with a centralized corporate leadership overseeing a decentralized network of hotels. At the corporate level, Hilton Worldwide Holdings Inc. manages strategic decision-making, branding, and global policies, while individual hotels operate under franchise or </w:t>
      </w:r>
      <w:r w:rsidRPr="002342BD">
        <w:rPr>
          <w:rFonts w:asciiTheme="minorBidi" w:hAnsiTheme="minorBidi"/>
          <w:sz w:val="24"/>
          <w:szCs w:val="24"/>
        </w:rPr>
        <w:lastRenderedPageBreak/>
        <w:t xml:space="preserve">management agreements. This hybrid structure allows Hilton to maintain brand consistency while providing </w:t>
      </w:r>
      <w:r w:rsidRPr="006A0F05">
        <w:rPr>
          <w:rFonts w:asciiTheme="minorBidi" w:hAnsiTheme="minorBidi"/>
          <w:sz w:val="24"/>
          <w:szCs w:val="24"/>
        </w:rPr>
        <w:t>flexibility for locally managed properties.</w:t>
      </w:r>
    </w:p>
    <w:p w14:paraId="6FB7F324" w14:textId="7F63ECC9" w:rsidR="00C33B0D" w:rsidRPr="002342BD" w:rsidRDefault="00C33B0D" w:rsidP="00A00489">
      <w:pPr>
        <w:spacing w:line="360" w:lineRule="auto"/>
        <w:jc w:val="both"/>
        <w:rPr>
          <w:rFonts w:asciiTheme="minorBidi" w:hAnsiTheme="minorBidi"/>
          <w:sz w:val="24"/>
          <w:szCs w:val="24"/>
        </w:rPr>
      </w:pPr>
      <w:r w:rsidRPr="006A0F05">
        <w:rPr>
          <w:rFonts w:asciiTheme="minorBidi" w:hAnsiTheme="minorBidi"/>
          <w:sz w:val="24"/>
          <w:szCs w:val="24"/>
        </w:rPr>
        <w:t>Hilton’s organizational structure aligns with Henry Mintzberg’s (1979) five structural configurations</w:t>
      </w:r>
      <w:r w:rsidR="006767FE" w:rsidRPr="006A0F05">
        <w:rPr>
          <w:rFonts w:asciiTheme="minorBidi" w:hAnsiTheme="minorBidi"/>
          <w:sz w:val="24"/>
          <w:szCs w:val="24"/>
        </w:rPr>
        <w:t xml:space="preserve"> (Lunenburg, 2012; Mind Tools, 2024)</w:t>
      </w:r>
      <w:r w:rsidRPr="006A0F05">
        <w:rPr>
          <w:rFonts w:asciiTheme="minorBidi" w:hAnsiTheme="minorBidi"/>
          <w:sz w:val="24"/>
          <w:szCs w:val="24"/>
        </w:rPr>
        <w:t xml:space="preserve">, particularly the divisionalized form. Each division operates semi-independently, with hotels classified under different brands such as Hilton, Waldorf Astoria, Conrad, and DoubleTree. This segmentation enables targeted market strategies while maintaining corporate oversight. The structure also reflects aspects of Max Weber’s (1947) bureaucratic theory, </w:t>
      </w:r>
      <w:r w:rsidR="00C82040" w:rsidRPr="006A0F05">
        <w:rPr>
          <w:rFonts w:asciiTheme="minorBidi" w:hAnsiTheme="minorBidi"/>
          <w:sz w:val="24"/>
          <w:szCs w:val="24"/>
        </w:rPr>
        <w:t xml:space="preserve">which emphasizes a formal hierarchy, clear rules, and standardized procedures. Hilton’s operations </w:t>
      </w:r>
      <w:r w:rsidR="00CF272D" w:rsidRPr="006A0F05">
        <w:rPr>
          <w:rFonts w:asciiTheme="minorBidi" w:hAnsiTheme="minorBidi"/>
          <w:sz w:val="24"/>
          <w:szCs w:val="24"/>
        </w:rPr>
        <w:t xml:space="preserve">also </w:t>
      </w:r>
      <w:r w:rsidR="00C82040" w:rsidRPr="006A0F05">
        <w:rPr>
          <w:rFonts w:asciiTheme="minorBidi" w:hAnsiTheme="minorBidi"/>
          <w:sz w:val="24"/>
          <w:szCs w:val="24"/>
        </w:rPr>
        <w:t xml:space="preserve">follow </w:t>
      </w:r>
      <w:r w:rsidRPr="006A0F05">
        <w:rPr>
          <w:rFonts w:asciiTheme="minorBidi" w:hAnsiTheme="minorBidi"/>
          <w:sz w:val="24"/>
          <w:szCs w:val="24"/>
        </w:rPr>
        <w:t>standardized procedures ensuring efficiency and consistency across global operations</w:t>
      </w:r>
      <w:r w:rsidR="0074759D" w:rsidRPr="006A0F05">
        <w:rPr>
          <w:rFonts w:asciiTheme="minorBidi" w:hAnsiTheme="minorBidi"/>
          <w:sz w:val="24"/>
          <w:szCs w:val="24"/>
        </w:rPr>
        <w:t xml:space="preserve"> (Mulder, 2024; Nickerson, 2024)</w:t>
      </w:r>
      <w:r w:rsidRPr="006A0F05">
        <w:rPr>
          <w:rFonts w:asciiTheme="minorBidi" w:hAnsiTheme="minorBidi"/>
          <w:sz w:val="24"/>
          <w:szCs w:val="24"/>
        </w:rPr>
        <w:t>.</w:t>
      </w:r>
    </w:p>
    <w:p w14:paraId="7EF7907B" w14:textId="77777777" w:rsidR="00C33B0D" w:rsidRPr="002342BD" w:rsidRDefault="00C33B0D" w:rsidP="00A00489">
      <w:pPr>
        <w:spacing w:line="360" w:lineRule="auto"/>
        <w:jc w:val="both"/>
        <w:rPr>
          <w:rFonts w:asciiTheme="minorBidi" w:hAnsiTheme="minorBidi"/>
          <w:sz w:val="24"/>
          <w:szCs w:val="24"/>
        </w:rPr>
      </w:pPr>
      <w:r w:rsidRPr="002342BD">
        <w:rPr>
          <w:rFonts w:asciiTheme="minorBidi" w:hAnsiTheme="minorBidi"/>
          <w:sz w:val="24"/>
          <w:szCs w:val="24"/>
        </w:rPr>
        <w:t>However, Hilton balances bureaucratic efficiency with decentralization, empowering general managers at individual hotels to make operational decisions. This autonomy fosters adaptability, particularly in responding to local market demands and customer preferences. The corporate headquarters provides strategic direction, but hotel-level managers focus on day-to-day operations, ensuring a high degree of operational efficiency and customer satisfaction.</w:t>
      </w:r>
    </w:p>
    <w:p w14:paraId="0CDD63DA" w14:textId="77777777" w:rsidR="00EA13B3" w:rsidRPr="002342BD" w:rsidRDefault="00EA13B3" w:rsidP="00A00489">
      <w:pPr>
        <w:spacing w:line="360" w:lineRule="auto"/>
        <w:jc w:val="both"/>
        <w:rPr>
          <w:rFonts w:asciiTheme="minorBidi" w:hAnsiTheme="minorBidi"/>
          <w:b/>
          <w:bCs/>
          <w:sz w:val="24"/>
          <w:szCs w:val="24"/>
        </w:rPr>
      </w:pPr>
    </w:p>
    <w:p w14:paraId="7A6EA7CE" w14:textId="641ECE4E" w:rsidR="00C33B0D" w:rsidRPr="003E396F" w:rsidRDefault="00C33B0D" w:rsidP="00A00489">
      <w:pPr>
        <w:spacing w:line="360" w:lineRule="auto"/>
        <w:jc w:val="both"/>
        <w:rPr>
          <w:rFonts w:asciiTheme="minorBidi" w:hAnsiTheme="minorBidi"/>
          <w:b/>
          <w:bCs/>
          <w:sz w:val="24"/>
          <w:szCs w:val="24"/>
          <w:u w:val="single"/>
        </w:rPr>
      </w:pPr>
      <w:r w:rsidRPr="003E396F">
        <w:rPr>
          <w:rFonts w:asciiTheme="minorBidi" w:hAnsiTheme="minorBidi"/>
          <w:b/>
          <w:bCs/>
          <w:sz w:val="24"/>
          <w:szCs w:val="24"/>
          <w:u w:val="single"/>
        </w:rPr>
        <w:t>Corporate Culture and Its Influence on Operations</w:t>
      </w:r>
    </w:p>
    <w:p w14:paraId="0228840C" w14:textId="0BAFCCD5" w:rsidR="00C33B0D" w:rsidRPr="002342BD" w:rsidRDefault="00D936CF" w:rsidP="00A00489">
      <w:pPr>
        <w:spacing w:line="360" w:lineRule="auto"/>
        <w:jc w:val="both"/>
        <w:rPr>
          <w:rFonts w:asciiTheme="minorBidi" w:hAnsiTheme="minorBidi"/>
          <w:sz w:val="24"/>
          <w:szCs w:val="24"/>
        </w:rPr>
      </w:pPr>
      <w:r w:rsidRPr="002342BD">
        <w:rPr>
          <w:rFonts w:asciiTheme="minorBidi" w:hAnsiTheme="minorBidi"/>
          <w:sz w:val="24"/>
          <w:szCs w:val="24"/>
        </w:rPr>
        <w:t>Hilton’s corporate culture is based on a solid base of customer service, innovation and employee engagement. Operational decisions at all levels are guided by the company’s core values —</w:t>
      </w:r>
      <w:r w:rsidR="00B46F15" w:rsidRPr="002342BD">
        <w:rPr>
          <w:rFonts w:asciiTheme="minorBidi" w:hAnsiTheme="minorBidi"/>
          <w:sz w:val="24"/>
          <w:szCs w:val="24"/>
        </w:rPr>
        <w:t xml:space="preserve"> </w:t>
      </w:r>
      <w:r w:rsidR="00F21AC2" w:rsidRPr="002342BD">
        <w:rPr>
          <w:rFonts w:asciiTheme="minorBidi" w:hAnsiTheme="minorBidi"/>
          <w:sz w:val="24"/>
          <w:szCs w:val="24"/>
        </w:rPr>
        <w:t>“</w:t>
      </w:r>
      <w:r w:rsidRPr="002342BD">
        <w:rPr>
          <w:rFonts w:asciiTheme="minorBidi" w:hAnsiTheme="minorBidi"/>
          <w:sz w:val="24"/>
          <w:szCs w:val="24"/>
        </w:rPr>
        <w:t>hospitality, integrity, leadership, teamwork, and ownership</w:t>
      </w:r>
      <w:r w:rsidR="00F21AC2" w:rsidRPr="002342BD">
        <w:rPr>
          <w:rFonts w:asciiTheme="minorBidi" w:hAnsiTheme="minorBidi"/>
          <w:sz w:val="24"/>
          <w:szCs w:val="24"/>
        </w:rPr>
        <w:t>”</w:t>
      </w:r>
      <w:r w:rsidRPr="002342BD">
        <w:rPr>
          <w:rFonts w:asciiTheme="minorBidi" w:hAnsiTheme="minorBidi"/>
          <w:sz w:val="24"/>
          <w:szCs w:val="24"/>
        </w:rPr>
        <w:t>.</w:t>
      </w:r>
      <w:r w:rsidR="00C33B0D" w:rsidRPr="002342BD">
        <w:rPr>
          <w:rFonts w:asciiTheme="minorBidi" w:hAnsiTheme="minorBidi"/>
          <w:sz w:val="24"/>
          <w:szCs w:val="24"/>
        </w:rPr>
        <w:t xml:space="preserve"> These values align with Edgar Schein’s (1985) organizational culture model, which emphasizes the impact of shared values, norms, and artifacts in shaping corporate behavior</w:t>
      </w:r>
      <w:r w:rsidR="00C550FE" w:rsidRPr="002342BD">
        <w:rPr>
          <w:rFonts w:asciiTheme="minorBidi" w:hAnsiTheme="minorBidi"/>
          <w:sz w:val="24"/>
          <w:szCs w:val="24"/>
        </w:rPr>
        <w:t xml:space="preserve"> (Nevins, 2024; The World </w:t>
      </w:r>
      <w:r w:rsidR="00977010" w:rsidRPr="002342BD">
        <w:rPr>
          <w:rFonts w:asciiTheme="minorBidi" w:hAnsiTheme="minorBidi"/>
          <w:sz w:val="24"/>
          <w:szCs w:val="24"/>
        </w:rPr>
        <w:t>o</w:t>
      </w:r>
      <w:r w:rsidR="00C550FE" w:rsidRPr="002342BD">
        <w:rPr>
          <w:rFonts w:asciiTheme="minorBidi" w:hAnsiTheme="minorBidi"/>
          <w:sz w:val="24"/>
          <w:szCs w:val="24"/>
        </w:rPr>
        <w:t>f Work Project, 2019)</w:t>
      </w:r>
      <w:r w:rsidR="00C33B0D" w:rsidRPr="002342BD">
        <w:rPr>
          <w:rFonts w:asciiTheme="minorBidi" w:hAnsiTheme="minorBidi"/>
          <w:sz w:val="24"/>
          <w:szCs w:val="24"/>
        </w:rPr>
        <w:t>.</w:t>
      </w:r>
    </w:p>
    <w:p w14:paraId="675E7DB9" w14:textId="0E45733B" w:rsidR="00C33B0D" w:rsidRPr="002342BD" w:rsidRDefault="00C33B0D" w:rsidP="00A00489">
      <w:pPr>
        <w:spacing w:line="360" w:lineRule="auto"/>
        <w:jc w:val="both"/>
        <w:rPr>
          <w:rFonts w:asciiTheme="minorBidi" w:hAnsiTheme="minorBidi"/>
          <w:sz w:val="24"/>
          <w:szCs w:val="24"/>
        </w:rPr>
      </w:pPr>
      <w:r w:rsidRPr="002342BD">
        <w:rPr>
          <w:rFonts w:asciiTheme="minorBidi" w:hAnsiTheme="minorBidi"/>
          <w:sz w:val="24"/>
          <w:szCs w:val="24"/>
        </w:rPr>
        <w:t>One of the key cultural elements in Hilton’s operations is its commitment to employee satisfaction. The company has consistently been recognized as one of the best places to work, as seen in its high rankings in Fortune’s “100 Best Companies to Work For”</w:t>
      </w:r>
      <w:r w:rsidR="009A4B3E" w:rsidRPr="002342BD">
        <w:rPr>
          <w:rFonts w:asciiTheme="minorBidi" w:hAnsiTheme="minorBidi"/>
          <w:sz w:val="24"/>
          <w:szCs w:val="24"/>
        </w:rPr>
        <w:t xml:space="preserve"> (Hilton, 2024a).</w:t>
      </w:r>
      <w:r w:rsidRPr="002342BD">
        <w:rPr>
          <w:rFonts w:asciiTheme="minorBidi" w:hAnsiTheme="minorBidi"/>
          <w:sz w:val="24"/>
          <w:szCs w:val="24"/>
        </w:rPr>
        <w:t xml:space="preserve"> Hilton’s culture </w:t>
      </w:r>
      <w:r w:rsidRPr="006A0F05">
        <w:rPr>
          <w:rFonts w:asciiTheme="minorBidi" w:hAnsiTheme="minorBidi"/>
          <w:sz w:val="24"/>
          <w:szCs w:val="24"/>
        </w:rPr>
        <w:t xml:space="preserve">of employee engagement is evident in its leadership development </w:t>
      </w:r>
      <w:r w:rsidRPr="006A0F05">
        <w:rPr>
          <w:rFonts w:asciiTheme="minorBidi" w:hAnsiTheme="minorBidi"/>
          <w:sz w:val="24"/>
          <w:szCs w:val="24"/>
        </w:rPr>
        <w:lastRenderedPageBreak/>
        <w:t>programs, internal mobility opportunities, and emphasis on work-life balance. According to Herzberg’s (1959) Two-Factor Theory, job satisfaction and motivation stem from both intrinsic (recognition, growth) and extrinsic (salary, working conditions) factors, both of which Hilton actively fosters</w:t>
      </w:r>
      <w:r w:rsidRPr="002342BD">
        <w:rPr>
          <w:rFonts w:asciiTheme="minorBidi" w:hAnsiTheme="minorBidi"/>
          <w:sz w:val="24"/>
          <w:szCs w:val="24"/>
        </w:rPr>
        <w:t>.</w:t>
      </w:r>
    </w:p>
    <w:p w14:paraId="2F0A1959" w14:textId="1E069F12" w:rsidR="00C33B0D" w:rsidRPr="002342BD" w:rsidRDefault="00C33B0D" w:rsidP="00A00489">
      <w:pPr>
        <w:spacing w:line="360" w:lineRule="auto"/>
        <w:jc w:val="both"/>
        <w:rPr>
          <w:rFonts w:asciiTheme="minorBidi" w:hAnsiTheme="minorBidi"/>
          <w:sz w:val="24"/>
          <w:szCs w:val="24"/>
        </w:rPr>
      </w:pPr>
      <w:r w:rsidRPr="002342BD">
        <w:rPr>
          <w:rFonts w:asciiTheme="minorBidi" w:hAnsiTheme="minorBidi"/>
          <w:sz w:val="24"/>
          <w:szCs w:val="24"/>
        </w:rPr>
        <w:t xml:space="preserve">This strong corporate culture translates into superior guest experiences. Happy and engaged employees contribute to improved customer service, reflecting the principles of the </w:t>
      </w:r>
      <w:r w:rsidR="005D72DB" w:rsidRPr="002342BD">
        <w:rPr>
          <w:rFonts w:asciiTheme="minorBidi" w:hAnsiTheme="minorBidi"/>
          <w:sz w:val="24"/>
          <w:szCs w:val="24"/>
        </w:rPr>
        <w:t>“</w:t>
      </w:r>
      <w:r w:rsidRPr="002342BD">
        <w:rPr>
          <w:rFonts w:asciiTheme="minorBidi" w:hAnsiTheme="minorBidi"/>
          <w:sz w:val="24"/>
          <w:szCs w:val="24"/>
        </w:rPr>
        <w:t>Service-Profit Chain model</w:t>
      </w:r>
      <w:r w:rsidR="005D72DB" w:rsidRPr="002342BD">
        <w:rPr>
          <w:rFonts w:asciiTheme="minorBidi" w:hAnsiTheme="minorBidi"/>
          <w:sz w:val="24"/>
          <w:szCs w:val="24"/>
        </w:rPr>
        <w:t>”</w:t>
      </w:r>
      <w:r w:rsidRPr="002342BD">
        <w:rPr>
          <w:rFonts w:asciiTheme="minorBidi" w:hAnsiTheme="minorBidi"/>
          <w:sz w:val="24"/>
          <w:szCs w:val="24"/>
        </w:rPr>
        <w:t xml:space="preserve"> (Heskett et al., 1994). The model suggests that satisfied employees enhance customer satisfaction, leading to higher customer loyalty and revenue growth</w:t>
      </w:r>
      <w:r w:rsidR="005C03BB" w:rsidRPr="002342BD">
        <w:rPr>
          <w:rFonts w:asciiTheme="minorBidi" w:hAnsiTheme="minorBidi"/>
          <w:sz w:val="24"/>
          <w:szCs w:val="24"/>
        </w:rPr>
        <w:t xml:space="preserve"> (Ennew, 2015)</w:t>
      </w:r>
      <w:r w:rsidRPr="002342BD">
        <w:rPr>
          <w:rFonts w:asciiTheme="minorBidi" w:hAnsiTheme="minorBidi"/>
          <w:sz w:val="24"/>
          <w:szCs w:val="24"/>
        </w:rPr>
        <w:t>. Hilton’s investment in employee well-being directly impacts operational performance and brand loyalty.</w:t>
      </w:r>
    </w:p>
    <w:p w14:paraId="1DB38DDA" w14:textId="77777777" w:rsidR="00EA13B3" w:rsidRPr="002342BD" w:rsidRDefault="00EA13B3" w:rsidP="00A00489">
      <w:pPr>
        <w:spacing w:line="360" w:lineRule="auto"/>
        <w:jc w:val="both"/>
        <w:rPr>
          <w:rFonts w:asciiTheme="minorBidi" w:hAnsiTheme="minorBidi"/>
          <w:sz w:val="24"/>
          <w:szCs w:val="24"/>
          <w:u w:val="single"/>
        </w:rPr>
      </w:pPr>
    </w:p>
    <w:p w14:paraId="317B2E78" w14:textId="244C49AF" w:rsidR="00C33B0D" w:rsidRPr="003E396F" w:rsidRDefault="00C33B0D" w:rsidP="00A00489">
      <w:pPr>
        <w:spacing w:line="360" w:lineRule="auto"/>
        <w:jc w:val="both"/>
        <w:rPr>
          <w:rFonts w:asciiTheme="minorBidi" w:hAnsiTheme="minorBidi"/>
          <w:b/>
          <w:bCs/>
          <w:sz w:val="24"/>
          <w:szCs w:val="24"/>
          <w:u w:val="single"/>
        </w:rPr>
      </w:pPr>
      <w:r w:rsidRPr="003E396F">
        <w:rPr>
          <w:rFonts w:asciiTheme="minorBidi" w:hAnsiTheme="minorBidi"/>
          <w:b/>
          <w:bCs/>
          <w:sz w:val="24"/>
          <w:szCs w:val="24"/>
          <w:u w:val="single"/>
        </w:rPr>
        <w:t>Corporate and Individual Hotel Goals</w:t>
      </w:r>
    </w:p>
    <w:p w14:paraId="5DB281D7" w14:textId="5C301FE3" w:rsidR="00C33B0D" w:rsidRPr="002342BD" w:rsidRDefault="00C33B0D" w:rsidP="00A00489">
      <w:pPr>
        <w:spacing w:line="360" w:lineRule="auto"/>
        <w:jc w:val="both"/>
        <w:rPr>
          <w:rFonts w:asciiTheme="minorBidi" w:hAnsiTheme="minorBidi"/>
          <w:sz w:val="24"/>
          <w:szCs w:val="24"/>
        </w:rPr>
      </w:pPr>
      <w:r w:rsidRPr="002342BD">
        <w:rPr>
          <w:rFonts w:asciiTheme="minorBidi" w:hAnsiTheme="minorBidi"/>
          <w:sz w:val="24"/>
          <w:szCs w:val="24"/>
        </w:rPr>
        <w:t xml:space="preserve">Hilton’s goals at the corporate level focus on sustainable growth, technological innovation, and customer-centric service delivery. </w:t>
      </w:r>
      <w:r w:rsidR="00460D68" w:rsidRPr="002342BD">
        <w:rPr>
          <w:rFonts w:asciiTheme="minorBidi" w:hAnsiTheme="minorBidi"/>
          <w:sz w:val="24"/>
          <w:szCs w:val="24"/>
        </w:rPr>
        <w:t xml:space="preserve">The company seeks to increase its worldwide profile while keeping excellent standards for every one of its properties. </w:t>
      </w:r>
      <w:r w:rsidRPr="002342BD">
        <w:rPr>
          <w:rFonts w:asciiTheme="minorBidi" w:hAnsiTheme="minorBidi"/>
          <w:sz w:val="24"/>
          <w:szCs w:val="24"/>
        </w:rPr>
        <w:t>Sustainability is also a major goal, with Hilton committing to its “Travel with Purpose” program, which aims to cut environmental impact in half by 2030</w:t>
      </w:r>
      <w:r w:rsidR="00650F53" w:rsidRPr="002342BD">
        <w:rPr>
          <w:rFonts w:asciiTheme="minorBidi" w:hAnsiTheme="minorBidi"/>
          <w:sz w:val="24"/>
          <w:szCs w:val="24"/>
        </w:rPr>
        <w:t xml:space="preserve"> (Hilton, 2023)</w:t>
      </w:r>
      <w:r w:rsidRPr="002342BD">
        <w:rPr>
          <w:rFonts w:asciiTheme="minorBidi" w:hAnsiTheme="minorBidi"/>
          <w:sz w:val="24"/>
          <w:szCs w:val="24"/>
        </w:rPr>
        <w:t>.</w:t>
      </w:r>
    </w:p>
    <w:p w14:paraId="242C038D" w14:textId="1F5725D5" w:rsidR="00C33B0D" w:rsidRPr="002342BD" w:rsidRDefault="00C33B0D" w:rsidP="00A00489">
      <w:pPr>
        <w:spacing w:line="360" w:lineRule="auto"/>
        <w:jc w:val="both"/>
        <w:rPr>
          <w:rFonts w:asciiTheme="minorBidi" w:hAnsiTheme="minorBidi"/>
          <w:sz w:val="24"/>
          <w:szCs w:val="24"/>
        </w:rPr>
      </w:pPr>
      <w:r w:rsidRPr="002342BD">
        <w:rPr>
          <w:rFonts w:asciiTheme="minorBidi" w:hAnsiTheme="minorBidi"/>
          <w:sz w:val="24"/>
          <w:szCs w:val="24"/>
        </w:rPr>
        <w:t xml:space="preserve">At the individual hotel level, goals align with the corporate vision but are tailored to local markets. General managers set targets for revenue growth, customer satisfaction, and employee performance. Key Performance Indicators (KPIs) include </w:t>
      </w:r>
      <w:r w:rsidR="00F032D0" w:rsidRPr="002342BD">
        <w:rPr>
          <w:rFonts w:asciiTheme="minorBidi" w:hAnsiTheme="minorBidi"/>
          <w:sz w:val="24"/>
          <w:szCs w:val="24"/>
        </w:rPr>
        <w:t>“</w:t>
      </w:r>
      <w:r w:rsidRPr="002342BD">
        <w:rPr>
          <w:rFonts w:asciiTheme="minorBidi" w:hAnsiTheme="minorBidi"/>
          <w:sz w:val="24"/>
          <w:szCs w:val="24"/>
        </w:rPr>
        <w:t>occupancy rates, RevPAR (Revenue per Available Room), and guest satisfaction scores</w:t>
      </w:r>
      <w:r w:rsidR="00F032D0" w:rsidRPr="002342BD">
        <w:rPr>
          <w:rFonts w:asciiTheme="minorBidi" w:hAnsiTheme="minorBidi"/>
          <w:sz w:val="24"/>
          <w:szCs w:val="24"/>
        </w:rPr>
        <w:t>”</w:t>
      </w:r>
      <w:r w:rsidRPr="002342BD">
        <w:rPr>
          <w:rFonts w:asciiTheme="minorBidi" w:hAnsiTheme="minorBidi"/>
          <w:sz w:val="24"/>
          <w:szCs w:val="24"/>
        </w:rPr>
        <w:t>. By aligning local hotel objectives with corporate goals, Hilton ensures brand consistency while allowing customization to suit specific market conditions.</w:t>
      </w:r>
    </w:p>
    <w:p w14:paraId="47910805" w14:textId="77777777" w:rsidR="00C33B0D" w:rsidRPr="002342BD" w:rsidRDefault="00C33B0D" w:rsidP="00A00489">
      <w:pPr>
        <w:spacing w:line="360" w:lineRule="auto"/>
        <w:jc w:val="both"/>
        <w:rPr>
          <w:rFonts w:asciiTheme="minorBidi" w:hAnsiTheme="minorBidi"/>
          <w:b/>
          <w:bCs/>
          <w:sz w:val="24"/>
          <w:szCs w:val="24"/>
          <w:u w:val="single"/>
        </w:rPr>
      </w:pPr>
    </w:p>
    <w:p w14:paraId="21ED92D1" w14:textId="03A96FED" w:rsidR="00C33B0D" w:rsidRPr="002342BD" w:rsidRDefault="00C33B0D" w:rsidP="00A00489">
      <w:pPr>
        <w:pStyle w:val="Ttulo2"/>
        <w:spacing w:line="360" w:lineRule="auto"/>
        <w:rPr>
          <w:rFonts w:asciiTheme="minorBidi" w:hAnsiTheme="minorBidi" w:cstheme="minorBidi"/>
          <w:b/>
          <w:bCs/>
          <w:color w:val="auto"/>
          <w:sz w:val="24"/>
          <w:szCs w:val="24"/>
          <w:u w:val="single"/>
        </w:rPr>
      </w:pPr>
      <w:bookmarkStart w:id="2" w:name="_Toc192220017"/>
      <w:r w:rsidRPr="002342BD">
        <w:rPr>
          <w:rFonts w:asciiTheme="minorBidi" w:hAnsiTheme="minorBidi" w:cstheme="minorBidi"/>
          <w:b/>
          <w:bCs/>
          <w:color w:val="auto"/>
          <w:sz w:val="24"/>
          <w:szCs w:val="24"/>
          <w:u w:val="single"/>
        </w:rPr>
        <w:t>Recent Change Initiatives</w:t>
      </w:r>
      <w:bookmarkEnd w:id="2"/>
    </w:p>
    <w:p w14:paraId="32261E17" w14:textId="77777777" w:rsidR="00C33B0D" w:rsidRPr="002342BD" w:rsidRDefault="00C33B0D" w:rsidP="00A00489">
      <w:pPr>
        <w:spacing w:line="360" w:lineRule="auto"/>
        <w:jc w:val="both"/>
        <w:rPr>
          <w:rFonts w:asciiTheme="minorBidi" w:hAnsiTheme="minorBidi"/>
          <w:sz w:val="24"/>
          <w:szCs w:val="24"/>
          <w:u w:val="single"/>
        </w:rPr>
      </w:pPr>
      <w:r w:rsidRPr="002342BD">
        <w:rPr>
          <w:rFonts w:asciiTheme="minorBidi" w:hAnsiTheme="minorBidi"/>
          <w:sz w:val="24"/>
          <w:szCs w:val="24"/>
          <w:u w:val="single"/>
        </w:rPr>
        <w:t>Technology and Digital Transformation</w:t>
      </w:r>
    </w:p>
    <w:p w14:paraId="6CABD0ED" w14:textId="77777777" w:rsidR="00EB6CE2" w:rsidRPr="002342BD" w:rsidRDefault="00C33B0D" w:rsidP="00A00489">
      <w:pPr>
        <w:spacing w:line="360" w:lineRule="auto"/>
        <w:jc w:val="both"/>
        <w:rPr>
          <w:rFonts w:asciiTheme="minorBidi" w:hAnsiTheme="minorBidi"/>
          <w:sz w:val="24"/>
          <w:szCs w:val="24"/>
        </w:rPr>
      </w:pPr>
      <w:r w:rsidRPr="002342BD">
        <w:rPr>
          <w:rFonts w:asciiTheme="minorBidi" w:hAnsiTheme="minorBidi"/>
          <w:sz w:val="24"/>
          <w:szCs w:val="24"/>
        </w:rPr>
        <w:t xml:space="preserve">One of Hilton’s most significant recent change initiatives is its digital transformation strategy, aimed at enhancing customer convenience and operational efficiency. </w:t>
      </w:r>
      <w:r w:rsidR="00EB6CE2" w:rsidRPr="002342BD">
        <w:rPr>
          <w:rFonts w:asciiTheme="minorBidi" w:hAnsiTheme="minorBidi"/>
          <w:sz w:val="24"/>
          <w:szCs w:val="24"/>
        </w:rPr>
        <w:t xml:space="preserve">Through </w:t>
      </w:r>
      <w:r w:rsidR="00EB6CE2" w:rsidRPr="002342BD">
        <w:rPr>
          <w:rFonts w:asciiTheme="minorBidi" w:hAnsiTheme="minorBidi"/>
          <w:sz w:val="24"/>
          <w:szCs w:val="24"/>
        </w:rPr>
        <w:lastRenderedPageBreak/>
        <w:t>the Hilton Honors mobile app guests can book rooms, check into the hotel digitally, choose which specific room they want and use their smartphone as a key. As a matter of fact, this initiative is in line with the Technology Acceptance Model (Davis, 1989) that predicts that ease of use and usefulness perception would influence the adoption of technology (Ma and Liu, 2011).</w:t>
      </w:r>
    </w:p>
    <w:p w14:paraId="3DD7C251" w14:textId="167B0937" w:rsidR="00C33B0D" w:rsidRPr="002342BD" w:rsidRDefault="00EB6CE2" w:rsidP="00A00489">
      <w:pPr>
        <w:spacing w:line="360" w:lineRule="auto"/>
        <w:jc w:val="both"/>
        <w:rPr>
          <w:rFonts w:asciiTheme="minorBidi" w:hAnsiTheme="minorBidi"/>
          <w:sz w:val="24"/>
          <w:szCs w:val="24"/>
        </w:rPr>
      </w:pPr>
      <w:r w:rsidRPr="002342BD">
        <w:rPr>
          <w:rFonts w:asciiTheme="minorBidi" w:hAnsiTheme="minorBidi"/>
          <w:sz w:val="24"/>
          <w:szCs w:val="24"/>
        </w:rPr>
        <w:t>Hilton is also investing in AI-powered customer service chatbots and personalizing guest experiences through data analytics. Also, technology such as ‘Connected Room’ that allows guests to control room functions via mobile devices augments personalization and productivity (Hotel Technology News, 2019).</w:t>
      </w:r>
      <w:r w:rsidR="00C33B0D" w:rsidRPr="002342BD">
        <w:rPr>
          <w:rFonts w:asciiTheme="minorBidi" w:hAnsiTheme="minorBidi"/>
          <w:sz w:val="24"/>
          <w:szCs w:val="24"/>
        </w:rPr>
        <w:t xml:space="preserve"> These technological changes improve operational effectiveness, reduce front desk congestion, and increase guest satisfaction.</w:t>
      </w:r>
    </w:p>
    <w:p w14:paraId="4BAB2784" w14:textId="77777777" w:rsidR="00EA13B3" w:rsidRPr="002342BD" w:rsidRDefault="00EA13B3" w:rsidP="00A00489">
      <w:pPr>
        <w:spacing w:line="360" w:lineRule="auto"/>
        <w:jc w:val="both"/>
        <w:rPr>
          <w:rFonts w:asciiTheme="minorBidi" w:hAnsiTheme="minorBidi"/>
          <w:b/>
          <w:bCs/>
          <w:sz w:val="24"/>
          <w:szCs w:val="24"/>
        </w:rPr>
      </w:pPr>
    </w:p>
    <w:p w14:paraId="1946686F" w14:textId="0C559E6B" w:rsidR="00C33B0D" w:rsidRPr="002342BD" w:rsidRDefault="00C33B0D" w:rsidP="00A00489">
      <w:pPr>
        <w:spacing w:line="360" w:lineRule="auto"/>
        <w:jc w:val="both"/>
        <w:rPr>
          <w:rFonts w:asciiTheme="minorBidi" w:hAnsiTheme="minorBidi"/>
          <w:sz w:val="24"/>
          <w:szCs w:val="24"/>
          <w:u w:val="single"/>
        </w:rPr>
      </w:pPr>
      <w:r w:rsidRPr="002342BD">
        <w:rPr>
          <w:rFonts w:asciiTheme="minorBidi" w:hAnsiTheme="minorBidi"/>
          <w:sz w:val="24"/>
          <w:szCs w:val="24"/>
          <w:u w:val="single"/>
        </w:rPr>
        <w:t>Sustainability and Environmental Initiatives</w:t>
      </w:r>
    </w:p>
    <w:p w14:paraId="3D2116FB" w14:textId="502B5DFC" w:rsidR="00C33B0D" w:rsidRPr="002342BD" w:rsidRDefault="00C33B0D" w:rsidP="00A00489">
      <w:pPr>
        <w:spacing w:line="360" w:lineRule="auto"/>
        <w:jc w:val="both"/>
        <w:rPr>
          <w:rFonts w:asciiTheme="minorBidi" w:hAnsiTheme="minorBidi"/>
          <w:sz w:val="24"/>
          <w:szCs w:val="24"/>
        </w:rPr>
      </w:pPr>
      <w:r w:rsidRPr="002342BD">
        <w:rPr>
          <w:rFonts w:asciiTheme="minorBidi" w:hAnsiTheme="minorBidi"/>
          <w:sz w:val="24"/>
          <w:szCs w:val="24"/>
        </w:rPr>
        <w:t>In response to growing environmental concerns, Hilton has undertaken several sustainability initiatives. The “LightStay” program, launched as a corporate responsibility initiative, tracks energy consumption, water use, and carbon emissions across Hilton properties</w:t>
      </w:r>
      <w:r w:rsidR="00CA50D8" w:rsidRPr="002342BD">
        <w:rPr>
          <w:rFonts w:asciiTheme="minorBidi" w:hAnsiTheme="minorBidi"/>
          <w:sz w:val="24"/>
          <w:szCs w:val="24"/>
        </w:rPr>
        <w:t xml:space="preserve"> (Hilton, n.d.)</w:t>
      </w:r>
      <w:r w:rsidRPr="002342BD">
        <w:rPr>
          <w:rFonts w:asciiTheme="minorBidi" w:hAnsiTheme="minorBidi"/>
          <w:sz w:val="24"/>
          <w:szCs w:val="24"/>
        </w:rPr>
        <w:t>. By leveraging data analytics, Hilton identifies areas for improvement, optimizing resource use while maintaining high service standards.</w:t>
      </w:r>
    </w:p>
    <w:p w14:paraId="397B7EEA" w14:textId="4646B9F4" w:rsidR="00C33B0D" w:rsidRPr="002342BD" w:rsidRDefault="00C33B0D" w:rsidP="00A00489">
      <w:pPr>
        <w:spacing w:line="360" w:lineRule="auto"/>
        <w:jc w:val="both"/>
        <w:rPr>
          <w:rFonts w:asciiTheme="minorBidi" w:hAnsiTheme="minorBidi"/>
          <w:sz w:val="24"/>
          <w:szCs w:val="24"/>
        </w:rPr>
      </w:pPr>
      <w:r w:rsidRPr="002342BD">
        <w:rPr>
          <w:rFonts w:asciiTheme="minorBidi" w:hAnsiTheme="minorBidi"/>
          <w:sz w:val="24"/>
          <w:szCs w:val="24"/>
        </w:rPr>
        <w:t xml:space="preserve">Sustainable sourcing, waste reduction, and eco-friendly building designs have also become integral to Hilton’s </w:t>
      </w:r>
      <w:r w:rsidRPr="0048551B">
        <w:rPr>
          <w:rFonts w:asciiTheme="minorBidi" w:hAnsiTheme="minorBidi"/>
          <w:sz w:val="24"/>
          <w:szCs w:val="24"/>
        </w:rPr>
        <w:t xml:space="preserve">operations. The organization has phased out single-use plastics, introduced energy-efficient lighting, and partnered with local communities for responsible tourism initiatives. These changes align with stakeholder theory (Freeman, 1984), </w:t>
      </w:r>
      <w:r w:rsidR="0048551B" w:rsidRPr="0048551B">
        <w:rPr>
          <w:rFonts w:asciiTheme="minorBidi" w:hAnsiTheme="minorBidi"/>
          <w:sz w:val="24"/>
          <w:szCs w:val="24"/>
        </w:rPr>
        <w:t xml:space="preserve">which asserts that businesses must balance the interests of all stakeholders. By prioritizing sustainability, Hilton </w:t>
      </w:r>
      <w:r w:rsidRPr="0048551B">
        <w:rPr>
          <w:rFonts w:asciiTheme="minorBidi" w:hAnsiTheme="minorBidi"/>
          <w:sz w:val="24"/>
          <w:szCs w:val="24"/>
        </w:rPr>
        <w:t>emphasiz</w:t>
      </w:r>
      <w:r w:rsidR="0048551B" w:rsidRPr="0048551B">
        <w:rPr>
          <w:rFonts w:asciiTheme="minorBidi" w:hAnsiTheme="minorBidi"/>
          <w:sz w:val="24"/>
          <w:szCs w:val="24"/>
        </w:rPr>
        <w:t xml:space="preserve">es </w:t>
      </w:r>
      <w:r w:rsidRPr="0048551B">
        <w:rPr>
          <w:rFonts w:asciiTheme="minorBidi" w:hAnsiTheme="minorBidi"/>
          <w:sz w:val="24"/>
          <w:szCs w:val="24"/>
        </w:rPr>
        <w:t>corporate responsibility towards customers, employees, investors, and the broader community.</w:t>
      </w:r>
    </w:p>
    <w:p w14:paraId="2DEFC436" w14:textId="77777777" w:rsidR="00EA13B3" w:rsidRPr="002342BD" w:rsidRDefault="00EA13B3" w:rsidP="00A00489">
      <w:pPr>
        <w:spacing w:line="360" w:lineRule="auto"/>
        <w:jc w:val="both"/>
        <w:rPr>
          <w:rFonts w:asciiTheme="minorBidi" w:hAnsiTheme="minorBidi"/>
          <w:sz w:val="24"/>
          <w:szCs w:val="24"/>
          <w:u w:val="single"/>
        </w:rPr>
      </w:pPr>
    </w:p>
    <w:p w14:paraId="51C0A7C8" w14:textId="0017D916" w:rsidR="00C33B0D" w:rsidRPr="002342BD" w:rsidRDefault="00C33B0D" w:rsidP="00A00489">
      <w:pPr>
        <w:spacing w:line="360" w:lineRule="auto"/>
        <w:jc w:val="both"/>
        <w:rPr>
          <w:rFonts w:asciiTheme="minorBidi" w:hAnsiTheme="minorBidi"/>
          <w:sz w:val="24"/>
          <w:szCs w:val="24"/>
          <w:u w:val="single"/>
        </w:rPr>
      </w:pPr>
      <w:r w:rsidRPr="002342BD">
        <w:rPr>
          <w:rFonts w:asciiTheme="minorBidi" w:hAnsiTheme="minorBidi"/>
          <w:sz w:val="24"/>
          <w:szCs w:val="24"/>
          <w:u w:val="single"/>
        </w:rPr>
        <w:t>Diversity, Equity, and Inclusion (DEI) Programs</w:t>
      </w:r>
    </w:p>
    <w:p w14:paraId="66F17626" w14:textId="3EFFFA0E" w:rsidR="00C33B0D" w:rsidRPr="002342BD" w:rsidRDefault="00C33B0D" w:rsidP="00A00489">
      <w:pPr>
        <w:spacing w:line="360" w:lineRule="auto"/>
        <w:jc w:val="both"/>
        <w:rPr>
          <w:rFonts w:asciiTheme="minorBidi" w:hAnsiTheme="minorBidi"/>
          <w:sz w:val="24"/>
          <w:szCs w:val="24"/>
        </w:rPr>
      </w:pPr>
      <w:r w:rsidRPr="002342BD">
        <w:rPr>
          <w:rFonts w:asciiTheme="minorBidi" w:hAnsiTheme="minorBidi"/>
          <w:sz w:val="24"/>
          <w:szCs w:val="24"/>
        </w:rPr>
        <w:t xml:space="preserve">Hilton has also launched extensive DEI programs to promote workforce inclusivity and leadership diversity. The company’s “Women in Leadership” initiative aims to </w:t>
      </w:r>
      <w:r w:rsidR="00271704" w:rsidRPr="002342BD">
        <w:rPr>
          <w:rFonts w:asciiTheme="minorBidi" w:hAnsiTheme="minorBidi"/>
          <w:sz w:val="24"/>
          <w:szCs w:val="24"/>
        </w:rPr>
        <w:t>“</w:t>
      </w:r>
      <w:r w:rsidRPr="002342BD">
        <w:rPr>
          <w:rFonts w:asciiTheme="minorBidi" w:hAnsiTheme="minorBidi"/>
          <w:sz w:val="24"/>
          <w:szCs w:val="24"/>
        </w:rPr>
        <w:t xml:space="preserve">increase </w:t>
      </w:r>
      <w:r w:rsidRPr="002342BD">
        <w:rPr>
          <w:rFonts w:asciiTheme="minorBidi" w:hAnsiTheme="minorBidi"/>
          <w:sz w:val="24"/>
          <w:szCs w:val="24"/>
        </w:rPr>
        <w:lastRenderedPageBreak/>
        <w:t>female representation in executive roles, while partnerships with minority business enterprises strengthen supplier diversity</w:t>
      </w:r>
      <w:r w:rsidR="00271704" w:rsidRPr="002342BD">
        <w:rPr>
          <w:rFonts w:asciiTheme="minorBidi" w:hAnsiTheme="minorBidi"/>
          <w:sz w:val="24"/>
          <w:szCs w:val="24"/>
        </w:rPr>
        <w:t>”</w:t>
      </w:r>
      <w:r w:rsidRPr="002342BD">
        <w:rPr>
          <w:rFonts w:asciiTheme="minorBidi" w:hAnsiTheme="minorBidi"/>
          <w:sz w:val="24"/>
          <w:szCs w:val="24"/>
        </w:rPr>
        <w:t>. By fostering an inclusive workplace culture, Hilton aligns with McGregor’s (1960) Theory Y, which posits that employees are motivated by trust, empowerment, and professional growth</w:t>
      </w:r>
      <w:r w:rsidR="007758C3" w:rsidRPr="002342BD">
        <w:rPr>
          <w:rFonts w:asciiTheme="minorBidi" w:hAnsiTheme="minorBidi"/>
          <w:sz w:val="24"/>
          <w:szCs w:val="24"/>
        </w:rPr>
        <w:t xml:space="preserve"> (Mind Tools, 2024b)</w:t>
      </w:r>
      <w:r w:rsidRPr="002342BD">
        <w:rPr>
          <w:rFonts w:asciiTheme="minorBidi" w:hAnsiTheme="minorBidi"/>
          <w:sz w:val="24"/>
          <w:szCs w:val="24"/>
        </w:rPr>
        <w:t>.</w:t>
      </w:r>
      <w:r w:rsidR="00195C2A">
        <w:rPr>
          <w:rFonts w:asciiTheme="minorBidi" w:hAnsiTheme="minorBidi"/>
          <w:sz w:val="24"/>
          <w:szCs w:val="24"/>
        </w:rPr>
        <w:t xml:space="preserve"> Such initiatives </w:t>
      </w:r>
      <w:r w:rsidR="00195C2A" w:rsidRPr="00195C2A">
        <w:rPr>
          <w:rFonts w:asciiTheme="minorBidi" w:hAnsiTheme="minorBidi"/>
          <w:sz w:val="24"/>
          <w:szCs w:val="24"/>
        </w:rPr>
        <w:t>enhance employee motivation and reduce</w:t>
      </w:r>
      <w:r w:rsidR="00195C2A">
        <w:rPr>
          <w:rFonts w:asciiTheme="minorBidi" w:hAnsiTheme="minorBidi"/>
          <w:sz w:val="24"/>
          <w:szCs w:val="24"/>
        </w:rPr>
        <w:t xml:space="preserve"> </w:t>
      </w:r>
      <w:r w:rsidR="00195C2A" w:rsidRPr="00195C2A">
        <w:rPr>
          <w:rFonts w:asciiTheme="minorBidi" w:hAnsiTheme="minorBidi"/>
          <w:sz w:val="24"/>
          <w:szCs w:val="24"/>
        </w:rPr>
        <w:t xml:space="preserve">dissatisfaction, leading to </w:t>
      </w:r>
      <w:r w:rsidR="00D73FC8">
        <w:rPr>
          <w:rFonts w:asciiTheme="minorBidi" w:hAnsiTheme="minorBidi"/>
          <w:sz w:val="24"/>
          <w:szCs w:val="24"/>
        </w:rPr>
        <w:t>improvement in both intrinsic and extrinsic factors as per the Two-Factor theory</w:t>
      </w:r>
      <w:r w:rsidR="00195C2A" w:rsidRPr="00195C2A">
        <w:rPr>
          <w:rFonts w:asciiTheme="minorBidi" w:hAnsiTheme="minorBidi"/>
          <w:sz w:val="24"/>
          <w:szCs w:val="24"/>
        </w:rPr>
        <w:t>.</w:t>
      </w:r>
    </w:p>
    <w:p w14:paraId="5AD74274" w14:textId="77777777" w:rsidR="00EA13B3" w:rsidRPr="002342BD" w:rsidRDefault="00EA13B3" w:rsidP="00A00489">
      <w:pPr>
        <w:spacing w:line="360" w:lineRule="auto"/>
        <w:jc w:val="both"/>
        <w:rPr>
          <w:rFonts w:asciiTheme="minorBidi" w:hAnsiTheme="minorBidi"/>
          <w:sz w:val="24"/>
          <w:szCs w:val="24"/>
          <w:u w:val="single"/>
        </w:rPr>
      </w:pPr>
    </w:p>
    <w:p w14:paraId="584E8F7B" w14:textId="62470D54" w:rsidR="00C33B0D" w:rsidRPr="002342BD" w:rsidRDefault="00C33B0D" w:rsidP="00A00489">
      <w:pPr>
        <w:spacing w:line="360" w:lineRule="auto"/>
        <w:jc w:val="both"/>
        <w:rPr>
          <w:rFonts w:asciiTheme="minorBidi" w:hAnsiTheme="minorBidi"/>
          <w:sz w:val="24"/>
          <w:szCs w:val="24"/>
          <w:u w:val="single"/>
        </w:rPr>
      </w:pPr>
      <w:r w:rsidRPr="002342BD">
        <w:rPr>
          <w:rFonts w:asciiTheme="minorBidi" w:hAnsiTheme="minorBidi"/>
          <w:sz w:val="24"/>
          <w:szCs w:val="24"/>
          <w:u w:val="single"/>
        </w:rPr>
        <w:t>Impact and Effectiveness of Change Management</w:t>
      </w:r>
    </w:p>
    <w:p w14:paraId="58E34F4D" w14:textId="77777777" w:rsidR="00C33B0D" w:rsidRPr="002342BD" w:rsidRDefault="00C33B0D" w:rsidP="00A00489">
      <w:pPr>
        <w:spacing w:line="360" w:lineRule="auto"/>
        <w:jc w:val="both"/>
        <w:rPr>
          <w:rFonts w:asciiTheme="minorBidi" w:hAnsiTheme="minorBidi"/>
          <w:sz w:val="24"/>
          <w:szCs w:val="24"/>
        </w:rPr>
      </w:pPr>
      <w:r w:rsidRPr="002342BD">
        <w:rPr>
          <w:rFonts w:asciiTheme="minorBidi" w:hAnsiTheme="minorBidi"/>
          <w:sz w:val="24"/>
          <w:szCs w:val="24"/>
        </w:rPr>
        <w:t>The effectiveness of Hilton’s change initiatives can be evaluated using Kotter’s (1996) 8-Step Change Model. Hilton successfully creates a sense of urgency for change through sustainability commitments and digital transformation. The company empowers employees through training programs and leadership support, ensuring smooth implementation. The result is a more innovative, sustainable, and inclusive hospitality brand.</w:t>
      </w:r>
    </w:p>
    <w:p w14:paraId="23663336" w14:textId="77777777" w:rsidR="00C33B0D" w:rsidRPr="002342BD" w:rsidRDefault="00C33B0D" w:rsidP="00A00489">
      <w:pPr>
        <w:spacing w:line="360" w:lineRule="auto"/>
        <w:jc w:val="both"/>
        <w:rPr>
          <w:rFonts w:asciiTheme="minorBidi" w:hAnsiTheme="minorBidi"/>
          <w:b/>
          <w:bCs/>
          <w:sz w:val="24"/>
          <w:szCs w:val="24"/>
          <w:u w:val="single"/>
        </w:rPr>
      </w:pPr>
    </w:p>
    <w:p w14:paraId="22C76A39" w14:textId="6791B485" w:rsidR="00C33B0D" w:rsidRPr="002342BD" w:rsidRDefault="00C33B0D" w:rsidP="00A00489">
      <w:pPr>
        <w:pStyle w:val="Ttulo2"/>
        <w:spacing w:line="360" w:lineRule="auto"/>
        <w:rPr>
          <w:rFonts w:asciiTheme="minorBidi" w:hAnsiTheme="minorBidi" w:cstheme="minorBidi"/>
          <w:b/>
          <w:bCs/>
          <w:color w:val="auto"/>
          <w:sz w:val="24"/>
          <w:szCs w:val="24"/>
          <w:u w:val="single"/>
        </w:rPr>
      </w:pPr>
      <w:bookmarkStart w:id="3" w:name="_Toc192220018"/>
      <w:r w:rsidRPr="002342BD">
        <w:rPr>
          <w:rFonts w:asciiTheme="minorBidi" w:hAnsiTheme="minorBidi" w:cstheme="minorBidi"/>
          <w:b/>
          <w:bCs/>
          <w:color w:val="auto"/>
          <w:sz w:val="24"/>
          <w:szCs w:val="24"/>
          <w:u w:val="single"/>
        </w:rPr>
        <w:t>Strategic Direction</w:t>
      </w:r>
      <w:bookmarkEnd w:id="3"/>
    </w:p>
    <w:p w14:paraId="5742CABF" w14:textId="77777777" w:rsidR="00C33B0D" w:rsidRPr="002342BD" w:rsidRDefault="00C33B0D" w:rsidP="00A00489">
      <w:pPr>
        <w:spacing w:line="360" w:lineRule="auto"/>
        <w:jc w:val="both"/>
        <w:rPr>
          <w:rFonts w:asciiTheme="minorBidi" w:hAnsiTheme="minorBidi"/>
          <w:sz w:val="24"/>
          <w:szCs w:val="24"/>
          <w:u w:val="single"/>
        </w:rPr>
      </w:pPr>
      <w:r w:rsidRPr="002342BD">
        <w:rPr>
          <w:rFonts w:asciiTheme="minorBidi" w:hAnsiTheme="minorBidi"/>
          <w:sz w:val="24"/>
          <w:szCs w:val="24"/>
          <w:u w:val="single"/>
        </w:rPr>
        <w:t>Market Expansion and Brand Diversification</w:t>
      </w:r>
    </w:p>
    <w:p w14:paraId="3868EA83" w14:textId="62C43B7D" w:rsidR="00C33B0D" w:rsidRPr="002342BD" w:rsidRDefault="00C33B0D" w:rsidP="00A00489">
      <w:pPr>
        <w:spacing w:line="360" w:lineRule="auto"/>
        <w:jc w:val="both"/>
        <w:rPr>
          <w:rFonts w:asciiTheme="minorBidi" w:hAnsiTheme="minorBidi"/>
          <w:sz w:val="24"/>
          <w:szCs w:val="24"/>
        </w:rPr>
      </w:pPr>
      <w:r w:rsidRPr="002342BD">
        <w:rPr>
          <w:rFonts w:asciiTheme="minorBidi" w:hAnsiTheme="minorBidi"/>
          <w:sz w:val="24"/>
          <w:szCs w:val="24"/>
        </w:rPr>
        <w:t xml:space="preserve">Hilton’s long-term strategy revolves around global expansion and brand differentiation. The company has aggressively expanded into emerging markets, </w:t>
      </w:r>
      <w:r w:rsidR="0064558A" w:rsidRPr="002342BD">
        <w:rPr>
          <w:rFonts w:asciiTheme="minorBidi" w:hAnsiTheme="minorBidi"/>
          <w:sz w:val="24"/>
          <w:szCs w:val="24"/>
        </w:rPr>
        <w:t>especially</w:t>
      </w:r>
      <w:r w:rsidRPr="002342BD">
        <w:rPr>
          <w:rFonts w:asciiTheme="minorBidi" w:hAnsiTheme="minorBidi"/>
          <w:sz w:val="24"/>
          <w:szCs w:val="24"/>
        </w:rPr>
        <w:t xml:space="preserve"> in </w:t>
      </w:r>
      <w:r w:rsidR="0064558A" w:rsidRPr="002342BD">
        <w:rPr>
          <w:rFonts w:asciiTheme="minorBidi" w:hAnsiTheme="minorBidi"/>
          <w:sz w:val="24"/>
          <w:szCs w:val="24"/>
        </w:rPr>
        <w:t>“</w:t>
      </w:r>
      <w:r w:rsidRPr="002342BD">
        <w:rPr>
          <w:rFonts w:asciiTheme="minorBidi" w:hAnsiTheme="minorBidi"/>
          <w:sz w:val="24"/>
          <w:szCs w:val="24"/>
        </w:rPr>
        <w:t>Asia and the Middle East</w:t>
      </w:r>
      <w:r w:rsidR="0064558A" w:rsidRPr="002342BD">
        <w:rPr>
          <w:rFonts w:asciiTheme="minorBidi" w:hAnsiTheme="minorBidi"/>
          <w:sz w:val="24"/>
          <w:szCs w:val="24"/>
        </w:rPr>
        <w:t>”</w:t>
      </w:r>
      <w:r w:rsidRPr="002342BD">
        <w:rPr>
          <w:rFonts w:asciiTheme="minorBidi" w:hAnsiTheme="minorBidi"/>
          <w:sz w:val="24"/>
          <w:szCs w:val="24"/>
        </w:rPr>
        <w:t>, to capitalize on growing tourism demand. Hilton’s brand portfolio, which includes luxury (Waldorf Astoria), lifestyle (Canopy), and mid-scale (Hampton), enables it to cater to diverse customer segments.</w:t>
      </w:r>
    </w:p>
    <w:p w14:paraId="2BF9775C" w14:textId="2397A722" w:rsidR="00C33B0D" w:rsidRPr="002342BD" w:rsidRDefault="00C33B0D" w:rsidP="00A00489">
      <w:pPr>
        <w:spacing w:line="360" w:lineRule="auto"/>
        <w:jc w:val="both"/>
        <w:rPr>
          <w:rFonts w:asciiTheme="minorBidi" w:hAnsiTheme="minorBidi"/>
          <w:sz w:val="24"/>
          <w:szCs w:val="24"/>
        </w:rPr>
      </w:pPr>
      <w:r w:rsidRPr="002342BD">
        <w:rPr>
          <w:rFonts w:asciiTheme="minorBidi" w:hAnsiTheme="minorBidi"/>
          <w:sz w:val="24"/>
          <w:szCs w:val="24"/>
        </w:rPr>
        <w:t>This strategy aligns with Michael Porter’s (1985) generic strategies framework, where Hilton adopts a differentiation approach by offering high-quality, unique experiences across its brands</w:t>
      </w:r>
      <w:r w:rsidR="004D5331" w:rsidRPr="002342BD">
        <w:rPr>
          <w:rFonts w:asciiTheme="minorBidi" w:hAnsiTheme="minorBidi"/>
          <w:sz w:val="24"/>
          <w:szCs w:val="24"/>
        </w:rPr>
        <w:t xml:space="preserve"> (Kolb, 2023)</w:t>
      </w:r>
      <w:r w:rsidRPr="002342BD">
        <w:rPr>
          <w:rFonts w:asciiTheme="minorBidi" w:hAnsiTheme="minorBidi"/>
          <w:sz w:val="24"/>
          <w:szCs w:val="24"/>
        </w:rPr>
        <w:t>. The focus on brand segmentation allows Hilton to capture market share across multiple price points while maintaining consistent service excellence.</w:t>
      </w:r>
    </w:p>
    <w:p w14:paraId="7255C5B1" w14:textId="77777777" w:rsidR="00EA13B3" w:rsidRPr="002342BD" w:rsidRDefault="00EA13B3" w:rsidP="00A00489">
      <w:pPr>
        <w:spacing w:line="360" w:lineRule="auto"/>
        <w:jc w:val="both"/>
        <w:rPr>
          <w:rFonts w:asciiTheme="minorBidi" w:hAnsiTheme="minorBidi"/>
          <w:b/>
          <w:bCs/>
          <w:sz w:val="24"/>
          <w:szCs w:val="24"/>
        </w:rPr>
      </w:pPr>
    </w:p>
    <w:p w14:paraId="1C64E11C" w14:textId="0F1D4E69" w:rsidR="00C33B0D" w:rsidRPr="002342BD" w:rsidRDefault="00C33B0D" w:rsidP="00A00489">
      <w:pPr>
        <w:spacing w:line="360" w:lineRule="auto"/>
        <w:jc w:val="both"/>
        <w:rPr>
          <w:rFonts w:asciiTheme="minorBidi" w:hAnsiTheme="minorBidi"/>
          <w:sz w:val="24"/>
          <w:szCs w:val="24"/>
          <w:u w:val="single"/>
        </w:rPr>
      </w:pPr>
      <w:r w:rsidRPr="002342BD">
        <w:rPr>
          <w:rFonts w:asciiTheme="minorBidi" w:hAnsiTheme="minorBidi"/>
          <w:sz w:val="24"/>
          <w:szCs w:val="24"/>
          <w:u w:val="single"/>
        </w:rPr>
        <w:lastRenderedPageBreak/>
        <w:t>Customer Experience and Loyalty Programs</w:t>
      </w:r>
    </w:p>
    <w:p w14:paraId="68FA83AD" w14:textId="1A607287" w:rsidR="00EA13B3" w:rsidRPr="002342BD" w:rsidRDefault="003962F4" w:rsidP="00A00489">
      <w:pPr>
        <w:spacing w:line="360" w:lineRule="auto"/>
        <w:jc w:val="both"/>
        <w:rPr>
          <w:rFonts w:asciiTheme="minorBidi" w:hAnsiTheme="minorBidi"/>
          <w:sz w:val="24"/>
          <w:szCs w:val="24"/>
          <w:u w:val="single"/>
        </w:rPr>
      </w:pPr>
      <w:r w:rsidRPr="002342BD">
        <w:rPr>
          <w:rFonts w:asciiTheme="minorBidi" w:hAnsiTheme="minorBidi"/>
          <w:sz w:val="24"/>
          <w:szCs w:val="24"/>
        </w:rPr>
        <w:t>Hilton's strat</w:t>
      </w:r>
      <w:r w:rsidRPr="0077763C">
        <w:rPr>
          <w:rFonts w:asciiTheme="minorBidi" w:hAnsiTheme="minorBidi"/>
          <w:sz w:val="24"/>
          <w:szCs w:val="24"/>
        </w:rPr>
        <w:t>egy orientation is much influenced by its focus on client loyalty.</w:t>
      </w:r>
      <w:r w:rsidR="00C33B0D" w:rsidRPr="0077763C">
        <w:rPr>
          <w:rFonts w:asciiTheme="minorBidi" w:hAnsiTheme="minorBidi"/>
          <w:sz w:val="24"/>
          <w:szCs w:val="24"/>
        </w:rPr>
        <w:t xml:space="preserve"> The </w:t>
      </w:r>
      <w:r w:rsidR="000738AE" w:rsidRPr="0077763C">
        <w:rPr>
          <w:rFonts w:asciiTheme="minorBidi" w:hAnsiTheme="minorBidi"/>
          <w:sz w:val="24"/>
          <w:szCs w:val="24"/>
        </w:rPr>
        <w:t>“</w:t>
      </w:r>
      <w:r w:rsidR="00C33B0D" w:rsidRPr="0077763C">
        <w:rPr>
          <w:rFonts w:asciiTheme="minorBidi" w:hAnsiTheme="minorBidi"/>
          <w:sz w:val="24"/>
          <w:szCs w:val="24"/>
        </w:rPr>
        <w:t>Hilton Honors program</w:t>
      </w:r>
      <w:r w:rsidR="000738AE" w:rsidRPr="0077763C">
        <w:rPr>
          <w:rFonts w:asciiTheme="minorBidi" w:hAnsiTheme="minorBidi"/>
          <w:sz w:val="24"/>
          <w:szCs w:val="24"/>
        </w:rPr>
        <w:t>”</w:t>
      </w:r>
      <w:r w:rsidR="00C33B0D" w:rsidRPr="0077763C">
        <w:rPr>
          <w:rFonts w:asciiTheme="minorBidi" w:hAnsiTheme="minorBidi"/>
          <w:sz w:val="24"/>
          <w:szCs w:val="24"/>
        </w:rPr>
        <w:t xml:space="preserve">, with over 150 million members, is a critical component of its revenue strategy. By offering personalized rewards and exclusive benefits, Hilton ensures repeat business and higher customer retention. </w:t>
      </w:r>
      <w:r w:rsidR="00326E0D" w:rsidRPr="0077763C">
        <w:rPr>
          <w:rFonts w:asciiTheme="minorBidi" w:hAnsiTheme="minorBidi"/>
          <w:sz w:val="24"/>
          <w:szCs w:val="24"/>
        </w:rPr>
        <w:t>The approach is consistent with the theory of Relationship Marketing (Morgan and Hunt, 1994)</w:t>
      </w:r>
      <w:r w:rsidR="0074089A" w:rsidRPr="0077763C">
        <w:rPr>
          <w:rFonts w:asciiTheme="minorBidi" w:hAnsiTheme="minorBidi"/>
          <w:sz w:val="24"/>
          <w:szCs w:val="24"/>
        </w:rPr>
        <w:t>, which emphasizes cultivating enduring customer relationships over one-time transactions. Instead of merely focusing on immediate sales, Hilton prioritizes trust, loyalty, and ongoing engagement, ensuring that guests feel valued and continue choosing Hilton over competitors.</w:t>
      </w:r>
    </w:p>
    <w:p w14:paraId="25D2B638" w14:textId="77777777" w:rsidR="0077763C" w:rsidRDefault="0077763C" w:rsidP="00A00489">
      <w:pPr>
        <w:spacing w:line="360" w:lineRule="auto"/>
        <w:jc w:val="both"/>
        <w:rPr>
          <w:rFonts w:asciiTheme="minorBidi" w:hAnsiTheme="minorBidi"/>
          <w:sz w:val="24"/>
          <w:szCs w:val="24"/>
          <w:u w:val="single"/>
        </w:rPr>
      </w:pPr>
    </w:p>
    <w:p w14:paraId="1A8F3E54" w14:textId="3919976B" w:rsidR="00C33B0D" w:rsidRPr="002342BD" w:rsidRDefault="00C33B0D" w:rsidP="00A00489">
      <w:pPr>
        <w:spacing w:line="360" w:lineRule="auto"/>
        <w:jc w:val="both"/>
        <w:rPr>
          <w:rFonts w:asciiTheme="minorBidi" w:hAnsiTheme="minorBidi"/>
          <w:sz w:val="24"/>
          <w:szCs w:val="24"/>
          <w:u w:val="single"/>
        </w:rPr>
      </w:pPr>
      <w:r w:rsidRPr="002342BD">
        <w:rPr>
          <w:rFonts w:asciiTheme="minorBidi" w:hAnsiTheme="minorBidi"/>
          <w:sz w:val="24"/>
          <w:szCs w:val="24"/>
          <w:u w:val="single"/>
        </w:rPr>
        <w:t>Future Challenges and Adaptability</w:t>
      </w:r>
    </w:p>
    <w:p w14:paraId="0456D29E" w14:textId="78746754" w:rsidR="00C33B0D" w:rsidRPr="002342BD" w:rsidRDefault="00C33B0D" w:rsidP="00A00489">
      <w:pPr>
        <w:spacing w:line="360" w:lineRule="auto"/>
        <w:jc w:val="both"/>
        <w:rPr>
          <w:rFonts w:asciiTheme="minorBidi" w:hAnsiTheme="minorBidi"/>
          <w:sz w:val="24"/>
          <w:szCs w:val="24"/>
        </w:rPr>
      </w:pPr>
      <w:r w:rsidRPr="002342BD">
        <w:rPr>
          <w:rFonts w:asciiTheme="minorBidi" w:hAnsiTheme="minorBidi"/>
          <w:sz w:val="24"/>
          <w:szCs w:val="24"/>
        </w:rPr>
        <w:t xml:space="preserve">Despite its strong strategic direction, Hilton faces challenges such as rising competition from Airbnb, economic fluctuations, and evolving customer preferences. The company’s ability to adapt to changing travel trends, such as </w:t>
      </w:r>
      <w:r w:rsidR="007F03EE" w:rsidRPr="002342BD">
        <w:rPr>
          <w:rFonts w:asciiTheme="minorBidi" w:hAnsiTheme="minorBidi"/>
          <w:sz w:val="24"/>
          <w:szCs w:val="24"/>
        </w:rPr>
        <w:t>“</w:t>
      </w:r>
      <w:r w:rsidRPr="002342BD">
        <w:rPr>
          <w:rFonts w:asciiTheme="minorBidi" w:hAnsiTheme="minorBidi"/>
          <w:sz w:val="24"/>
          <w:szCs w:val="24"/>
        </w:rPr>
        <w:t>the rise of remote work and wellness tourism</w:t>
      </w:r>
      <w:r w:rsidR="007F03EE" w:rsidRPr="002342BD">
        <w:rPr>
          <w:rFonts w:asciiTheme="minorBidi" w:hAnsiTheme="minorBidi"/>
          <w:sz w:val="24"/>
          <w:szCs w:val="24"/>
        </w:rPr>
        <w:t>”</w:t>
      </w:r>
      <w:r w:rsidRPr="002342BD">
        <w:rPr>
          <w:rFonts w:asciiTheme="minorBidi" w:hAnsiTheme="minorBidi"/>
          <w:sz w:val="24"/>
          <w:szCs w:val="24"/>
        </w:rPr>
        <w:t xml:space="preserve">, will determine its long-term success. </w:t>
      </w:r>
      <w:r w:rsidR="00B1719D" w:rsidRPr="002342BD">
        <w:rPr>
          <w:rFonts w:asciiTheme="minorBidi" w:hAnsiTheme="minorBidi"/>
          <w:sz w:val="24"/>
          <w:szCs w:val="24"/>
        </w:rPr>
        <w:t>To succeed in a more competitive market, Hilton must keep using data analytics, personalized marketing, as well as the ability to operate agile business.</w:t>
      </w:r>
    </w:p>
    <w:p w14:paraId="4CAB221F" w14:textId="77777777" w:rsidR="00170834" w:rsidRPr="002342BD" w:rsidRDefault="00170834" w:rsidP="00A00489">
      <w:pPr>
        <w:spacing w:line="360" w:lineRule="auto"/>
        <w:jc w:val="center"/>
        <w:rPr>
          <w:rFonts w:asciiTheme="minorBidi" w:hAnsiTheme="minorBidi"/>
          <w:b/>
          <w:bCs/>
          <w:sz w:val="24"/>
          <w:szCs w:val="24"/>
          <w:u w:val="single"/>
        </w:rPr>
      </w:pPr>
    </w:p>
    <w:p w14:paraId="4DCBAFE2" w14:textId="052652FD" w:rsidR="00AE46B9" w:rsidRPr="002342BD" w:rsidRDefault="00AE46B9" w:rsidP="00A00489">
      <w:pPr>
        <w:pStyle w:val="Ttulo1"/>
        <w:spacing w:line="360" w:lineRule="auto"/>
        <w:jc w:val="center"/>
        <w:rPr>
          <w:rFonts w:asciiTheme="minorBidi" w:hAnsiTheme="minorBidi" w:cstheme="minorBidi"/>
          <w:b/>
          <w:bCs/>
          <w:color w:val="auto"/>
          <w:sz w:val="24"/>
          <w:szCs w:val="24"/>
          <w:u w:val="single"/>
        </w:rPr>
      </w:pPr>
      <w:bookmarkStart w:id="4" w:name="_Toc192220019"/>
      <w:r w:rsidRPr="002342BD">
        <w:rPr>
          <w:rFonts w:asciiTheme="minorBidi" w:hAnsiTheme="minorBidi" w:cstheme="minorBidi"/>
          <w:b/>
          <w:bCs/>
          <w:color w:val="auto"/>
          <w:sz w:val="24"/>
          <w:szCs w:val="24"/>
          <w:u w:val="single"/>
        </w:rPr>
        <w:t>Recommendations</w:t>
      </w:r>
      <w:bookmarkEnd w:id="4"/>
    </w:p>
    <w:p w14:paraId="22DA4235" w14:textId="77777777" w:rsidR="0012748A" w:rsidRPr="002342BD" w:rsidRDefault="0012748A" w:rsidP="00A00489">
      <w:pPr>
        <w:spacing w:line="360" w:lineRule="auto"/>
        <w:jc w:val="both"/>
        <w:rPr>
          <w:rFonts w:asciiTheme="minorBidi" w:hAnsiTheme="minorBidi"/>
          <w:sz w:val="24"/>
          <w:szCs w:val="24"/>
        </w:rPr>
      </w:pPr>
      <w:r w:rsidRPr="002342BD">
        <w:rPr>
          <w:rFonts w:asciiTheme="minorBidi" w:hAnsiTheme="minorBidi"/>
          <w:sz w:val="24"/>
          <w:szCs w:val="24"/>
        </w:rPr>
        <w:t>Hilton Hotels &amp; Resorts should concentrate its efforts on five areas to keep ahead of the game and stay at the top; digital innovation, sustainability, workforce development, global expansion, and crisis management.</w:t>
      </w:r>
    </w:p>
    <w:p w14:paraId="2A2AAF71" w14:textId="77777777" w:rsidR="0012748A" w:rsidRPr="002342BD" w:rsidRDefault="0012748A" w:rsidP="00A00489">
      <w:pPr>
        <w:spacing w:line="360" w:lineRule="auto"/>
        <w:jc w:val="both"/>
        <w:rPr>
          <w:rFonts w:asciiTheme="minorBidi" w:hAnsiTheme="minorBidi"/>
          <w:sz w:val="24"/>
          <w:szCs w:val="24"/>
        </w:rPr>
      </w:pPr>
      <w:r w:rsidRPr="002342BD">
        <w:rPr>
          <w:rFonts w:asciiTheme="minorBidi" w:hAnsiTheme="minorBidi"/>
          <w:sz w:val="24"/>
          <w:szCs w:val="24"/>
        </w:rPr>
        <w:t>First, to improve guest experience and operational efficiency, Digital innovation must accelerate. However, there is another place where Hilton can advance further in customer service with AI-driven personalization, predictive analytics and automation. The capabilities of the Hilton Honors mobile app can be expanded, the application of which would include real time language translation and AI powered recommendations of travel.</w:t>
      </w:r>
    </w:p>
    <w:p w14:paraId="429940C4" w14:textId="77777777" w:rsidR="0012748A" w:rsidRPr="002342BD" w:rsidRDefault="0012748A" w:rsidP="00A00489">
      <w:pPr>
        <w:spacing w:line="360" w:lineRule="auto"/>
        <w:jc w:val="both"/>
        <w:rPr>
          <w:rFonts w:asciiTheme="minorBidi" w:hAnsiTheme="minorBidi"/>
          <w:sz w:val="24"/>
          <w:szCs w:val="24"/>
        </w:rPr>
      </w:pPr>
      <w:r w:rsidRPr="002342BD">
        <w:rPr>
          <w:rFonts w:asciiTheme="minorBidi" w:hAnsiTheme="minorBidi"/>
          <w:sz w:val="24"/>
          <w:szCs w:val="24"/>
        </w:rPr>
        <w:lastRenderedPageBreak/>
        <w:t>Second, incorporating the company’s effort to expand sustainability will further boost Hilton’s reputation as an environmentally friendly organization. In order to reach economically and environmentally sustainable targets, Hilton should adopt circular economy principles that embody carbon emission and waste reduction, but also include more eco-friendly building designs, renewable energy sources, as well as water conservation strategies. Corporate social responsibility would be raised if the company partnered with local communities for its sustainable tourism initiatives.</w:t>
      </w:r>
    </w:p>
    <w:p w14:paraId="0C567A52" w14:textId="77777777" w:rsidR="0012748A" w:rsidRPr="002342BD" w:rsidRDefault="0012748A" w:rsidP="00A00489">
      <w:pPr>
        <w:spacing w:line="360" w:lineRule="auto"/>
        <w:jc w:val="both"/>
        <w:rPr>
          <w:rFonts w:asciiTheme="minorBidi" w:hAnsiTheme="minorBidi"/>
          <w:sz w:val="24"/>
          <w:szCs w:val="24"/>
        </w:rPr>
      </w:pPr>
      <w:r w:rsidRPr="002342BD">
        <w:rPr>
          <w:rFonts w:asciiTheme="minorBidi" w:hAnsiTheme="minorBidi"/>
          <w:sz w:val="24"/>
          <w:szCs w:val="24"/>
        </w:rPr>
        <w:t>Third, workforce development must be improved to sustain the characteristics of a world class service. Hilton should dedicate leadership training programs, increase diversity at the senior management level and increase upskilling opportunities for employees.</w:t>
      </w:r>
    </w:p>
    <w:p w14:paraId="6C9F4A78" w14:textId="77777777" w:rsidR="0012748A" w:rsidRPr="002342BD" w:rsidRDefault="0012748A" w:rsidP="00A00489">
      <w:pPr>
        <w:spacing w:line="360" w:lineRule="auto"/>
        <w:jc w:val="both"/>
        <w:rPr>
          <w:rFonts w:asciiTheme="minorBidi" w:hAnsiTheme="minorBidi"/>
          <w:sz w:val="24"/>
          <w:szCs w:val="24"/>
        </w:rPr>
      </w:pPr>
      <w:r w:rsidRPr="002342BD">
        <w:rPr>
          <w:rFonts w:asciiTheme="minorBidi" w:hAnsiTheme="minorBidi"/>
          <w:sz w:val="24"/>
          <w:szCs w:val="24"/>
        </w:rPr>
        <w:t>Fourth, long term revenue growth can be achieved by expanding in emerging markets such as Africa and Southeast Asia. Success would come through tailoring services to cultures and preferences of the local.</w:t>
      </w:r>
    </w:p>
    <w:p w14:paraId="4AAE12FB" w14:textId="35F8BDA7" w:rsidR="00C126C2" w:rsidRPr="002342BD" w:rsidRDefault="0012748A" w:rsidP="00A00489">
      <w:pPr>
        <w:spacing w:line="360" w:lineRule="auto"/>
        <w:jc w:val="both"/>
        <w:rPr>
          <w:rFonts w:asciiTheme="minorBidi" w:hAnsiTheme="minorBidi"/>
          <w:sz w:val="24"/>
          <w:szCs w:val="24"/>
        </w:rPr>
      </w:pPr>
      <w:r w:rsidRPr="002342BD">
        <w:rPr>
          <w:rFonts w:asciiTheme="minorBidi" w:hAnsiTheme="minorBidi"/>
          <w:sz w:val="24"/>
          <w:szCs w:val="24"/>
        </w:rPr>
        <w:t>Secondly, Hilton can enhance its resilience to global disruptions through improving crisis management strategies by developing more robust contingency plans.</w:t>
      </w:r>
    </w:p>
    <w:p w14:paraId="74472EE3" w14:textId="77777777" w:rsidR="00170834" w:rsidRPr="002342BD" w:rsidRDefault="00170834" w:rsidP="00A00489">
      <w:pPr>
        <w:spacing w:line="360" w:lineRule="auto"/>
        <w:jc w:val="center"/>
        <w:rPr>
          <w:rFonts w:asciiTheme="minorBidi" w:hAnsiTheme="minorBidi"/>
          <w:b/>
          <w:bCs/>
          <w:sz w:val="24"/>
          <w:szCs w:val="24"/>
          <w:u w:val="single"/>
        </w:rPr>
      </w:pPr>
    </w:p>
    <w:p w14:paraId="5D50B26C" w14:textId="64D140A3" w:rsidR="00170834" w:rsidRPr="002342BD" w:rsidRDefault="00170834" w:rsidP="00A00489">
      <w:pPr>
        <w:pStyle w:val="Ttulo1"/>
        <w:spacing w:line="360" w:lineRule="auto"/>
        <w:jc w:val="center"/>
        <w:rPr>
          <w:rFonts w:asciiTheme="minorBidi" w:hAnsiTheme="minorBidi" w:cstheme="minorBidi"/>
          <w:b/>
          <w:bCs/>
          <w:color w:val="auto"/>
          <w:sz w:val="24"/>
          <w:szCs w:val="24"/>
          <w:u w:val="single"/>
        </w:rPr>
      </w:pPr>
      <w:bookmarkStart w:id="5" w:name="_Toc192220020"/>
      <w:r w:rsidRPr="002342BD">
        <w:rPr>
          <w:rFonts w:asciiTheme="minorBidi" w:hAnsiTheme="minorBidi" w:cstheme="minorBidi"/>
          <w:b/>
          <w:bCs/>
          <w:color w:val="auto"/>
          <w:sz w:val="24"/>
          <w:szCs w:val="24"/>
          <w:u w:val="single"/>
        </w:rPr>
        <w:t>Conclusion</w:t>
      </w:r>
      <w:bookmarkEnd w:id="5"/>
    </w:p>
    <w:p w14:paraId="3B59D1DA" w14:textId="77777777" w:rsidR="0012748A" w:rsidRPr="002342BD" w:rsidRDefault="0012748A" w:rsidP="00A00489">
      <w:pPr>
        <w:spacing w:line="360" w:lineRule="auto"/>
        <w:jc w:val="both"/>
        <w:rPr>
          <w:rFonts w:asciiTheme="minorBidi" w:hAnsiTheme="minorBidi"/>
          <w:sz w:val="24"/>
          <w:szCs w:val="24"/>
        </w:rPr>
      </w:pPr>
      <w:r w:rsidRPr="002342BD">
        <w:rPr>
          <w:rFonts w:asciiTheme="minorBidi" w:hAnsiTheme="minorBidi"/>
          <w:sz w:val="24"/>
          <w:szCs w:val="24"/>
        </w:rPr>
        <w:t>Hilton Hotels &amp; Resorts has demonstrated itself to be a global leader in the hospitality industry due to its aligning organizational structure, customer focused culture and its strategic expansion. The hybrid of corporate leadership along with decentralized hotel operations means that the brand remains consistent with a local adaptation, depending on the hospital region. Employee engagement and service excellence are also core elements of Hilton’s corporate culture which, together with high level of customer satisfaction and operational success.</w:t>
      </w:r>
    </w:p>
    <w:p w14:paraId="7FD47A7F" w14:textId="77777777" w:rsidR="0012748A" w:rsidRPr="002342BD" w:rsidRDefault="0012748A" w:rsidP="00A00489">
      <w:pPr>
        <w:spacing w:line="360" w:lineRule="auto"/>
        <w:jc w:val="both"/>
        <w:rPr>
          <w:rFonts w:asciiTheme="minorBidi" w:hAnsiTheme="minorBidi"/>
          <w:sz w:val="24"/>
          <w:szCs w:val="24"/>
        </w:rPr>
      </w:pPr>
      <w:r w:rsidRPr="002342BD">
        <w:rPr>
          <w:rFonts w:asciiTheme="minorBidi" w:hAnsiTheme="minorBidi"/>
          <w:sz w:val="24"/>
          <w:szCs w:val="24"/>
        </w:rPr>
        <w:t xml:space="preserve">The competitive position of the company is strengthened by its recent change efforts in particular digital transformation, sustainability and diversity. For example, guest experiences have become even more technological enhancements like the Hilton Honors app and the advancements in AI in personalization, and sustainability efforts, such as </w:t>
      </w:r>
      <w:r w:rsidRPr="002342BD">
        <w:rPr>
          <w:rFonts w:asciiTheme="minorBidi" w:hAnsiTheme="minorBidi"/>
          <w:sz w:val="24"/>
          <w:szCs w:val="24"/>
        </w:rPr>
        <w:lastRenderedPageBreak/>
        <w:t>LightStay, is a global environmental goal. Nevertheless, Hilton should not rest on its laurels as the market continues to change and competition becomes more fierce.</w:t>
      </w:r>
    </w:p>
    <w:p w14:paraId="736087DF" w14:textId="156C6655" w:rsidR="004D624C" w:rsidRPr="002342BD" w:rsidRDefault="0012748A" w:rsidP="00A00489">
      <w:pPr>
        <w:spacing w:line="360" w:lineRule="auto"/>
        <w:jc w:val="both"/>
        <w:rPr>
          <w:rFonts w:asciiTheme="minorBidi" w:hAnsiTheme="minorBidi"/>
          <w:sz w:val="24"/>
          <w:szCs w:val="24"/>
        </w:rPr>
      </w:pPr>
      <w:r w:rsidRPr="002342BD">
        <w:rPr>
          <w:rFonts w:asciiTheme="minorBidi" w:hAnsiTheme="minorBidi"/>
          <w:sz w:val="24"/>
          <w:szCs w:val="24"/>
        </w:rPr>
        <w:t>For Hilton to sustain growth, it should accelerate the digital developments, strengthen its sustainability efforts, invest in labor development, invest in emerging markets, and strengthen all crisis management. Through such application, Hilton will be able to enhancle its brand leadership and strengthen customer loyalty, along with effectively managing of future challenges. To ensure success in Hilton’s dynamic hospitality landscape for the long term, it will need to keep this balance between innovation, sustainability, and operational excellence.</w:t>
      </w:r>
    </w:p>
    <w:p w14:paraId="5986D7B0" w14:textId="77777777" w:rsidR="00FD74E5" w:rsidRPr="002342BD" w:rsidRDefault="00FD74E5" w:rsidP="00A00489">
      <w:pPr>
        <w:spacing w:line="360" w:lineRule="auto"/>
        <w:jc w:val="both"/>
        <w:rPr>
          <w:rFonts w:asciiTheme="minorBidi" w:hAnsiTheme="minorBidi"/>
          <w:sz w:val="24"/>
          <w:szCs w:val="24"/>
        </w:rPr>
      </w:pPr>
    </w:p>
    <w:p w14:paraId="26ADE773" w14:textId="77777777" w:rsidR="00FD74E5" w:rsidRPr="002342BD" w:rsidRDefault="00FD74E5" w:rsidP="00A00489">
      <w:pPr>
        <w:spacing w:line="360" w:lineRule="auto"/>
        <w:rPr>
          <w:rFonts w:asciiTheme="minorBidi" w:eastAsiaTheme="majorEastAsia" w:hAnsiTheme="minorBidi"/>
          <w:b/>
          <w:bCs/>
          <w:sz w:val="24"/>
          <w:szCs w:val="24"/>
          <w:u w:val="single"/>
        </w:rPr>
      </w:pPr>
      <w:r w:rsidRPr="002342BD">
        <w:rPr>
          <w:rFonts w:asciiTheme="minorBidi" w:hAnsiTheme="minorBidi"/>
          <w:b/>
          <w:bCs/>
          <w:sz w:val="24"/>
          <w:szCs w:val="24"/>
          <w:u w:val="single"/>
        </w:rPr>
        <w:br w:type="page"/>
      </w:r>
    </w:p>
    <w:p w14:paraId="0F86A008" w14:textId="112D42A2" w:rsidR="004D624C" w:rsidRPr="002342BD" w:rsidRDefault="00D7431B" w:rsidP="00A00489">
      <w:pPr>
        <w:pStyle w:val="Ttulo1"/>
        <w:spacing w:line="360" w:lineRule="auto"/>
        <w:jc w:val="center"/>
        <w:rPr>
          <w:rFonts w:asciiTheme="minorBidi" w:hAnsiTheme="minorBidi" w:cstheme="minorBidi"/>
          <w:b/>
          <w:bCs/>
          <w:color w:val="auto"/>
          <w:sz w:val="24"/>
          <w:szCs w:val="24"/>
          <w:u w:val="single"/>
        </w:rPr>
      </w:pPr>
      <w:bookmarkStart w:id="6" w:name="_Toc192220021"/>
      <w:r w:rsidRPr="002342BD">
        <w:rPr>
          <w:rFonts w:asciiTheme="minorBidi" w:hAnsiTheme="minorBidi" w:cstheme="minorBidi"/>
          <w:b/>
          <w:bCs/>
          <w:color w:val="auto"/>
          <w:sz w:val="24"/>
          <w:szCs w:val="24"/>
          <w:u w:val="single"/>
        </w:rPr>
        <w:lastRenderedPageBreak/>
        <w:t>“</w:t>
      </w:r>
      <w:r w:rsidR="004D624C" w:rsidRPr="002342BD">
        <w:rPr>
          <w:rFonts w:asciiTheme="minorBidi" w:hAnsiTheme="minorBidi" w:cstheme="minorBidi"/>
          <w:b/>
          <w:bCs/>
          <w:color w:val="auto"/>
          <w:sz w:val="24"/>
          <w:szCs w:val="24"/>
          <w:u w:val="single"/>
        </w:rPr>
        <w:t>References</w:t>
      </w:r>
      <w:r w:rsidRPr="002342BD">
        <w:rPr>
          <w:rFonts w:asciiTheme="minorBidi" w:hAnsiTheme="minorBidi" w:cstheme="minorBidi"/>
          <w:b/>
          <w:bCs/>
          <w:color w:val="auto"/>
          <w:sz w:val="24"/>
          <w:szCs w:val="24"/>
          <w:u w:val="single"/>
        </w:rPr>
        <w:t>”</w:t>
      </w:r>
      <w:bookmarkEnd w:id="6"/>
    </w:p>
    <w:p w14:paraId="0ADD4F06"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Davis, F.D. (1989). </w:t>
      </w:r>
      <w:r w:rsidRPr="002342BD">
        <w:rPr>
          <w:rFonts w:asciiTheme="minorBidi" w:hAnsiTheme="minorBidi"/>
          <w:i/>
          <w:iCs/>
          <w:sz w:val="24"/>
          <w:szCs w:val="24"/>
        </w:rPr>
        <w:t>User acceptance of information systems : the technology acceptance model (TAM)</w:t>
      </w:r>
      <w:r w:rsidRPr="002342BD">
        <w:rPr>
          <w:rFonts w:asciiTheme="minorBidi" w:hAnsiTheme="minorBidi"/>
          <w:sz w:val="24"/>
          <w:szCs w:val="24"/>
        </w:rPr>
        <w:t>. [online] ResearchGate. Available at: https://www.researchgate.net/publication/30838394_User_acceptance_of_information_systems_the_technology_acceptance_model_TAM.</w:t>
      </w:r>
    </w:p>
    <w:p w14:paraId="672D48FB"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Ennew, C.T. (2015). The Service-Profit Chain. </w:t>
      </w:r>
      <w:r w:rsidRPr="002342BD">
        <w:rPr>
          <w:rFonts w:asciiTheme="minorBidi" w:hAnsiTheme="minorBidi"/>
          <w:i/>
          <w:iCs/>
          <w:sz w:val="24"/>
          <w:szCs w:val="24"/>
        </w:rPr>
        <w:t>Wiley Encyclopedia of Management</w:t>
      </w:r>
      <w:r w:rsidRPr="002342BD">
        <w:rPr>
          <w:rFonts w:asciiTheme="minorBidi" w:hAnsiTheme="minorBidi"/>
          <w:sz w:val="24"/>
          <w:szCs w:val="24"/>
        </w:rPr>
        <w:t>, pp.1–4. doi:https://doi.org/10.1002/9781118785317.weom090241.</w:t>
      </w:r>
    </w:p>
    <w:p w14:paraId="4F55C10A"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Freeman (1984). </w:t>
      </w:r>
      <w:r w:rsidRPr="002342BD">
        <w:rPr>
          <w:rFonts w:asciiTheme="minorBidi" w:hAnsiTheme="minorBidi"/>
          <w:i/>
          <w:iCs/>
          <w:sz w:val="24"/>
          <w:szCs w:val="24"/>
        </w:rPr>
        <w:t>Strategic Management A Stakeholder Approach. Boston, MA Pitman. - References - Scientific Research Publishing</w:t>
      </w:r>
      <w:r w:rsidRPr="002342BD">
        <w:rPr>
          <w:rFonts w:asciiTheme="minorBidi" w:hAnsiTheme="minorBidi"/>
          <w:sz w:val="24"/>
          <w:szCs w:val="24"/>
        </w:rPr>
        <w:t>. [online] www.scirp.org. Available at: https://www.scirp.org/reference/referencespapers?referenceid=1751722.</w:t>
      </w:r>
    </w:p>
    <w:p w14:paraId="27DB8024"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Heskett, J., Jones, T.O., Loveman, G.W., Sasser, W. and Schlesinger, L. (1994). </w:t>
      </w:r>
      <w:r w:rsidRPr="002342BD">
        <w:rPr>
          <w:rFonts w:asciiTheme="minorBidi" w:hAnsiTheme="minorBidi"/>
          <w:i/>
          <w:iCs/>
          <w:sz w:val="24"/>
          <w:szCs w:val="24"/>
        </w:rPr>
        <w:t>Putting the Service-Profit Chain to Work</w:t>
      </w:r>
      <w:r w:rsidRPr="002342BD">
        <w:rPr>
          <w:rFonts w:asciiTheme="minorBidi" w:hAnsiTheme="minorBidi"/>
          <w:sz w:val="24"/>
          <w:szCs w:val="24"/>
        </w:rPr>
        <w:t>. [online] Harvard Business Review. Available at: https://api.semanticscholar.org/CorpusID:32178222 [Accessed 2 Mar. 2025].</w:t>
      </w:r>
    </w:p>
    <w:p w14:paraId="2ACFA0F3"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Hilton (n.d.). </w:t>
      </w:r>
      <w:r w:rsidRPr="002342BD">
        <w:rPr>
          <w:rFonts w:asciiTheme="minorBidi" w:hAnsiTheme="minorBidi"/>
          <w:i/>
          <w:iCs/>
          <w:sz w:val="24"/>
          <w:szCs w:val="24"/>
        </w:rPr>
        <w:t>Hilton - Lightstay</w:t>
      </w:r>
      <w:r w:rsidRPr="002342BD">
        <w:rPr>
          <w:rFonts w:asciiTheme="minorBidi" w:hAnsiTheme="minorBidi"/>
          <w:sz w:val="24"/>
          <w:szCs w:val="24"/>
        </w:rPr>
        <w:t>. [online] Available at: https://esg.hilton.com/wp-content/uploads/sites/4/2024/05/Lightstay.pdf [Accessed 2 Mar. 2025].</w:t>
      </w:r>
    </w:p>
    <w:p w14:paraId="7A5E42C5"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Hilton (2023). </w:t>
      </w:r>
      <w:r w:rsidRPr="002342BD">
        <w:rPr>
          <w:rFonts w:asciiTheme="minorBidi" w:hAnsiTheme="minorBidi"/>
          <w:i/>
          <w:iCs/>
          <w:sz w:val="24"/>
          <w:szCs w:val="24"/>
        </w:rPr>
        <w:t>Our Progress</w:t>
      </w:r>
      <w:r w:rsidRPr="002342BD">
        <w:rPr>
          <w:rFonts w:asciiTheme="minorBidi" w:hAnsiTheme="minorBidi"/>
          <w:sz w:val="24"/>
          <w:szCs w:val="24"/>
        </w:rPr>
        <w:t>. [online] Travel With Purpose | Hilton ESG. Available at: https://esg.hilton.com/our-progress/.</w:t>
      </w:r>
    </w:p>
    <w:p w14:paraId="0D347E20"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Hilton (2024a). </w:t>
      </w:r>
      <w:r w:rsidRPr="002342BD">
        <w:rPr>
          <w:rFonts w:asciiTheme="minorBidi" w:hAnsiTheme="minorBidi"/>
          <w:i/>
          <w:iCs/>
          <w:sz w:val="24"/>
          <w:szCs w:val="24"/>
        </w:rPr>
        <w:t>Hilton Named No. 1 Best Company to Work For in the US</w:t>
      </w:r>
      <w:r w:rsidRPr="002342BD">
        <w:rPr>
          <w:rFonts w:asciiTheme="minorBidi" w:hAnsiTheme="minorBidi"/>
          <w:sz w:val="24"/>
          <w:szCs w:val="24"/>
        </w:rPr>
        <w:t>. [online] Stories From Hilton. Available at: https://stories.hilton.com/releases/hilton-named-best-company-to-work-for-in-the-us.</w:t>
      </w:r>
    </w:p>
    <w:p w14:paraId="31D73D29"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Hilton (2024b). </w:t>
      </w:r>
      <w:r w:rsidRPr="002342BD">
        <w:rPr>
          <w:rFonts w:asciiTheme="minorBidi" w:hAnsiTheme="minorBidi"/>
          <w:i/>
          <w:iCs/>
          <w:sz w:val="24"/>
          <w:szCs w:val="24"/>
        </w:rPr>
        <w:t>The Story of Hilton</w:t>
      </w:r>
      <w:r w:rsidRPr="002342BD">
        <w:rPr>
          <w:rFonts w:asciiTheme="minorBidi" w:hAnsiTheme="minorBidi"/>
          <w:sz w:val="24"/>
          <w:szCs w:val="24"/>
        </w:rPr>
        <w:t>. [online] Stories from Hilton. Available at: https://stories.hilton.com/history.</w:t>
      </w:r>
    </w:p>
    <w:p w14:paraId="295215D4"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Hotel Technology News (2019). </w:t>
      </w:r>
      <w:r w:rsidRPr="002342BD">
        <w:rPr>
          <w:rFonts w:asciiTheme="minorBidi" w:hAnsiTheme="minorBidi"/>
          <w:i/>
          <w:iCs/>
          <w:sz w:val="24"/>
          <w:szCs w:val="24"/>
        </w:rPr>
        <w:t>Hilton Enhances Its ‘Connected Rooms’ Technology With Netflix Partnership |</w:t>
      </w:r>
      <w:r w:rsidRPr="002342BD">
        <w:rPr>
          <w:rFonts w:asciiTheme="minorBidi" w:hAnsiTheme="minorBidi"/>
          <w:sz w:val="24"/>
          <w:szCs w:val="24"/>
        </w:rPr>
        <w:t>. [online] Hotel Technology News. Available at: https://hoteltechnologynews.com/2019/01/hilton-enhances-its-connected-rooms-with-netflix-partnership/.</w:t>
      </w:r>
    </w:p>
    <w:p w14:paraId="4D1C27E1"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lastRenderedPageBreak/>
        <w:t xml:space="preserve">Kolb, D. (2023). </w:t>
      </w:r>
      <w:r w:rsidRPr="002342BD">
        <w:rPr>
          <w:rFonts w:asciiTheme="minorBidi" w:hAnsiTheme="minorBidi"/>
          <w:i/>
          <w:iCs/>
          <w:sz w:val="24"/>
          <w:szCs w:val="24"/>
        </w:rPr>
        <w:t>An Overview of Porter’s Generic Competitive Strategies</w:t>
      </w:r>
      <w:r w:rsidRPr="002342BD">
        <w:rPr>
          <w:rFonts w:asciiTheme="minorBidi" w:hAnsiTheme="minorBidi"/>
          <w:sz w:val="24"/>
          <w:szCs w:val="24"/>
        </w:rPr>
        <w:t>. [online] Medium. Available at: https://medium.com/@kolbeuk/an-overview-of-porters-generic-competitive-strategies-453342d1a6ae.</w:t>
      </w:r>
    </w:p>
    <w:p w14:paraId="4C32AF9D"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Kotter (1996). </w:t>
      </w:r>
      <w:r w:rsidRPr="002342BD">
        <w:rPr>
          <w:rFonts w:asciiTheme="minorBidi" w:hAnsiTheme="minorBidi"/>
          <w:i/>
          <w:iCs/>
          <w:sz w:val="24"/>
          <w:szCs w:val="24"/>
        </w:rPr>
        <w:t>Leading Change</w:t>
      </w:r>
      <w:r w:rsidRPr="002342BD">
        <w:rPr>
          <w:rFonts w:asciiTheme="minorBidi" w:hAnsiTheme="minorBidi"/>
          <w:sz w:val="24"/>
          <w:szCs w:val="24"/>
        </w:rPr>
        <w:t>. [online] www.scirp.org. Available at: https://www.scirp.org/reference/ReferencesPapers?ReferenceID=1686937.</w:t>
      </w:r>
    </w:p>
    <w:p w14:paraId="4F8801CF"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Lunenburg, F.C. (2012). Organizational Structure: Mintzberg’s Framework. </w:t>
      </w:r>
      <w:r w:rsidRPr="002342BD">
        <w:rPr>
          <w:rFonts w:asciiTheme="minorBidi" w:hAnsiTheme="minorBidi"/>
          <w:i/>
          <w:iCs/>
          <w:sz w:val="24"/>
          <w:szCs w:val="24"/>
        </w:rPr>
        <w:t>International Journal of Scholarly, Academic, Intellectual Diversity</w:t>
      </w:r>
      <w:r w:rsidRPr="002342BD">
        <w:rPr>
          <w:rFonts w:asciiTheme="minorBidi" w:hAnsiTheme="minorBidi"/>
          <w:sz w:val="24"/>
          <w:szCs w:val="24"/>
        </w:rPr>
        <w:t>, [online] 14(1), pp.1–8. Available at: https://platform.europeanmoocs.eu/users/8/Lunenburg-Fred-C.-Organizational-Structure-Mintzberg-Framework-IJSAID-V14-N1-2012.pdf.</w:t>
      </w:r>
    </w:p>
    <w:p w14:paraId="2FBA51FE"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Ma, Q. and Liu, L. (2011). The Technology Acceptance Model. </w:t>
      </w:r>
      <w:r w:rsidRPr="002342BD">
        <w:rPr>
          <w:rFonts w:asciiTheme="minorBidi" w:hAnsiTheme="minorBidi"/>
          <w:i/>
          <w:iCs/>
          <w:sz w:val="24"/>
          <w:szCs w:val="24"/>
        </w:rPr>
        <w:t>IGI Global eBooks</w:t>
      </w:r>
      <w:r w:rsidRPr="002342BD">
        <w:rPr>
          <w:rFonts w:asciiTheme="minorBidi" w:hAnsiTheme="minorBidi"/>
          <w:sz w:val="24"/>
          <w:szCs w:val="24"/>
        </w:rPr>
        <w:t>, 4(1). doi:https://doi.org/10.4018/9781591404743.ch006.ch000.</w:t>
      </w:r>
    </w:p>
    <w:p w14:paraId="19E8576A"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Mind Tools (2024a). </w:t>
      </w:r>
      <w:r w:rsidRPr="002342BD">
        <w:rPr>
          <w:rFonts w:asciiTheme="minorBidi" w:hAnsiTheme="minorBidi"/>
          <w:i/>
          <w:iCs/>
          <w:sz w:val="24"/>
          <w:szCs w:val="24"/>
        </w:rPr>
        <w:t>Mintzberg’s Organizational Configurations</w:t>
      </w:r>
      <w:r w:rsidRPr="002342BD">
        <w:rPr>
          <w:rFonts w:asciiTheme="minorBidi" w:hAnsiTheme="minorBidi"/>
          <w:sz w:val="24"/>
          <w:szCs w:val="24"/>
        </w:rPr>
        <w:t>. [online] www.mindtools.com. Available at: https://www.mindtools.com/apfv1rk/mintzbergs-organizational-configurations.</w:t>
      </w:r>
    </w:p>
    <w:p w14:paraId="016E44B2"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Mind Tools (2024b). </w:t>
      </w:r>
      <w:r w:rsidRPr="002342BD">
        <w:rPr>
          <w:rFonts w:asciiTheme="minorBidi" w:hAnsiTheme="minorBidi"/>
          <w:i/>
          <w:iCs/>
          <w:sz w:val="24"/>
          <w:szCs w:val="24"/>
        </w:rPr>
        <w:t>Theory X and Theory Y</w:t>
      </w:r>
      <w:r w:rsidRPr="002342BD">
        <w:rPr>
          <w:rFonts w:asciiTheme="minorBidi" w:hAnsiTheme="minorBidi"/>
          <w:sz w:val="24"/>
          <w:szCs w:val="24"/>
        </w:rPr>
        <w:t>. [online] www.mindtools.com. Available at: https://www.mindtools.com/adi3nc1/theory-x-and-theory-y.</w:t>
      </w:r>
    </w:p>
    <w:p w14:paraId="7E4E0334"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Mintzberg, H. (1979). </w:t>
      </w:r>
      <w:r w:rsidRPr="002342BD">
        <w:rPr>
          <w:rFonts w:asciiTheme="minorBidi" w:hAnsiTheme="minorBidi"/>
          <w:i/>
          <w:iCs/>
          <w:sz w:val="24"/>
          <w:szCs w:val="24"/>
        </w:rPr>
        <w:t>The structuring of organizations</w:t>
      </w:r>
      <w:r w:rsidRPr="002342BD">
        <w:rPr>
          <w:rFonts w:asciiTheme="minorBidi" w:hAnsiTheme="minorBidi"/>
          <w:sz w:val="24"/>
          <w:szCs w:val="24"/>
        </w:rPr>
        <w:t>. [online] www.scirp.org. Available at: https://www.scirp.org/reference/referencespapers?referenceid=1051898.</w:t>
      </w:r>
    </w:p>
    <w:p w14:paraId="11DDD7FB"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Morgan, R.M. and Hunt, S.D. (1994). The Commitment-Trust Theory of Relationship Marketing. </w:t>
      </w:r>
      <w:r w:rsidRPr="002342BD">
        <w:rPr>
          <w:rFonts w:asciiTheme="minorBidi" w:hAnsiTheme="minorBidi"/>
          <w:i/>
          <w:iCs/>
          <w:sz w:val="24"/>
          <w:szCs w:val="24"/>
        </w:rPr>
        <w:t>Journal of Marketing</w:t>
      </w:r>
      <w:r w:rsidRPr="002342BD">
        <w:rPr>
          <w:rFonts w:asciiTheme="minorBidi" w:hAnsiTheme="minorBidi"/>
          <w:sz w:val="24"/>
          <w:szCs w:val="24"/>
        </w:rPr>
        <w:t>, [online] 58(3), pp.20–38. doi:https://doi.org/10.1177/002224299405800302.</w:t>
      </w:r>
    </w:p>
    <w:p w14:paraId="06B38164"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Mulder, P. (2024). </w:t>
      </w:r>
      <w:r w:rsidRPr="002342BD">
        <w:rPr>
          <w:rFonts w:asciiTheme="minorBidi" w:hAnsiTheme="minorBidi"/>
          <w:i/>
          <w:iCs/>
          <w:sz w:val="24"/>
          <w:szCs w:val="24"/>
        </w:rPr>
        <w:t>Bureaucratic Theory definition by Max Weber</w:t>
      </w:r>
      <w:r w:rsidRPr="002342BD">
        <w:rPr>
          <w:rFonts w:asciiTheme="minorBidi" w:hAnsiTheme="minorBidi"/>
          <w:sz w:val="24"/>
          <w:szCs w:val="24"/>
        </w:rPr>
        <w:t>. [online] ToolsHero. Available at: https://www.toolshero.com/management/bureaucratic-theory-weber/.</w:t>
      </w:r>
    </w:p>
    <w:p w14:paraId="2F779E90"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Nevins, A. (2024). </w:t>
      </w:r>
      <w:r w:rsidRPr="002342BD">
        <w:rPr>
          <w:rFonts w:asciiTheme="minorBidi" w:hAnsiTheme="minorBidi"/>
          <w:i/>
          <w:iCs/>
          <w:sz w:val="24"/>
          <w:szCs w:val="24"/>
        </w:rPr>
        <w:t>Edgar Schein Models on Organizational Culture</w:t>
      </w:r>
      <w:r w:rsidRPr="002342BD">
        <w:rPr>
          <w:rFonts w:asciiTheme="minorBidi" w:hAnsiTheme="minorBidi"/>
          <w:sz w:val="24"/>
          <w:szCs w:val="24"/>
        </w:rPr>
        <w:t>. [online] Culture Partners. Available at: https://culturepartners.com/insights/edgar-schein-models-on-organizational-culture/.</w:t>
      </w:r>
    </w:p>
    <w:p w14:paraId="1B0ACDDC"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lastRenderedPageBreak/>
        <w:t xml:space="preserve">Nickerson, C. (2024). </w:t>
      </w:r>
      <w:r w:rsidRPr="002342BD">
        <w:rPr>
          <w:rFonts w:asciiTheme="minorBidi" w:hAnsiTheme="minorBidi"/>
          <w:i/>
          <w:iCs/>
          <w:sz w:val="24"/>
          <w:szCs w:val="24"/>
        </w:rPr>
        <w:t>Bureaucratic Management Theory of Max Weber</w:t>
      </w:r>
      <w:r w:rsidRPr="002342BD">
        <w:rPr>
          <w:rFonts w:asciiTheme="minorBidi" w:hAnsiTheme="minorBidi"/>
          <w:sz w:val="24"/>
          <w:szCs w:val="24"/>
        </w:rPr>
        <w:t>. [online] Simply Psychology. Available at: https://www.simplypsychology.org/bureaucratic-theory-weber.html.</w:t>
      </w:r>
    </w:p>
    <w:p w14:paraId="088838B5"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The World Of Work Project (2019). </w:t>
      </w:r>
      <w:r w:rsidRPr="002342BD">
        <w:rPr>
          <w:rFonts w:asciiTheme="minorBidi" w:hAnsiTheme="minorBidi"/>
          <w:i/>
          <w:iCs/>
          <w:sz w:val="24"/>
          <w:szCs w:val="24"/>
        </w:rPr>
        <w:t>Edgar Schein’s Culture Triangle</w:t>
      </w:r>
      <w:r w:rsidRPr="002342BD">
        <w:rPr>
          <w:rFonts w:asciiTheme="minorBidi" w:hAnsiTheme="minorBidi"/>
          <w:sz w:val="24"/>
          <w:szCs w:val="24"/>
        </w:rPr>
        <w:t>. [online] The World of Work Project. Available at: https://worldofwork.io/2019/10/edgar-scheins-culture-triangle/.</w:t>
      </w:r>
    </w:p>
    <w:p w14:paraId="6CF42BAD" w14:textId="77777777" w:rsidR="00FD74E5" w:rsidRPr="002342BD" w:rsidRDefault="00FD74E5" w:rsidP="00A00489">
      <w:pPr>
        <w:spacing w:line="360" w:lineRule="auto"/>
        <w:rPr>
          <w:rFonts w:asciiTheme="minorBidi" w:hAnsiTheme="minorBidi"/>
          <w:sz w:val="24"/>
          <w:szCs w:val="24"/>
        </w:rPr>
      </w:pPr>
      <w:r w:rsidRPr="002342BD">
        <w:rPr>
          <w:rFonts w:asciiTheme="minorBidi" w:hAnsiTheme="minorBidi"/>
          <w:sz w:val="24"/>
          <w:szCs w:val="24"/>
        </w:rPr>
        <w:t xml:space="preserve">World Economic Forum (2024). </w:t>
      </w:r>
      <w:r w:rsidRPr="002342BD">
        <w:rPr>
          <w:rFonts w:asciiTheme="minorBidi" w:hAnsiTheme="minorBidi"/>
          <w:i/>
          <w:iCs/>
          <w:sz w:val="24"/>
          <w:szCs w:val="24"/>
        </w:rPr>
        <w:t>Hilton Worldwide</w:t>
      </w:r>
      <w:r w:rsidRPr="002342BD">
        <w:rPr>
          <w:rFonts w:asciiTheme="minorBidi" w:hAnsiTheme="minorBidi"/>
          <w:sz w:val="24"/>
          <w:szCs w:val="24"/>
        </w:rPr>
        <w:t>. [online] World Economic Forum. Available at: https://www.weforum.org/organizations/hilton-worldwide/.</w:t>
      </w:r>
    </w:p>
    <w:p w14:paraId="041B4A59" w14:textId="77777777" w:rsidR="00FD74E5" w:rsidRPr="002342BD" w:rsidRDefault="00FD74E5" w:rsidP="00A00489">
      <w:pPr>
        <w:spacing w:line="360" w:lineRule="auto"/>
        <w:rPr>
          <w:rFonts w:asciiTheme="minorBidi" w:hAnsiTheme="minorBidi"/>
          <w:sz w:val="24"/>
          <w:szCs w:val="24"/>
        </w:rPr>
      </w:pPr>
    </w:p>
    <w:sectPr w:rsidR="00FD74E5" w:rsidRPr="002342B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0F4"/>
    <w:rsid w:val="000450A2"/>
    <w:rsid w:val="0006446A"/>
    <w:rsid w:val="000738AE"/>
    <w:rsid w:val="0007632A"/>
    <w:rsid w:val="0012748A"/>
    <w:rsid w:val="0014572A"/>
    <w:rsid w:val="00170834"/>
    <w:rsid w:val="00177B30"/>
    <w:rsid w:val="00195C2A"/>
    <w:rsid w:val="0021219A"/>
    <w:rsid w:val="00232776"/>
    <w:rsid w:val="002342BD"/>
    <w:rsid w:val="00266118"/>
    <w:rsid w:val="00271704"/>
    <w:rsid w:val="00283615"/>
    <w:rsid w:val="00295F29"/>
    <w:rsid w:val="002F1D57"/>
    <w:rsid w:val="003213F0"/>
    <w:rsid w:val="003243CA"/>
    <w:rsid w:val="00326E0D"/>
    <w:rsid w:val="00332ED8"/>
    <w:rsid w:val="00342725"/>
    <w:rsid w:val="00363DFE"/>
    <w:rsid w:val="0037212B"/>
    <w:rsid w:val="003962F4"/>
    <w:rsid w:val="00397CBA"/>
    <w:rsid w:val="003E396F"/>
    <w:rsid w:val="004171EE"/>
    <w:rsid w:val="00460D68"/>
    <w:rsid w:val="00484300"/>
    <w:rsid w:val="0048551B"/>
    <w:rsid w:val="004C3211"/>
    <w:rsid w:val="004D5331"/>
    <w:rsid w:val="004D624C"/>
    <w:rsid w:val="005032DA"/>
    <w:rsid w:val="00571980"/>
    <w:rsid w:val="00572E0C"/>
    <w:rsid w:val="005A663C"/>
    <w:rsid w:val="005C03BB"/>
    <w:rsid w:val="005D72DB"/>
    <w:rsid w:val="00627731"/>
    <w:rsid w:val="0064558A"/>
    <w:rsid w:val="00650F53"/>
    <w:rsid w:val="006767FE"/>
    <w:rsid w:val="006A0F05"/>
    <w:rsid w:val="006E0075"/>
    <w:rsid w:val="00727A9C"/>
    <w:rsid w:val="0074089A"/>
    <w:rsid w:val="0074759D"/>
    <w:rsid w:val="007577ED"/>
    <w:rsid w:val="007758C3"/>
    <w:rsid w:val="0077763C"/>
    <w:rsid w:val="007F03EE"/>
    <w:rsid w:val="008B5E68"/>
    <w:rsid w:val="008D0F48"/>
    <w:rsid w:val="008F64CA"/>
    <w:rsid w:val="0090518D"/>
    <w:rsid w:val="00970807"/>
    <w:rsid w:val="009731A2"/>
    <w:rsid w:val="00977010"/>
    <w:rsid w:val="00992870"/>
    <w:rsid w:val="009A2F18"/>
    <w:rsid w:val="009A4B3E"/>
    <w:rsid w:val="009D028F"/>
    <w:rsid w:val="00A00489"/>
    <w:rsid w:val="00AE26AA"/>
    <w:rsid w:val="00AE2B3F"/>
    <w:rsid w:val="00AE46B9"/>
    <w:rsid w:val="00AF611A"/>
    <w:rsid w:val="00B12C12"/>
    <w:rsid w:val="00B1719D"/>
    <w:rsid w:val="00B46F15"/>
    <w:rsid w:val="00B77112"/>
    <w:rsid w:val="00BA5F4B"/>
    <w:rsid w:val="00BF6D83"/>
    <w:rsid w:val="00C00B19"/>
    <w:rsid w:val="00C126C2"/>
    <w:rsid w:val="00C209E1"/>
    <w:rsid w:val="00C333C0"/>
    <w:rsid w:val="00C33B0D"/>
    <w:rsid w:val="00C34DB8"/>
    <w:rsid w:val="00C550FE"/>
    <w:rsid w:val="00C660A6"/>
    <w:rsid w:val="00C82040"/>
    <w:rsid w:val="00CA50D8"/>
    <w:rsid w:val="00CB116F"/>
    <w:rsid w:val="00CD5C95"/>
    <w:rsid w:val="00CF272D"/>
    <w:rsid w:val="00D03F55"/>
    <w:rsid w:val="00D22C18"/>
    <w:rsid w:val="00D26231"/>
    <w:rsid w:val="00D627FC"/>
    <w:rsid w:val="00D73FC8"/>
    <w:rsid w:val="00D7431B"/>
    <w:rsid w:val="00D76025"/>
    <w:rsid w:val="00D760F4"/>
    <w:rsid w:val="00D844B0"/>
    <w:rsid w:val="00D936CF"/>
    <w:rsid w:val="00E9444C"/>
    <w:rsid w:val="00EA1111"/>
    <w:rsid w:val="00EA13B3"/>
    <w:rsid w:val="00EB6CE2"/>
    <w:rsid w:val="00F032D0"/>
    <w:rsid w:val="00F21AC2"/>
    <w:rsid w:val="00F27842"/>
    <w:rsid w:val="00F43E2A"/>
    <w:rsid w:val="00F77133"/>
    <w:rsid w:val="00F83E22"/>
    <w:rsid w:val="00FD74E5"/>
    <w:rsid w:val="00FE32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85109"/>
  <w15:chartTrackingRefBased/>
  <w15:docId w15:val="{DCCD35D5-19F2-43EB-8AF0-01550F3BB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tulo1">
    <w:name w:val="heading 1"/>
    <w:basedOn w:val="Normal"/>
    <w:next w:val="Normal"/>
    <w:link w:val="Ttulo1Car"/>
    <w:uiPriority w:val="9"/>
    <w:qFormat/>
    <w:rsid w:val="00D760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D760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760F4"/>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760F4"/>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760F4"/>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760F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760F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760F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760F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760F4"/>
    <w:rPr>
      <w:rFonts w:asciiTheme="majorHAnsi" w:eastAsiaTheme="majorEastAsia" w:hAnsiTheme="majorHAnsi" w:cstheme="majorBidi"/>
      <w:color w:val="2F5496" w:themeColor="accent1" w:themeShade="BF"/>
      <w:sz w:val="40"/>
      <w:szCs w:val="40"/>
      <w:lang w:val="en-GB"/>
    </w:rPr>
  </w:style>
  <w:style w:type="character" w:customStyle="1" w:styleId="Ttulo2Car">
    <w:name w:val="Título 2 Car"/>
    <w:basedOn w:val="Fuentedeprrafopredeter"/>
    <w:link w:val="Ttulo2"/>
    <w:uiPriority w:val="9"/>
    <w:rsid w:val="00D760F4"/>
    <w:rPr>
      <w:rFonts w:asciiTheme="majorHAnsi" w:eastAsiaTheme="majorEastAsia" w:hAnsiTheme="majorHAnsi" w:cstheme="majorBidi"/>
      <w:color w:val="2F5496" w:themeColor="accent1" w:themeShade="BF"/>
      <w:sz w:val="32"/>
      <w:szCs w:val="32"/>
      <w:lang w:val="en-GB"/>
    </w:rPr>
  </w:style>
  <w:style w:type="character" w:customStyle="1" w:styleId="Ttulo3Car">
    <w:name w:val="Título 3 Car"/>
    <w:basedOn w:val="Fuentedeprrafopredeter"/>
    <w:link w:val="Ttulo3"/>
    <w:uiPriority w:val="9"/>
    <w:semiHidden/>
    <w:rsid w:val="00D760F4"/>
    <w:rPr>
      <w:rFonts w:eastAsiaTheme="majorEastAsia" w:cstheme="majorBidi"/>
      <w:color w:val="2F5496" w:themeColor="accent1" w:themeShade="BF"/>
      <w:sz w:val="28"/>
      <w:szCs w:val="28"/>
      <w:lang w:val="en-GB"/>
    </w:rPr>
  </w:style>
  <w:style w:type="character" w:customStyle="1" w:styleId="Ttulo4Car">
    <w:name w:val="Título 4 Car"/>
    <w:basedOn w:val="Fuentedeprrafopredeter"/>
    <w:link w:val="Ttulo4"/>
    <w:uiPriority w:val="9"/>
    <w:semiHidden/>
    <w:rsid w:val="00D760F4"/>
    <w:rPr>
      <w:rFonts w:eastAsiaTheme="majorEastAsia" w:cstheme="majorBidi"/>
      <w:i/>
      <w:iCs/>
      <w:color w:val="2F5496" w:themeColor="accent1" w:themeShade="BF"/>
      <w:lang w:val="en-GB"/>
    </w:rPr>
  </w:style>
  <w:style w:type="character" w:customStyle="1" w:styleId="Ttulo5Car">
    <w:name w:val="Título 5 Car"/>
    <w:basedOn w:val="Fuentedeprrafopredeter"/>
    <w:link w:val="Ttulo5"/>
    <w:uiPriority w:val="9"/>
    <w:semiHidden/>
    <w:rsid w:val="00D760F4"/>
    <w:rPr>
      <w:rFonts w:eastAsiaTheme="majorEastAsia" w:cstheme="majorBidi"/>
      <w:color w:val="2F5496" w:themeColor="accent1" w:themeShade="BF"/>
      <w:lang w:val="en-GB"/>
    </w:rPr>
  </w:style>
  <w:style w:type="character" w:customStyle="1" w:styleId="Ttulo6Car">
    <w:name w:val="Título 6 Car"/>
    <w:basedOn w:val="Fuentedeprrafopredeter"/>
    <w:link w:val="Ttulo6"/>
    <w:uiPriority w:val="9"/>
    <w:semiHidden/>
    <w:rsid w:val="00D760F4"/>
    <w:rPr>
      <w:rFonts w:eastAsiaTheme="majorEastAsia" w:cstheme="majorBidi"/>
      <w:i/>
      <w:iCs/>
      <w:color w:val="595959" w:themeColor="text1" w:themeTint="A6"/>
      <w:lang w:val="en-GB"/>
    </w:rPr>
  </w:style>
  <w:style w:type="character" w:customStyle="1" w:styleId="Ttulo7Car">
    <w:name w:val="Título 7 Car"/>
    <w:basedOn w:val="Fuentedeprrafopredeter"/>
    <w:link w:val="Ttulo7"/>
    <w:uiPriority w:val="9"/>
    <w:semiHidden/>
    <w:rsid w:val="00D760F4"/>
    <w:rPr>
      <w:rFonts w:eastAsiaTheme="majorEastAsia" w:cstheme="majorBidi"/>
      <w:color w:val="595959" w:themeColor="text1" w:themeTint="A6"/>
      <w:lang w:val="en-GB"/>
    </w:rPr>
  </w:style>
  <w:style w:type="character" w:customStyle="1" w:styleId="Ttulo8Car">
    <w:name w:val="Título 8 Car"/>
    <w:basedOn w:val="Fuentedeprrafopredeter"/>
    <w:link w:val="Ttulo8"/>
    <w:uiPriority w:val="9"/>
    <w:semiHidden/>
    <w:rsid w:val="00D760F4"/>
    <w:rPr>
      <w:rFonts w:eastAsiaTheme="majorEastAsia" w:cstheme="majorBidi"/>
      <w:i/>
      <w:iCs/>
      <w:color w:val="272727" w:themeColor="text1" w:themeTint="D8"/>
      <w:lang w:val="en-GB"/>
    </w:rPr>
  </w:style>
  <w:style w:type="character" w:customStyle="1" w:styleId="Ttulo9Car">
    <w:name w:val="Título 9 Car"/>
    <w:basedOn w:val="Fuentedeprrafopredeter"/>
    <w:link w:val="Ttulo9"/>
    <w:uiPriority w:val="9"/>
    <w:semiHidden/>
    <w:rsid w:val="00D760F4"/>
    <w:rPr>
      <w:rFonts w:eastAsiaTheme="majorEastAsia" w:cstheme="majorBidi"/>
      <w:color w:val="272727" w:themeColor="text1" w:themeTint="D8"/>
      <w:lang w:val="en-GB"/>
    </w:rPr>
  </w:style>
  <w:style w:type="paragraph" w:styleId="Ttulo">
    <w:name w:val="Title"/>
    <w:basedOn w:val="Normal"/>
    <w:next w:val="Normal"/>
    <w:link w:val="TtuloCar"/>
    <w:uiPriority w:val="10"/>
    <w:qFormat/>
    <w:rsid w:val="00D760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760F4"/>
    <w:rPr>
      <w:rFonts w:asciiTheme="majorHAnsi" w:eastAsiaTheme="majorEastAsia" w:hAnsiTheme="majorHAnsi" w:cstheme="majorBidi"/>
      <w:spacing w:val="-10"/>
      <w:kern w:val="28"/>
      <w:sz w:val="56"/>
      <w:szCs w:val="56"/>
      <w:lang w:val="en-GB"/>
    </w:rPr>
  </w:style>
  <w:style w:type="paragraph" w:styleId="Subttulo">
    <w:name w:val="Subtitle"/>
    <w:basedOn w:val="Normal"/>
    <w:next w:val="Normal"/>
    <w:link w:val="SubttuloCar"/>
    <w:uiPriority w:val="11"/>
    <w:qFormat/>
    <w:rsid w:val="00D760F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760F4"/>
    <w:rPr>
      <w:rFonts w:eastAsiaTheme="majorEastAsia" w:cstheme="majorBidi"/>
      <w:color w:val="595959" w:themeColor="text1" w:themeTint="A6"/>
      <w:spacing w:val="15"/>
      <w:sz w:val="28"/>
      <w:szCs w:val="28"/>
      <w:lang w:val="en-GB"/>
    </w:rPr>
  </w:style>
  <w:style w:type="paragraph" w:styleId="Cita">
    <w:name w:val="Quote"/>
    <w:basedOn w:val="Normal"/>
    <w:next w:val="Normal"/>
    <w:link w:val="CitaCar"/>
    <w:uiPriority w:val="29"/>
    <w:qFormat/>
    <w:rsid w:val="00D760F4"/>
    <w:pPr>
      <w:spacing w:before="160"/>
      <w:jc w:val="center"/>
    </w:pPr>
    <w:rPr>
      <w:i/>
      <w:iCs/>
      <w:color w:val="404040" w:themeColor="text1" w:themeTint="BF"/>
    </w:rPr>
  </w:style>
  <w:style w:type="character" w:customStyle="1" w:styleId="CitaCar">
    <w:name w:val="Cita Car"/>
    <w:basedOn w:val="Fuentedeprrafopredeter"/>
    <w:link w:val="Cita"/>
    <w:uiPriority w:val="29"/>
    <w:rsid w:val="00D760F4"/>
    <w:rPr>
      <w:i/>
      <w:iCs/>
      <w:color w:val="404040" w:themeColor="text1" w:themeTint="BF"/>
      <w:lang w:val="en-GB"/>
    </w:rPr>
  </w:style>
  <w:style w:type="paragraph" w:styleId="Prrafodelista">
    <w:name w:val="List Paragraph"/>
    <w:basedOn w:val="Normal"/>
    <w:uiPriority w:val="34"/>
    <w:qFormat/>
    <w:rsid w:val="00D760F4"/>
    <w:pPr>
      <w:ind w:left="720"/>
      <w:contextualSpacing/>
    </w:pPr>
  </w:style>
  <w:style w:type="character" w:styleId="nfasisintenso">
    <w:name w:val="Intense Emphasis"/>
    <w:basedOn w:val="Fuentedeprrafopredeter"/>
    <w:uiPriority w:val="21"/>
    <w:qFormat/>
    <w:rsid w:val="00D760F4"/>
    <w:rPr>
      <w:i/>
      <w:iCs/>
      <w:color w:val="2F5496" w:themeColor="accent1" w:themeShade="BF"/>
    </w:rPr>
  </w:style>
  <w:style w:type="paragraph" w:styleId="Citadestacada">
    <w:name w:val="Intense Quote"/>
    <w:basedOn w:val="Normal"/>
    <w:next w:val="Normal"/>
    <w:link w:val="CitadestacadaCar"/>
    <w:uiPriority w:val="30"/>
    <w:qFormat/>
    <w:rsid w:val="00D760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760F4"/>
    <w:rPr>
      <w:i/>
      <w:iCs/>
      <w:color w:val="2F5496" w:themeColor="accent1" w:themeShade="BF"/>
      <w:lang w:val="en-GB"/>
    </w:rPr>
  </w:style>
  <w:style w:type="character" w:styleId="Referenciaintensa">
    <w:name w:val="Intense Reference"/>
    <w:basedOn w:val="Fuentedeprrafopredeter"/>
    <w:uiPriority w:val="32"/>
    <w:qFormat/>
    <w:rsid w:val="00D760F4"/>
    <w:rPr>
      <w:b/>
      <w:bCs/>
      <w:smallCaps/>
      <w:color w:val="2F5496" w:themeColor="accent1" w:themeShade="BF"/>
      <w:spacing w:val="5"/>
    </w:rPr>
  </w:style>
  <w:style w:type="paragraph" w:styleId="TtuloTDC">
    <w:name w:val="TOC Heading"/>
    <w:basedOn w:val="Ttulo1"/>
    <w:next w:val="Normal"/>
    <w:uiPriority w:val="39"/>
    <w:unhideWhenUsed/>
    <w:qFormat/>
    <w:rsid w:val="00332ED8"/>
    <w:pPr>
      <w:spacing w:before="240" w:after="0"/>
      <w:outlineLvl w:val="9"/>
    </w:pPr>
    <w:rPr>
      <w:kern w:val="0"/>
      <w:sz w:val="32"/>
      <w:szCs w:val="32"/>
      <w:lang w:val="en-US"/>
      <w14:ligatures w14:val="none"/>
    </w:rPr>
  </w:style>
  <w:style w:type="paragraph" w:styleId="TDC1">
    <w:name w:val="toc 1"/>
    <w:basedOn w:val="Normal"/>
    <w:next w:val="Normal"/>
    <w:autoRedefine/>
    <w:uiPriority w:val="39"/>
    <w:unhideWhenUsed/>
    <w:rsid w:val="00FD74E5"/>
    <w:pPr>
      <w:spacing w:after="100"/>
    </w:pPr>
  </w:style>
  <w:style w:type="character" w:styleId="Hipervnculo">
    <w:name w:val="Hyperlink"/>
    <w:basedOn w:val="Fuentedeprrafopredeter"/>
    <w:uiPriority w:val="99"/>
    <w:unhideWhenUsed/>
    <w:rsid w:val="00FD74E5"/>
    <w:rPr>
      <w:color w:val="0563C1" w:themeColor="hyperlink"/>
      <w:u w:val="single"/>
    </w:rPr>
  </w:style>
  <w:style w:type="paragraph" w:styleId="TDC2">
    <w:name w:val="toc 2"/>
    <w:basedOn w:val="Normal"/>
    <w:next w:val="Normal"/>
    <w:autoRedefine/>
    <w:uiPriority w:val="39"/>
    <w:unhideWhenUsed/>
    <w:rsid w:val="0028361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0725">
      <w:bodyDiv w:val="1"/>
      <w:marLeft w:val="0"/>
      <w:marRight w:val="0"/>
      <w:marTop w:val="0"/>
      <w:marBottom w:val="0"/>
      <w:divBdr>
        <w:top w:val="none" w:sz="0" w:space="0" w:color="auto"/>
        <w:left w:val="none" w:sz="0" w:space="0" w:color="auto"/>
        <w:bottom w:val="none" w:sz="0" w:space="0" w:color="auto"/>
        <w:right w:val="none" w:sz="0" w:space="0" w:color="auto"/>
      </w:divBdr>
      <w:divsChild>
        <w:div w:id="2073304873">
          <w:marLeft w:val="0"/>
          <w:marRight w:val="0"/>
          <w:marTop w:val="0"/>
          <w:marBottom w:val="0"/>
          <w:divBdr>
            <w:top w:val="none" w:sz="0" w:space="0" w:color="auto"/>
            <w:left w:val="none" w:sz="0" w:space="0" w:color="auto"/>
            <w:bottom w:val="none" w:sz="0" w:space="0" w:color="auto"/>
            <w:right w:val="none" w:sz="0" w:space="0" w:color="auto"/>
          </w:divBdr>
        </w:div>
      </w:divsChild>
    </w:div>
    <w:div w:id="87849740">
      <w:bodyDiv w:val="1"/>
      <w:marLeft w:val="0"/>
      <w:marRight w:val="0"/>
      <w:marTop w:val="0"/>
      <w:marBottom w:val="0"/>
      <w:divBdr>
        <w:top w:val="none" w:sz="0" w:space="0" w:color="auto"/>
        <w:left w:val="none" w:sz="0" w:space="0" w:color="auto"/>
        <w:bottom w:val="none" w:sz="0" w:space="0" w:color="auto"/>
        <w:right w:val="none" w:sz="0" w:space="0" w:color="auto"/>
      </w:divBdr>
    </w:div>
    <w:div w:id="124741428">
      <w:bodyDiv w:val="1"/>
      <w:marLeft w:val="0"/>
      <w:marRight w:val="0"/>
      <w:marTop w:val="0"/>
      <w:marBottom w:val="0"/>
      <w:divBdr>
        <w:top w:val="none" w:sz="0" w:space="0" w:color="auto"/>
        <w:left w:val="none" w:sz="0" w:space="0" w:color="auto"/>
        <w:bottom w:val="none" w:sz="0" w:space="0" w:color="auto"/>
        <w:right w:val="none" w:sz="0" w:space="0" w:color="auto"/>
      </w:divBdr>
    </w:div>
    <w:div w:id="156961375">
      <w:bodyDiv w:val="1"/>
      <w:marLeft w:val="0"/>
      <w:marRight w:val="0"/>
      <w:marTop w:val="0"/>
      <w:marBottom w:val="0"/>
      <w:divBdr>
        <w:top w:val="none" w:sz="0" w:space="0" w:color="auto"/>
        <w:left w:val="none" w:sz="0" w:space="0" w:color="auto"/>
        <w:bottom w:val="none" w:sz="0" w:space="0" w:color="auto"/>
        <w:right w:val="none" w:sz="0" w:space="0" w:color="auto"/>
      </w:divBdr>
    </w:div>
    <w:div w:id="162360874">
      <w:bodyDiv w:val="1"/>
      <w:marLeft w:val="0"/>
      <w:marRight w:val="0"/>
      <w:marTop w:val="0"/>
      <w:marBottom w:val="0"/>
      <w:divBdr>
        <w:top w:val="none" w:sz="0" w:space="0" w:color="auto"/>
        <w:left w:val="none" w:sz="0" w:space="0" w:color="auto"/>
        <w:bottom w:val="none" w:sz="0" w:space="0" w:color="auto"/>
        <w:right w:val="none" w:sz="0" w:space="0" w:color="auto"/>
      </w:divBdr>
    </w:div>
    <w:div w:id="344938027">
      <w:bodyDiv w:val="1"/>
      <w:marLeft w:val="0"/>
      <w:marRight w:val="0"/>
      <w:marTop w:val="0"/>
      <w:marBottom w:val="0"/>
      <w:divBdr>
        <w:top w:val="none" w:sz="0" w:space="0" w:color="auto"/>
        <w:left w:val="none" w:sz="0" w:space="0" w:color="auto"/>
        <w:bottom w:val="none" w:sz="0" w:space="0" w:color="auto"/>
        <w:right w:val="none" w:sz="0" w:space="0" w:color="auto"/>
      </w:divBdr>
    </w:div>
    <w:div w:id="346102109">
      <w:bodyDiv w:val="1"/>
      <w:marLeft w:val="0"/>
      <w:marRight w:val="0"/>
      <w:marTop w:val="0"/>
      <w:marBottom w:val="0"/>
      <w:divBdr>
        <w:top w:val="none" w:sz="0" w:space="0" w:color="auto"/>
        <w:left w:val="none" w:sz="0" w:space="0" w:color="auto"/>
        <w:bottom w:val="none" w:sz="0" w:space="0" w:color="auto"/>
        <w:right w:val="none" w:sz="0" w:space="0" w:color="auto"/>
      </w:divBdr>
    </w:div>
    <w:div w:id="364060124">
      <w:bodyDiv w:val="1"/>
      <w:marLeft w:val="0"/>
      <w:marRight w:val="0"/>
      <w:marTop w:val="0"/>
      <w:marBottom w:val="0"/>
      <w:divBdr>
        <w:top w:val="none" w:sz="0" w:space="0" w:color="auto"/>
        <w:left w:val="none" w:sz="0" w:space="0" w:color="auto"/>
        <w:bottom w:val="none" w:sz="0" w:space="0" w:color="auto"/>
        <w:right w:val="none" w:sz="0" w:space="0" w:color="auto"/>
      </w:divBdr>
    </w:div>
    <w:div w:id="401414006">
      <w:bodyDiv w:val="1"/>
      <w:marLeft w:val="0"/>
      <w:marRight w:val="0"/>
      <w:marTop w:val="0"/>
      <w:marBottom w:val="0"/>
      <w:divBdr>
        <w:top w:val="none" w:sz="0" w:space="0" w:color="auto"/>
        <w:left w:val="none" w:sz="0" w:space="0" w:color="auto"/>
        <w:bottom w:val="none" w:sz="0" w:space="0" w:color="auto"/>
        <w:right w:val="none" w:sz="0" w:space="0" w:color="auto"/>
      </w:divBdr>
    </w:div>
    <w:div w:id="436801771">
      <w:bodyDiv w:val="1"/>
      <w:marLeft w:val="0"/>
      <w:marRight w:val="0"/>
      <w:marTop w:val="0"/>
      <w:marBottom w:val="0"/>
      <w:divBdr>
        <w:top w:val="none" w:sz="0" w:space="0" w:color="auto"/>
        <w:left w:val="none" w:sz="0" w:space="0" w:color="auto"/>
        <w:bottom w:val="none" w:sz="0" w:space="0" w:color="auto"/>
        <w:right w:val="none" w:sz="0" w:space="0" w:color="auto"/>
      </w:divBdr>
    </w:div>
    <w:div w:id="466317785">
      <w:bodyDiv w:val="1"/>
      <w:marLeft w:val="0"/>
      <w:marRight w:val="0"/>
      <w:marTop w:val="0"/>
      <w:marBottom w:val="0"/>
      <w:divBdr>
        <w:top w:val="none" w:sz="0" w:space="0" w:color="auto"/>
        <w:left w:val="none" w:sz="0" w:space="0" w:color="auto"/>
        <w:bottom w:val="none" w:sz="0" w:space="0" w:color="auto"/>
        <w:right w:val="none" w:sz="0" w:space="0" w:color="auto"/>
      </w:divBdr>
    </w:div>
    <w:div w:id="477501744">
      <w:bodyDiv w:val="1"/>
      <w:marLeft w:val="0"/>
      <w:marRight w:val="0"/>
      <w:marTop w:val="0"/>
      <w:marBottom w:val="0"/>
      <w:divBdr>
        <w:top w:val="none" w:sz="0" w:space="0" w:color="auto"/>
        <w:left w:val="none" w:sz="0" w:space="0" w:color="auto"/>
        <w:bottom w:val="none" w:sz="0" w:space="0" w:color="auto"/>
        <w:right w:val="none" w:sz="0" w:space="0" w:color="auto"/>
      </w:divBdr>
      <w:divsChild>
        <w:div w:id="1329092131">
          <w:marLeft w:val="0"/>
          <w:marRight w:val="0"/>
          <w:marTop w:val="0"/>
          <w:marBottom w:val="0"/>
          <w:divBdr>
            <w:top w:val="none" w:sz="0" w:space="0" w:color="auto"/>
            <w:left w:val="none" w:sz="0" w:space="0" w:color="auto"/>
            <w:bottom w:val="none" w:sz="0" w:space="0" w:color="auto"/>
            <w:right w:val="none" w:sz="0" w:space="0" w:color="auto"/>
          </w:divBdr>
        </w:div>
      </w:divsChild>
    </w:div>
    <w:div w:id="576401624">
      <w:bodyDiv w:val="1"/>
      <w:marLeft w:val="0"/>
      <w:marRight w:val="0"/>
      <w:marTop w:val="0"/>
      <w:marBottom w:val="0"/>
      <w:divBdr>
        <w:top w:val="none" w:sz="0" w:space="0" w:color="auto"/>
        <w:left w:val="none" w:sz="0" w:space="0" w:color="auto"/>
        <w:bottom w:val="none" w:sz="0" w:space="0" w:color="auto"/>
        <w:right w:val="none" w:sz="0" w:space="0" w:color="auto"/>
      </w:divBdr>
    </w:div>
    <w:div w:id="630863386">
      <w:bodyDiv w:val="1"/>
      <w:marLeft w:val="0"/>
      <w:marRight w:val="0"/>
      <w:marTop w:val="0"/>
      <w:marBottom w:val="0"/>
      <w:divBdr>
        <w:top w:val="none" w:sz="0" w:space="0" w:color="auto"/>
        <w:left w:val="none" w:sz="0" w:space="0" w:color="auto"/>
        <w:bottom w:val="none" w:sz="0" w:space="0" w:color="auto"/>
        <w:right w:val="none" w:sz="0" w:space="0" w:color="auto"/>
      </w:divBdr>
    </w:div>
    <w:div w:id="652762216">
      <w:bodyDiv w:val="1"/>
      <w:marLeft w:val="0"/>
      <w:marRight w:val="0"/>
      <w:marTop w:val="0"/>
      <w:marBottom w:val="0"/>
      <w:divBdr>
        <w:top w:val="none" w:sz="0" w:space="0" w:color="auto"/>
        <w:left w:val="none" w:sz="0" w:space="0" w:color="auto"/>
        <w:bottom w:val="none" w:sz="0" w:space="0" w:color="auto"/>
        <w:right w:val="none" w:sz="0" w:space="0" w:color="auto"/>
      </w:divBdr>
    </w:div>
    <w:div w:id="686447458">
      <w:bodyDiv w:val="1"/>
      <w:marLeft w:val="0"/>
      <w:marRight w:val="0"/>
      <w:marTop w:val="0"/>
      <w:marBottom w:val="0"/>
      <w:divBdr>
        <w:top w:val="none" w:sz="0" w:space="0" w:color="auto"/>
        <w:left w:val="none" w:sz="0" w:space="0" w:color="auto"/>
        <w:bottom w:val="none" w:sz="0" w:space="0" w:color="auto"/>
        <w:right w:val="none" w:sz="0" w:space="0" w:color="auto"/>
      </w:divBdr>
    </w:div>
    <w:div w:id="691801185">
      <w:bodyDiv w:val="1"/>
      <w:marLeft w:val="0"/>
      <w:marRight w:val="0"/>
      <w:marTop w:val="0"/>
      <w:marBottom w:val="0"/>
      <w:divBdr>
        <w:top w:val="none" w:sz="0" w:space="0" w:color="auto"/>
        <w:left w:val="none" w:sz="0" w:space="0" w:color="auto"/>
        <w:bottom w:val="none" w:sz="0" w:space="0" w:color="auto"/>
        <w:right w:val="none" w:sz="0" w:space="0" w:color="auto"/>
      </w:divBdr>
    </w:div>
    <w:div w:id="719062514">
      <w:bodyDiv w:val="1"/>
      <w:marLeft w:val="0"/>
      <w:marRight w:val="0"/>
      <w:marTop w:val="0"/>
      <w:marBottom w:val="0"/>
      <w:divBdr>
        <w:top w:val="none" w:sz="0" w:space="0" w:color="auto"/>
        <w:left w:val="none" w:sz="0" w:space="0" w:color="auto"/>
        <w:bottom w:val="none" w:sz="0" w:space="0" w:color="auto"/>
        <w:right w:val="none" w:sz="0" w:space="0" w:color="auto"/>
      </w:divBdr>
    </w:div>
    <w:div w:id="756289389">
      <w:bodyDiv w:val="1"/>
      <w:marLeft w:val="0"/>
      <w:marRight w:val="0"/>
      <w:marTop w:val="0"/>
      <w:marBottom w:val="0"/>
      <w:divBdr>
        <w:top w:val="none" w:sz="0" w:space="0" w:color="auto"/>
        <w:left w:val="none" w:sz="0" w:space="0" w:color="auto"/>
        <w:bottom w:val="none" w:sz="0" w:space="0" w:color="auto"/>
        <w:right w:val="none" w:sz="0" w:space="0" w:color="auto"/>
      </w:divBdr>
    </w:div>
    <w:div w:id="764111624">
      <w:bodyDiv w:val="1"/>
      <w:marLeft w:val="0"/>
      <w:marRight w:val="0"/>
      <w:marTop w:val="0"/>
      <w:marBottom w:val="0"/>
      <w:divBdr>
        <w:top w:val="none" w:sz="0" w:space="0" w:color="auto"/>
        <w:left w:val="none" w:sz="0" w:space="0" w:color="auto"/>
        <w:bottom w:val="none" w:sz="0" w:space="0" w:color="auto"/>
        <w:right w:val="none" w:sz="0" w:space="0" w:color="auto"/>
      </w:divBdr>
    </w:div>
    <w:div w:id="888958040">
      <w:bodyDiv w:val="1"/>
      <w:marLeft w:val="0"/>
      <w:marRight w:val="0"/>
      <w:marTop w:val="0"/>
      <w:marBottom w:val="0"/>
      <w:divBdr>
        <w:top w:val="none" w:sz="0" w:space="0" w:color="auto"/>
        <w:left w:val="none" w:sz="0" w:space="0" w:color="auto"/>
        <w:bottom w:val="none" w:sz="0" w:space="0" w:color="auto"/>
        <w:right w:val="none" w:sz="0" w:space="0" w:color="auto"/>
      </w:divBdr>
    </w:div>
    <w:div w:id="956641512">
      <w:bodyDiv w:val="1"/>
      <w:marLeft w:val="0"/>
      <w:marRight w:val="0"/>
      <w:marTop w:val="0"/>
      <w:marBottom w:val="0"/>
      <w:divBdr>
        <w:top w:val="none" w:sz="0" w:space="0" w:color="auto"/>
        <w:left w:val="none" w:sz="0" w:space="0" w:color="auto"/>
        <w:bottom w:val="none" w:sz="0" w:space="0" w:color="auto"/>
        <w:right w:val="none" w:sz="0" w:space="0" w:color="auto"/>
      </w:divBdr>
    </w:div>
    <w:div w:id="1011301689">
      <w:bodyDiv w:val="1"/>
      <w:marLeft w:val="0"/>
      <w:marRight w:val="0"/>
      <w:marTop w:val="0"/>
      <w:marBottom w:val="0"/>
      <w:divBdr>
        <w:top w:val="none" w:sz="0" w:space="0" w:color="auto"/>
        <w:left w:val="none" w:sz="0" w:space="0" w:color="auto"/>
        <w:bottom w:val="none" w:sz="0" w:space="0" w:color="auto"/>
        <w:right w:val="none" w:sz="0" w:space="0" w:color="auto"/>
      </w:divBdr>
    </w:div>
    <w:div w:id="1053431413">
      <w:bodyDiv w:val="1"/>
      <w:marLeft w:val="0"/>
      <w:marRight w:val="0"/>
      <w:marTop w:val="0"/>
      <w:marBottom w:val="0"/>
      <w:divBdr>
        <w:top w:val="none" w:sz="0" w:space="0" w:color="auto"/>
        <w:left w:val="none" w:sz="0" w:space="0" w:color="auto"/>
        <w:bottom w:val="none" w:sz="0" w:space="0" w:color="auto"/>
        <w:right w:val="none" w:sz="0" w:space="0" w:color="auto"/>
      </w:divBdr>
    </w:div>
    <w:div w:id="1077482632">
      <w:bodyDiv w:val="1"/>
      <w:marLeft w:val="0"/>
      <w:marRight w:val="0"/>
      <w:marTop w:val="0"/>
      <w:marBottom w:val="0"/>
      <w:divBdr>
        <w:top w:val="none" w:sz="0" w:space="0" w:color="auto"/>
        <w:left w:val="none" w:sz="0" w:space="0" w:color="auto"/>
        <w:bottom w:val="none" w:sz="0" w:space="0" w:color="auto"/>
        <w:right w:val="none" w:sz="0" w:space="0" w:color="auto"/>
      </w:divBdr>
    </w:div>
    <w:div w:id="1097289333">
      <w:bodyDiv w:val="1"/>
      <w:marLeft w:val="0"/>
      <w:marRight w:val="0"/>
      <w:marTop w:val="0"/>
      <w:marBottom w:val="0"/>
      <w:divBdr>
        <w:top w:val="none" w:sz="0" w:space="0" w:color="auto"/>
        <w:left w:val="none" w:sz="0" w:space="0" w:color="auto"/>
        <w:bottom w:val="none" w:sz="0" w:space="0" w:color="auto"/>
        <w:right w:val="none" w:sz="0" w:space="0" w:color="auto"/>
      </w:divBdr>
    </w:div>
    <w:div w:id="1105728723">
      <w:bodyDiv w:val="1"/>
      <w:marLeft w:val="0"/>
      <w:marRight w:val="0"/>
      <w:marTop w:val="0"/>
      <w:marBottom w:val="0"/>
      <w:divBdr>
        <w:top w:val="none" w:sz="0" w:space="0" w:color="auto"/>
        <w:left w:val="none" w:sz="0" w:space="0" w:color="auto"/>
        <w:bottom w:val="none" w:sz="0" w:space="0" w:color="auto"/>
        <w:right w:val="none" w:sz="0" w:space="0" w:color="auto"/>
      </w:divBdr>
    </w:div>
    <w:div w:id="1147744447">
      <w:bodyDiv w:val="1"/>
      <w:marLeft w:val="0"/>
      <w:marRight w:val="0"/>
      <w:marTop w:val="0"/>
      <w:marBottom w:val="0"/>
      <w:divBdr>
        <w:top w:val="none" w:sz="0" w:space="0" w:color="auto"/>
        <w:left w:val="none" w:sz="0" w:space="0" w:color="auto"/>
        <w:bottom w:val="none" w:sz="0" w:space="0" w:color="auto"/>
        <w:right w:val="none" w:sz="0" w:space="0" w:color="auto"/>
      </w:divBdr>
    </w:div>
    <w:div w:id="1325622009">
      <w:bodyDiv w:val="1"/>
      <w:marLeft w:val="0"/>
      <w:marRight w:val="0"/>
      <w:marTop w:val="0"/>
      <w:marBottom w:val="0"/>
      <w:divBdr>
        <w:top w:val="none" w:sz="0" w:space="0" w:color="auto"/>
        <w:left w:val="none" w:sz="0" w:space="0" w:color="auto"/>
        <w:bottom w:val="none" w:sz="0" w:space="0" w:color="auto"/>
        <w:right w:val="none" w:sz="0" w:space="0" w:color="auto"/>
      </w:divBdr>
    </w:div>
    <w:div w:id="1413090879">
      <w:bodyDiv w:val="1"/>
      <w:marLeft w:val="0"/>
      <w:marRight w:val="0"/>
      <w:marTop w:val="0"/>
      <w:marBottom w:val="0"/>
      <w:divBdr>
        <w:top w:val="none" w:sz="0" w:space="0" w:color="auto"/>
        <w:left w:val="none" w:sz="0" w:space="0" w:color="auto"/>
        <w:bottom w:val="none" w:sz="0" w:space="0" w:color="auto"/>
        <w:right w:val="none" w:sz="0" w:space="0" w:color="auto"/>
      </w:divBdr>
    </w:div>
    <w:div w:id="1419668232">
      <w:bodyDiv w:val="1"/>
      <w:marLeft w:val="0"/>
      <w:marRight w:val="0"/>
      <w:marTop w:val="0"/>
      <w:marBottom w:val="0"/>
      <w:divBdr>
        <w:top w:val="none" w:sz="0" w:space="0" w:color="auto"/>
        <w:left w:val="none" w:sz="0" w:space="0" w:color="auto"/>
        <w:bottom w:val="none" w:sz="0" w:space="0" w:color="auto"/>
        <w:right w:val="none" w:sz="0" w:space="0" w:color="auto"/>
      </w:divBdr>
    </w:div>
    <w:div w:id="1566716329">
      <w:bodyDiv w:val="1"/>
      <w:marLeft w:val="0"/>
      <w:marRight w:val="0"/>
      <w:marTop w:val="0"/>
      <w:marBottom w:val="0"/>
      <w:divBdr>
        <w:top w:val="none" w:sz="0" w:space="0" w:color="auto"/>
        <w:left w:val="none" w:sz="0" w:space="0" w:color="auto"/>
        <w:bottom w:val="none" w:sz="0" w:space="0" w:color="auto"/>
        <w:right w:val="none" w:sz="0" w:space="0" w:color="auto"/>
      </w:divBdr>
    </w:div>
    <w:div w:id="1586185190">
      <w:bodyDiv w:val="1"/>
      <w:marLeft w:val="0"/>
      <w:marRight w:val="0"/>
      <w:marTop w:val="0"/>
      <w:marBottom w:val="0"/>
      <w:divBdr>
        <w:top w:val="none" w:sz="0" w:space="0" w:color="auto"/>
        <w:left w:val="none" w:sz="0" w:space="0" w:color="auto"/>
        <w:bottom w:val="none" w:sz="0" w:space="0" w:color="auto"/>
        <w:right w:val="none" w:sz="0" w:space="0" w:color="auto"/>
      </w:divBdr>
    </w:div>
    <w:div w:id="1629242934">
      <w:bodyDiv w:val="1"/>
      <w:marLeft w:val="0"/>
      <w:marRight w:val="0"/>
      <w:marTop w:val="0"/>
      <w:marBottom w:val="0"/>
      <w:divBdr>
        <w:top w:val="none" w:sz="0" w:space="0" w:color="auto"/>
        <w:left w:val="none" w:sz="0" w:space="0" w:color="auto"/>
        <w:bottom w:val="none" w:sz="0" w:space="0" w:color="auto"/>
        <w:right w:val="none" w:sz="0" w:space="0" w:color="auto"/>
      </w:divBdr>
    </w:div>
    <w:div w:id="1649556574">
      <w:bodyDiv w:val="1"/>
      <w:marLeft w:val="0"/>
      <w:marRight w:val="0"/>
      <w:marTop w:val="0"/>
      <w:marBottom w:val="0"/>
      <w:divBdr>
        <w:top w:val="none" w:sz="0" w:space="0" w:color="auto"/>
        <w:left w:val="none" w:sz="0" w:space="0" w:color="auto"/>
        <w:bottom w:val="none" w:sz="0" w:space="0" w:color="auto"/>
        <w:right w:val="none" w:sz="0" w:space="0" w:color="auto"/>
      </w:divBdr>
    </w:div>
    <w:div w:id="1649939419">
      <w:bodyDiv w:val="1"/>
      <w:marLeft w:val="0"/>
      <w:marRight w:val="0"/>
      <w:marTop w:val="0"/>
      <w:marBottom w:val="0"/>
      <w:divBdr>
        <w:top w:val="none" w:sz="0" w:space="0" w:color="auto"/>
        <w:left w:val="none" w:sz="0" w:space="0" w:color="auto"/>
        <w:bottom w:val="none" w:sz="0" w:space="0" w:color="auto"/>
        <w:right w:val="none" w:sz="0" w:space="0" w:color="auto"/>
      </w:divBdr>
    </w:div>
    <w:div w:id="1740860796">
      <w:bodyDiv w:val="1"/>
      <w:marLeft w:val="0"/>
      <w:marRight w:val="0"/>
      <w:marTop w:val="0"/>
      <w:marBottom w:val="0"/>
      <w:divBdr>
        <w:top w:val="none" w:sz="0" w:space="0" w:color="auto"/>
        <w:left w:val="none" w:sz="0" w:space="0" w:color="auto"/>
        <w:bottom w:val="none" w:sz="0" w:space="0" w:color="auto"/>
        <w:right w:val="none" w:sz="0" w:space="0" w:color="auto"/>
      </w:divBdr>
    </w:div>
    <w:div w:id="1887598625">
      <w:bodyDiv w:val="1"/>
      <w:marLeft w:val="0"/>
      <w:marRight w:val="0"/>
      <w:marTop w:val="0"/>
      <w:marBottom w:val="0"/>
      <w:divBdr>
        <w:top w:val="none" w:sz="0" w:space="0" w:color="auto"/>
        <w:left w:val="none" w:sz="0" w:space="0" w:color="auto"/>
        <w:bottom w:val="none" w:sz="0" w:space="0" w:color="auto"/>
        <w:right w:val="none" w:sz="0" w:space="0" w:color="auto"/>
      </w:divBdr>
    </w:div>
    <w:div w:id="1916822640">
      <w:bodyDiv w:val="1"/>
      <w:marLeft w:val="0"/>
      <w:marRight w:val="0"/>
      <w:marTop w:val="0"/>
      <w:marBottom w:val="0"/>
      <w:divBdr>
        <w:top w:val="none" w:sz="0" w:space="0" w:color="auto"/>
        <w:left w:val="none" w:sz="0" w:space="0" w:color="auto"/>
        <w:bottom w:val="none" w:sz="0" w:space="0" w:color="auto"/>
        <w:right w:val="none" w:sz="0" w:space="0" w:color="auto"/>
      </w:divBdr>
    </w:div>
    <w:div w:id="1942297367">
      <w:bodyDiv w:val="1"/>
      <w:marLeft w:val="0"/>
      <w:marRight w:val="0"/>
      <w:marTop w:val="0"/>
      <w:marBottom w:val="0"/>
      <w:divBdr>
        <w:top w:val="none" w:sz="0" w:space="0" w:color="auto"/>
        <w:left w:val="none" w:sz="0" w:space="0" w:color="auto"/>
        <w:bottom w:val="none" w:sz="0" w:space="0" w:color="auto"/>
        <w:right w:val="none" w:sz="0" w:space="0" w:color="auto"/>
      </w:divBdr>
    </w:div>
    <w:div w:id="2015066289">
      <w:bodyDiv w:val="1"/>
      <w:marLeft w:val="0"/>
      <w:marRight w:val="0"/>
      <w:marTop w:val="0"/>
      <w:marBottom w:val="0"/>
      <w:divBdr>
        <w:top w:val="none" w:sz="0" w:space="0" w:color="auto"/>
        <w:left w:val="none" w:sz="0" w:space="0" w:color="auto"/>
        <w:bottom w:val="none" w:sz="0" w:space="0" w:color="auto"/>
        <w:right w:val="none" w:sz="0" w:space="0" w:color="auto"/>
      </w:divBdr>
    </w:div>
    <w:div w:id="212600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E24D8-E0AF-478D-B5DC-900808B1D11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3202</Words>
  <Characters>17613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giovani polanco adoka</cp:lastModifiedBy>
  <cp:revision>2</cp:revision>
  <dcterms:created xsi:type="dcterms:W3CDTF">2025-03-07T10:47:00Z</dcterms:created>
  <dcterms:modified xsi:type="dcterms:W3CDTF">2025-03-07T10:47:00Z</dcterms:modified>
</cp:coreProperties>
</file>