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140D7" w14:textId="77777777" w:rsidR="00566959" w:rsidRPr="005A155E" w:rsidRDefault="00566959" w:rsidP="00F55A4D">
      <w:pPr>
        <w:spacing w:before="240" w:line="360" w:lineRule="auto"/>
        <w:jc w:val="both"/>
        <w:rPr>
          <w:rFonts w:ascii="Arial" w:hAnsi="Arial" w:cs="Arial"/>
          <w:color w:val="000000" w:themeColor="text1"/>
        </w:rPr>
      </w:pPr>
    </w:p>
    <w:p w14:paraId="79211CE4" w14:textId="77777777" w:rsidR="00566959" w:rsidRPr="005A155E" w:rsidRDefault="00566959" w:rsidP="00F55A4D">
      <w:pPr>
        <w:spacing w:before="240" w:line="360" w:lineRule="auto"/>
        <w:jc w:val="both"/>
        <w:rPr>
          <w:rFonts w:ascii="Arial" w:hAnsi="Arial" w:cs="Arial"/>
          <w:color w:val="000000" w:themeColor="text1"/>
        </w:rPr>
      </w:pPr>
      <w:r w:rsidRPr="005A155E">
        <w:rPr>
          <w:rFonts w:ascii="Arial" w:hAnsi="Arial" w:cs="Arial"/>
          <w:noProof/>
          <w:color w:val="000000" w:themeColor="text1"/>
          <w:lang w:val="en-IN"/>
        </w:rPr>
        <w:drawing>
          <wp:inline distT="0" distB="0" distL="85723" distR="85723" wp14:anchorId="72DE4936" wp14:editId="54AB8E95">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065E5E27" w14:textId="77777777" w:rsidR="00566959" w:rsidRPr="005A155E" w:rsidRDefault="00566959" w:rsidP="00F55A4D">
      <w:pPr>
        <w:spacing w:before="240" w:line="360" w:lineRule="auto"/>
        <w:jc w:val="both"/>
        <w:rPr>
          <w:rFonts w:ascii="Arial" w:hAnsi="Arial" w:cs="Arial"/>
          <w:color w:val="000000" w:themeColor="text1"/>
        </w:rPr>
      </w:pPr>
    </w:p>
    <w:p w14:paraId="69ABE081" w14:textId="77777777" w:rsidR="00566959" w:rsidRPr="005A155E" w:rsidRDefault="00566959" w:rsidP="00F55A4D">
      <w:pPr>
        <w:spacing w:before="240" w:line="360" w:lineRule="auto"/>
        <w:jc w:val="both"/>
        <w:rPr>
          <w:rFonts w:ascii="Arial" w:hAnsi="Arial" w:cs="Arial"/>
          <w:color w:val="000000" w:themeColor="text1"/>
        </w:rPr>
      </w:pPr>
    </w:p>
    <w:p w14:paraId="01D09DEB" w14:textId="77777777" w:rsidR="00566959" w:rsidRDefault="00566959" w:rsidP="00F55A4D">
      <w:pPr>
        <w:spacing w:before="240" w:line="360" w:lineRule="auto"/>
        <w:jc w:val="both"/>
        <w:rPr>
          <w:rFonts w:ascii="Arial" w:hAnsi="Arial" w:cs="Arial"/>
          <w:color w:val="000000" w:themeColor="text1"/>
        </w:rPr>
      </w:pPr>
    </w:p>
    <w:p w14:paraId="60043F4C" w14:textId="77777777" w:rsidR="00B6197C" w:rsidRPr="005A155E" w:rsidRDefault="00B6197C" w:rsidP="00F55A4D">
      <w:pPr>
        <w:spacing w:before="240" w:line="360" w:lineRule="auto"/>
        <w:jc w:val="both"/>
        <w:rPr>
          <w:rFonts w:ascii="Arial" w:hAnsi="Arial" w:cs="Arial"/>
          <w:color w:val="000000" w:themeColor="text1"/>
        </w:rPr>
      </w:pPr>
    </w:p>
    <w:p w14:paraId="3B46E6CF" w14:textId="77777777" w:rsidR="00566959" w:rsidRPr="005A155E" w:rsidRDefault="00566959" w:rsidP="00C96866">
      <w:pPr>
        <w:spacing w:before="240" w:line="360" w:lineRule="auto"/>
        <w:jc w:val="center"/>
        <w:rPr>
          <w:rFonts w:ascii="Arial" w:hAnsi="Arial" w:cs="Arial"/>
          <w:b/>
          <w:bCs/>
          <w:color w:val="000000" w:themeColor="text1"/>
        </w:rPr>
      </w:pPr>
      <w:r w:rsidRPr="005A155E">
        <w:rPr>
          <w:rFonts w:ascii="Arial" w:hAnsi="Arial" w:cs="Arial"/>
          <w:b/>
          <w:bCs/>
          <w:color w:val="000000" w:themeColor="text1"/>
        </w:rPr>
        <w:t>SOCIAL EPIDEMIOLOGY AND PUBLIC HEALTH DEVELOPMENT</w:t>
      </w:r>
    </w:p>
    <w:p w14:paraId="2A117403" w14:textId="77777777" w:rsidR="00566959" w:rsidRPr="005A155E" w:rsidRDefault="00566959" w:rsidP="00C96866">
      <w:pPr>
        <w:spacing w:before="240" w:line="360" w:lineRule="auto"/>
        <w:jc w:val="center"/>
        <w:rPr>
          <w:rFonts w:ascii="Arial" w:hAnsi="Arial" w:cs="Arial"/>
          <w:b/>
          <w:bCs/>
          <w:color w:val="000000" w:themeColor="text1"/>
        </w:rPr>
      </w:pPr>
      <w:r w:rsidRPr="005A155E">
        <w:rPr>
          <w:rFonts w:ascii="Arial" w:hAnsi="Arial" w:cs="Arial"/>
          <w:b/>
          <w:bCs/>
          <w:color w:val="000000" w:themeColor="text1"/>
        </w:rPr>
        <w:t>ANALYTICAL REPORT</w:t>
      </w:r>
    </w:p>
    <w:p w14:paraId="5A807BDA" w14:textId="77777777" w:rsidR="00566959" w:rsidRPr="005A155E" w:rsidRDefault="00566959" w:rsidP="00F55A4D">
      <w:pPr>
        <w:spacing w:before="240" w:line="360" w:lineRule="auto"/>
        <w:jc w:val="both"/>
        <w:rPr>
          <w:rFonts w:ascii="Arial" w:hAnsi="Arial" w:cs="Arial"/>
          <w:color w:val="000000" w:themeColor="text1"/>
        </w:rPr>
      </w:pPr>
    </w:p>
    <w:p w14:paraId="0E1C4C2A" w14:textId="77777777" w:rsidR="00566959" w:rsidRPr="005A155E" w:rsidRDefault="00566959" w:rsidP="00F55A4D">
      <w:pPr>
        <w:spacing w:before="240" w:line="360" w:lineRule="auto"/>
        <w:jc w:val="both"/>
        <w:rPr>
          <w:rFonts w:ascii="Arial" w:hAnsi="Arial" w:cs="Arial"/>
          <w:color w:val="000000" w:themeColor="text1"/>
        </w:rPr>
      </w:pPr>
    </w:p>
    <w:p w14:paraId="6EA2A54C" w14:textId="77777777" w:rsidR="00566959" w:rsidRPr="005A155E" w:rsidRDefault="00566959" w:rsidP="00F55A4D">
      <w:pPr>
        <w:spacing w:before="240" w:line="360" w:lineRule="auto"/>
        <w:jc w:val="both"/>
        <w:rPr>
          <w:rFonts w:ascii="Arial" w:hAnsi="Arial" w:cs="Arial"/>
          <w:color w:val="000000" w:themeColor="text1"/>
        </w:rPr>
      </w:pPr>
    </w:p>
    <w:p w14:paraId="70AC3DBB" w14:textId="77777777" w:rsidR="00566959" w:rsidRPr="005A155E" w:rsidRDefault="00566959" w:rsidP="00F55A4D">
      <w:pPr>
        <w:spacing w:before="240" w:line="360" w:lineRule="auto"/>
        <w:jc w:val="both"/>
        <w:rPr>
          <w:rFonts w:ascii="Arial" w:hAnsi="Arial" w:cs="Arial"/>
          <w:color w:val="000000" w:themeColor="text1"/>
        </w:rPr>
      </w:pPr>
    </w:p>
    <w:p w14:paraId="1AC92925" w14:textId="77777777" w:rsidR="00566959" w:rsidRPr="005A155E" w:rsidRDefault="00566959" w:rsidP="00F55A4D">
      <w:pPr>
        <w:spacing w:before="240" w:after="240" w:line="360" w:lineRule="auto"/>
        <w:jc w:val="both"/>
        <w:rPr>
          <w:rFonts w:ascii="Arial" w:hAnsi="Arial" w:cs="Arial"/>
          <w:color w:val="000000" w:themeColor="text1"/>
        </w:rPr>
      </w:pPr>
      <w:r w:rsidRPr="005A155E">
        <w:rPr>
          <w:rFonts w:ascii="Arial" w:hAnsi="Arial" w:cs="Arial"/>
          <w:color w:val="000000" w:themeColor="text1"/>
        </w:rPr>
        <w:t>Programme: MSc Public Health and Social Care in Practice</w:t>
      </w:r>
    </w:p>
    <w:p w14:paraId="323C2DCF" w14:textId="77777777" w:rsidR="00566959" w:rsidRPr="005A155E" w:rsidRDefault="00566959" w:rsidP="00F55A4D">
      <w:pPr>
        <w:spacing w:before="240" w:after="240" w:line="360" w:lineRule="auto"/>
        <w:jc w:val="both"/>
        <w:rPr>
          <w:rFonts w:ascii="Arial" w:hAnsi="Arial" w:cs="Arial"/>
          <w:color w:val="000000" w:themeColor="text1"/>
        </w:rPr>
      </w:pPr>
      <w:r w:rsidRPr="005A155E">
        <w:rPr>
          <w:rFonts w:ascii="Arial" w:hAnsi="Arial" w:cs="Arial"/>
          <w:color w:val="000000" w:themeColor="text1"/>
        </w:rPr>
        <w:t>Module Name: Social Epidemiology and Public Health Development</w:t>
      </w:r>
    </w:p>
    <w:p w14:paraId="49B62EF9" w14:textId="1C8F76F4" w:rsidR="00566959" w:rsidRPr="005A155E" w:rsidRDefault="00566959" w:rsidP="00F55A4D">
      <w:pPr>
        <w:spacing w:before="240" w:after="240" w:line="360" w:lineRule="auto"/>
        <w:jc w:val="both"/>
        <w:rPr>
          <w:rFonts w:ascii="Arial" w:hAnsi="Arial" w:cs="Arial"/>
          <w:color w:val="000000" w:themeColor="text1"/>
        </w:rPr>
      </w:pPr>
      <w:r w:rsidRPr="005A155E">
        <w:rPr>
          <w:rFonts w:ascii="Arial" w:hAnsi="Arial" w:cs="Arial"/>
          <w:color w:val="000000" w:themeColor="text1"/>
        </w:rPr>
        <w:t xml:space="preserve">Module code: </w:t>
      </w:r>
      <w:r w:rsidR="008027C8">
        <w:rPr>
          <w:rFonts w:ascii="Arial" w:hAnsi="Arial" w:cs="Arial"/>
          <w:color w:val="000000" w:themeColor="text1"/>
        </w:rPr>
        <w:t>LCHS7000</w:t>
      </w:r>
    </w:p>
    <w:p w14:paraId="6D34D8F3" w14:textId="549EDB9E" w:rsidR="00566959" w:rsidRPr="005A155E" w:rsidRDefault="00566959" w:rsidP="00F55A4D">
      <w:pPr>
        <w:spacing w:before="240" w:after="240" w:line="360" w:lineRule="auto"/>
        <w:jc w:val="both"/>
        <w:rPr>
          <w:rFonts w:ascii="Arial" w:hAnsi="Arial" w:cs="Arial"/>
          <w:color w:val="000000" w:themeColor="text1"/>
        </w:rPr>
      </w:pPr>
      <w:r w:rsidRPr="005A155E">
        <w:rPr>
          <w:rFonts w:ascii="Arial" w:hAnsi="Arial" w:cs="Arial"/>
          <w:color w:val="000000" w:themeColor="text1"/>
        </w:rPr>
        <w:t xml:space="preserve">Student name: </w:t>
      </w:r>
      <w:r w:rsidR="008027C8">
        <w:rPr>
          <w:rFonts w:ascii="Arial" w:hAnsi="Arial" w:cs="Arial"/>
          <w:color w:val="000000" w:themeColor="text1"/>
        </w:rPr>
        <w:t>Drashti Patel</w:t>
      </w:r>
    </w:p>
    <w:p w14:paraId="1F73E1F5" w14:textId="6AA677CA" w:rsidR="00566959" w:rsidRPr="005A155E" w:rsidRDefault="00566959" w:rsidP="00F55A4D">
      <w:pPr>
        <w:spacing w:before="240" w:after="240" w:line="360" w:lineRule="auto"/>
        <w:jc w:val="both"/>
        <w:rPr>
          <w:rFonts w:ascii="Arial" w:hAnsi="Arial" w:cs="Arial"/>
          <w:color w:val="000000" w:themeColor="text1"/>
        </w:rPr>
      </w:pPr>
      <w:r w:rsidRPr="005A155E">
        <w:rPr>
          <w:rFonts w:ascii="Arial" w:hAnsi="Arial" w:cs="Arial"/>
          <w:color w:val="000000" w:themeColor="text1"/>
        </w:rPr>
        <w:t xml:space="preserve">Student ID: </w:t>
      </w:r>
      <w:r w:rsidR="008027C8">
        <w:rPr>
          <w:rFonts w:ascii="Arial" w:hAnsi="Arial" w:cs="Arial"/>
          <w:color w:val="000000" w:themeColor="text1"/>
        </w:rPr>
        <w:t>2439716</w:t>
      </w:r>
    </w:p>
    <w:p w14:paraId="3BB03B43" w14:textId="61AB9228" w:rsidR="00566959" w:rsidRPr="00C96866" w:rsidRDefault="00566959" w:rsidP="00C96866">
      <w:pPr>
        <w:rPr>
          <w:rFonts w:ascii="Arial" w:hAnsi="Arial" w:cs="Arial"/>
        </w:rPr>
      </w:pPr>
      <w:r w:rsidRPr="00C96866">
        <w:rPr>
          <w:rFonts w:ascii="Arial" w:hAnsi="Arial" w:cs="Arial"/>
        </w:rPr>
        <w:t xml:space="preserve">Lecturer: </w:t>
      </w:r>
      <w:r w:rsidR="008027C8">
        <w:rPr>
          <w:rFonts w:ascii="Arial" w:hAnsi="Arial" w:cs="Arial"/>
        </w:rPr>
        <w:t>Dr Hamdi Hussain</w:t>
      </w:r>
    </w:p>
    <w:p w14:paraId="200A2C5F" w14:textId="77777777" w:rsidR="00566959" w:rsidRPr="005A155E" w:rsidRDefault="00566959" w:rsidP="00C96866">
      <w:bookmarkStart w:id="0" w:name="_Toc206906118"/>
    </w:p>
    <w:p w14:paraId="73E803D1" w14:textId="77777777" w:rsidR="00566959" w:rsidRPr="005A155E" w:rsidRDefault="00566959" w:rsidP="00C96866"/>
    <w:sdt>
      <w:sdtPr>
        <w:rPr>
          <w:rFonts w:asciiTheme="minorHAnsi" w:eastAsiaTheme="minorHAnsi" w:hAnsiTheme="minorHAnsi" w:cstheme="minorBidi"/>
          <w:color w:val="auto"/>
          <w:kern w:val="2"/>
          <w:sz w:val="24"/>
          <w:szCs w:val="24"/>
          <w:lang w:eastAsia="en-US"/>
          <w14:ligatures w14:val="standardContextual"/>
        </w:rPr>
        <w:id w:val="-187453133"/>
        <w:docPartObj>
          <w:docPartGallery w:val="Table of Contents"/>
          <w:docPartUnique/>
        </w:docPartObj>
      </w:sdtPr>
      <w:sdtEndPr>
        <w:rPr>
          <w:b/>
          <w:bCs/>
        </w:rPr>
      </w:sdtEndPr>
      <w:sdtContent>
        <w:p w14:paraId="5192CC49" w14:textId="77777777" w:rsidR="00A80C41" w:rsidRDefault="00A80C41" w:rsidP="00A80C41">
          <w:pPr>
            <w:pStyle w:val="TOCHeading"/>
          </w:pPr>
          <w:r>
            <w:t>Table of Contents</w:t>
          </w:r>
        </w:p>
        <w:p w14:paraId="21C3AB0C" w14:textId="3119BD85" w:rsidR="00A80C41" w:rsidRDefault="00A80C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91436" w:history="1">
            <w:r w:rsidRPr="00D50F0B">
              <w:rPr>
                <w:rStyle w:val="Hyperlink"/>
                <w:rFonts w:cs="Arial"/>
                <w:noProof/>
              </w:rPr>
              <w:t>TASK 1</w:t>
            </w:r>
            <w:r>
              <w:rPr>
                <w:noProof/>
                <w:webHidden/>
              </w:rPr>
              <w:tab/>
            </w:r>
            <w:r>
              <w:rPr>
                <w:noProof/>
                <w:webHidden/>
              </w:rPr>
              <w:fldChar w:fldCharType="begin"/>
            </w:r>
            <w:r>
              <w:rPr>
                <w:noProof/>
                <w:webHidden/>
              </w:rPr>
              <w:instrText xml:space="preserve"> PAGEREF _Toc214091436 \h </w:instrText>
            </w:r>
            <w:r>
              <w:rPr>
                <w:noProof/>
                <w:webHidden/>
              </w:rPr>
            </w:r>
            <w:r>
              <w:rPr>
                <w:noProof/>
                <w:webHidden/>
              </w:rPr>
              <w:fldChar w:fldCharType="separate"/>
            </w:r>
            <w:r>
              <w:rPr>
                <w:noProof/>
                <w:webHidden/>
              </w:rPr>
              <w:t>3</w:t>
            </w:r>
            <w:r>
              <w:rPr>
                <w:noProof/>
                <w:webHidden/>
              </w:rPr>
              <w:fldChar w:fldCharType="end"/>
            </w:r>
          </w:hyperlink>
        </w:p>
        <w:p w14:paraId="6A85B024" w14:textId="5FD511F7" w:rsidR="00A80C41" w:rsidRDefault="00DC6443">
          <w:pPr>
            <w:pStyle w:val="TOC1"/>
            <w:tabs>
              <w:tab w:val="right" w:leader="dot" w:pos="9016"/>
            </w:tabs>
            <w:rPr>
              <w:rFonts w:eastAsiaTheme="minorEastAsia"/>
              <w:noProof/>
              <w:lang w:eastAsia="en-GB"/>
            </w:rPr>
          </w:pPr>
          <w:hyperlink w:anchor="_Toc214091437" w:history="1">
            <w:r w:rsidR="00A80C41" w:rsidRPr="00D50F0B">
              <w:rPr>
                <w:rStyle w:val="Hyperlink"/>
                <w:rFonts w:cs="Arial"/>
                <w:noProof/>
              </w:rPr>
              <w:t>Introduction</w:t>
            </w:r>
            <w:r w:rsidR="00A80C41">
              <w:rPr>
                <w:noProof/>
                <w:webHidden/>
              </w:rPr>
              <w:tab/>
            </w:r>
            <w:r w:rsidR="00A80C41">
              <w:rPr>
                <w:noProof/>
                <w:webHidden/>
              </w:rPr>
              <w:fldChar w:fldCharType="begin"/>
            </w:r>
            <w:r w:rsidR="00A80C41">
              <w:rPr>
                <w:noProof/>
                <w:webHidden/>
              </w:rPr>
              <w:instrText xml:space="preserve"> PAGEREF _Toc214091437 \h </w:instrText>
            </w:r>
            <w:r w:rsidR="00A80C41">
              <w:rPr>
                <w:noProof/>
                <w:webHidden/>
              </w:rPr>
            </w:r>
            <w:r w:rsidR="00A80C41">
              <w:rPr>
                <w:noProof/>
                <w:webHidden/>
              </w:rPr>
              <w:fldChar w:fldCharType="separate"/>
            </w:r>
            <w:r w:rsidR="00A80C41">
              <w:rPr>
                <w:noProof/>
                <w:webHidden/>
              </w:rPr>
              <w:t>4</w:t>
            </w:r>
            <w:r w:rsidR="00A80C41">
              <w:rPr>
                <w:noProof/>
                <w:webHidden/>
              </w:rPr>
              <w:fldChar w:fldCharType="end"/>
            </w:r>
          </w:hyperlink>
        </w:p>
        <w:p w14:paraId="25C34B8B" w14:textId="2296DEA8" w:rsidR="00A80C41" w:rsidRDefault="00DC6443">
          <w:pPr>
            <w:pStyle w:val="TOC1"/>
            <w:tabs>
              <w:tab w:val="right" w:leader="dot" w:pos="9016"/>
            </w:tabs>
            <w:rPr>
              <w:rFonts w:eastAsiaTheme="minorEastAsia"/>
              <w:noProof/>
              <w:lang w:eastAsia="en-GB"/>
            </w:rPr>
          </w:pPr>
          <w:hyperlink w:anchor="_Toc214091438" w:history="1">
            <w:r w:rsidR="00A80C41" w:rsidRPr="00D50F0B">
              <w:rPr>
                <w:rStyle w:val="Hyperlink"/>
                <w:rFonts w:cs="Arial"/>
                <w:noProof/>
              </w:rPr>
              <w:t>Contextual Background and Underlying Factors</w:t>
            </w:r>
            <w:r w:rsidR="00A80C41">
              <w:rPr>
                <w:noProof/>
                <w:webHidden/>
              </w:rPr>
              <w:tab/>
            </w:r>
            <w:r w:rsidR="00A80C41">
              <w:rPr>
                <w:noProof/>
                <w:webHidden/>
              </w:rPr>
              <w:fldChar w:fldCharType="begin"/>
            </w:r>
            <w:r w:rsidR="00A80C41">
              <w:rPr>
                <w:noProof/>
                <w:webHidden/>
              </w:rPr>
              <w:instrText xml:space="preserve"> PAGEREF _Toc214091438 \h </w:instrText>
            </w:r>
            <w:r w:rsidR="00A80C41">
              <w:rPr>
                <w:noProof/>
                <w:webHidden/>
              </w:rPr>
            </w:r>
            <w:r w:rsidR="00A80C41">
              <w:rPr>
                <w:noProof/>
                <w:webHidden/>
              </w:rPr>
              <w:fldChar w:fldCharType="separate"/>
            </w:r>
            <w:r w:rsidR="00A80C41">
              <w:rPr>
                <w:noProof/>
                <w:webHidden/>
              </w:rPr>
              <w:t>4</w:t>
            </w:r>
            <w:r w:rsidR="00A80C41">
              <w:rPr>
                <w:noProof/>
                <w:webHidden/>
              </w:rPr>
              <w:fldChar w:fldCharType="end"/>
            </w:r>
          </w:hyperlink>
        </w:p>
        <w:p w14:paraId="5035CDA4" w14:textId="43FB7535" w:rsidR="00A80C41" w:rsidRDefault="00DC6443">
          <w:pPr>
            <w:pStyle w:val="TOC1"/>
            <w:tabs>
              <w:tab w:val="right" w:leader="dot" w:pos="9016"/>
            </w:tabs>
            <w:rPr>
              <w:rFonts w:eastAsiaTheme="minorEastAsia"/>
              <w:noProof/>
              <w:lang w:eastAsia="en-GB"/>
            </w:rPr>
          </w:pPr>
          <w:hyperlink w:anchor="_Toc214091439" w:history="1">
            <w:r w:rsidR="00A80C41" w:rsidRPr="00D50F0B">
              <w:rPr>
                <w:rStyle w:val="Hyperlink"/>
                <w:rFonts w:cs="Arial"/>
                <w:noProof/>
              </w:rPr>
              <w:t>National Response to Reduce Health Inequalities</w:t>
            </w:r>
            <w:r w:rsidR="00A80C41">
              <w:rPr>
                <w:noProof/>
                <w:webHidden/>
              </w:rPr>
              <w:tab/>
            </w:r>
            <w:r w:rsidR="00A80C41">
              <w:rPr>
                <w:noProof/>
                <w:webHidden/>
              </w:rPr>
              <w:fldChar w:fldCharType="begin"/>
            </w:r>
            <w:r w:rsidR="00A80C41">
              <w:rPr>
                <w:noProof/>
                <w:webHidden/>
              </w:rPr>
              <w:instrText xml:space="preserve"> PAGEREF _Toc214091439 \h </w:instrText>
            </w:r>
            <w:r w:rsidR="00A80C41">
              <w:rPr>
                <w:noProof/>
                <w:webHidden/>
              </w:rPr>
            </w:r>
            <w:r w:rsidR="00A80C41">
              <w:rPr>
                <w:noProof/>
                <w:webHidden/>
              </w:rPr>
              <w:fldChar w:fldCharType="separate"/>
            </w:r>
            <w:r w:rsidR="00A80C41">
              <w:rPr>
                <w:noProof/>
                <w:webHidden/>
              </w:rPr>
              <w:t>6</w:t>
            </w:r>
            <w:r w:rsidR="00A80C41">
              <w:rPr>
                <w:noProof/>
                <w:webHidden/>
              </w:rPr>
              <w:fldChar w:fldCharType="end"/>
            </w:r>
          </w:hyperlink>
        </w:p>
        <w:p w14:paraId="3B1EE49F" w14:textId="5A11350F" w:rsidR="00A80C41" w:rsidRDefault="00DC6443">
          <w:pPr>
            <w:pStyle w:val="TOC1"/>
            <w:tabs>
              <w:tab w:val="right" w:leader="dot" w:pos="9016"/>
            </w:tabs>
            <w:rPr>
              <w:rFonts w:eastAsiaTheme="minorEastAsia"/>
              <w:noProof/>
              <w:lang w:eastAsia="en-GB"/>
            </w:rPr>
          </w:pPr>
          <w:hyperlink w:anchor="_Toc214091440" w:history="1">
            <w:r w:rsidR="00A80C41" w:rsidRPr="00D50F0B">
              <w:rPr>
                <w:rStyle w:val="Hyperlink"/>
                <w:rFonts w:cs="Arial"/>
                <w:noProof/>
              </w:rPr>
              <w:t>Organisations that Support the Elderly</w:t>
            </w:r>
            <w:r w:rsidR="00A80C41">
              <w:rPr>
                <w:noProof/>
                <w:webHidden/>
              </w:rPr>
              <w:tab/>
            </w:r>
            <w:r w:rsidR="00A80C41">
              <w:rPr>
                <w:noProof/>
                <w:webHidden/>
              </w:rPr>
              <w:fldChar w:fldCharType="begin"/>
            </w:r>
            <w:r w:rsidR="00A80C41">
              <w:rPr>
                <w:noProof/>
                <w:webHidden/>
              </w:rPr>
              <w:instrText xml:space="preserve"> PAGEREF _Toc214091440 \h </w:instrText>
            </w:r>
            <w:r w:rsidR="00A80C41">
              <w:rPr>
                <w:noProof/>
                <w:webHidden/>
              </w:rPr>
            </w:r>
            <w:r w:rsidR="00A80C41">
              <w:rPr>
                <w:noProof/>
                <w:webHidden/>
              </w:rPr>
              <w:fldChar w:fldCharType="separate"/>
            </w:r>
            <w:r w:rsidR="00A80C41">
              <w:rPr>
                <w:noProof/>
                <w:webHidden/>
              </w:rPr>
              <w:t>6</w:t>
            </w:r>
            <w:r w:rsidR="00A80C41">
              <w:rPr>
                <w:noProof/>
                <w:webHidden/>
              </w:rPr>
              <w:fldChar w:fldCharType="end"/>
            </w:r>
          </w:hyperlink>
        </w:p>
        <w:p w14:paraId="2B356BA6" w14:textId="2757733E" w:rsidR="00A80C41" w:rsidRDefault="00DC6443">
          <w:pPr>
            <w:pStyle w:val="TOC1"/>
            <w:tabs>
              <w:tab w:val="right" w:leader="dot" w:pos="9016"/>
            </w:tabs>
            <w:rPr>
              <w:rFonts w:eastAsiaTheme="minorEastAsia"/>
              <w:noProof/>
              <w:lang w:eastAsia="en-GB"/>
            </w:rPr>
          </w:pPr>
          <w:hyperlink w:anchor="_Toc214091441" w:history="1">
            <w:r w:rsidR="00A80C41" w:rsidRPr="00D50F0B">
              <w:rPr>
                <w:rStyle w:val="Hyperlink"/>
                <w:rFonts w:cs="Arial"/>
                <w:noProof/>
              </w:rPr>
              <w:t>Conclusion</w:t>
            </w:r>
            <w:r w:rsidR="00A80C41">
              <w:rPr>
                <w:noProof/>
                <w:webHidden/>
              </w:rPr>
              <w:tab/>
            </w:r>
            <w:r w:rsidR="00A80C41">
              <w:rPr>
                <w:noProof/>
                <w:webHidden/>
              </w:rPr>
              <w:fldChar w:fldCharType="begin"/>
            </w:r>
            <w:r w:rsidR="00A80C41">
              <w:rPr>
                <w:noProof/>
                <w:webHidden/>
              </w:rPr>
              <w:instrText xml:space="preserve"> PAGEREF _Toc214091441 \h </w:instrText>
            </w:r>
            <w:r w:rsidR="00A80C41">
              <w:rPr>
                <w:noProof/>
                <w:webHidden/>
              </w:rPr>
            </w:r>
            <w:r w:rsidR="00A80C41">
              <w:rPr>
                <w:noProof/>
                <w:webHidden/>
              </w:rPr>
              <w:fldChar w:fldCharType="separate"/>
            </w:r>
            <w:r w:rsidR="00A80C41">
              <w:rPr>
                <w:noProof/>
                <w:webHidden/>
              </w:rPr>
              <w:t>7</w:t>
            </w:r>
            <w:r w:rsidR="00A80C41">
              <w:rPr>
                <w:noProof/>
                <w:webHidden/>
              </w:rPr>
              <w:fldChar w:fldCharType="end"/>
            </w:r>
          </w:hyperlink>
        </w:p>
        <w:p w14:paraId="3B6F8883" w14:textId="78370CAF" w:rsidR="00A80C41" w:rsidRDefault="00DC6443">
          <w:pPr>
            <w:pStyle w:val="TOC1"/>
            <w:tabs>
              <w:tab w:val="right" w:leader="dot" w:pos="9016"/>
            </w:tabs>
            <w:rPr>
              <w:rFonts w:eastAsiaTheme="minorEastAsia"/>
              <w:noProof/>
              <w:lang w:eastAsia="en-GB"/>
            </w:rPr>
          </w:pPr>
          <w:hyperlink w:anchor="_Toc214091442" w:history="1">
            <w:r w:rsidR="00A80C41" w:rsidRPr="00D50F0B">
              <w:rPr>
                <w:rStyle w:val="Hyperlink"/>
                <w:noProof/>
              </w:rPr>
              <w:t>TASK: 2</w:t>
            </w:r>
            <w:r w:rsidR="00A80C41">
              <w:rPr>
                <w:noProof/>
                <w:webHidden/>
              </w:rPr>
              <w:tab/>
            </w:r>
            <w:r w:rsidR="00A80C41">
              <w:rPr>
                <w:noProof/>
                <w:webHidden/>
              </w:rPr>
              <w:fldChar w:fldCharType="begin"/>
            </w:r>
            <w:r w:rsidR="00A80C41">
              <w:rPr>
                <w:noProof/>
                <w:webHidden/>
              </w:rPr>
              <w:instrText xml:space="preserve"> PAGEREF _Toc214091442 \h </w:instrText>
            </w:r>
            <w:r w:rsidR="00A80C41">
              <w:rPr>
                <w:noProof/>
                <w:webHidden/>
              </w:rPr>
            </w:r>
            <w:r w:rsidR="00A80C41">
              <w:rPr>
                <w:noProof/>
                <w:webHidden/>
              </w:rPr>
              <w:fldChar w:fldCharType="separate"/>
            </w:r>
            <w:r w:rsidR="00A80C41">
              <w:rPr>
                <w:noProof/>
                <w:webHidden/>
              </w:rPr>
              <w:t>8</w:t>
            </w:r>
            <w:r w:rsidR="00A80C41">
              <w:rPr>
                <w:noProof/>
                <w:webHidden/>
              </w:rPr>
              <w:fldChar w:fldCharType="end"/>
            </w:r>
          </w:hyperlink>
        </w:p>
        <w:p w14:paraId="40D4CED3" w14:textId="44625725" w:rsidR="00A80C41" w:rsidRDefault="00DC6443">
          <w:pPr>
            <w:pStyle w:val="TOC1"/>
            <w:tabs>
              <w:tab w:val="right" w:leader="dot" w:pos="9016"/>
            </w:tabs>
            <w:rPr>
              <w:rFonts w:eastAsiaTheme="minorEastAsia"/>
              <w:noProof/>
              <w:lang w:eastAsia="en-GB"/>
            </w:rPr>
          </w:pPr>
          <w:hyperlink w:anchor="_Toc214091443" w:history="1">
            <w:r w:rsidR="00A80C41" w:rsidRPr="00D50F0B">
              <w:rPr>
                <w:rStyle w:val="Hyperlink"/>
                <w:noProof/>
              </w:rPr>
              <w:t>Introduction</w:t>
            </w:r>
            <w:r w:rsidR="00A80C41">
              <w:rPr>
                <w:noProof/>
                <w:webHidden/>
              </w:rPr>
              <w:tab/>
            </w:r>
            <w:r w:rsidR="00A80C41">
              <w:rPr>
                <w:noProof/>
                <w:webHidden/>
              </w:rPr>
              <w:fldChar w:fldCharType="begin"/>
            </w:r>
            <w:r w:rsidR="00A80C41">
              <w:rPr>
                <w:noProof/>
                <w:webHidden/>
              </w:rPr>
              <w:instrText xml:space="preserve"> PAGEREF _Toc214091443 \h </w:instrText>
            </w:r>
            <w:r w:rsidR="00A80C41">
              <w:rPr>
                <w:noProof/>
                <w:webHidden/>
              </w:rPr>
            </w:r>
            <w:r w:rsidR="00A80C41">
              <w:rPr>
                <w:noProof/>
                <w:webHidden/>
              </w:rPr>
              <w:fldChar w:fldCharType="separate"/>
            </w:r>
            <w:r w:rsidR="00A80C41">
              <w:rPr>
                <w:noProof/>
                <w:webHidden/>
              </w:rPr>
              <w:t>9</w:t>
            </w:r>
            <w:r w:rsidR="00A80C41">
              <w:rPr>
                <w:noProof/>
                <w:webHidden/>
              </w:rPr>
              <w:fldChar w:fldCharType="end"/>
            </w:r>
          </w:hyperlink>
        </w:p>
        <w:p w14:paraId="3F0F4833" w14:textId="616C0DDC" w:rsidR="00A80C41" w:rsidRDefault="00DC6443">
          <w:pPr>
            <w:pStyle w:val="TOC2"/>
            <w:tabs>
              <w:tab w:val="right" w:leader="dot" w:pos="9016"/>
            </w:tabs>
            <w:rPr>
              <w:rFonts w:eastAsiaTheme="minorEastAsia"/>
              <w:noProof/>
              <w:lang w:eastAsia="en-GB"/>
            </w:rPr>
          </w:pPr>
          <w:hyperlink w:anchor="_Toc214091444" w:history="1">
            <w:r w:rsidR="00A80C41" w:rsidRPr="00D50F0B">
              <w:rPr>
                <w:rStyle w:val="Hyperlink"/>
                <w:noProof/>
              </w:rPr>
              <w:t>Definition and Consequences of the Health Problem</w:t>
            </w:r>
            <w:r w:rsidR="00A80C41">
              <w:rPr>
                <w:noProof/>
                <w:webHidden/>
              </w:rPr>
              <w:tab/>
            </w:r>
            <w:r w:rsidR="00A80C41">
              <w:rPr>
                <w:noProof/>
                <w:webHidden/>
              </w:rPr>
              <w:fldChar w:fldCharType="begin"/>
            </w:r>
            <w:r w:rsidR="00A80C41">
              <w:rPr>
                <w:noProof/>
                <w:webHidden/>
              </w:rPr>
              <w:instrText xml:space="preserve"> PAGEREF _Toc214091444 \h </w:instrText>
            </w:r>
            <w:r w:rsidR="00A80C41">
              <w:rPr>
                <w:noProof/>
                <w:webHidden/>
              </w:rPr>
            </w:r>
            <w:r w:rsidR="00A80C41">
              <w:rPr>
                <w:noProof/>
                <w:webHidden/>
              </w:rPr>
              <w:fldChar w:fldCharType="separate"/>
            </w:r>
            <w:r w:rsidR="00A80C41">
              <w:rPr>
                <w:noProof/>
                <w:webHidden/>
              </w:rPr>
              <w:t>9</w:t>
            </w:r>
            <w:r w:rsidR="00A80C41">
              <w:rPr>
                <w:noProof/>
                <w:webHidden/>
              </w:rPr>
              <w:fldChar w:fldCharType="end"/>
            </w:r>
          </w:hyperlink>
        </w:p>
        <w:p w14:paraId="4851944F" w14:textId="407D52E8" w:rsidR="00A80C41" w:rsidRDefault="00DC6443">
          <w:pPr>
            <w:pStyle w:val="TOC2"/>
            <w:tabs>
              <w:tab w:val="right" w:leader="dot" w:pos="9016"/>
            </w:tabs>
            <w:rPr>
              <w:rFonts w:eastAsiaTheme="minorEastAsia"/>
              <w:noProof/>
              <w:lang w:eastAsia="en-GB"/>
            </w:rPr>
          </w:pPr>
          <w:hyperlink w:anchor="_Toc214091445" w:history="1">
            <w:r w:rsidR="00A80C41" w:rsidRPr="00D50F0B">
              <w:rPr>
                <w:rStyle w:val="Hyperlink"/>
                <w:noProof/>
              </w:rPr>
              <w:t>Incidence and Prevalence: Global, UK, and Local Burden</w:t>
            </w:r>
            <w:r w:rsidR="00A80C41">
              <w:rPr>
                <w:noProof/>
                <w:webHidden/>
              </w:rPr>
              <w:tab/>
            </w:r>
            <w:r w:rsidR="00A80C41">
              <w:rPr>
                <w:noProof/>
                <w:webHidden/>
              </w:rPr>
              <w:fldChar w:fldCharType="begin"/>
            </w:r>
            <w:r w:rsidR="00A80C41">
              <w:rPr>
                <w:noProof/>
                <w:webHidden/>
              </w:rPr>
              <w:instrText xml:space="preserve"> PAGEREF _Toc214091445 \h </w:instrText>
            </w:r>
            <w:r w:rsidR="00A80C41">
              <w:rPr>
                <w:noProof/>
                <w:webHidden/>
              </w:rPr>
            </w:r>
            <w:r w:rsidR="00A80C41">
              <w:rPr>
                <w:noProof/>
                <w:webHidden/>
              </w:rPr>
              <w:fldChar w:fldCharType="separate"/>
            </w:r>
            <w:r w:rsidR="00A80C41">
              <w:rPr>
                <w:noProof/>
                <w:webHidden/>
              </w:rPr>
              <w:t>9</w:t>
            </w:r>
            <w:r w:rsidR="00A80C41">
              <w:rPr>
                <w:noProof/>
                <w:webHidden/>
              </w:rPr>
              <w:fldChar w:fldCharType="end"/>
            </w:r>
          </w:hyperlink>
        </w:p>
        <w:p w14:paraId="7CB374FC" w14:textId="6123518E" w:rsidR="00A80C41" w:rsidRDefault="00DC6443">
          <w:pPr>
            <w:pStyle w:val="TOC1"/>
            <w:tabs>
              <w:tab w:val="right" w:leader="dot" w:pos="9016"/>
            </w:tabs>
            <w:rPr>
              <w:rFonts w:eastAsiaTheme="minorEastAsia"/>
              <w:noProof/>
              <w:lang w:eastAsia="en-GB"/>
            </w:rPr>
          </w:pPr>
          <w:hyperlink w:anchor="_Toc214091446" w:history="1">
            <w:r w:rsidR="00A80C41" w:rsidRPr="00D50F0B">
              <w:rPr>
                <w:rStyle w:val="Hyperlink"/>
                <w:noProof/>
              </w:rPr>
              <w:t>Main Body</w:t>
            </w:r>
            <w:r w:rsidR="00A80C41">
              <w:rPr>
                <w:noProof/>
                <w:webHidden/>
              </w:rPr>
              <w:tab/>
            </w:r>
            <w:r w:rsidR="00A80C41">
              <w:rPr>
                <w:noProof/>
                <w:webHidden/>
              </w:rPr>
              <w:fldChar w:fldCharType="begin"/>
            </w:r>
            <w:r w:rsidR="00A80C41">
              <w:rPr>
                <w:noProof/>
                <w:webHidden/>
              </w:rPr>
              <w:instrText xml:space="preserve"> PAGEREF _Toc214091446 \h </w:instrText>
            </w:r>
            <w:r w:rsidR="00A80C41">
              <w:rPr>
                <w:noProof/>
                <w:webHidden/>
              </w:rPr>
            </w:r>
            <w:r w:rsidR="00A80C41">
              <w:rPr>
                <w:noProof/>
                <w:webHidden/>
              </w:rPr>
              <w:fldChar w:fldCharType="separate"/>
            </w:r>
            <w:r w:rsidR="00A80C41">
              <w:rPr>
                <w:noProof/>
                <w:webHidden/>
              </w:rPr>
              <w:t>10</w:t>
            </w:r>
            <w:r w:rsidR="00A80C41">
              <w:rPr>
                <w:noProof/>
                <w:webHidden/>
              </w:rPr>
              <w:fldChar w:fldCharType="end"/>
            </w:r>
          </w:hyperlink>
        </w:p>
        <w:p w14:paraId="0B9BE308" w14:textId="50915F02" w:rsidR="00A80C41" w:rsidRDefault="00DC6443">
          <w:pPr>
            <w:pStyle w:val="TOC2"/>
            <w:tabs>
              <w:tab w:val="right" w:leader="dot" w:pos="9016"/>
            </w:tabs>
            <w:rPr>
              <w:rFonts w:eastAsiaTheme="minorEastAsia"/>
              <w:noProof/>
              <w:lang w:eastAsia="en-GB"/>
            </w:rPr>
          </w:pPr>
          <w:hyperlink w:anchor="_Toc214091447" w:history="1">
            <w:r w:rsidR="00A80C41" w:rsidRPr="00D50F0B">
              <w:rPr>
                <w:rStyle w:val="Hyperlink"/>
                <w:noProof/>
              </w:rPr>
              <w:t>Public Health Measures in Lambeth</w:t>
            </w:r>
            <w:r w:rsidR="00A80C41">
              <w:rPr>
                <w:noProof/>
                <w:webHidden/>
              </w:rPr>
              <w:tab/>
            </w:r>
            <w:r w:rsidR="00A80C41">
              <w:rPr>
                <w:noProof/>
                <w:webHidden/>
              </w:rPr>
              <w:fldChar w:fldCharType="begin"/>
            </w:r>
            <w:r w:rsidR="00A80C41">
              <w:rPr>
                <w:noProof/>
                <w:webHidden/>
              </w:rPr>
              <w:instrText xml:space="preserve"> PAGEREF _Toc214091447 \h </w:instrText>
            </w:r>
            <w:r w:rsidR="00A80C41">
              <w:rPr>
                <w:noProof/>
                <w:webHidden/>
              </w:rPr>
            </w:r>
            <w:r w:rsidR="00A80C41">
              <w:rPr>
                <w:noProof/>
                <w:webHidden/>
              </w:rPr>
              <w:fldChar w:fldCharType="separate"/>
            </w:r>
            <w:r w:rsidR="00A80C41">
              <w:rPr>
                <w:noProof/>
                <w:webHidden/>
              </w:rPr>
              <w:t>10</w:t>
            </w:r>
            <w:r w:rsidR="00A80C41">
              <w:rPr>
                <w:noProof/>
                <w:webHidden/>
              </w:rPr>
              <w:fldChar w:fldCharType="end"/>
            </w:r>
          </w:hyperlink>
        </w:p>
        <w:p w14:paraId="76616A91" w14:textId="57F97B2D" w:rsidR="00A80C41" w:rsidRDefault="00DC6443">
          <w:pPr>
            <w:pStyle w:val="TOC2"/>
            <w:tabs>
              <w:tab w:val="right" w:leader="dot" w:pos="9016"/>
            </w:tabs>
            <w:rPr>
              <w:rFonts w:eastAsiaTheme="minorEastAsia"/>
              <w:noProof/>
              <w:lang w:eastAsia="en-GB"/>
            </w:rPr>
          </w:pPr>
          <w:hyperlink w:anchor="_Toc214091448" w:history="1">
            <w:r w:rsidR="00A80C41" w:rsidRPr="00D50F0B">
              <w:rPr>
                <w:rStyle w:val="Hyperlink"/>
                <w:noProof/>
              </w:rPr>
              <w:t>Key Determinants and Risk Factors</w:t>
            </w:r>
            <w:r w:rsidR="00A80C41">
              <w:rPr>
                <w:noProof/>
                <w:webHidden/>
              </w:rPr>
              <w:tab/>
            </w:r>
            <w:r w:rsidR="00A80C41">
              <w:rPr>
                <w:noProof/>
                <w:webHidden/>
              </w:rPr>
              <w:fldChar w:fldCharType="begin"/>
            </w:r>
            <w:r w:rsidR="00A80C41">
              <w:rPr>
                <w:noProof/>
                <w:webHidden/>
              </w:rPr>
              <w:instrText xml:space="preserve"> PAGEREF _Toc214091448 \h </w:instrText>
            </w:r>
            <w:r w:rsidR="00A80C41">
              <w:rPr>
                <w:noProof/>
                <w:webHidden/>
              </w:rPr>
            </w:r>
            <w:r w:rsidR="00A80C41">
              <w:rPr>
                <w:noProof/>
                <w:webHidden/>
              </w:rPr>
              <w:fldChar w:fldCharType="separate"/>
            </w:r>
            <w:r w:rsidR="00A80C41">
              <w:rPr>
                <w:noProof/>
                <w:webHidden/>
              </w:rPr>
              <w:t>10</w:t>
            </w:r>
            <w:r w:rsidR="00A80C41">
              <w:rPr>
                <w:noProof/>
                <w:webHidden/>
              </w:rPr>
              <w:fldChar w:fldCharType="end"/>
            </w:r>
          </w:hyperlink>
        </w:p>
        <w:p w14:paraId="12423384" w14:textId="6258C3C3" w:rsidR="00A80C41" w:rsidRDefault="00DC6443">
          <w:pPr>
            <w:pStyle w:val="TOC2"/>
            <w:tabs>
              <w:tab w:val="right" w:leader="dot" w:pos="9016"/>
            </w:tabs>
            <w:rPr>
              <w:rFonts w:eastAsiaTheme="minorEastAsia"/>
              <w:noProof/>
              <w:lang w:eastAsia="en-GB"/>
            </w:rPr>
          </w:pPr>
          <w:hyperlink w:anchor="_Toc214091449" w:history="1">
            <w:r w:rsidR="00A80C41" w:rsidRPr="00D50F0B">
              <w:rPr>
                <w:rStyle w:val="Hyperlink"/>
                <w:noProof/>
              </w:rPr>
              <w:t>Using Epidemiological Studies and Health Needs Assessment (HNA) to Identify At-Risk Groups</w:t>
            </w:r>
            <w:r w:rsidR="00A80C41">
              <w:rPr>
                <w:noProof/>
                <w:webHidden/>
              </w:rPr>
              <w:tab/>
            </w:r>
            <w:r w:rsidR="00A80C41">
              <w:rPr>
                <w:noProof/>
                <w:webHidden/>
              </w:rPr>
              <w:fldChar w:fldCharType="begin"/>
            </w:r>
            <w:r w:rsidR="00A80C41">
              <w:rPr>
                <w:noProof/>
                <w:webHidden/>
              </w:rPr>
              <w:instrText xml:space="preserve"> PAGEREF _Toc214091449 \h </w:instrText>
            </w:r>
            <w:r w:rsidR="00A80C41">
              <w:rPr>
                <w:noProof/>
                <w:webHidden/>
              </w:rPr>
            </w:r>
            <w:r w:rsidR="00A80C41">
              <w:rPr>
                <w:noProof/>
                <w:webHidden/>
              </w:rPr>
              <w:fldChar w:fldCharType="separate"/>
            </w:r>
            <w:r w:rsidR="00A80C41">
              <w:rPr>
                <w:noProof/>
                <w:webHidden/>
              </w:rPr>
              <w:t>11</w:t>
            </w:r>
            <w:r w:rsidR="00A80C41">
              <w:rPr>
                <w:noProof/>
                <w:webHidden/>
              </w:rPr>
              <w:fldChar w:fldCharType="end"/>
            </w:r>
          </w:hyperlink>
        </w:p>
        <w:p w14:paraId="10BF05BB" w14:textId="77082FC2" w:rsidR="00A80C41" w:rsidRDefault="00DC6443">
          <w:pPr>
            <w:pStyle w:val="TOC2"/>
            <w:tabs>
              <w:tab w:val="right" w:leader="dot" w:pos="9016"/>
            </w:tabs>
            <w:rPr>
              <w:rFonts w:eastAsiaTheme="minorEastAsia"/>
              <w:noProof/>
              <w:lang w:eastAsia="en-GB"/>
            </w:rPr>
          </w:pPr>
          <w:hyperlink w:anchor="_Toc214091450" w:history="1">
            <w:r w:rsidR="00A80C41" w:rsidRPr="00D50F0B">
              <w:rPr>
                <w:rStyle w:val="Hyperlink"/>
                <w:noProof/>
              </w:rPr>
              <w:t>Public Health Approaches and Surveillance Systems Used in Lambeth</w:t>
            </w:r>
            <w:r w:rsidR="00A80C41">
              <w:rPr>
                <w:noProof/>
                <w:webHidden/>
              </w:rPr>
              <w:tab/>
            </w:r>
            <w:r w:rsidR="00A80C41">
              <w:rPr>
                <w:noProof/>
                <w:webHidden/>
              </w:rPr>
              <w:fldChar w:fldCharType="begin"/>
            </w:r>
            <w:r w:rsidR="00A80C41">
              <w:rPr>
                <w:noProof/>
                <w:webHidden/>
              </w:rPr>
              <w:instrText xml:space="preserve"> PAGEREF _Toc214091450 \h </w:instrText>
            </w:r>
            <w:r w:rsidR="00A80C41">
              <w:rPr>
                <w:noProof/>
                <w:webHidden/>
              </w:rPr>
            </w:r>
            <w:r w:rsidR="00A80C41">
              <w:rPr>
                <w:noProof/>
                <w:webHidden/>
              </w:rPr>
              <w:fldChar w:fldCharType="separate"/>
            </w:r>
            <w:r w:rsidR="00A80C41">
              <w:rPr>
                <w:noProof/>
                <w:webHidden/>
              </w:rPr>
              <w:t>11</w:t>
            </w:r>
            <w:r w:rsidR="00A80C41">
              <w:rPr>
                <w:noProof/>
                <w:webHidden/>
              </w:rPr>
              <w:fldChar w:fldCharType="end"/>
            </w:r>
          </w:hyperlink>
        </w:p>
        <w:p w14:paraId="0B4B81F2" w14:textId="45251BF6" w:rsidR="00A80C41" w:rsidRDefault="00DC6443">
          <w:pPr>
            <w:pStyle w:val="TOC2"/>
            <w:tabs>
              <w:tab w:val="right" w:leader="dot" w:pos="9016"/>
            </w:tabs>
            <w:rPr>
              <w:rFonts w:eastAsiaTheme="minorEastAsia"/>
              <w:noProof/>
              <w:lang w:eastAsia="en-GB"/>
            </w:rPr>
          </w:pPr>
          <w:hyperlink w:anchor="_Toc214091451" w:history="1">
            <w:r w:rsidR="00A80C41" w:rsidRPr="00D50F0B">
              <w:rPr>
                <w:rStyle w:val="Hyperlink"/>
                <w:noProof/>
              </w:rPr>
              <w:t>Using Epidemiology to Determine Public Health Impact</w:t>
            </w:r>
            <w:r w:rsidR="00A80C41">
              <w:rPr>
                <w:noProof/>
                <w:webHidden/>
              </w:rPr>
              <w:tab/>
            </w:r>
            <w:r w:rsidR="00A80C41">
              <w:rPr>
                <w:noProof/>
                <w:webHidden/>
              </w:rPr>
              <w:fldChar w:fldCharType="begin"/>
            </w:r>
            <w:r w:rsidR="00A80C41">
              <w:rPr>
                <w:noProof/>
                <w:webHidden/>
              </w:rPr>
              <w:instrText xml:space="preserve"> PAGEREF _Toc214091451 \h </w:instrText>
            </w:r>
            <w:r w:rsidR="00A80C41">
              <w:rPr>
                <w:noProof/>
                <w:webHidden/>
              </w:rPr>
            </w:r>
            <w:r w:rsidR="00A80C41">
              <w:rPr>
                <w:noProof/>
                <w:webHidden/>
              </w:rPr>
              <w:fldChar w:fldCharType="separate"/>
            </w:r>
            <w:r w:rsidR="00A80C41">
              <w:rPr>
                <w:noProof/>
                <w:webHidden/>
              </w:rPr>
              <w:t>12</w:t>
            </w:r>
            <w:r w:rsidR="00A80C41">
              <w:rPr>
                <w:noProof/>
                <w:webHidden/>
              </w:rPr>
              <w:fldChar w:fldCharType="end"/>
            </w:r>
          </w:hyperlink>
        </w:p>
        <w:p w14:paraId="6AC4DE6E" w14:textId="3087DAA0" w:rsidR="00A80C41" w:rsidRDefault="00DC6443">
          <w:pPr>
            <w:pStyle w:val="TOC2"/>
            <w:tabs>
              <w:tab w:val="right" w:leader="dot" w:pos="9016"/>
            </w:tabs>
            <w:rPr>
              <w:rFonts w:eastAsiaTheme="minorEastAsia"/>
              <w:noProof/>
              <w:lang w:eastAsia="en-GB"/>
            </w:rPr>
          </w:pPr>
          <w:hyperlink w:anchor="_Toc214091452" w:history="1">
            <w:r w:rsidR="00A80C41" w:rsidRPr="00D50F0B">
              <w:rPr>
                <w:rStyle w:val="Hyperlink"/>
                <w:noProof/>
              </w:rPr>
              <w:t>Designing an Appropriate Health Intervention Programme</w:t>
            </w:r>
            <w:r w:rsidR="00A80C41">
              <w:rPr>
                <w:noProof/>
                <w:webHidden/>
              </w:rPr>
              <w:tab/>
            </w:r>
            <w:r w:rsidR="00A80C41">
              <w:rPr>
                <w:noProof/>
                <w:webHidden/>
              </w:rPr>
              <w:fldChar w:fldCharType="begin"/>
            </w:r>
            <w:r w:rsidR="00A80C41">
              <w:rPr>
                <w:noProof/>
                <w:webHidden/>
              </w:rPr>
              <w:instrText xml:space="preserve"> PAGEREF _Toc214091452 \h </w:instrText>
            </w:r>
            <w:r w:rsidR="00A80C41">
              <w:rPr>
                <w:noProof/>
                <w:webHidden/>
              </w:rPr>
            </w:r>
            <w:r w:rsidR="00A80C41">
              <w:rPr>
                <w:noProof/>
                <w:webHidden/>
              </w:rPr>
              <w:fldChar w:fldCharType="separate"/>
            </w:r>
            <w:r w:rsidR="00A80C41">
              <w:rPr>
                <w:noProof/>
                <w:webHidden/>
              </w:rPr>
              <w:t>13</w:t>
            </w:r>
            <w:r w:rsidR="00A80C41">
              <w:rPr>
                <w:noProof/>
                <w:webHidden/>
              </w:rPr>
              <w:fldChar w:fldCharType="end"/>
            </w:r>
          </w:hyperlink>
        </w:p>
        <w:p w14:paraId="1D9600AC" w14:textId="7BC2C36D" w:rsidR="00A80C41" w:rsidRDefault="00DC6443">
          <w:pPr>
            <w:pStyle w:val="TOC2"/>
            <w:tabs>
              <w:tab w:val="right" w:leader="dot" w:pos="9016"/>
            </w:tabs>
            <w:rPr>
              <w:rFonts w:eastAsiaTheme="minorEastAsia"/>
              <w:noProof/>
              <w:lang w:eastAsia="en-GB"/>
            </w:rPr>
          </w:pPr>
          <w:hyperlink w:anchor="_Toc214091453" w:history="1">
            <w:r w:rsidR="00A80C41" w:rsidRPr="00D50F0B">
              <w:rPr>
                <w:rStyle w:val="Hyperlink"/>
                <w:noProof/>
              </w:rPr>
              <w:t>Strengths and Weaknesses of the Epidemiological Approach</w:t>
            </w:r>
            <w:r w:rsidR="00A80C41">
              <w:rPr>
                <w:noProof/>
                <w:webHidden/>
              </w:rPr>
              <w:tab/>
            </w:r>
            <w:r w:rsidR="00A80C41">
              <w:rPr>
                <w:noProof/>
                <w:webHidden/>
              </w:rPr>
              <w:fldChar w:fldCharType="begin"/>
            </w:r>
            <w:r w:rsidR="00A80C41">
              <w:rPr>
                <w:noProof/>
                <w:webHidden/>
              </w:rPr>
              <w:instrText xml:space="preserve"> PAGEREF _Toc214091453 \h </w:instrText>
            </w:r>
            <w:r w:rsidR="00A80C41">
              <w:rPr>
                <w:noProof/>
                <w:webHidden/>
              </w:rPr>
            </w:r>
            <w:r w:rsidR="00A80C41">
              <w:rPr>
                <w:noProof/>
                <w:webHidden/>
              </w:rPr>
              <w:fldChar w:fldCharType="separate"/>
            </w:r>
            <w:r w:rsidR="00A80C41">
              <w:rPr>
                <w:noProof/>
                <w:webHidden/>
              </w:rPr>
              <w:t>14</w:t>
            </w:r>
            <w:r w:rsidR="00A80C41">
              <w:rPr>
                <w:noProof/>
                <w:webHidden/>
              </w:rPr>
              <w:fldChar w:fldCharType="end"/>
            </w:r>
          </w:hyperlink>
        </w:p>
        <w:p w14:paraId="1EA490BE" w14:textId="3F8D8617" w:rsidR="00A80C41" w:rsidRDefault="00DC6443">
          <w:pPr>
            <w:pStyle w:val="TOC2"/>
            <w:tabs>
              <w:tab w:val="right" w:leader="dot" w:pos="9016"/>
            </w:tabs>
            <w:rPr>
              <w:rFonts w:eastAsiaTheme="minorEastAsia"/>
              <w:noProof/>
              <w:lang w:eastAsia="en-GB"/>
            </w:rPr>
          </w:pPr>
          <w:hyperlink w:anchor="_Toc214091454" w:history="1">
            <w:r w:rsidR="00A80C41" w:rsidRPr="00D50F0B">
              <w:rPr>
                <w:rStyle w:val="Hyperlink"/>
                <w:noProof/>
              </w:rPr>
              <w:t>Conclusion</w:t>
            </w:r>
            <w:r w:rsidR="00A80C41">
              <w:rPr>
                <w:noProof/>
                <w:webHidden/>
              </w:rPr>
              <w:tab/>
            </w:r>
            <w:r w:rsidR="00A80C41">
              <w:rPr>
                <w:noProof/>
                <w:webHidden/>
              </w:rPr>
              <w:fldChar w:fldCharType="begin"/>
            </w:r>
            <w:r w:rsidR="00A80C41">
              <w:rPr>
                <w:noProof/>
                <w:webHidden/>
              </w:rPr>
              <w:instrText xml:space="preserve"> PAGEREF _Toc214091454 \h </w:instrText>
            </w:r>
            <w:r w:rsidR="00A80C41">
              <w:rPr>
                <w:noProof/>
                <w:webHidden/>
              </w:rPr>
            </w:r>
            <w:r w:rsidR="00A80C41">
              <w:rPr>
                <w:noProof/>
                <w:webHidden/>
              </w:rPr>
              <w:fldChar w:fldCharType="separate"/>
            </w:r>
            <w:r w:rsidR="00A80C41">
              <w:rPr>
                <w:noProof/>
                <w:webHidden/>
              </w:rPr>
              <w:t>14</w:t>
            </w:r>
            <w:r w:rsidR="00A80C41">
              <w:rPr>
                <w:noProof/>
                <w:webHidden/>
              </w:rPr>
              <w:fldChar w:fldCharType="end"/>
            </w:r>
          </w:hyperlink>
        </w:p>
        <w:p w14:paraId="2A517CBA" w14:textId="3496C164" w:rsidR="00A80C41" w:rsidRDefault="00DC6443">
          <w:pPr>
            <w:pStyle w:val="TOC1"/>
            <w:tabs>
              <w:tab w:val="right" w:leader="dot" w:pos="9016"/>
            </w:tabs>
            <w:rPr>
              <w:rFonts w:eastAsiaTheme="minorEastAsia"/>
              <w:noProof/>
              <w:lang w:eastAsia="en-GB"/>
            </w:rPr>
          </w:pPr>
          <w:hyperlink w:anchor="_Toc214091455" w:history="1">
            <w:r w:rsidR="00A80C41" w:rsidRPr="00D50F0B">
              <w:rPr>
                <w:rStyle w:val="Hyperlink"/>
                <w:rFonts w:cs="Arial"/>
                <w:noProof/>
              </w:rPr>
              <w:t>References</w:t>
            </w:r>
            <w:r w:rsidR="00A80C41">
              <w:rPr>
                <w:noProof/>
                <w:webHidden/>
              </w:rPr>
              <w:tab/>
            </w:r>
            <w:r w:rsidR="00A80C41">
              <w:rPr>
                <w:noProof/>
                <w:webHidden/>
              </w:rPr>
              <w:fldChar w:fldCharType="begin"/>
            </w:r>
            <w:r w:rsidR="00A80C41">
              <w:rPr>
                <w:noProof/>
                <w:webHidden/>
              </w:rPr>
              <w:instrText xml:space="preserve"> PAGEREF _Toc214091455 \h </w:instrText>
            </w:r>
            <w:r w:rsidR="00A80C41">
              <w:rPr>
                <w:noProof/>
                <w:webHidden/>
              </w:rPr>
            </w:r>
            <w:r w:rsidR="00A80C41">
              <w:rPr>
                <w:noProof/>
                <w:webHidden/>
              </w:rPr>
              <w:fldChar w:fldCharType="separate"/>
            </w:r>
            <w:r w:rsidR="00A80C41">
              <w:rPr>
                <w:noProof/>
                <w:webHidden/>
              </w:rPr>
              <w:t>15</w:t>
            </w:r>
            <w:r w:rsidR="00A80C41">
              <w:rPr>
                <w:noProof/>
                <w:webHidden/>
              </w:rPr>
              <w:fldChar w:fldCharType="end"/>
            </w:r>
          </w:hyperlink>
        </w:p>
        <w:p w14:paraId="2481E7B9" w14:textId="132AABC9" w:rsidR="00A80C41" w:rsidRDefault="00A80C41" w:rsidP="00A80C41">
          <w:r>
            <w:rPr>
              <w:b/>
              <w:bCs/>
            </w:rPr>
            <w:fldChar w:fldCharType="end"/>
          </w:r>
        </w:p>
      </w:sdtContent>
    </w:sdt>
    <w:p w14:paraId="26A36E03" w14:textId="77777777" w:rsidR="00A80C41" w:rsidRDefault="00A80C41" w:rsidP="00A80C41">
      <w:pPr>
        <w:spacing w:before="240" w:line="360" w:lineRule="auto"/>
        <w:jc w:val="both"/>
        <w:rPr>
          <w:rFonts w:ascii="Arial" w:hAnsi="Arial" w:cs="Arial"/>
        </w:rPr>
      </w:pPr>
    </w:p>
    <w:p w14:paraId="66C03FB4" w14:textId="77777777" w:rsidR="00A80C41" w:rsidRDefault="00A80C41" w:rsidP="00A80C41">
      <w:pPr>
        <w:spacing w:before="240" w:line="360" w:lineRule="auto"/>
        <w:jc w:val="both"/>
        <w:rPr>
          <w:rFonts w:ascii="Arial" w:hAnsi="Arial" w:cs="Arial"/>
        </w:rPr>
      </w:pPr>
    </w:p>
    <w:p w14:paraId="7858DBB1" w14:textId="77777777" w:rsidR="00A80C41" w:rsidRDefault="00A80C41" w:rsidP="00A80C41">
      <w:pPr>
        <w:spacing w:before="240" w:line="360" w:lineRule="auto"/>
        <w:jc w:val="both"/>
        <w:rPr>
          <w:rFonts w:ascii="Arial" w:hAnsi="Arial" w:cs="Arial"/>
        </w:rPr>
      </w:pPr>
    </w:p>
    <w:p w14:paraId="03F10672" w14:textId="77777777" w:rsidR="00A80C41" w:rsidRDefault="00A80C41" w:rsidP="00A80C41">
      <w:pPr>
        <w:spacing w:before="240" w:line="360" w:lineRule="auto"/>
        <w:jc w:val="both"/>
        <w:rPr>
          <w:rFonts w:ascii="Arial" w:hAnsi="Arial" w:cs="Arial"/>
        </w:rPr>
      </w:pPr>
    </w:p>
    <w:p w14:paraId="509101AE" w14:textId="77777777" w:rsidR="00A80C41" w:rsidRPr="005A155E" w:rsidRDefault="00A80C41" w:rsidP="00A80C41">
      <w:pPr>
        <w:spacing w:before="240" w:line="360" w:lineRule="auto"/>
        <w:jc w:val="both"/>
        <w:rPr>
          <w:rFonts w:ascii="Arial" w:hAnsi="Arial" w:cs="Arial"/>
        </w:rPr>
      </w:pPr>
    </w:p>
    <w:p w14:paraId="1731A34E" w14:textId="77777777" w:rsidR="00566959" w:rsidRPr="005A155E" w:rsidRDefault="00566959" w:rsidP="00C96866"/>
    <w:p w14:paraId="0DD2A3A8" w14:textId="77777777" w:rsidR="00566959" w:rsidRPr="005A155E" w:rsidRDefault="00566959" w:rsidP="00C96866"/>
    <w:p w14:paraId="0FA25600" w14:textId="77777777" w:rsidR="00566959" w:rsidRPr="005A155E" w:rsidRDefault="00566959" w:rsidP="00C96866"/>
    <w:p w14:paraId="19841B0A" w14:textId="77777777" w:rsidR="00566959" w:rsidRPr="005A155E" w:rsidRDefault="00566959" w:rsidP="00C96866"/>
    <w:p w14:paraId="441FB38E" w14:textId="77777777" w:rsidR="00566959" w:rsidRDefault="00566959" w:rsidP="00C96866"/>
    <w:p w14:paraId="2605EE97" w14:textId="77777777" w:rsidR="00C96866" w:rsidRDefault="00C96866" w:rsidP="00C96866"/>
    <w:p w14:paraId="15421A19" w14:textId="77777777" w:rsidR="00C96866" w:rsidRDefault="00C96866" w:rsidP="00C96866"/>
    <w:p w14:paraId="467EC3D8" w14:textId="77777777" w:rsidR="00C96866" w:rsidRDefault="00C96866" w:rsidP="00C96866"/>
    <w:p w14:paraId="481E76D4" w14:textId="77777777" w:rsidR="00C96866" w:rsidRDefault="00C96866" w:rsidP="00C96866"/>
    <w:p w14:paraId="43639243" w14:textId="77777777" w:rsidR="00C96866" w:rsidRPr="005A155E" w:rsidRDefault="00C96866" w:rsidP="00C96866">
      <w:pPr>
        <w:jc w:val="center"/>
      </w:pPr>
    </w:p>
    <w:p w14:paraId="11DB4166" w14:textId="7C0E1A9B" w:rsidR="00566959" w:rsidRPr="005A155E" w:rsidRDefault="00566959" w:rsidP="00C96866">
      <w:pPr>
        <w:pStyle w:val="Heading1"/>
        <w:spacing w:line="360" w:lineRule="auto"/>
        <w:jc w:val="center"/>
        <w:rPr>
          <w:rFonts w:cs="Arial"/>
          <w:sz w:val="24"/>
          <w:szCs w:val="24"/>
        </w:rPr>
      </w:pPr>
      <w:bookmarkStart w:id="1" w:name="_Toc214091436"/>
      <w:r w:rsidRPr="005A155E">
        <w:rPr>
          <w:rFonts w:cs="Arial"/>
          <w:sz w:val="24"/>
          <w:szCs w:val="24"/>
        </w:rPr>
        <w:t>TASK 1</w:t>
      </w:r>
      <w:bookmarkEnd w:id="0"/>
      <w:bookmarkEnd w:id="1"/>
    </w:p>
    <w:p w14:paraId="2368B3D5" w14:textId="0D6ADB82" w:rsidR="00566959" w:rsidRPr="00517E1E" w:rsidRDefault="00566959" w:rsidP="00C96866">
      <w:pPr>
        <w:spacing w:before="240" w:line="360" w:lineRule="auto"/>
        <w:jc w:val="center"/>
        <w:rPr>
          <w:rFonts w:ascii="Arial" w:hAnsi="Arial" w:cs="Arial"/>
          <w:b/>
          <w:bCs/>
        </w:rPr>
      </w:pPr>
      <w:r w:rsidRPr="00517E1E">
        <w:rPr>
          <w:rFonts w:ascii="Arial" w:hAnsi="Arial" w:cs="Arial"/>
          <w:b/>
          <w:bCs/>
        </w:rPr>
        <w:t>Age and Health Inequalities in</w:t>
      </w:r>
      <w:r w:rsidR="00517E1E" w:rsidRPr="00517E1E">
        <w:rPr>
          <w:rFonts w:ascii="Arial" w:hAnsi="Arial" w:cs="Arial"/>
          <w:b/>
          <w:bCs/>
        </w:rPr>
        <w:t xml:space="preserve"> Older Adults Aged 65 and above</w:t>
      </w:r>
      <w:r w:rsidRPr="00517E1E">
        <w:rPr>
          <w:rFonts w:ascii="Arial" w:hAnsi="Arial" w:cs="Arial"/>
          <w:b/>
          <w:bCs/>
        </w:rPr>
        <w:t xml:space="preserve"> </w:t>
      </w:r>
      <w:r w:rsidR="00517E1E" w:rsidRPr="00517E1E">
        <w:rPr>
          <w:rFonts w:ascii="Arial" w:hAnsi="Arial" w:cs="Arial"/>
          <w:b/>
          <w:bCs/>
        </w:rPr>
        <w:t xml:space="preserve">in </w:t>
      </w:r>
      <w:r w:rsidRPr="00517E1E">
        <w:rPr>
          <w:rFonts w:ascii="Arial" w:hAnsi="Arial" w:cs="Arial"/>
          <w:b/>
          <w:bCs/>
        </w:rPr>
        <w:t>the UK</w:t>
      </w:r>
    </w:p>
    <w:p w14:paraId="3A4828AB" w14:textId="77777777" w:rsidR="000232B3" w:rsidRPr="005A155E" w:rsidRDefault="000232B3" w:rsidP="00F55A4D">
      <w:pPr>
        <w:spacing w:before="240" w:line="360" w:lineRule="auto"/>
        <w:jc w:val="both"/>
        <w:rPr>
          <w:rFonts w:ascii="Arial" w:hAnsi="Arial" w:cs="Arial"/>
        </w:rPr>
      </w:pPr>
    </w:p>
    <w:p w14:paraId="77AA7852" w14:textId="77777777" w:rsidR="00566959" w:rsidRPr="005A155E" w:rsidRDefault="00566959" w:rsidP="00F55A4D">
      <w:pPr>
        <w:spacing w:before="240" w:line="360" w:lineRule="auto"/>
        <w:jc w:val="both"/>
        <w:rPr>
          <w:rFonts w:ascii="Arial" w:hAnsi="Arial" w:cs="Arial"/>
        </w:rPr>
      </w:pPr>
    </w:p>
    <w:p w14:paraId="08D43F9D" w14:textId="77777777" w:rsidR="00566959" w:rsidRPr="005A155E" w:rsidRDefault="00566959" w:rsidP="00F55A4D">
      <w:pPr>
        <w:spacing w:before="240" w:line="360" w:lineRule="auto"/>
        <w:jc w:val="both"/>
        <w:rPr>
          <w:rFonts w:ascii="Arial" w:hAnsi="Arial" w:cs="Arial"/>
        </w:rPr>
      </w:pPr>
    </w:p>
    <w:p w14:paraId="7B6F8C5A" w14:textId="77777777" w:rsidR="00566959" w:rsidRPr="005A155E" w:rsidRDefault="00566959" w:rsidP="00F55A4D">
      <w:pPr>
        <w:spacing w:before="240" w:line="360" w:lineRule="auto"/>
        <w:jc w:val="both"/>
        <w:rPr>
          <w:rFonts w:ascii="Arial" w:hAnsi="Arial" w:cs="Arial"/>
        </w:rPr>
      </w:pPr>
    </w:p>
    <w:p w14:paraId="19DCB01A" w14:textId="77777777" w:rsidR="00566959" w:rsidRPr="005A155E" w:rsidRDefault="00566959" w:rsidP="00F55A4D">
      <w:pPr>
        <w:spacing w:before="240" w:line="360" w:lineRule="auto"/>
        <w:jc w:val="both"/>
        <w:rPr>
          <w:rFonts w:ascii="Arial" w:hAnsi="Arial" w:cs="Arial"/>
        </w:rPr>
      </w:pPr>
    </w:p>
    <w:p w14:paraId="74F4AC46" w14:textId="77777777" w:rsidR="00566959" w:rsidRDefault="00566959" w:rsidP="00F55A4D">
      <w:pPr>
        <w:spacing w:before="240" w:line="360" w:lineRule="auto"/>
        <w:jc w:val="both"/>
        <w:rPr>
          <w:rFonts w:ascii="Arial" w:hAnsi="Arial" w:cs="Arial"/>
        </w:rPr>
      </w:pPr>
    </w:p>
    <w:p w14:paraId="7EF04063" w14:textId="77777777" w:rsidR="00B6197C" w:rsidRDefault="00B6197C" w:rsidP="00F55A4D">
      <w:pPr>
        <w:spacing w:before="240" w:line="360" w:lineRule="auto"/>
        <w:jc w:val="both"/>
        <w:rPr>
          <w:rFonts w:ascii="Arial" w:hAnsi="Arial" w:cs="Arial"/>
        </w:rPr>
      </w:pPr>
    </w:p>
    <w:p w14:paraId="156AAF94" w14:textId="77777777" w:rsidR="00B6197C" w:rsidRPr="005A155E" w:rsidRDefault="00B6197C" w:rsidP="00F55A4D">
      <w:pPr>
        <w:spacing w:before="240" w:line="360" w:lineRule="auto"/>
        <w:jc w:val="both"/>
        <w:rPr>
          <w:rFonts w:ascii="Arial" w:hAnsi="Arial" w:cs="Arial"/>
        </w:rPr>
      </w:pPr>
    </w:p>
    <w:p w14:paraId="37DD09D9" w14:textId="77777777" w:rsidR="00566959" w:rsidRPr="005A155E" w:rsidRDefault="00566959" w:rsidP="00F55A4D">
      <w:pPr>
        <w:spacing w:before="240" w:line="360" w:lineRule="auto"/>
        <w:jc w:val="both"/>
        <w:rPr>
          <w:rFonts w:ascii="Arial" w:hAnsi="Arial" w:cs="Arial"/>
        </w:rPr>
      </w:pPr>
    </w:p>
    <w:p w14:paraId="70444D88" w14:textId="77777777" w:rsidR="00566959" w:rsidRDefault="00566959" w:rsidP="00F55A4D">
      <w:pPr>
        <w:spacing w:before="240" w:line="360" w:lineRule="auto"/>
        <w:jc w:val="both"/>
        <w:rPr>
          <w:rFonts w:ascii="Arial" w:hAnsi="Arial" w:cs="Arial"/>
        </w:rPr>
      </w:pPr>
    </w:p>
    <w:p w14:paraId="1DD39F0F" w14:textId="77777777" w:rsidR="00D971A7" w:rsidRDefault="00D971A7" w:rsidP="00F55A4D">
      <w:pPr>
        <w:spacing w:before="240" w:line="360" w:lineRule="auto"/>
        <w:jc w:val="both"/>
        <w:rPr>
          <w:rFonts w:ascii="Arial" w:hAnsi="Arial" w:cs="Arial"/>
        </w:rPr>
      </w:pPr>
    </w:p>
    <w:p w14:paraId="73007524" w14:textId="77777777" w:rsidR="00D971A7" w:rsidRDefault="00D971A7" w:rsidP="00F55A4D">
      <w:pPr>
        <w:spacing w:before="240" w:line="360" w:lineRule="auto"/>
        <w:jc w:val="both"/>
        <w:rPr>
          <w:rFonts w:ascii="Arial" w:hAnsi="Arial" w:cs="Arial"/>
        </w:rPr>
      </w:pPr>
    </w:p>
    <w:p w14:paraId="5855A19E" w14:textId="0AD20E23" w:rsidR="00F55A4D" w:rsidRPr="005A155E" w:rsidRDefault="00F55A4D" w:rsidP="00F55A4D">
      <w:pPr>
        <w:pStyle w:val="Heading1"/>
        <w:rPr>
          <w:rFonts w:cs="Arial"/>
          <w:sz w:val="24"/>
          <w:szCs w:val="24"/>
        </w:rPr>
      </w:pPr>
      <w:bookmarkStart w:id="2" w:name="_Toc214091437"/>
      <w:r w:rsidRPr="005A155E">
        <w:rPr>
          <w:rFonts w:cs="Arial"/>
          <w:sz w:val="24"/>
          <w:szCs w:val="24"/>
        </w:rPr>
        <w:lastRenderedPageBreak/>
        <w:t>Introduction</w:t>
      </w:r>
      <w:bookmarkEnd w:id="2"/>
      <w:r w:rsidRPr="005A155E">
        <w:rPr>
          <w:rFonts w:cs="Arial"/>
          <w:sz w:val="24"/>
          <w:szCs w:val="24"/>
        </w:rPr>
        <w:t xml:space="preserve"> </w:t>
      </w:r>
    </w:p>
    <w:p w14:paraId="6C529063" w14:textId="62187FD2" w:rsidR="00566959" w:rsidRPr="005A155E" w:rsidRDefault="00F55A4D" w:rsidP="00F55A4D">
      <w:pPr>
        <w:spacing w:before="240" w:line="360" w:lineRule="auto"/>
        <w:jc w:val="both"/>
        <w:rPr>
          <w:rFonts w:ascii="Arial" w:hAnsi="Arial" w:cs="Arial"/>
        </w:rPr>
      </w:pPr>
      <w:r w:rsidRPr="005A155E">
        <w:rPr>
          <w:rFonts w:ascii="Arial" w:hAnsi="Arial" w:cs="Arial"/>
        </w:rPr>
        <w:t>Older adults in the UK, typically those aged 65 and above, face significant health inequalities due to biological ageing, socioeconomic disadvantage, and uneven access to healthcare</w:t>
      </w:r>
      <w:r w:rsidR="00696752" w:rsidRPr="005A155E">
        <w:rPr>
          <w:rFonts w:ascii="Arial" w:hAnsi="Arial" w:cs="Arial"/>
        </w:rPr>
        <w:t xml:space="preserve"> (Rahman et al., 2016)</w:t>
      </w:r>
      <w:r w:rsidRPr="005A155E">
        <w:rPr>
          <w:rFonts w:ascii="Arial" w:hAnsi="Arial" w:cs="Arial"/>
        </w:rPr>
        <w:t>. This group is more likely to experience chronic illnesses, frailty, and dementia, which are compounded by poverty, isolation, and limited mobility</w:t>
      </w:r>
      <w:r w:rsidR="00F8115C" w:rsidRPr="005A155E">
        <w:rPr>
          <w:rFonts w:ascii="Arial" w:hAnsi="Arial" w:cs="Arial"/>
        </w:rPr>
        <w:t xml:space="preserve"> (Kneale et al., 2021)</w:t>
      </w:r>
      <w:r w:rsidRPr="005A155E">
        <w:rPr>
          <w:rFonts w:ascii="Arial" w:hAnsi="Arial" w:cs="Arial"/>
        </w:rPr>
        <w:t>. Many older people live on fixed incomes, struggle with heating costs, or live alone, leading to poor mental and physical health outcomes</w:t>
      </w:r>
      <w:r w:rsidR="00F237BC" w:rsidRPr="005A155E">
        <w:rPr>
          <w:rFonts w:ascii="Arial" w:hAnsi="Arial" w:cs="Arial"/>
        </w:rPr>
        <w:t xml:space="preserve"> (Rahman et al., 2016)</w:t>
      </w:r>
      <w:r w:rsidRPr="005A155E">
        <w:rPr>
          <w:rFonts w:ascii="Arial" w:hAnsi="Arial" w:cs="Arial"/>
        </w:rPr>
        <w:t>. Regional disparities in healthcare provision and social support further widen these gaps, making older adults one of the most vulnerable populations in the UK health system</w:t>
      </w:r>
      <w:r w:rsidR="00F237BC" w:rsidRPr="005A155E">
        <w:rPr>
          <w:rFonts w:ascii="Arial" w:hAnsi="Arial" w:cs="Arial"/>
        </w:rPr>
        <w:t xml:space="preserve"> (Kneale et al., 2021)</w:t>
      </w:r>
      <w:r w:rsidRPr="005A155E">
        <w:rPr>
          <w:rFonts w:ascii="Arial" w:hAnsi="Arial" w:cs="Arial"/>
        </w:rPr>
        <w:t>.</w:t>
      </w:r>
    </w:p>
    <w:p w14:paraId="5122AD28" w14:textId="13B9666E" w:rsidR="00F55A4D" w:rsidRPr="005A155E" w:rsidRDefault="00F55A4D" w:rsidP="00F55A4D">
      <w:pPr>
        <w:pStyle w:val="Heading1"/>
        <w:rPr>
          <w:rFonts w:cs="Arial"/>
          <w:sz w:val="24"/>
          <w:szCs w:val="24"/>
        </w:rPr>
      </w:pPr>
      <w:bookmarkStart w:id="3" w:name="_Toc214091438"/>
      <w:r w:rsidRPr="005A155E">
        <w:rPr>
          <w:rFonts w:cs="Arial"/>
          <w:sz w:val="24"/>
          <w:szCs w:val="24"/>
        </w:rPr>
        <w:t>Contextual Background and Underlying Factors</w:t>
      </w:r>
      <w:bookmarkEnd w:id="3"/>
    </w:p>
    <w:p w14:paraId="47590128" w14:textId="57EA0E6E" w:rsidR="00F55A4D" w:rsidRPr="005A155E" w:rsidRDefault="00F55A4D" w:rsidP="00F55A4D">
      <w:pPr>
        <w:spacing w:before="240" w:line="360" w:lineRule="auto"/>
        <w:jc w:val="both"/>
        <w:rPr>
          <w:rFonts w:ascii="Arial" w:hAnsi="Arial" w:cs="Arial"/>
          <w:b/>
          <w:bCs/>
        </w:rPr>
      </w:pPr>
      <w:r w:rsidRPr="00F55A4D">
        <w:rPr>
          <w:rFonts w:ascii="Arial" w:hAnsi="Arial" w:cs="Arial"/>
          <w:b/>
          <w:bCs/>
        </w:rPr>
        <w:t>1. Dementia</w:t>
      </w:r>
    </w:p>
    <w:p w14:paraId="73CE1160" w14:textId="3DD5D8B5" w:rsidR="007F079B" w:rsidRPr="000D3CC3" w:rsidRDefault="007F079B" w:rsidP="00F55A4D">
      <w:pPr>
        <w:spacing w:before="240" w:line="360" w:lineRule="auto"/>
        <w:jc w:val="both"/>
        <w:rPr>
          <w:rFonts w:ascii="Arial" w:hAnsi="Arial" w:cs="Arial"/>
        </w:rPr>
      </w:pPr>
      <w:r>
        <w:rPr>
          <w:noProof/>
        </w:rPr>
        <w:drawing>
          <wp:anchor distT="0" distB="0" distL="114300" distR="114300" simplePos="0" relativeHeight="251658240" behindDoc="0" locked="0" layoutInCell="1" allowOverlap="1" wp14:anchorId="51882D8D" wp14:editId="3645E150">
            <wp:simplePos x="0" y="0"/>
            <wp:positionH relativeFrom="column">
              <wp:posOffset>4091940</wp:posOffset>
            </wp:positionH>
            <wp:positionV relativeFrom="paragraph">
              <wp:posOffset>183515</wp:posOffset>
            </wp:positionV>
            <wp:extent cx="2119630" cy="1790700"/>
            <wp:effectExtent l="0" t="0" r="0" b="0"/>
            <wp:wrapSquare wrapText="bothSides"/>
            <wp:docPr id="1701528880" name="Picture 2" descr="Health matters: midlife approaches to reduce dementia risk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 matters: midlife approaches to reduce dementia risk - GOV.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9630" cy="1790700"/>
                    </a:xfrm>
                    <a:prstGeom prst="rect">
                      <a:avLst/>
                    </a:prstGeom>
                    <a:noFill/>
                    <a:ln>
                      <a:noFill/>
                    </a:ln>
                  </pic:spPr>
                </pic:pic>
              </a:graphicData>
            </a:graphic>
            <wp14:sizeRelH relativeFrom="margin">
              <wp14:pctWidth>0</wp14:pctWidth>
            </wp14:sizeRelH>
          </wp:anchor>
        </w:drawing>
      </w:r>
      <w:r w:rsidR="00F55A4D" w:rsidRPr="00F55A4D">
        <w:rPr>
          <w:rFonts w:ascii="Arial" w:hAnsi="Arial" w:cs="Arial"/>
        </w:rPr>
        <w:t>Older adults are at high risk of dementia, affecting nearly 1</w:t>
      </w:r>
      <w:r w:rsidR="00153007" w:rsidRPr="005A155E">
        <w:rPr>
          <w:rFonts w:ascii="Arial" w:hAnsi="Arial" w:cs="Arial"/>
        </w:rPr>
        <w:t xml:space="preserve"> </w:t>
      </w:r>
      <w:r w:rsidR="00F55A4D" w:rsidRPr="00F55A4D">
        <w:rPr>
          <w:rFonts w:ascii="Arial" w:hAnsi="Arial" w:cs="Arial"/>
        </w:rPr>
        <w:t>million people in the UK</w:t>
      </w:r>
      <w:r w:rsidR="00153007" w:rsidRPr="005A155E">
        <w:rPr>
          <w:rFonts w:ascii="Arial" w:hAnsi="Arial" w:cs="Arial"/>
        </w:rPr>
        <w:t xml:space="preserve"> (Alzheimer’s Society, 2024)</w:t>
      </w:r>
      <w:r w:rsidR="00F55A4D" w:rsidRPr="00F55A4D">
        <w:rPr>
          <w:rFonts w:ascii="Arial" w:hAnsi="Arial" w:cs="Arial"/>
        </w:rPr>
        <w:t>. Prevalence increases sharply with age</w:t>
      </w:r>
      <w:r w:rsidR="000D3CC3">
        <w:rPr>
          <w:rFonts w:ascii="Arial" w:hAnsi="Arial" w:cs="Arial"/>
        </w:rPr>
        <w:t>:</w:t>
      </w:r>
      <w:r w:rsidR="00F23DC4" w:rsidRPr="005A155E">
        <w:rPr>
          <w:rFonts w:ascii="Arial" w:hAnsi="Arial" w:cs="Arial"/>
        </w:rPr>
        <w:t xml:space="preserve"> </w:t>
      </w:r>
      <w:r w:rsidR="00F55A4D" w:rsidRPr="00F55A4D">
        <w:rPr>
          <w:rFonts w:ascii="Arial" w:hAnsi="Arial" w:cs="Arial"/>
        </w:rPr>
        <w:t>1 in 14 over 65 and 1 in 6 over 80 live with dementia</w:t>
      </w:r>
      <w:r w:rsidR="0017609E" w:rsidRPr="005A155E">
        <w:rPr>
          <w:rFonts w:ascii="Arial" w:hAnsi="Arial" w:cs="Arial"/>
        </w:rPr>
        <w:t xml:space="preserve"> (Muzambi et al., 2021)</w:t>
      </w:r>
      <w:r w:rsidR="00F55A4D" w:rsidRPr="00F55A4D">
        <w:rPr>
          <w:rFonts w:ascii="Arial" w:hAnsi="Arial" w:cs="Arial"/>
        </w:rPr>
        <w:t>. Underdiagnosis and unequal access to memory services worsen health inequalities. Early detection programmes, dementia-friendly communities, and improved funding for care services can enhance diagnosis rates and support quality</w:t>
      </w:r>
      <w:r w:rsidR="00567570" w:rsidRPr="005A155E">
        <w:rPr>
          <w:rFonts w:ascii="Arial" w:hAnsi="Arial" w:cs="Arial"/>
        </w:rPr>
        <w:t xml:space="preserve"> (Muzambi et al., 2021)</w:t>
      </w:r>
      <w:r w:rsidR="00F55A4D" w:rsidRPr="00F55A4D">
        <w:rPr>
          <w:rFonts w:ascii="Arial" w:hAnsi="Arial" w:cs="Arial"/>
        </w:rPr>
        <w:t>.</w:t>
      </w:r>
    </w:p>
    <w:p w14:paraId="349446DA" w14:textId="4FE75ABD" w:rsidR="00F55A4D" w:rsidRPr="005A155E" w:rsidRDefault="003C328A" w:rsidP="00F55A4D">
      <w:pPr>
        <w:spacing w:before="240" w:line="360" w:lineRule="auto"/>
        <w:jc w:val="both"/>
        <w:rPr>
          <w:rFonts w:ascii="Arial" w:hAnsi="Arial" w:cs="Arial"/>
          <w:b/>
          <w:bCs/>
        </w:rPr>
      </w:pPr>
      <w:r>
        <w:rPr>
          <w:noProof/>
        </w:rPr>
        <w:drawing>
          <wp:anchor distT="0" distB="0" distL="114300" distR="114300" simplePos="0" relativeHeight="251660288" behindDoc="0" locked="0" layoutInCell="1" allowOverlap="1" wp14:anchorId="5F6FC75F" wp14:editId="7A90B7DE">
            <wp:simplePos x="0" y="0"/>
            <wp:positionH relativeFrom="margin">
              <wp:posOffset>-449580</wp:posOffset>
            </wp:positionH>
            <wp:positionV relativeFrom="paragraph">
              <wp:posOffset>347345</wp:posOffset>
            </wp:positionV>
            <wp:extent cx="1638300" cy="2026920"/>
            <wp:effectExtent l="0" t="0" r="0" b="0"/>
            <wp:wrapSquare wrapText="bothSides"/>
            <wp:docPr id="1811961213" name="Picture 4" descr="Mortality from cardiovascular diseases around the globe • Neode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rtality from cardiovascular diseases around the globe • Neodem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2026920"/>
                    </a:xfrm>
                    <a:prstGeom prst="rect">
                      <a:avLst/>
                    </a:prstGeom>
                    <a:noFill/>
                    <a:ln>
                      <a:noFill/>
                    </a:ln>
                  </pic:spPr>
                </pic:pic>
              </a:graphicData>
            </a:graphic>
            <wp14:sizeRelV relativeFrom="margin">
              <wp14:pctHeight>0</wp14:pctHeight>
            </wp14:sizeRelV>
          </wp:anchor>
        </w:drawing>
      </w:r>
      <w:r w:rsidR="00F55A4D" w:rsidRPr="00F55A4D">
        <w:rPr>
          <w:rFonts w:ascii="Arial" w:hAnsi="Arial" w:cs="Arial"/>
          <w:b/>
          <w:bCs/>
        </w:rPr>
        <w:t>2. Cardiovascular Disease (CVD)</w:t>
      </w:r>
    </w:p>
    <w:p w14:paraId="202F8194" w14:textId="17127EC9" w:rsidR="00F55A4D" w:rsidRPr="00F55A4D" w:rsidRDefault="00F55A4D" w:rsidP="00F55A4D">
      <w:pPr>
        <w:spacing w:before="240" w:line="360" w:lineRule="auto"/>
        <w:jc w:val="both"/>
        <w:rPr>
          <w:rFonts w:ascii="Arial" w:hAnsi="Arial" w:cs="Arial"/>
        </w:rPr>
      </w:pPr>
      <w:r w:rsidRPr="00F55A4D">
        <w:rPr>
          <w:rFonts w:ascii="Arial" w:hAnsi="Arial" w:cs="Arial"/>
        </w:rPr>
        <w:t>CVD remains the leading cause of death among the elderly, with around 7.6 million people affected across the UK. Risk increases due to poor diet, inactivity, and limited healthcare access in deprived areas</w:t>
      </w:r>
      <w:r w:rsidR="00567570" w:rsidRPr="005A155E">
        <w:rPr>
          <w:rFonts w:ascii="Arial" w:hAnsi="Arial" w:cs="Arial"/>
        </w:rPr>
        <w:t xml:space="preserve"> (Nadarajah et al., 2023)</w:t>
      </w:r>
      <w:r w:rsidRPr="00F55A4D">
        <w:rPr>
          <w:rFonts w:ascii="Arial" w:hAnsi="Arial" w:cs="Arial"/>
        </w:rPr>
        <w:t>. Health campaigns promoting physical activity, smoking cessation, and dietary improvements, alongside targeted NHS screening, can reduce inequalities and improve survival outcomes</w:t>
      </w:r>
      <w:r w:rsidR="00B4589F" w:rsidRPr="005A155E">
        <w:rPr>
          <w:rFonts w:ascii="Arial" w:hAnsi="Arial" w:cs="Arial"/>
        </w:rPr>
        <w:t xml:space="preserve"> (Nadarajah et al., 2023)</w:t>
      </w:r>
      <w:r w:rsidRPr="00F55A4D">
        <w:rPr>
          <w:rFonts w:ascii="Arial" w:hAnsi="Arial" w:cs="Arial"/>
        </w:rPr>
        <w:t>.</w:t>
      </w:r>
    </w:p>
    <w:p w14:paraId="4E4D25BB" w14:textId="2BE99957" w:rsidR="00F55A4D" w:rsidRPr="005A155E" w:rsidRDefault="00F55A4D" w:rsidP="00F55A4D">
      <w:pPr>
        <w:spacing w:before="240" w:line="360" w:lineRule="auto"/>
        <w:jc w:val="both"/>
        <w:rPr>
          <w:rFonts w:ascii="Arial" w:hAnsi="Arial" w:cs="Arial"/>
          <w:b/>
          <w:bCs/>
        </w:rPr>
      </w:pPr>
      <w:r w:rsidRPr="00F55A4D">
        <w:rPr>
          <w:rFonts w:ascii="Arial" w:hAnsi="Arial" w:cs="Arial"/>
          <w:b/>
          <w:bCs/>
        </w:rPr>
        <w:lastRenderedPageBreak/>
        <w:t>3. Depression and Mental Illness</w:t>
      </w:r>
    </w:p>
    <w:p w14:paraId="598AD9D0" w14:textId="25B452AB" w:rsidR="00F55A4D" w:rsidRPr="00F55A4D" w:rsidRDefault="00493595" w:rsidP="00F55A4D">
      <w:pPr>
        <w:spacing w:before="240" w:line="360" w:lineRule="auto"/>
        <w:jc w:val="both"/>
        <w:rPr>
          <w:rFonts w:ascii="Arial" w:hAnsi="Arial" w:cs="Arial"/>
        </w:rPr>
      </w:pPr>
      <w:r>
        <w:rPr>
          <w:noProof/>
        </w:rPr>
        <w:drawing>
          <wp:anchor distT="0" distB="0" distL="114300" distR="114300" simplePos="0" relativeHeight="251661312" behindDoc="0" locked="0" layoutInCell="1" allowOverlap="1" wp14:anchorId="42F1B5F3" wp14:editId="4866D54A">
            <wp:simplePos x="0" y="0"/>
            <wp:positionH relativeFrom="column">
              <wp:posOffset>3810000</wp:posOffset>
            </wp:positionH>
            <wp:positionV relativeFrom="paragraph">
              <wp:posOffset>62230</wp:posOffset>
            </wp:positionV>
            <wp:extent cx="2142490" cy="1638300"/>
            <wp:effectExtent l="0" t="0" r="0" b="0"/>
            <wp:wrapSquare wrapText="bothSides"/>
            <wp:docPr id="1860724038" name="Picture 5" descr="Recognizing Signs of a Mental Illness in Yourself and What Steps to Take -  San Diego | 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cognizing Signs of a Mental Illness in Yourself and What Steps to Take -  San Diego | AP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2490" cy="1638300"/>
                    </a:xfrm>
                    <a:prstGeom prst="rect">
                      <a:avLst/>
                    </a:prstGeom>
                    <a:noFill/>
                    <a:ln>
                      <a:noFill/>
                    </a:ln>
                  </pic:spPr>
                </pic:pic>
              </a:graphicData>
            </a:graphic>
            <wp14:sizeRelV relativeFrom="margin">
              <wp14:pctHeight>0</wp14:pctHeight>
            </wp14:sizeRelV>
          </wp:anchor>
        </w:drawing>
      </w:r>
      <w:r w:rsidR="00F55A4D" w:rsidRPr="00F55A4D">
        <w:rPr>
          <w:rFonts w:ascii="Arial" w:hAnsi="Arial" w:cs="Arial"/>
        </w:rPr>
        <w:t xml:space="preserve">Approximately </w:t>
      </w:r>
      <w:r w:rsidR="00B4589F" w:rsidRPr="005A155E">
        <w:rPr>
          <w:rFonts w:ascii="Arial" w:hAnsi="Arial" w:cs="Arial"/>
        </w:rPr>
        <w:t>a third</w:t>
      </w:r>
      <w:r w:rsidR="00F55A4D" w:rsidRPr="00F55A4D">
        <w:rPr>
          <w:rFonts w:ascii="Arial" w:hAnsi="Arial" w:cs="Arial"/>
        </w:rPr>
        <w:t xml:space="preserve"> of older </w:t>
      </w:r>
      <w:r w:rsidR="00B4589F" w:rsidRPr="005A155E">
        <w:rPr>
          <w:rFonts w:ascii="Arial" w:hAnsi="Arial" w:cs="Arial"/>
        </w:rPr>
        <w:t xml:space="preserve">people </w:t>
      </w:r>
      <w:r w:rsidR="00F55A4D" w:rsidRPr="00F55A4D">
        <w:rPr>
          <w:rFonts w:ascii="Arial" w:hAnsi="Arial" w:cs="Arial"/>
        </w:rPr>
        <w:t>experience depression, often linked to loneliness and loss</w:t>
      </w:r>
      <w:r w:rsidR="00B4589F" w:rsidRPr="005A155E">
        <w:rPr>
          <w:rFonts w:ascii="Arial" w:hAnsi="Arial" w:cs="Arial"/>
        </w:rPr>
        <w:t xml:space="preserve"> (Lee et al., 2021)</w:t>
      </w:r>
      <w:r w:rsidR="00F55A4D" w:rsidRPr="00F55A4D">
        <w:rPr>
          <w:rFonts w:ascii="Arial" w:hAnsi="Arial" w:cs="Arial"/>
        </w:rPr>
        <w:t>. Limited access to mental health services and social stigma delay treatment. Promoting social prescribing, expanding community-based counselling, and raising awareness through mental health campaigns can improve wellbeing and reduce emotional isolation</w:t>
      </w:r>
      <w:r w:rsidR="00092B65" w:rsidRPr="005A155E">
        <w:rPr>
          <w:rFonts w:ascii="Arial" w:hAnsi="Arial" w:cs="Arial"/>
        </w:rPr>
        <w:t xml:space="preserve"> (Lee et al., 2021)</w:t>
      </w:r>
      <w:r w:rsidR="00F55A4D" w:rsidRPr="00F55A4D">
        <w:rPr>
          <w:rFonts w:ascii="Arial" w:hAnsi="Arial" w:cs="Arial"/>
        </w:rPr>
        <w:t>.</w:t>
      </w:r>
    </w:p>
    <w:p w14:paraId="725E4245" w14:textId="7A0104CC" w:rsidR="00F55A4D" w:rsidRPr="005A155E" w:rsidRDefault="00B664E6" w:rsidP="00F55A4D">
      <w:pPr>
        <w:spacing w:before="240" w:line="360" w:lineRule="auto"/>
        <w:jc w:val="both"/>
        <w:rPr>
          <w:rFonts w:ascii="Arial" w:hAnsi="Arial" w:cs="Arial"/>
          <w:b/>
          <w:bCs/>
        </w:rPr>
      </w:pPr>
      <w:r>
        <w:rPr>
          <w:noProof/>
        </w:rPr>
        <w:drawing>
          <wp:anchor distT="0" distB="0" distL="114300" distR="114300" simplePos="0" relativeHeight="251662336" behindDoc="0" locked="0" layoutInCell="1" allowOverlap="1" wp14:anchorId="0B85F44B" wp14:editId="521EE640">
            <wp:simplePos x="0" y="0"/>
            <wp:positionH relativeFrom="margin">
              <wp:posOffset>-251460</wp:posOffset>
            </wp:positionH>
            <wp:positionV relativeFrom="paragraph">
              <wp:posOffset>473710</wp:posOffset>
            </wp:positionV>
            <wp:extent cx="1645920" cy="1653540"/>
            <wp:effectExtent l="0" t="0" r="0" b="3810"/>
            <wp:wrapSquare wrapText="bothSides"/>
            <wp:docPr id="257159130" name="Picture 6" descr="Causes of Social Isolation in Elderly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uses of Social Isolation in Elderly Adul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5920" cy="1653540"/>
                    </a:xfrm>
                    <a:prstGeom prst="rect">
                      <a:avLst/>
                    </a:prstGeom>
                    <a:noFill/>
                    <a:ln>
                      <a:noFill/>
                    </a:ln>
                  </pic:spPr>
                </pic:pic>
              </a:graphicData>
            </a:graphic>
            <wp14:sizeRelV relativeFrom="margin">
              <wp14:pctHeight>0</wp14:pctHeight>
            </wp14:sizeRelV>
          </wp:anchor>
        </w:drawing>
      </w:r>
      <w:r w:rsidR="00F55A4D" w:rsidRPr="00F55A4D">
        <w:rPr>
          <w:rFonts w:ascii="Arial" w:hAnsi="Arial" w:cs="Arial"/>
          <w:b/>
          <w:bCs/>
        </w:rPr>
        <w:t>4. Social Isolation and Loneliness</w:t>
      </w:r>
    </w:p>
    <w:p w14:paraId="3ED2F29B" w14:textId="66A59990" w:rsidR="00F55A4D" w:rsidRPr="00F55A4D" w:rsidRDefault="00F55A4D" w:rsidP="00F55A4D">
      <w:pPr>
        <w:spacing w:before="240" w:line="360" w:lineRule="auto"/>
        <w:jc w:val="both"/>
        <w:rPr>
          <w:rFonts w:ascii="Arial" w:hAnsi="Arial" w:cs="Arial"/>
        </w:rPr>
      </w:pPr>
      <w:r w:rsidRPr="00F55A4D">
        <w:rPr>
          <w:rFonts w:ascii="Arial" w:hAnsi="Arial" w:cs="Arial"/>
        </w:rPr>
        <w:t>Around 1.4 million older adults in the UK report feeling lonely often</w:t>
      </w:r>
      <w:r w:rsidR="00D433CD" w:rsidRPr="005A155E">
        <w:rPr>
          <w:rFonts w:ascii="Arial" w:hAnsi="Arial" w:cs="Arial"/>
        </w:rPr>
        <w:t xml:space="preserve"> (Rees et al., 2023)</w:t>
      </w:r>
      <w:r w:rsidRPr="00F55A4D">
        <w:rPr>
          <w:rFonts w:ascii="Arial" w:hAnsi="Arial" w:cs="Arial"/>
        </w:rPr>
        <w:t>. Loneliness contributes to higher risks of depression, cognitive decline, and mortality. Barriers such as mobility issues and digital exclusion heighten this risk</w:t>
      </w:r>
      <w:r w:rsidR="00B5770F" w:rsidRPr="005A155E">
        <w:rPr>
          <w:rFonts w:ascii="Arial" w:hAnsi="Arial" w:cs="Arial"/>
        </w:rPr>
        <w:t xml:space="preserve"> (Rees et al., 2023)</w:t>
      </w:r>
      <w:r w:rsidRPr="00F55A4D">
        <w:rPr>
          <w:rFonts w:ascii="Arial" w:hAnsi="Arial" w:cs="Arial"/>
        </w:rPr>
        <w:t>. Solutions include befriending schemes, local social groups, and digital training to encourage social participation</w:t>
      </w:r>
      <w:r w:rsidR="00B5770F" w:rsidRPr="005A155E">
        <w:rPr>
          <w:rFonts w:ascii="Arial" w:hAnsi="Arial" w:cs="Arial"/>
        </w:rPr>
        <w:t xml:space="preserve"> (Rees et al., 2023)</w:t>
      </w:r>
      <w:r w:rsidRPr="00F55A4D">
        <w:rPr>
          <w:rFonts w:ascii="Arial" w:hAnsi="Arial" w:cs="Arial"/>
        </w:rPr>
        <w:t>.</w:t>
      </w:r>
    </w:p>
    <w:p w14:paraId="628DA9D4" w14:textId="1EC5B618" w:rsidR="00F55A4D" w:rsidRPr="005A155E" w:rsidRDefault="00F55A4D" w:rsidP="00F55A4D">
      <w:pPr>
        <w:spacing w:before="240" w:line="360" w:lineRule="auto"/>
        <w:jc w:val="both"/>
        <w:rPr>
          <w:rFonts w:ascii="Arial" w:hAnsi="Arial" w:cs="Arial"/>
          <w:b/>
          <w:bCs/>
        </w:rPr>
      </w:pPr>
      <w:r w:rsidRPr="00F55A4D">
        <w:rPr>
          <w:rFonts w:ascii="Arial" w:hAnsi="Arial" w:cs="Arial"/>
          <w:b/>
          <w:bCs/>
        </w:rPr>
        <w:t>5. Poverty and Low Income</w:t>
      </w:r>
    </w:p>
    <w:p w14:paraId="3DB1E951" w14:textId="507418D4" w:rsidR="00F55A4D" w:rsidRPr="00F55A4D" w:rsidRDefault="00F56ED9" w:rsidP="00F55A4D">
      <w:pPr>
        <w:spacing w:before="240" w:line="360" w:lineRule="auto"/>
        <w:jc w:val="both"/>
        <w:rPr>
          <w:rFonts w:ascii="Arial" w:hAnsi="Arial" w:cs="Arial"/>
        </w:rPr>
      </w:pPr>
      <w:r>
        <w:rPr>
          <w:noProof/>
        </w:rPr>
        <w:drawing>
          <wp:anchor distT="0" distB="0" distL="114300" distR="114300" simplePos="0" relativeHeight="251663360" behindDoc="0" locked="0" layoutInCell="1" allowOverlap="1" wp14:anchorId="337270B7" wp14:editId="575AA007">
            <wp:simplePos x="0" y="0"/>
            <wp:positionH relativeFrom="column">
              <wp:posOffset>4419600</wp:posOffset>
            </wp:positionH>
            <wp:positionV relativeFrom="paragraph">
              <wp:posOffset>59055</wp:posOffset>
            </wp:positionV>
            <wp:extent cx="1798320" cy="1371600"/>
            <wp:effectExtent l="0" t="0" r="0" b="0"/>
            <wp:wrapSquare wrapText="bothSides"/>
            <wp:docPr id="1760679549" name="Picture 7" descr="5+ Hundred Low Income Seniors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 Hundred Low Income Seniors Royalty-Free Images, Stock Photos &amp; Pictures  | Shutter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8320" cy="1371600"/>
                    </a:xfrm>
                    <a:prstGeom prst="rect">
                      <a:avLst/>
                    </a:prstGeom>
                    <a:noFill/>
                    <a:ln>
                      <a:noFill/>
                    </a:ln>
                  </pic:spPr>
                </pic:pic>
              </a:graphicData>
            </a:graphic>
          </wp:anchor>
        </w:drawing>
      </w:r>
      <w:r w:rsidR="00F55A4D" w:rsidRPr="00F55A4D">
        <w:rPr>
          <w:rFonts w:ascii="Arial" w:hAnsi="Arial" w:cs="Arial"/>
        </w:rPr>
        <w:t xml:space="preserve">In 2024, nearly </w:t>
      </w:r>
      <w:r w:rsidR="003D6913" w:rsidRPr="005A155E">
        <w:rPr>
          <w:rFonts w:ascii="Arial" w:hAnsi="Arial" w:cs="Arial"/>
        </w:rPr>
        <w:t>2</w:t>
      </w:r>
      <w:r w:rsidR="00F55A4D" w:rsidRPr="00F55A4D">
        <w:rPr>
          <w:rFonts w:ascii="Arial" w:hAnsi="Arial" w:cs="Arial"/>
        </w:rPr>
        <w:t xml:space="preserve"> million pensioners lived in poverty. </w:t>
      </w:r>
      <w:r w:rsidRPr="00F55A4D">
        <w:rPr>
          <w:rFonts w:ascii="Arial" w:hAnsi="Arial" w:cs="Arial"/>
        </w:rPr>
        <w:t>Low-income</w:t>
      </w:r>
      <w:r w:rsidR="00F55A4D" w:rsidRPr="00F55A4D">
        <w:rPr>
          <w:rFonts w:ascii="Arial" w:hAnsi="Arial" w:cs="Arial"/>
        </w:rPr>
        <w:t xml:space="preserve"> limits access to nutritious food, warm housing, and healthcare</w:t>
      </w:r>
      <w:r w:rsidR="004B646D" w:rsidRPr="005A155E">
        <w:rPr>
          <w:rFonts w:ascii="Arial" w:hAnsi="Arial" w:cs="Arial"/>
        </w:rPr>
        <w:t xml:space="preserve"> (Thane, 2024)</w:t>
      </w:r>
      <w:r w:rsidR="00F55A4D" w:rsidRPr="00F55A4D">
        <w:rPr>
          <w:rFonts w:ascii="Arial" w:hAnsi="Arial" w:cs="Arial"/>
        </w:rPr>
        <w:t xml:space="preserve">. Increasing Pension Credit uptake, </w:t>
      </w:r>
      <w:r w:rsidR="00567570" w:rsidRPr="005A155E">
        <w:rPr>
          <w:rFonts w:ascii="Arial" w:hAnsi="Arial" w:cs="Arial"/>
        </w:rPr>
        <w:t>expanding energy assistance schemes, and supporting community food programs</w:t>
      </w:r>
      <w:r w:rsidR="00F55A4D" w:rsidRPr="00F55A4D">
        <w:rPr>
          <w:rFonts w:ascii="Arial" w:hAnsi="Arial" w:cs="Arial"/>
        </w:rPr>
        <w:t xml:space="preserve"> can reduce financial stress and improve health outcomes for the elderly</w:t>
      </w:r>
      <w:r w:rsidR="003D6913" w:rsidRPr="005A155E">
        <w:rPr>
          <w:rFonts w:ascii="Arial" w:hAnsi="Arial" w:cs="Arial"/>
        </w:rPr>
        <w:t xml:space="preserve"> (Thane, 2024)</w:t>
      </w:r>
      <w:r w:rsidR="00F55A4D" w:rsidRPr="00F55A4D">
        <w:rPr>
          <w:rFonts w:ascii="Arial" w:hAnsi="Arial" w:cs="Arial"/>
        </w:rPr>
        <w:t>.</w:t>
      </w:r>
    </w:p>
    <w:p w14:paraId="2598DA0D" w14:textId="77777777" w:rsidR="00F55A4D" w:rsidRPr="005A155E" w:rsidRDefault="00F55A4D" w:rsidP="00F55A4D">
      <w:pPr>
        <w:spacing w:before="240" w:line="360" w:lineRule="auto"/>
        <w:jc w:val="both"/>
        <w:rPr>
          <w:rFonts w:ascii="Arial" w:hAnsi="Arial" w:cs="Arial"/>
          <w:b/>
          <w:bCs/>
        </w:rPr>
      </w:pPr>
      <w:r w:rsidRPr="00F55A4D">
        <w:rPr>
          <w:rFonts w:ascii="Arial" w:hAnsi="Arial" w:cs="Arial"/>
          <w:b/>
          <w:bCs/>
        </w:rPr>
        <w:t>6. Poor Housing and Fuel Poverty</w:t>
      </w:r>
    </w:p>
    <w:p w14:paraId="4B1A291B" w14:textId="0DA2FAE4" w:rsidR="00F55A4D" w:rsidRPr="00F55A4D" w:rsidRDefault="00F55A4D" w:rsidP="00F55A4D">
      <w:pPr>
        <w:spacing w:before="240" w:line="360" w:lineRule="auto"/>
        <w:jc w:val="both"/>
        <w:rPr>
          <w:rFonts w:ascii="Arial" w:hAnsi="Arial" w:cs="Arial"/>
        </w:rPr>
      </w:pPr>
      <w:r w:rsidRPr="00F55A4D">
        <w:rPr>
          <w:rFonts w:ascii="Arial" w:hAnsi="Arial" w:cs="Arial"/>
        </w:rPr>
        <w:t>Cold, damp homes raise risks of respiratory illness and hypothermia among older people. Over 1 million elderly households experience fuel poverty each winter</w:t>
      </w:r>
      <w:r w:rsidR="008B066D" w:rsidRPr="005A155E">
        <w:rPr>
          <w:rFonts w:ascii="Arial" w:hAnsi="Arial" w:cs="Arial"/>
        </w:rPr>
        <w:t xml:space="preserve"> (British Geriatrics Society, 2023)</w:t>
      </w:r>
      <w:r w:rsidRPr="00F55A4D">
        <w:rPr>
          <w:rFonts w:ascii="Arial" w:hAnsi="Arial" w:cs="Arial"/>
        </w:rPr>
        <w:t xml:space="preserve">. Home insulation grants, winter fuel payments, and local </w:t>
      </w:r>
      <w:r w:rsidRPr="00F55A4D">
        <w:rPr>
          <w:rFonts w:ascii="Arial" w:hAnsi="Arial" w:cs="Arial"/>
        </w:rPr>
        <w:lastRenderedPageBreak/>
        <w:t>housing-improvement programmes can create safer, warmer environments and prevent illness</w:t>
      </w:r>
      <w:r w:rsidR="005A02F3" w:rsidRPr="005A155E">
        <w:rPr>
          <w:rFonts w:ascii="Arial" w:hAnsi="Arial" w:cs="Arial"/>
        </w:rPr>
        <w:t xml:space="preserve"> (British Geriatrics Society, 2023)</w:t>
      </w:r>
      <w:r w:rsidRPr="00F55A4D">
        <w:rPr>
          <w:rFonts w:ascii="Arial" w:hAnsi="Arial" w:cs="Arial"/>
        </w:rPr>
        <w:t>.</w:t>
      </w:r>
    </w:p>
    <w:p w14:paraId="45A7CA0C" w14:textId="2039030D" w:rsidR="00F55A4D" w:rsidRPr="005A155E" w:rsidRDefault="00F55A4D" w:rsidP="00F55A4D">
      <w:pPr>
        <w:pStyle w:val="Heading1"/>
        <w:rPr>
          <w:rFonts w:cs="Arial"/>
          <w:sz w:val="24"/>
          <w:szCs w:val="24"/>
        </w:rPr>
      </w:pPr>
      <w:bookmarkStart w:id="4" w:name="_Toc214091439"/>
      <w:r w:rsidRPr="005A155E">
        <w:rPr>
          <w:rFonts w:cs="Arial"/>
          <w:sz w:val="24"/>
          <w:szCs w:val="24"/>
        </w:rPr>
        <w:t>National Response to Reduce Health Inequalities</w:t>
      </w:r>
      <w:bookmarkEnd w:id="4"/>
      <w:r w:rsidRPr="005A155E">
        <w:rPr>
          <w:rFonts w:cs="Arial"/>
          <w:sz w:val="24"/>
          <w:szCs w:val="24"/>
        </w:rPr>
        <w:t xml:space="preserve"> </w:t>
      </w:r>
    </w:p>
    <w:p w14:paraId="64D5E815" w14:textId="02E72157" w:rsidR="00F55A4D" w:rsidRPr="00F55A4D" w:rsidRDefault="00F55A4D" w:rsidP="005A155E">
      <w:pPr>
        <w:spacing w:before="240" w:line="360" w:lineRule="auto"/>
        <w:jc w:val="both"/>
        <w:rPr>
          <w:rFonts w:ascii="Arial" w:hAnsi="Arial" w:cs="Arial"/>
        </w:rPr>
      </w:pPr>
      <w:r w:rsidRPr="00F55A4D">
        <w:rPr>
          <w:rFonts w:ascii="Arial" w:hAnsi="Arial" w:cs="Arial"/>
        </w:rPr>
        <w:t>The NHS Long Term Plan prioritises reducing health inequalities among older adults through integrated care systems (ICSs), improved dementia diagnosis, and expanded community health services</w:t>
      </w:r>
      <w:r w:rsidR="0055493B" w:rsidRPr="005A155E">
        <w:rPr>
          <w:rFonts w:ascii="Arial" w:hAnsi="Arial" w:cs="Arial"/>
        </w:rPr>
        <w:t xml:space="preserve"> (Miller et al., 2021)</w:t>
      </w:r>
      <w:r w:rsidRPr="00F55A4D">
        <w:rPr>
          <w:rFonts w:ascii="Arial" w:hAnsi="Arial" w:cs="Arial"/>
        </w:rPr>
        <w:t>. It focuses on early intervention, home-based care, and better coordination between health and social care</w:t>
      </w:r>
      <w:r w:rsidR="00A87E3D" w:rsidRPr="005A155E">
        <w:rPr>
          <w:rFonts w:ascii="Arial" w:hAnsi="Arial" w:cs="Arial"/>
        </w:rPr>
        <w:t xml:space="preserve"> (</w:t>
      </w:r>
      <w:proofErr w:type="spellStart"/>
      <w:r w:rsidR="00A87E3D" w:rsidRPr="005A155E">
        <w:rPr>
          <w:rFonts w:ascii="Arial" w:hAnsi="Arial" w:cs="Arial"/>
        </w:rPr>
        <w:t>Checkland</w:t>
      </w:r>
      <w:proofErr w:type="spellEnd"/>
      <w:r w:rsidR="00A87E3D" w:rsidRPr="005A155E">
        <w:rPr>
          <w:rFonts w:ascii="Arial" w:hAnsi="Arial" w:cs="Arial"/>
        </w:rPr>
        <w:t xml:space="preserve"> et al., 2025)</w:t>
      </w:r>
      <w:r w:rsidRPr="00F55A4D">
        <w:rPr>
          <w:rFonts w:ascii="Arial" w:hAnsi="Arial" w:cs="Arial"/>
        </w:rPr>
        <w:t>. Another major initiative, the Ageing Society Grand Challenge, aims to ensure that people can live at least five extra years of healthy life by 2035</w:t>
      </w:r>
      <w:r w:rsidR="002053D1" w:rsidRPr="005A155E">
        <w:rPr>
          <w:rFonts w:ascii="Arial" w:hAnsi="Arial" w:cs="Arial"/>
        </w:rPr>
        <w:t xml:space="preserve"> (Walker and </w:t>
      </w:r>
      <w:proofErr w:type="spellStart"/>
      <w:r w:rsidR="002053D1" w:rsidRPr="005A155E">
        <w:rPr>
          <w:rFonts w:ascii="Arial" w:hAnsi="Arial" w:cs="Arial"/>
        </w:rPr>
        <w:t>Pirmohamed</w:t>
      </w:r>
      <w:proofErr w:type="spellEnd"/>
      <w:r w:rsidR="002053D1" w:rsidRPr="005A155E">
        <w:rPr>
          <w:rFonts w:ascii="Arial" w:hAnsi="Arial" w:cs="Arial"/>
        </w:rPr>
        <w:t>, 2035)</w:t>
      </w:r>
      <w:r w:rsidRPr="00F55A4D">
        <w:rPr>
          <w:rFonts w:ascii="Arial" w:hAnsi="Arial" w:cs="Arial"/>
        </w:rPr>
        <w:t>. It invests in research, technology, and preventive health measures to delay the onset of chronic diseases</w:t>
      </w:r>
      <w:r w:rsidR="00D1712F" w:rsidRPr="005A155E">
        <w:rPr>
          <w:rFonts w:ascii="Arial" w:hAnsi="Arial" w:cs="Arial"/>
        </w:rPr>
        <w:t xml:space="preserve"> (Nelles et al., 2025)</w:t>
      </w:r>
      <w:r w:rsidRPr="00F55A4D">
        <w:rPr>
          <w:rFonts w:ascii="Arial" w:hAnsi="Arial" w:cs="Arial"/>
        </w:rPr>
        <w:t>. Additionally, national campaigns like Better Health and Every Mind Matters raise awareness of healthy ageing, mental wellbeing, and physical activity, aiming to reduce the burden of disease and promote active, independent ageing</w:t>
      </w:r>
      <w:r w:rsidR="00B1211C" w:rsidRPr="005A155E">
        <w:rPr>
          <w:rFonts w:ascii="Arial" w:hAnsi="Arial" w:cs="Arial"/>
        </w:rPr>
        <w:t xml:space="preserve"> (Walker and </w:t>
      </w:r>
      <w:proofErr w:type="spellStart"/>
      <w:r w:rsidR="00B1211C" w:rsidRPr="005A155E">
        <w:rPr>
          <w:rFonts w:ascii="Arial" w:hAnsi="Arial" w:cs="Arial"/>
        </w:rPr>
        <w:t>Pirmohamed</w:t>
      </w:r>
      <w:proofErr w:type="spellEnd"/>
      <w:r w:rsidR="00B1211C" w:rsidRPr="005A155E">
        <w:rPr>
          <w:rFonts w:ascii="Arial" w:hAnsi="Arial" w:cs="Arial"/>
        </w:rPr>
        <w:t>, 2035)</w:t>
      </w:r>
      <w:r w:rsidRPr="00F55A4D">
        <w:rPr>
          <w:rFonts w:ascii="Arial" w:hAnsi="Arial" w:cs="Arial"/>
        </w:rPr>
        <w:t>.</w:t>
      </w:r>
    </w:p>
    <w:p w14:paraId="7D355F37" w14:textId="39A8149B" w:rsidR="00F55A4D" w:rsidRPr="005A155E" w:rsidRDefault="00F55A4D" w:rsidP="00F55A4D">
      <w:pPr>
        <w:pStyle w:val="Heading1"/>
        <w:rPr>
          <w:rFonts w:cs="Arial"/>
          <w:sz w:val="24"/>
          <w:szCs w:val="24"/>
        </w:rPr>
      </w:pPr>
      <w:bookmarkStart w:id="5" w:name="_Toc214091440"/>
      <w:r w:rsidRPr="005A155E">
        <w:rPr>
          <w:rFonts w:cs="Arial"/>
          <w:sz w:val="24"/>
          <w:szCs w:val="24"/>
        </w:rPr>
        <w:t>Organisations that Support the Elderly</w:t>
      </w:r>
      <w:bookmarkEnd w:id="5"/>
      <w:r w:rsidRPr="005A155E">
        <w:rPr>
          <w:rFonts w:cs="Arial"/>
          <w:sz w:val="24"/>
          <w:szCs w:val="24"/>
        </w:rPr>
        <w:t xml:space="preserve"> </w:t>
      </w:r>
    </w:p>
    <w:p w14:paraId="0392CF46" w14:textId="64DF9F3D" w:rsidR="00F55A4D" w:rsidRPr="00F55A4D" w:rsidRDefault="00F55A4D" w:rsidP="00F55A4D">
      <w:pPr>
        <w:spacing w:before="240" w:line="360" w:lineRule="auto"/>
        <w:jc w:val="both"/>
        <w:rPr>
          <w:rFonts w:ascii="Arial" w:hAnsi="Arial" w:cs="Arial"/>
        </w:rPr>
      </w:pPr>
      <w:r w:rsidRPr="00F55A4D">
        <w:rPr>
          <w:rFonts w:ascii="Arial" w:hAnsi="Arial" w:cs="Arial"/>
          <w:b/>
          <w:bCs/>
        </w:rPr>
        <w:t>1. Age UK</w:t>
      </w:r>
    </w:p>
    <w:p w14:paraId="4C352181" w14:textId="71ECC860" w:rsidR="00F55A4D" w:rsidRPr="00F55A4D" w:rsidRDefault="007A6D4D" w:rsidP="00F55A4D">
      <w:pPr>
        <w:spacing w:before="240" w:line="360" w:lineRule="auto"/>
        <w:jc w:val="both"/>
        <w:rPr>
          <w:rFonts w:ascii="Arial" w:hAnsi="Arial" w:cs="Arial"/>
        </w:rPr>
      </w:pPr>
      <w:r>
        <w:rPr>
          <w:noProof/>
        </w:rPr>
        <w:drawing>
          <wp:anchor distT="0" distB="0" distL="114300" distR="114300" simplePos="0" relativeHeight="251659264" behindDoc="0" locked="0" layoutInCell="1" allowOverlap="1" wp14:anchorId="0FA5BDF8" wp14:editId="551570ED">
            <wp:simplePos x="0" y="0"/>
            <wp:positionH relativeFrom="column">
              <wp:posOffset>3970020</wp:posOffset>
            </wp:positionH>
            <wp:positionV relativeFrom="paragraph">
              <wp:posOffset>604520</wp:posOffset>
            </wp:positionV>
            <wp:extent cx="2247900" cy="2392680"/>
            <wp:effectExtent l="0" t="0" r="0" b="7620"/>
            <wp:wrapSquare wrapText="bothSides"/>
            <wp:docPr id="1485847434" name="Picture 3" descr="Age UK's Silver Sunday is almost here! 💜 Age UK's Silver Sunday is one of the  biggest celebrations of older people in the UK, and in just a few weeks,  thousands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 UK's Silver Sunday is almost here! 💜 Age UK's Silver Sunday is one of the  biggest celebrations of older people in the UK, and in just a few weeks,  thousands o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7900" cy="2392680"/>
                    </a:xfrm>
                    <a:prstGeom prst="rect">
                      <a:avLst/>
                    </a:prstGeom>
                    <a:noFill/>
                    <a:ln>
                      <a:noFill/>
                    </a:ln>
                  </pic:spPr>
                </pic:pic>
              </a:graphicData>
            </a:graphic>
            <wp14:sizeRelH relativeFrom="margin">
              <wp14:pctWidth>0</wp14:pctWidth>
            </wp14:sizeRelH>
          </wp:anchor>
        </w:drawing>
      </w:r>
      <w:r w:rsidR="00F55A4D" w:rsidRPr="00F55A4D">
        <w:rPr>
          <w:rFonts w:ascii="Arial" w:hAnsi="Arial" w:cs="Arial"/>
        </w:rPr>
        <w:t>Age UK is the UK’s largest charity supporting older people, addressing issues such as loneliness, poverty, and poor health. It offers vital services including a national advice helpline, befriending programmes, and campaigns for fair pensions and social care reform</w:t>
      </w:r>
      <w:r w:rsidR="00817FDA" w:rsidRPr="005A155E">
        <w:rPr>
          <w:rFonts w:ascii="Arial" w:hAnsi="Arial" w:cs="Arial"/>
        </w:rPr>
        <w:t xml:space="preserve"> (Anand et al., 2022)</w:t>
      </w:r>
      <w:r w:rsidR="00F55A4D" w:rsidRPr="00F55A4D">
        <w:rPr>
          <w:rFonts w:ascii="Arial" w:hAnsi="Arial" w:cs="Arial"/>
        </w:rPr>
        <w:t xml:space="preserve">. Age UK runs local community centres where elderly individuals can access health checks, digital training, and social activities. The charity also lobbies the government for stronger support against fuel poverty and for improved </w:t>
      </w:r>
      <w:r w:rsidR="00F23DC4" w:rsidRPr="005A155E">
        <w:rPr>
          <w:rFonts w:ascii="Arial" w:hAnsi="Arial" w:cs="Arial"/>
        </w:rPr>
        <w:t>access to the NHS</w:t>
      </w:r>
      <w:r w:rsidR="00521397" w:rsidRPr="005A155E">
        <w:rPr>
          <w:rFonts w:ascii="Arial" w:hAnsi="Arial" w:cs="Arial"/>
        </w:rPr>
        <w:t xml:space="preserve"> (Goodwin et al., 2023)</w:t>
      </w:r>
      <w:r w:rsidR="00F55A4D" w:rsidRPr="00F55A4D">
        <w:rPr>
          <w:rFonts w:ascii="Arial" w:hAnsi="Arial" w:cs="Arial"/>
        </w:rPr>
        <w:t>. Through research, policy work, and partnerships with local authorities, Age UK aims to ensure every older person can live with dignity, independence, and adequate care</w:t>
      </w:r>
      <w:r w:rsidR="004E73CF" w:rsidRPr="005A155E">
        <w:rPr>
          <w:rFonts w:ascii="Arial" w:hAnsi="Arial" w:cs="Arial"/>
        </w:rPr>
        <w:t xml:space="preserve"> (Goodwin et al., 2023)</w:t>
      </w:r>
      <w:r w:rsidR="00F55A4D" w:rsidRPr="00F55A4D">
        <w:rPr>
          <w:rFonts w:ascii="Arial" w:hAnsi="Arial" w:cs="Arial"/>
        </w:rPr>
        <w:t>. It also promotes awareness of age discrimination and supports initiatives that tackle isolation and mental health inequalities among pensioners</w:t>
      </w:r>
      <w:r w:rsidR="005E3F36" w:rsidRPr="005A155E">
        <w:rPr>
          <w:rFonts w:ascii="Arial" w:hAnsi="Arial" w:cs="Arial"/>
        </w:rPr>
        <w:t xml:space="preserve"> (Anand et al., 2022)</w:t>
      </w:r>
      <w:r w:rsidR="00F55A4D" w:rsidRPr="00F55A4D">
        <w:rPr>
          <w:rFonts w:ascii="Arial" w:hAnsi="Arial" w:cs="Arial"/>
        </w:rPr>
        <w:t>.</w:t>
      </w:r>
    </w:p>
    <w:p w14:paraId="40B6D4A7" w14:textId="77777777" w:rsidR="00F55A4D" w:rsidRPr="005A155E" w:rsidRDefault="00F55A4D" w:rsidP="00F55A4D">
      <w:pPr>
        <w:spacing w:before="240" w:line="360" w:lineRule="auto"/>
        <w:jc w:val="both"/>
        <w:rPr>
          <w:rFonts w:ascii="Arial" w:hAnsi="Arial" w:cs="Arial"/>
          <w:b/>
          <w:bCs/>
        </w:rPr>
      </w:pPr>
      <w:r w:rsidRPr="00F55A4D">
        <w:rPr>
          <w:rFonts w:ascii="Arial" w:hAnsi="Arial" w:cs="Arial"/>
          <w:b/>
          <w:bCs/>
        </w:rPr>
        <w:lastRenderedPageBreak/>
        <w:t>2. Alzheimer’s Society</w:t>
      </w:r>
    </w:p>
    <w:p w14:paraId="6B3364E3" w14:textId="70AD364F" w:rsidR="00F55A4D" w:rsidRPr="00F55A4D" w:rsidRDefault="00F55A4D" w:rsidP="00F55A4D">
      <w:pPr>
        <w:spacing w:before="240" w:line="360" w:lineRule="auto"/>
        <w:jc w:val="both"/>
        <w:rPr>
          <w:rFonts w:ascii="Arial" w:hAnsi="Arial" w:cs="Arial"/>
        </w:rPr>
      </w:pPr>
      <w:r w:rsidRPr="00F55A4D">
        <w:rPr>
          <w:rFonts w:ascii="Arial" w:hAnsi="Arial" w:cs="Arial"/>
        </w:rPr>
        <w:t xml:space="preserve">The Alzheimer’s Society is a leading UK charity dedicated to supporting people affected by dementia and their </w:t>
      </w:r>
      <w:proofErr w:type="spellStart"/>
      <w:r w:rsidRPr="00F55A4D">
        <w:rPr>
          <w:rFonts w:ascii="Arial" w:hAnsi="Arial" w:cs="Arial"/>
        </w:rPr>
        <w:t>carers</w:t>
      </w:r>
      <w:proofErr w:type="spellEnd"/>
      <w:r w:rsidRPr="00F55A4D">
        <w:rPr>
          <w:rFonts w:ascii="Arial" w:hAnsi="Arial" w:cs="Arial"/>
        </w:rPr>
        <w:t>. It provides information, dementia support lines, local groups, and the Dementia Connect programme to guide families through diagnosis and care planning</w:t>
      </w:r>
      <w:r w:rsidR="005E3F36" w:rsidRPr="005A155E">
        <w:rPr>
          <w:rFonts w:ascii="Arial" w:hAnsi="Arial" w:cs="Arial"/>
        </w:rPr>
        <w:t xml:space="preserve"> (Laurell et al., 2024)</w:t>
      </w:r>
      <w:r w:rsidRPr="00F55A4D">
        <w:rPr>
          <w:rFonts w:ascii="Arial" w:hAnsi="Arial" w:cs="Arial"/>
        </w:rPr>
        <w:t>. The organisation also funds vital research into causes, treatments, and prevention of dementia while campaigning for equitable healthcare access across the UK</w:t>
      </w:r>
      <w:r w:rsidR="00E00CF1" w:rsidRPr="005A155E">
        <w:rPr>
          <w:rFonts w:ascii="Arial" w:hAnsi="Arial" w:cs="Arial"/>
        </w:rPr>
        <w:t xml:space="preserve"> (Edwards et al., 2024)</w:t>
      </w:r>
      <w:r w:rsidRPr="00F55A4D">
        <w:rPr>
          <w:rFonts w:ascii="Arial" w:hAnsi="Arial" w:cs="Arial"/>
        </w:rPr>
        <w:t>. Through awareness campaigns like Dementia Friends, it challenges stigma and encourages communities to become dementia-friendly</w:t>
      </w:r>
      <w:r w:rsidR="00B35A9D" w:rsidRPr="005A155E">
        <w:rPr>
          <w:rFonts w:ascii="Arial" w:hAnsi="Arial" w:cs="Arial"/>
        </w:rPr>
        <w:t xml:space="preserve"> (Edwards et al., 2024)</w:t>
      </w:r>
      <w:r w:rsidRPr="00F55A4D">
        <w:rPr>
          <w:rFonts w:ascii="Arial" w:hAnsi="Arial" w:cs="Arial"/>
        </w:rPr>
        <w:t xml:space="preserve">. The Society works closely with the NHS and policymakers to ensure early diagnosis targets are met and that care pathways are inclusive. Its </w:t>
      </w:r>
      <w:r w:rsidRPr="005A155E">
        <w:rPr>
          <w:rFonts w:ascii="Arial" w:hAnsi="Arial" w:cs="Arial"/>
        </w:rPr>
        <w:t>goal</w:t>
      </w:r>
      <w:r w:rsidRPr="00F55A4D">
        <w:rPr>
          <w:rFonts w:ascii="Arial" w:hAnsi="Arial" w:cs="Arial"/>
        </w:rPr>
        <w:t xml:space="preserve"> is to ensure that no one faces dementia alone and that every person receives fair and timely support</w:t>
      </w:r>
      <w:r w:rsidR="00B35A9D" w:rsidRPr="005A155E">
        <w:rPr>
          <w:rFonts w:ascii="Arial" w:hAnsi="Arial" w:cs="Arial"/>
        </w:rPr>
        <w:t xml:space="preserve"> (Laurell et al., 2024)</w:t>
      </w:r>
      <w:r w:rsidRPr="00F55A4D">
        <w:rPr>
          <w:rFonts w:ascii="Arial" w:hAnsi="Arial" w:cs="Arial"/>
        </w:rPr>
        <w:t>.</w:t>
      </w:r>
    </w:p>
    <w:p w14:paraId="2DB24CD4" w14:textId="3E4BB72F" w:rsidR="00F55A4D" w:rsidRPr="005A155E" w:rsidRDefault="00F55A4D" w:rsidP="00F55A4D">
      <w:pPr>
        <w:pStyle w:val="Heading1"/>
        <w:rPr>
          <w:rFonts w:cs="Arial"/>
          <w:sz w:val="24"/>
          <w:szCs w:val="24"/>
        </w:rPr>
      </w:pPr>
      <w:bookmarkStart w:id="6" w:name="_Toc214091441"/>
      <w:r w:rsidRPr="005A155E">
        <w:rPr>
          <w:rFonts w:cs="Arial"/>
          <w:sz w:val="24"/>
          <w:szCs w:val="24"/>
        </w:rPr>
        <w:t>Conclusion</w:t>
      </w:r>
      <w:bookmarkEnd w:id="6"/>
      <w:r w:rsidRPr="005A155E">
        <w:rPr>
          <w:rFonts w:cs="Arial"/>
          <w:sz w:val="24"/>
          <w:szCs w:val="24"/>
        </w:rPr>
        <w:t xml:space="preserve"> </w:t>
      </w:r>
    </w:p>
    <w:p w14:paraId="2C3A3E4E" w14:textId="77777777" w:rsidR="00F55A4D" w:rsidRDefault="00F55A4D" w:rsidP="00F55A4D">
      <w:pPr>
        <w:spacing w:before="240" w:line="360" w:lineRule="auto"/>
        <w:jc w:val="both"/>
        <w:rPr>
          <w:rFonts w:ascii="Arial" w:hAnsi="Arial" w:cs="Arial"/>
        </w:rPr>
      </w:pPr>
      <w:r w:rsidRPr="00F55A4D">
        <w:rPr>
          <w:rFonts w:ascii="Arial" w:hAnsi="Arial" w:cs="Arial"/>
        </w:rPr>
        <w:t>Health inequalities among the elderly in the UK stem from a mix of medical, social, and economic factors. Diseases such as dementia, cardiovascular illness, and depression intersect with poverty, loneliness, and poor housing, worsening quality of life. While national initiatives and charities like Age UK and Alzheimer’s Society have made progress in addressing these challenges, more coordinated funding and local community action are essential. Ensuring accessible healthcare, social inclusion, and adequate support can create a fairer, healthier ageing population.</w:t>
      </w:r>
    </w:p>
    <w:p w14:paraId="31C6F14C" w14:textId="77777777" w:rsidR="00C96866" w:rsidRDefault="00C96866" w:rsidP="00F55A4D">
      <w:pPr>
        <w:spacing w:before="240" w:line="360" w:lineRule="auto"/>
        <w:jc w:val="both"/>
        <w:rPr>
          <w:rFonts w:ascii="Arial" w:hAnsi="Arial" w:cs="Arial"/>
        </w:rPr>
      </w:pPr>
    </w:p>
    <w:p w14:paraId="1BD08607" w14:textId="77777777" w:rsidR="008B093B" w:rsidRDefault="008B093B" w:rsidP="00F55A4D">
      <w:pPr>
        <w:spacing w:before="240" w:line="360" w:lineRule="auto"/>
        <w:jc w:val="both"/>
        <w:rPr>
          <w:rFonts w:ascii="Arial" w:hAnsi="Arial" w:cs="Arial"/>
        </w:rPr>
      </w:pPr>
    </w:p>
    <w:p w14:paraId="3DA3A272" w14:textId="77777777" w:rsidR="008B093B" w:rsidRDefault="008B093B" w:rsidP="00F55A4D">
      <w:pPr>
        <w:spacing w:before="240" w:line="360" w:lineRule="auto"/>
        <w:jc w:val="both"/>
        <w:rPr>
          <w:rFonts w:ascii="Arial" w:hAnsi="Arial" w:cs="Arial"/>
        </w:rPr>
      </w:pPr>
    </w:p>
    <w:p w14:paraId="775C819A" w14:textId="77777777" w:rsidR="008B093B" w:rsidRDefault="008B093B" w:rsidP="00F55A4D">
      <w:pPr>
        <w:spacing w:before="240" w:line="360" w:lineRule="auto"/>
        <w:jc w:val="both"/>
        <w:rPr>
          <w:rFonts w:ascii="Arial" w:hAnsi="Arial" w:cs="Arial"/>
        </w:rPr>
      </w:pPr>
    </w:p>
    <w:p w14:paraId="1451AD23" w14:textId="77777777" w:rsidR="008B093B" w:rsidRDefault="008B093B" w:rsidP="00F55A4D">
      <w:pPr>
        <w:spacing w:before="240" w:line="360" w:lineRule="auto"/>
        <w:jc w:val="both"/>
        <w:rPr>
          <w:rFonts w:ascii="Arial" w:hAnsi="Arial" w:cs="Arial"/>
        </w:rPr>
      </w:pPr>
    </w:p>
    <w:p w14:paraId="70F6EA98" w14:textId="77777777" w:rsidR="008B093B" w:rsidRDefault="008B093B" w:rsidP="00F55A4D">
      <w:pPr>
        <w:spacing w:before="240" w:line="360" w:lineRule="auto"/>
        <w:jc w:val="both"/>
        <w:rPr>
          <w:rFonts w:ascii="Arial" w:hAnsi="Arial" w:cs="Arial"/>
        </w:rPr>
      </w:pPr>
    </w:p>
    <w:p w14:paraId="5A45DA65" w14:textId="77777777" w:rsidR="008B093B" w:rsidRDefault="008B093B" w:rsidP="00F55A4D">
      <w:pPr>
        <w:spacing w:before="240" w:line="360" w:lineRule="auto"/>
        <w:jc w:val="both"/>
        <w:rPr>
          <w:rFonts w:ascii="Arial" w:hAnsi="Arial" w:cs="Arial"/>
        </w:rPr>
      </w:pPr>
    </w:p>
    <w:p w14:paraId="36F36CC2" w14:textId="77777777" w:rsidR="008B093B" w:rsidRDefault="008B093B" w:rsidP="00F55A4D">
      <w:pPr>
        <w:spacing w:before="240" w:line="360" w:lineRule="auto"/>
        <w:jc w:val="both"/>
        <w:rPr>
          <w:rFonts w:ascii="Arial" w:hAnsi="Arial" w:cs="Arial"/>
        </w:rPr>
      </w:pPr>
    </w:p>
    <w:p w14:paraId="1F2100AA" w14:textId="77777777" w:rsidR="008B093B" w:rsidRDefault="008B093B" w:rsidP="00F55A4D">
      <w:pPr>
        <w:spacing w:before="240" w:line="360" w:lineRule="auto"/>
        <w:jc w:val="both"/>
        <w:rPr>
          <w:rFonts w:ascii="Arial" w:hAnsi="Arial" w:cs="Arial"/>
        </w:rPr>
      </w:pPr>
    </w:p>
    <w:p w14:paraId="7396256B" w14:textId="77777777" w:rsidR="008B093B" w:rsidRDefault="008B093B" w:rsidP="00F55A4D">
      <w:pPr>
        <w:spacing w:before="240" w:line="360" w:lineRule="auto"/>
        <w:jc w:val="both"/>
        <w:rPr>
          <w:rFonts w:ascii="Arial" w:hAnsi="Arial" w:cs="Arial"/>
        </w:rPr>
      </w:pPr>
    </w:p>
    <w:p w14:paraId="7870E4B8" w14:textId="77777777" w:rsidR="008B093B" w:rsidRDefault="008B093B" w:rsidP="00F55A4D">
      <w:pPr>
        <w:spacing w:before="240" w:line="360" w:lineRule="auto"/>
        <w:jc w:val="both"/>
        <w:rPr>
          <w:rFonts w:ascii="Arial" w:hAnsi="Arial" w:cs="Arial"/>
        </w:rPr>
      </w:pPr>
    </w:p>
    <w:p w14:paraId="144735E9" w14:textId="4B5C1FEA" w:rsidR="008B093B" w:rsidRDefault="008B093B" w:rsidP="0088335D">
      <w:pPr>
        <w:tabs>
          <w:tab w:val="left" w:pos="2004"/>
        </w:tabs>
        <w:spacing w:before="240" w:line="360" w:lineRule="auto"/>
        <w:jc w:val="both"/>
        <w:rPr>
          <w:rFonts w:ascii="Arial" w:hAnsi="Arial" w:cs="Arial"/>
        </w:rPr>
      </w:pPr>
    </w:p>
    <w:p w14:paraId="687FE461" w14:textId="77777777" w:rsidR="0088335D" w:rsidRDefault="0088335D" w:rsidP="0088335D">
      <w:pPr>
        <w:tabs>
          <w:tab w:val="left" w:pos="2004"/>
        </w:tabs>
        <w:spacing w:before="240" w:line="360" w:lineRule="auto"/>
        <w:jc w:val="both"/>
        <w:rPr>
          <w:rFonts w:ascii="Arial" w:hAnsi="Arial" w:cs="Arial"/>
        </w:rPr>
      </w:pPr>
    </w:p>
    <w:p w14:paraId="1603B820" w14:textId="77777777" w:rsidR="008B093B" w:rsidRDefault="008B093B" w:rsidP="00F55A4D">
      <w:pPr>
        <w:spacing w:before="240" w:line="360" w:lineRule="auto"/>
        <w:jc w:val="both"/>
        <w:rPr>
          <w:rFonts w:ascii="Arial" w:hAnsi="Arial" w:cs="Arial"/>
        </w:rPr>
      </w:pPr>
    </w:p>
    <w:p w14:paraId="5BD2320B" w14:textId="26982538" w:rsidR="008B093B" w:rsidRPr="008B093B" w:rsidRDefault="008B093B" w:rsidP="00A80C41">
      <w:pPr>
        <w:pStyle w:val="Heading1"/>
        <w:jc w:val="center"/>
      </w:pPr>
      <w:bookmarkStart w:id="7" w:name="_Toc214091442"/>
      <w:r w:rsidRPr="008B093B">
        <w:t>T</w:t>
      </w:r>
      <w:r>
        <w:t>ASK</w:t>
      </w:r>
      <w:r w:rsidRPr="008B093B">
        <w:t>: 2</w:t>
      </w:r>
      <w:bookmarkEnd w:id="7"/>
    </w:p>
    <w:p w14:paraId="4355EC06" w14:textId="4B99EF9C" w:rsidR="008B093B" w:rsidRPr="008B093B" w:rsidRDefault="008B093B" w:rsidP="0071668C">
      <w:pPr>
        <w:spacing w:before="240" w:line="360" w:lineRule="auto"/>
        <w:jc w:val="center"/>
        <w:rPr>
          <w:rFonts w:ascii="Arial" w:hAnsi="Arial" w:cs="Arial"/>
          <w:b/>
          <w:bCs/>
        </w:rPr>
      </w:pPr>
      <w:r w:rsidRPr="008B093B">
        <w:rPr>
          <w:rFonts w:ascii="Arial" w:hAnsi="Arial" w:cs="Arial"/>
          <w:b/>
          <w:bCs/>
        </w:rPr>
        <w:t xml:space="preserve">Epidemiological Analysis of Type 2 Diabetes Mellitus in the London Borough </w:t>
      </w:r>
      <w:r w:rsidR="003E5487">
        <w:rPr>
          <w:rFonts w:ascii="Arial" w:hAnsi="Arial" w:cs="Arial"/>
          <w:b/>
          <w:bCs/>
        </w:rPr>
        <w:t>of Lambeth</w:t>
      </w:r>
    </w:p>
    <w:p w14:paraId="5081EACB" w14:textId="77777777" w:rsidR="00C96866" w:rsidRDefault="00C96866" w:rsidP="0071668C">
      <w:pPr>
        <w:spacing w:before="240" w:line="360" w:lineRule="auto"/>
        <w:jc w:val="center"/>
        <w:rPr>
          <w:rFonts w:ascii="Arial" w:hAnsi="Arial" w:cs="Arial"/>
        </w:rPr>
      </w:pPr>
    </w:p>
    <w:p w14:paraId="1C8E4F26" w14:textId="77777777" w:rsidR="00C96866" w:rsidRDefault="00C96866" w:rsidP="00F55A4D">
      <w:pPr>
        <w:spacing w:before="240" w:line="360" w:lineRule="auto"/>
        <w:jc w:val="both"/>
        <w:rPr>
          <w:rFonts w:ascii="Arial" w:hAnsi="Arial" w:cs="Arial"/>
        </w:rPr>
      </w:pPr>
    </w:p>
    <w:p w14:paraId="1AB63E1B" w14:textId="77777777" w:rsidR="00C96866" w:rsidRDefault="00C96866" w:rsidP="00F55A4D">
      <w:pPr>
        <w:spacing w:before="240" w:line="360" w:lineRule="auto"/>
        <w:jc w:val="both"/>
        <w:rPr>
          <w:rFonts w:ascii="Arial" w:hAnsi="Arial" w:cs="Arial"/>
        </w:rPr>
      </w:pPr>
    </w:p>
    <w:p w14:paraId="330D9712" w14:textId="77777777" w:rsidR="00C96866" w:rsidRDefault="00C96866" w:rsidP="00F55A4D">
      <w:pPr>
        <w:spacing w:before="240" w:line="360" w:lineRule="auto"/>
        <w:jc w:val="both"/>
        <w:rPr>
          <w:rFonts w:ascii="Arial" w:hAnsi="Arial" w:cs="Arial"/>
        </w:rPr>
      </w:pPr>
    </w:p>
    <w:p w14:paraId="06E637F2" w14:textId="77777777" w:rsidR="00C96866" w:rsidRDefault="00C96866" w:rsidP="00F55A4D">
      <w:pPr>
        <w:spacing w:before="240" w:line="360" w:lineRule="auto"/>
        <w:jc w:val="both"/>
        <w:rPr>
          <w:rFonts w:ascii="Arial" w:hAnsi="Arial" w:cs="Arial"/>
        </w:rPr>
      </w:pPr>
    </w:p>
    <w:p w14:paraId="2D24DE65" w14:textId="77777777" w:rsidR="00C96866" w:rsidRDefault="00C96866" w:rsidP="00F55A4D">
      <w:pPr>
        <w:spacing w:before="240" w:line="360" w:lineRule="auto"/>
        <w:jc w:val="both"/>
        <w:rPr>
          <w:rFonts w:ascii="Arial" w:hAnsi="Arial" w:cs="Arial"/>
        </w:rPr>
      </w:pPr>
    </w:p>
    <w:p w14:paraId="65EE1FB3" w14:textId="77777777" w:rsidR="00C96866" w:rsidRDefault="00C96866" w:rsidP="00F55A4D">
      <w:pPr>
        <w:spacing w:before="240" w:line="360" w:lineRule="auto"/>
        <w:jc w:val="both"/>
        <w:rPr>
          <w:rFonts w:ascii="Arial" w:hAnsi="Arial" w:cs="Arial"/>
        </w:rPr>
      </w:pPr>
    </w:p>
    <w:p w14:paraId="549F4ACC" w14:textId="77777777" w:rsidR="00C96866" w:rsidRDefault="00C96866" w:rsidP="00F55A4D">
      <w:pPr>
        <w:spacing w:before="240" w:line="360" w:lineRule="auto"/>
        <w:jc w:val="both"/>
        <w:rPr>
          <w:rFonts w:ascii="Arial" w:hAnsi="Arial" w:cs="Arial"/>
        </w:rPr>
      </w:pPr>
    </w:p>
    <w:p w14:paraId="1CC29A47" w14:textId="77777777" w:rsidR="0088335D" w:rsidRDefault="0088335D" w:rsidP="00F55A4D">
      <w:pPr>
        <w:spacing w:before="240" w:line="360" w:lineRule="auto"/>
        <w:jc w:val="both"/>
        <w:rPr>
          <w:rFonts w:ascii="Arial" w:hAnsi="Arial" w:cs="Arial"/>
        </w:rPr>
      </w:pPr>
    </w:p>
    <w:p w14:paraId="0AE443EC" w14:textId="77777777" w:rsidR="00D15F0D" w:rsidRDefault="00D15F0D" w:rsidP="00F55A4D">
      <w:pPr>
        <w:spacing w:before="240" w:line="360" w:lineRule="auto"/>
        <w:jc w:val="both"/>
        <w:rPr>
          <w:rFonts w:ascii="Arial" w:hAnsi="Arial" w:cs="Arial"/>
        </w:rPr>
      </w:pPr>
    </w:p>
    <w:p w14:paraId="3D9BAE06" w14:textId="77777777" w:rsidR="00D15F0D" w:rsidRPr="00D15F0D" w:rsidRDefault="00D15F0D" w:rsidP="006E5923">
      <w:pPr>
        <w:pStyle w:val="Heading1"/>
      </w:pPr>
      <w:bookmarkStart w:id="8" w:name="_Toc214091443"/>
      <w:r w:rsidRPr="00D15F0D">
        <w:lastRenderedPageBreak/>
        <w:t>Introduction</w:t>
      </w:r>
      <w:bookmarkEnd w:id="8"/>
    </w:p>
    <w:p w14:paraId="186FE78F" w14:textId="77777777" w:rsidR="00D15F0D" w:rsidRPr="00D15F0D" w:rsidRDefault="00D15F0D" w:rsidP="006E5923">
      <w:pPr>
        <w:pStyle w:val="Heading2"/>
      </w:pPr>
      <w:bookmarkStart w:id="9" w:name="_Toc214091444"/>
      <w:r w:rsidRPr="00D15F0D">
        <w:t>Definition and Consequences of the Health Problem</w:t>
      </w:r>
      <w:bookmarkEnd w:id="9"/>
    </w:p>
    <w:p w14:paraId="18132873" w14:textId="0DEC9455" w:rsidR="00D15F0D" w:rsidRDefault="00D15F0D" w:rsidP="00D15F0D">
      <w:pPr>
        <w:spacing w:before="240" w:line="360" w:lineRule="auto"/>
        <w:jc w:val="both"/>
        <w:rPr>
          <w:rFonts w:ascii="Arial" w:hAnsi="Arial" w:cs="Arial"/>
        </w:rPr>
      </w:pPr>
      <w:r w:rsidRPr="00D15F0D">
        <w:rPr>
          <w:rFonts w:ascii="Arial" w:hAnsi="Arial" w:cs="Arial"/>
        </w:rPr>
        <w:t>Type 2 Diabetes Mellitus (T2DM) is a chronic metabolic disorder characterised by insulin resistance and impaired insulin secretion, leading to persistent hyperglycaemia</w:t>
      </w:r>
      <w:r w:rsidR="00AD3238">
        <w:rPr>
          <w:rFonts w:ascii="Arial" w:hAnsi="Arial" w:cs="Arial"/>
        </w:rPr>
        <w:t xml:space="preserve"> (</w:t>
      </w:r>
      <w:r w:rsidR="00AD3238" w:rsidRPr="00AD3238">
        <w:rPr>
          <w:rFonts w:ascii="Arial" w:hAnsi="Arial" w:cs="Arial"/>
        </w:rPr>
        <w:t>Galicia-Garcia</w:t>
      </w:r>
      <w:r w:rsidR="00AD3238">
        <w:rPr>
          <w:rFonts w:ascii="Arial" w:hAnsi="Arial" w:cs="Arial"/>
        </w:rPr>
        <w:t xml:space="preserve"> et al., 2020)</w:t>
      </w:r>
      <w:r w:rsidRPr="00D15F0D">
        <w:rPr>
          <w:rFonts w:ascii="Arial" w:hAnsi="Arial" w:cs="Arial"/>
        </w:rPr>
        <w:t>. The condition generates profound social, cultural, and health consequences. Individuals with T2DM face increased risks of cardiovascular disease, kidney failure, lower-limb amputation, vision loss, and premature mortality</w:t>
      </w:r>
      <w:r w:rsidR="003F6965">
        <w:rPr>
          <w:rFonts w:ascii="Arial" w:hAnsi="Arial" w:cs="Arial"/>
        </w:rPr>
        <w:t xml:space="preserve"> (</w:t>
      </w:r>
      <w:r w:rsidR="003F6965" w:rsidRPr="003F6965">
        <w:rPr>
          <w:rFonts w:ascii="Arial" w:hAnsi="Arial" w:cs="Arial"/>
        </w:rPr>
        <w:t>Pillon</w:t>
      </w:r>
      <w:r w:rsidR="003F6965">
        <w:rPr>
          <w:rFonts w:ascii="Arial" w:hAnsi="Arial" w:cs="Arial"/>
        </w:rPr>
        <w:t xml:space="preserve"> et al., 2021)</w:t>
      </w:r>
      <w:r w:rsidRPr="00D15F0D">
        <w:rPr>
          <w:rFonts w:ascii="Arial" w:hAnsi="Arial" w:cs="Arial"/>
        </w:rPr>
        <w:t>. Socially, T2DM disproportionately affects deprived and ethnic minority communities, influencing employment, household finances, and quality of life. Culturally, dietary patterns, socioeconomic inequities, and behavioural norms strongly influence disease risk and management</w:t>
      </w:r>
      <w:r w:rsidR="001626FF">
        <w:rPr>
          <w:rFonts w:ascii="Arial" w:hAnsi="Arial" w:cs="Arial"/>
        </w:rPr>
        <w:t xml:space="preserve"> (</w:t>
      </w:r>
      <w:r w:rsidR="001626FF" w:rsidRPr="00AD3238">
        <w:rPr>
          <w:rFonts w:ascii="Arial" w:hAnsi="Arial" w:cs="Arial"/>
        </w:rPr>
        <w:t>Galicia-Garcia</w:t>
      </w:r>
      <w:r w:rsidR="001626FF">
        <w:rPr>
          <w:rFonts w:ascii="Arial" w:hAnsi="Arial" w:cs="Arial"/>
        </w:rPr>
        <w:t xml:space="preserve"> et al., 2020)</w:t>
      </w:r>
      <w:r w:rsidRPr="00D15F0D">
        <w:rPr>
          <w:rFonts w:ascii="Arial" w:hAnsi="Arial" w:cs="Arial"/>
        </w:rPr>
        <w:t>.</w:t>
      </w:r>
    </w:p>
    <w:p w14:paraId="65F71AC6" w14:textId="1496A220" w:rsidR="00680901" w:rsidRPr="00D15F0D" w:rsidRDefault="00680901" w:rsidP="00D15F0D">
      <w:pPr>
        <w:spacing w:before="240" w:line="360" w:lineRule="auto"/>
        <w:jc w:val="both"/>
        <w:rPr>
          <w:rFonts w:ascii="Arial" w:hAnsi="Arial" w:cs="Arial"/>
        </w:rPr>
      </w:pPr>
      <w:r>
        <w:rPr>
          <w:noProof/>
        </w:rPr>
        <w:drawing>
          <wp:inline distT="0" distB="0" distL="0" distR="0" wp14:anchorId="5BCACB69" wp14:editId="174BEFF3">
            <wp:extent cx="5731510" cy="2180590"/>
            <wp:effectExtent l="0" t="0" r="2540" b="0"/>
            <wp:docPr id="93674584" name="Picture 1" descr="Type 2 Diabetes Mellitus – Soulitude Health – Physiotherapy – Exercise  Physiology – Pilates- Core Strengthening – Macksville – Nambucca Heads –  Bowraville – NDIS -DVA – Workers Compen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 2 Diabetes Mellitus – Soulitude Health – Physiotherapy – Exercise  Physiology – Pilates- Core Strengthening – Macksville – Nambucca Heads –  Bowraville – NDIS -DVA – Workers Compens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180590"/>
                    </a:xfrm>
                    <a:prstGeom prst="rect">
                      <a:avLst/>
                    </a:prstGeom>
                    <a:noFill/>
                    <a:ln>
                      <a:noFill/>
                    </a:ln>
                  </pic:spPr>
                </pic:pic>
              </a:graphicData>
            </a:graphic>
          </wp:inline>
        </w:drawing>
      </w:r>
    </w:p>
    <w:p w14:paraId="320392E7" w14:textId="77777777" w:rsidR="00D15F0D" w:rsidRPr="00D15F0D" w:rsidRDefault="00D15F0D" w:rsidP="006E5923">
      <w:pPr>
        <w:pStyle w:val="Heading2"/>
      </w:pPr>
      <w:bookmarkStart w:id="10" w:name="_Toc214091445"/>
      <w:r w:rsidRPr="00D15F0D">
        <w:t>Incidence and Prevalence: Global, UK, and Local Burden</w:t>
      </w:r>
      <w:bookmarkEnd w:id="10"/>
    </w:p>
    <w:p w14:paraId="30F7DE06" w14:textId="103671FA" w:rsidR="00442B21" w:rsidRDefault="00442B21" w:rsidP="00D15F0D">
      <w:pPr>
        <w:spacing w:before="240" w:line="360" w:lineRule="auto"/>
        <w:jc w:val="both"/>
        <w:rPr>
          <w:rFonts w:ascii="Arial" w:hAnsi="Arial" w:cs="Arial"/>
        </w:rPr>
      </w:pPr>
      <w:r w:rsidRPr="00442B21">
        <w:rPr>
          <w:rFonts w:ascii="Arial" w:hAnsi="Arial" w:cs="Arial"/>
        </w:rPr>
        <w:t>Globally, type 2 diabetes mellitus (T2DM) has increased sharply and is now considered a major public health epidemic. Current estimates suggest that around 830 million adults are affected worldwide</w:t>
      </w:r>
      <w:r>
        <w:rPr>
          <w:rFonts w:ascii="Arial" w:hAnsi="Arial" w:cs="Arial"/>
        </w:rPr>
        <w:t xml:space="preserve"> (WHO, 2024)</w:t>
      </w:r>
      <w:r w:rsidRPr="00442B21">
        <w:rPr>
          <w:rFonts w:ascii="Arial" w:hAnsi="Arial" w:cs="Arial"/>
        </w:rPr>
        <w:t xml:space="preserve">. More than 440 million of these are estimated to be undiagnosed or untreated, revealing a massive global treatment </w:t>
      </w:r>
      <w:r>
        <w:rPr>
          <w:rFonts w:ascii="Arial" w:hAnsi="Arial" w:cs="Arial"/>
        </w:rPr>
        <w:t>This</w:t>
      </w:r>
      <w:r w:rsidRPr="00442B21">
        <w:rPr>
          <w:rFonts w:ascii="Arial" w:hAnsi="Arial" w:cs="Arial"/>
        </w:rPr>
        <w:t xml:space="preserve"> rise is driven by factors such as urbanisation, dietary changes, obesity, and reduced physical activity</w:t>
      </w:r>
      <w:r w:rsidR="00902C8F">
        <w:rPr>
          <w:rFonts w:ascii="Arial" w:hAnsi="Arial" w:cs="Arial"/>
        </w:rPr>
        <w:t xml:space="preserve"> (WHO, 2024)</w:t>
      </w:r>
      <w:r w:rsidRPr="00442B21">
        <w:rPr>
          <w:rFonts w:ascii="Arial" w:hAnsi="Arial" w:cs="Arial"/>
        </w:rPr>
        <w:t>.</w:t>
      </w:r>
    </w:p>
    <w:p w14:paraId="1CFBF2B1" w14:textId="1C2B9172" w:rsidR="00D15F0D" w:rsidRPr="00442B21" w:rsidRDefault="00442B21" w:rsidP="00D15F0D">
      <w:pPr>
        <w:spacing w:before="240" w:line="360" w:lineRule="auto"/>
        <w:jc w:val="both"/>
        <w:rPr>
          <w:rFonts w:ascii="Arial" w:hAnsi="Arial" w:cs="Arial"/>
        </w:rPr>
      </w:pPr>
      <w:r w:rsidRPr="00442B21">
        <w:rPr>
          <w:rFonts w:ascii="Arial" w:hAnsi="Arial" w:cs="Arial"/>
        </w:rPr>
        <w:t>In the UK, 4.6 million people are now living with a diagnosis of diabetes, of which around 90% are type 2</w:t>
      </w:r>
      <w:r w:rsidR="009B0917">
        <w:rPr>
          <w:rFonts w:ascii="Arial" w:hAnsi="Arial" w:cs="Arial"/>
        </w:rPr>
        <w:t xml:space="preserve"> (Diabetes UK, 2025)</w:t>
      </w:r>
      <w:r w:rsidR="00D15F0D" w:rsidRPr="00442B21">
        <w:rPr>
          <w:rFonts w:ascii="Arial" w:hAnsi="Arial" w:cs="Arial"/>
        </w:rPr>
        <w:t>.</w:t>
      </w:r>
      <w:r w:rsidRPr="00442B21">
        <w:rPr>
          <w:rFonts w:ascii="Arial" w:hAnsi="Arial" w:cs="Arial"/>
        </w:rPr>
        <w:t xml:space="preserve"> Approximately 1.3 million UK adults are estimated to have undiagnosed type 2 diabetes</w:t>
      </w:r>
      <w:r w:rsidR="00D26DD9">
        <w:rPr>
          <w:rFonts w:ascii="Arial" w:hAnsi="Arial" w:cs="Arial"/>
        </w:rPr>
        <w:t xml:space="preserve"> (Diabetes UK, 2025)</w:t>
      </w:r>
      <w:r w:rsidRPr="00442B21">
        <w:rPr>
          <w:rFonts w:ascii="Arial" w:hAnsi="Arial" w:cs="Arial"/>
        </w:rPr>
        <w:t xml:space="preserve">. Overall, one in five UK adults (about 12.2 million) </w:t>
      </w:r>
      <w:r>
        <w:rPr>
          <w:rFonts w:ascii="Arial" w:hAnsi="Arial" w:cs="Arial"/>
        </w:rPr>
        <w:t>is</w:t>
      </w:r>
      <w:r w:rsidRPr="00442B21">
        <w:rPr>
          <w:rFonts w:ascii="Arial" w:hAnsi="Arial" w:cs="Arial"/>
        </w:rPr>
        <w:t xml:space="preserve"> now living with either diabetes or prediabetes</w:t>
      </w:r>
      <w:r w:rsidR="00D46C92">
        <w:rPr>
          <w:rFonts w:ascii="Arial" w:hAnsi="Arial" w:cs="Arial"/>
        </w:rPr>
        <w:t xml:space="preserve"> (Diabetes UK, 2025)</w:t>
      </w:r>
      <w:r w:rsidRPr="00442B21">
        <w:rPr>
          <w:rFonts w:ascii="Arial" w:hAnsi="Arial" w:cs="Arial"/>
        </w:rPr>
        <w:t xml:space="preserve">. In Lambeth, about 5.5% of adults are diagnosed with diabetes </w:t>
      </w:r>
      <w:r w:rsidRPr="00442B21">
        <w:rPr>
          <w:rFonts w:ascii="Arial" w:hAnsi="Arial" w:cs="Arial"/>
        </w:rPr>
        <w:lastRenderedPageBreak/>
        <w:t xml:space="preserve">(≈ 15,948 people), and an estimated 4.7% of adults (over 10,000 people) have undiagnosed </w:t>
      </w:r>
      <w:r w:rsidR="00073B2D">
        <w:rPr>
          <w:rFonts w:ascii="Arial" w:hAnsi="Arial" w:cs="Arial"/>
        </w:rPr>
        <w:t xml:space="preserve">diabetes </w:t>
      </w:r>
      <w:r w:rsidR="003E5487">
        <w:rPr>
          <w:rFonts w:ascii="Arial" w:hAnsi="Arial" w:cs="Arial"/>
        </w:rPr>
        <w:t>(Health Profile for Lambeth, 2022)</w:t>
      </w:r>
      <w:r w:rsidRPr="00442B21">
        <w:rPr>
          <w:rFonts w:ascii="Arial" w:hAnsi="Arial" w:cs="Arial"/>
        </w:rPr>
        <w:t>.</w:t>
      </w:r>
    </w:p>
    <w:p w14:paraId="089A40ED" w14:textId="77777777" w:rsidR="00D15F0D" w:rsidRPr="00D15F0D" w:rsidRDefault="00D15F0D" w:rsidP="006E5923">
      <w:pPr>
        <w:pStyle w:val="Heading1"/>
      </w:pPr>
      <w:bookmarkStart w:id="11" w:name="_Toc214091446"/>
      <w:r w:rsidRPr="00D15F0D">
        <w:t>Main Body</w:t>
      </w:r>
      <w:bookmarkEnd w:id="11"/>
    </w:p>
    <w:p w14:paraId="20B988A9" w14:textId="25D038EB" w:rsidR="00D15F0D" w:rsidRPr="00D15F0D" w:rsidRDefault="00D15F0D" w:rsidP="006E5923">
      <w:pPr>
        <w:pStyle w:val="Heading2"/>
      </w:pPr>
      <w:bookmarkStart w:id="12" w:name="_Toc214091447"/>
      <w:r w:rsidRPr="00D15F0D">
        <w:t>Public Health Measures in Lambeth</w:t>
      </w:r>
      <w:bookmarkEnd w:id="12"/>
      <w:r w:rsidRPr="00D15F0D">
        <w:t xml:space="preserve"> </w:t>
      </w:r>
    </w:p>
    <w:p w14:paraId="08BC7697"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1. Prevention</w:t>
      </w:r>
    </w:p>
    <w:p w14:paraId="411E455D" w14:textId="31EAFBB6" w:rsidR="00D15F0D" w:rsidRPr="00D15F0D" w:rsidRDefault="00D15F0D" w:rsidP="00D15F0D">
      <w:pPr>
        <w:spacing w:before="240" w:line="360" w:lineRule="auto"/>
        <w:jc w:val="both"/>
        <w:rPr>
          <w:rFonts w:ascii="Arial" w:hAnsi="Arial" w:cs="Arial"/>
        </w:rPr>
      </w:pPr>
      <w:r w:rsidRPr="00D15F0D">
        <w:rPr>
          <w:rFonts w:ascii="Arial" w:hAnsi="Arial" w:cs="Arial"/>
        </w:rPr>
        <w:t>Lambeth employs primary and secondary prevention strategies focused on early detection and risk reduction. Programmes include NHS Health Checks targeting adults aged 40–74, lifestyle-modification initiatives promoting weight loss, healthy diets, and physical activity, and culturally tailored interventions for high-risk ethnic communities. Primary care settings use systematic risk assessment tools to identify individuals with prediabetes and initiate early intervention to prevent disease progression</w:t>
      </w:r>
      <w:r w:rsidR="00BB7FD4">
        <w:rPr>
          <w:rFonts w:ascii="Arial" w:hAnsi="Arial" w:cs="Arial"/>
        </w:rPr>
        <w:t xml:space="preserve"> (</w:t>
      </w:r>
      <w:r w:rsidR="00BB7FD4" w:rsidRPr="00BB7FD4">
        <w:rPr>
          <w:rFonts w:ascii="Arial" w:hAnsi="Arial" w:cs="Arial"/>
        </w:rPr>
        <w:t>Davies</w:t>
      </w:r>
      <w:r w:rsidR="00BB7FD4">
        <w:rPr>
          <w:rFonts w:ascii="Arial" w:hAnsi="Arial" w:cs="Arial"/>
        </w:rPr>
        <w:t xml:space="preserve"> et al., 2017)</w:t>
      </w:r>
      <w:r w:rsidRPr="00D15F0D">
        <w:rPr>
          <w:rFonts w:ascii="Arial" w:hAnsi="Arial" w:cs="Arial"/>
        </w:rPr>
        <w:t>.</w:t>
      </w:r>
    </w:p>
    <w:p w14:paraId="4157D7B4"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2. Protection</w:t>
      </w:r>
    </w:p>
    <w:p w14:paraId="61FAE2D7" w14:textId="3C94CD0A" w:rsidR="00D15F0D" w:rsidRPr="00D15F0D" w:rsidRDefault="00D15F0D" w:rsidP="00D15F0D">
      <w:pPr>
        <w:spacing w:before="240" w:line="360" w:lineRule="auto"/>
        <w:jc w:val="both"/>
        <w:rPr>
          <w:rFonts w:ascii="Arial" w:hAnsi="Arial" w:cs="Arial"/>
        </w:rPr>
      </w:pPr>
      <w:r w:rsidRPr="00D15F0D">
        <w:rPr>
          <w:rFonts w:ascii="Arial" w:hAnsi="Arial" w:cs="Arial"/>
        </w:rPr>
        <w:t>Protective measures include structured diabetes education (e.g., DESMOND), routine monitoring of HbA1c, blood pressure, and cholesterol, and evidence-based prescribing to prevent long-term complications</w:t>
      </w:r>
      <w:r w:rsidR="002D7BF0">
        <w:rPr>
          <w:rFonts w:ascii="Arial" w:hAnsi="Arial" w:cs="Arial"/>
        </w:rPr>
        <w:t xml:space="preserve"> (</w:t>
      </w:r>
      <w:r w:rsidR="002D7BF0" w:rsidRPr="00BB7FD4">
        <w:rPr>
          <w:rFonts w:ascii="Arial" w:hAnsi="Arial" w:cs="Arial"/>
        </w:rPr>
        <w:t>Davies</w:t>
      </w:r>
      <w:r w:rsidR="002D7BF0">
        <w:rPr>
          <w:rFonts w:ascii="Arial" w:hAnsi="Arial" w:cs="Arial"/>
        </w:rPr>
        <w:t xml:space="preserve"> et al., 2017)</w:t>
      </w:r>
      <w:r w:rsidRPr="00D15F0D">
        <w:rPr>
          <w:rFonts w:ascii="Arial" w:hAnsi="Arial" w:cs="Arial"/>
        </w:rPr>
        <w:t>. Efforts to improve vaccination coverage</w:t>
      </w:r>
      <w:r w:rsidR="00BB7FD4">
        <w:rPr>
          <w:rFonts w:ascii="Arial" w:hAnsi="Arial" w:cs="Arial"/>
        </w:rPr>
        <w:t xml:space="preserve">, </w:t>
      </w:r>
      <w:r w:rsidRPr="00D15F0D">
        <w:rPr>
          <w:rFonts w:ascii="Arial" w:hAnsi="Arial" w:cs="Arial"/>
        </w:rPr>
        <w:t xml:space="preserve">particularly </w:t>
      </w:r>
      <w:r w:rsidR="00BB7FD4">
        <w:rPr>
          <w:rFonts w:ascii="Arial" w:hAnsi="Arial" w:cs="Arial"/>
        </w:rPr>
        <w:t xml:space="preserve">for influenza and COVID-19 vaccines, help protect individuals with diabetes from infections that are </w:t>
      </w:r>
      <w:r w:rsidRPr="00D15F0D">
        <w:rPr>
          <w:rFonts w:ascii="Arial" w:hAnsi="Arial" w:cs="Arial"/>
        </w:rPr>
        <w:t>associated with increased morbidity. Multidisciplinary teams provide foot-care services to prevent ulceration and amputation</w:t>
      </w:r>
      <w:r w:rsidR="002B5AA7">
        <w:rPr>
          <w:rFonts w:ascii="Arial" w:hAnsi="Arial" w:cs="Arial"/>
        </w:rPr>
        <w:t xml:space="preserve"> (</w:t>
      </w:r>
      <w:r w:rsidR="002B5AA7" w:rsidRPr="002B5AA7">
        <w:rPr>
          <w:rFonts w:ascii="Arial" w:hAnsi="Arial" w:cs="Arial"/>
        </w:rPr>
        <w:t>Ubi</w:t>
      </w:r>
      <w:r w:rsidR="002B5AA7">
        <w:rPr>
          <w:rFonts w:ascii="Arial" w:hAnsi="Arial" w:cs="Arial"/>
        </w:rPr>
        <w:t>, 2019)</w:t>
      </w:r>
      <w:r w:rsidRPr="00D15F0D">
        <w:rPr>
          <w:rFonts w:ascii="Arial" w:hAnsi="Arial" w:cs="Arial"/>
        </w:rPr>
        <w:t>.</w:t>
      </w:r>
    </w:p>
    <w:p w14:paraId="70DD32C3"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3. Promotion</w:t>
      </w:r>
    </w:p>
    <w:p w14:paraId="73835C01" w14:textId="7A334E27" w:rsidR="00D15F0D" w:rsidRPr="00D15F0D" w:rsidRDefault="00D15F0D" w:rsidP="00D15F0D">
      <w:pPr>
        <w:spacing w:before="240" w:line="360" w:lineRule="auto"/>
        <w:jc w:val="both"/>
        <w:rPr>
          <w:rFonts w:ascii="Arial" w:hAnsi="Arial" w:cs="Arial"/>
        </w:rPr>
      </w:pPr>
      <w:r w:rsidRPr="00D15F0D">
        <w:rPr>
          <w:rFonts w:ascii="Arial" w:hAnsi="Arial" w:cs="Arial"/>
        </w:rPr>
        <w:t>Health promotion in Lambeth focuses on improving awareness of diabetes symptoms, risk factors, and healthy lifestyle behaviours. Campaigns target schools, community centres, and faith groups to ensure culturally relevant engagement</w:t>
      </w:r>
      <w:r w:rsidR="002D7BF0">
        <w:rPr>
          <w:rFonts w:ascii="Arial" w:hAnsi="Arial" w:cs="Arial"/>
        </w:rPr>
        <w:t xml:space="preserve"> (</w:t>
      </w:r>
      <w:r w:rsidR="002D7BF0" w:rsidRPr="002B5AA7">
        <w:rPr>
          <w:rFonts w:ascii="Arial" w:hAnsi="Arial" w:cs="Arial"/>
        </w:rPr>
        <w:t>Ubi</w:t>
      </w:r>
      <w:r w:rsidR="002D7BF0">
        <w:rPr>
          <w:rFonts w:ascii="Arial" w:hAnsi="Arial" w:cs="Arial"/>
        </w:rPr>
        <w:t>, 2019)</w:t>
      </w:r>
      <w:r w:rsidRPr="00D15F0D">
        <w:rPr>
          <w:rFonts w:ascii="Arial" w:hAnsi="Arial" w:cs="Arial"/>
        </w:rPr>
        <w:t>. There is significant emphasis on self-management, digital health solutions, and empowering residents through community-led support networks</w:t>
      </w:r>
      <w:r w:rsidR="002D7BF0">
        <w:rPr>
          <w:rFonts w:ascii="Arial" w:hAnsi="Arial" w:cs="Arial"/>
        </w:rPr>
        <w:t xml:space="preserve"> (</w:t>
      </w:r>
      <w:r w:rsidR="002D7BF0" w:rsidRPr="00BB7FD4">
        <w:rPr>
          <w:rFonts w:ascii="Arial" w:hAnsi="Arial" w:cs="Arial"/>
        </w:rPr>
        <w:t>Davies</w:t>
      </w:r>
      <w:r w:rsidR="002D7BF0">
        <w:rPr>
          <w:rFonts w:ascii="Arial" w:hAnsi="Arial" w:cs="Arial"/>
        </w:rPr>
        <w:t xml:space="preserve"> et al., 2017)</w:t>
      </w:r>
      <w:r w:rsidRPr="00D15F0D">
        <w:rPr>
          <w:rFonts w:ascii="Arial" w:hAnsi="Arial" w:cs="Arial"/>
        </w:rPr>
        <w:t>.</w:t>
      </w:r>
    </w:p>
    <w:p w14:paraId="116D89BA" w14:textId="77777777" w:rsidR="00D15F0D" w:rsidRPr="00D15F0D" w:rsidRDefault="00D15F0D" w:rsidP="006E5923">
      <w:pPr>
        <w:pStyle w:val="Heading2"/>
      </w:pPr>
      <w:bookmarkStart w:id="13" w:name="_Toc214091448"/>
      <w:r w:rsidRPr="00D15F0D">
        <w:t>Key Determinants and Risk Factors</w:t>
      </w:r>
      <w:bookmarkEnd w:id="13"/>
    </w:p>
    <w:p w14:paraId="324965AF" w14:textId="77777777" w:rsidR="00D15F0D" w:rsidRPr="00D15F0D" w:rsidRDefault="00D15F0D" w:rsidP="00D15F0D">
      <w:pPr>
        <w:spacing w:before="240" w:line="360" w:lineRule="auto"/>
        <w:jc w:val="both"/>
        <w:rPr>
          <w:rFonts w:ascii="Arial" w:hAnsi="Arial" w:cs="Arial"/>
        </w:rPr>
      </w:pPr>
      <w:r w:rsidRPr="00D15F0D">
        <w:rPr>
          <w:rFonts w:ascii="Arial" w:hAnsi="Arial" w:cs="Arial"/>
        </w:rPr>
        <w:t>T2DM is shaped by a complex interplay of biological, behavioural, and social determinants:</w:t>
      </w:r>
    </w:p>
    <w:p w14:paraId="44CEBE7E" w14:textId="108A7FB5" w:rsidR="00D15F0D" w:rsidRPr="00D15F0D" w:rsidRDefault="00D15F0D" w:rsidP="00D15F0D">
      <w:pPr>
        <w:numPr>
          <w:ilvl w:val="0"/>
          <w:numId w:val="1"/>
        </w:numPr>
        <w:tabs>
          <w:tab w:val="clear" w:pos="360"/>
          <w:tab w:val="num" w:pos="720"/>
        </w:tabs>
        <w:spacing w:before="240" w:line="360" w:lineRule="auto"/>
        <w:jc w:val="both"/>
        <w:rPr>
          <w:rFonts w:ascii="Arial" w:hAnsi="Arial" w:cs="Arial"/>
        </w:rPr>
      </w:pPr>
      <w:r w:rsidRPr="00D15F0D">
        <w:rPr>
          <w:rFonts w:ascii="Arial" w:hAnsi="Arial" w:cs="Arial"/>
          <w:b/>
          <w:bCs/>
        </w:rPr>
        <w:lastRenderedPageBreak/>
        <w:t>Biological factors:</w:t>
      </w:r>
      <w:r w:rsidRPr="00D15F0D">
        <w:rPr>
          <w:rFonts w:ascii="Arial" w:hAnsi="Arial" w:cs="Arial"/>
        </w:rPr>
        <w:t xml:space="preserve"> older age, family history of diabetes, </w:t>
      </w:r>
      <w:r>
        <w:rPr>
          <w:rFonts w:ascii="Arial" w:hAnsi="Arial" w:cs="Arial"/>
        </w:rPr>
        <w:t xml:space="preserve">and </w:t>
      </w:r>
      <w:r w:rsidRPr="00D15F0D">
        <w:rPr>
          <w:rFonts w:ascii="Arial" w:hAnsi="Arial" w:cs="Arial"/>
        </w:rPr>
        <w:t>genetic predisposition among Black and South Asian groups</w:t>
      </w:r>
      <w:r w:rsidR="00DF3C02">
        <w:rPr>
          <w:rFonts w:ascii="Arial" w:hAnsi="Arial" w:cs="Arial"/>
        </w:rPr>
        <w:t xml:space="preserve"> (</w:t>
      </w:r>
      <w:r w:rsidR="00DF3C02" w:rsidRPr="00DF3C02">
        <w:rPr>
          <w:rFonts w:ascii="Arial" w:hAnsi="Arial" w:cs="Arial"/>
        </w:rPr>
        <w:t>Richards</w:t>
      </w:r>
      <w:r w:rsidR="00DF3C02">
        <w:rPr>
          <w:rFonts w:ascii="Arial" w:hAnsi="Arial" w:cs="Arial"/>
        </w:rPr>
        <w:t xml:space="preserve"> et al., 2022)</w:t>
      </w:r>
      <w:r w:rsidRPr="00D15F0D">
        <w:rPr>
          <w:rFonts w:ascii="Arial" w:hAnsi="Arial" w:cs="Arial"/>
        </w:rPr>
        <w:t>.</w:t>
      </w:r>
    </w:p>
    <w:p w14:paraId="4A6ED265" w14:textId="0D9EAEBA" w:rsidR="00D15F0D" w:rsidRPr="00D15F0D" w:rsidRDefault="00D15F0D" w:rsidP="00D15F0D">
      <w:pPr>
        <w:numPr>
          <w:ilvl w:val="0"/>
          <w:numId w:val="1"/>
        </w:numPr>
        <w:tabs>
          <w:tab w:val="clear" w:pos="360"/>
          <w:tab w:val="num" w:pos="720"/>
        </w:tabs>
        <w:spacing w:before="240" w:line="360" w:lineRule="auto"/>
        <w:jc w:val="both"/>
        <w:rPr>
          <w:rFonts w:ascii="Arial" w:hAnsi="Arial" w:cs="Arial"/>
        </w:rPr>
      </w:pPr>
      <w:r w:rsidRPr="00D15F0D">
        <w:rPr>
          <w:rFonts w:ascii="Arial" w:hAnsi="Arial" w:cs="Arial"/>
          <w:b/>
          <w:bCs/>
        </w:rPr>
        <w:t>Behavioural factors:</w:t>
      </w:r>
      <w:r w:rsidRPr="00D15F0D">
        <w:rPr>
          <w:rFonts w:ascii="Arial" w:hAnsi="Arial" w:cs="Arial"/>
        </w:rPr>
        <w:t xml:space="preserve"> high-calorie diets, physical inactivity, low fruit and vegetable intake, and smoking</w:t>
      </w:r>
      <w:r w:rsidR="00580EE6">
        <w:rPr>
          <w:rFonts w:ascii="Arial" w:hAnsi="Arial" w:cs="Arial"/>
        </w:rPr>
        <w:t xml:space="preserve"> (</w:t>
      </w:r>
      <w:r w:rsidR="00580EE6" w:rsidRPr="00DF3C02">
        <w:rPr>
          <w:rFonts w:ascii="Arial" w:hAnsi="Arial" w:cs="Arial"/>
        </w:rPr>
        <w:t>Richards</w:t>
      </w:r>
      <w:r w:rsidR="00580EE6">
        <w:rPr>
          <w:rFonts w:ascii="Arial" w:hAnsi="Arial" w:cs="Arial"/>
        </w:rPr>
        <w:t xml:space="preserve"> et al., 2022)</w:t>
      </w:r>
      <w:r w:rsidRPr="00D15F0D">
        <w:rPr>
          <w:rFonts w:ascii="Arial" w:hAnsi="Arial" w:cs="Arial"/>
        </w:rPr>
        <w:t>.</w:t>
      </w:r>
    </w:p>
    <w:p w14:paraId="188A58BE" w14:textId="276011E8" w:rsidR="00D15F0D" w:rsidRPr="00D15F0D" w:rsidRDefault="00D15F0D" w:rsidP="00D15F0D">
      <w:pPr>
        <w:numPr>
          <w:ilvl w:val="0"/>
          <w:numId w:val="1"/>
        </w:numPr>
        <w:tabs>
          <w:tab w:val="clear" w:pos="360"/>
          <w:tab w:val="num" w:pos="720"/>
        </w:tabs>
        <w:spacing w:before="240" w:line="360" w:lineRule="auto"/>
        <w:jc w:val="both"/>
        <w:rPr>
          <w:rFonts w:ascii="Arial" w:hAnsi="Arial" w:cs="Arial"/>
        </w:rPr>
      </w:pPr>
      <w:r w:rsidRPr="00D15F0D">
        <w:rPr>
          <w:rFonts w:ascii="Arial" w:hAnsi="Arial" w:cs="Arial"/>
          <w:b/>
          <w:bCs/>
        </w:rPr>
        <w:t>Social determinants:</w:t>
      </w:r>
      <w:r w:rsidRPr="00D15F0D">
        <w:rPr>
          <w:rFonts w:ascii="Arial" w:hAnsi="Arial" w:cs="Arial"/>
        </w:rPr>
        <w:t xml:space="preserve"> poverty, insecure housing, limited access to healthy food, and reduced access to preventive healthcare</w:t>
      </w:r>
      <w:r w:rsidR="00580EE6">
        <w:rPr>
          <w:rFonts w:ascii="Arial" w:hAnsi="Arial" w:cs="Arial"/>
        </w:rPr>
        <w:t xml:space="preserve"> (</w:t>
      </w:r>
      <w:r w:rsidR="00580EE6" w:rsidRPr="00DF3C02">
        <w:rPr>
          <w:rFonts w:ascii="Arial" w:hAnsi="Arial" w:cs="Arial"/>
        </w:rPr>
        <w:t>Richards</w:t>
      </w:r>
      <w:r w:rsidR="00580EE6">
        <w:rPr>
          <w:rFonts w:ascii="Arial" w:hAnsi="Arial" w:cs="Arial"/>
        </w:rPr>
        <w:t xml:space="preserve"> et al., 2022)</w:t>
      </w:r>
      <w:r w:rsidRPr="00D15F0D">
        <w:rPr>
          <w:rFonts w:ascii="Arial" w:hAnsi="Arial" w:cs="Arial"/>
        </w:rPr>
        <w:t>.</w:t>
      </w:r>
    </w:p>
    <w:p w14:paraId="0E7B21A8" w14:textId="0F038185" w:rsidR="00D15F0D" w:rsidRPr="00D15F0D" w:rsidRDefault="00D15F0D" w:rsidP="00D15F0D">
      <w:pPr>
        <w:numPr>
          <w:ilvl w:val="0"/>
          <w:numId w:val="1"/>
        </w:numPr>
        <w:tabs>
          <w:tab w:val="clear" w:pos="360"/>
          <w:tab w:val="num" w:pos="720"/>
        </w:tabs>
        <w:spacing w:before="240" w:line="360" w:lineRule="auto"/>
        <w:jc w:val="both"/>
        <w:rPr>
          <w:rFonts w:ascii="Arial" w:hAnsi="Arial" w:cs="Arial"/>
        </w:rPr>
      </w:pPr>
      <w:r w:rsidRPr="00D15F0D">
        <w:rPr>
          <w:rFonts w:ascii="Arial" w:hAnsi="Arial" w:cs="Arial"/>
          <w:b/>
          <w:bCs/>
        </w:rPr>
        <w:t>Environmental factors:</w:t>
      </w:r>
      <w:r w:rsidRPr="00D15F0D">
        <w:rPr>
          <w:rFonts w:ascii="Arial" w:hAnsi="Arial" w:cs="Arial"/>
        </w:rPr>
        <w:t xml:space="preserve"> urban density, limited green spaces, marketing of unhealthy foods, and physical barriers to active living</w:t>
      </w:r>
      <w:r w:rsidR="00580EE6">
        <w:rPr>
          <w:rFonts w:ascii="Arial" w:hAnsi="Arial" w:cs="Arial"/>
        </w:rPr>
        <w:t xml:space="preserve"> (</w:t>
      </w:r>
      <w:r w:rsidR="00580EE6" w:rsidRPr="00DF3C02">
        <w:rPr>
          <w:rFonts w:ascii="Arial" w:hAnsi="Arial" w:cs="Arial"/>
        </w:rPr>
        <w:t>Richards</w:t>
      </w:r>
      <w:r w:rsidR="00580EE6">
        <w:rPr>
          <w:rFonts w:ascii="Arial" w:hAnsi="Arial" w:cs="Arial"/>
        </w:rPr>
        <w:t xml:space="preserve"> et al., 2022)</w:t>
      </w:r>
      <w:r w:rsidRPr="00D15F0D">
        <w:rPr>
          <w:rFonts w:ascii="Arial" w:hAnsi="Arial" w:cs="Arial"/>
        </w:rPr>
        <w:t>.</w:t>
      </w:r>
    </w:p>
    <w:p w14:paraId="7B82FD86" w14:textId="7F3340D9" w:rsidR="00D15F0D" w:rsidRPr="00D15F0D" w:rsidRDefault="00D15F0D" w:rsidP="00D15F0D">
      <w:pPr>
        <w:spacing w:before="240" w:line="360" w:lineRule="auto"/>
        <w:jc w:val="both"/>
        <w:rPr>
          <w:rFonts w:ascii="Arial" w:hAnsi="Arial" w:cs="Arial"/>
        </w:rPr>
      </w:pPr>
      <w:r w:rsidRPr="00D15F0D">
        <w:rPr>
          <w:rFonts w:ascii="Arial" w:hAnsi="Arial" w:cs="Arial"/>
        </w:rPr>
        <w:t xml:space="preserve">In Lambeth, these determinants are strongly influenced by socioeconomic deprivation and ethnic inequalities, </w:t>
      </w:r>
      <w:r w:rsidR="00747859">
        <w:rPr>
          <w:rFonts w:ascii="Arial" w:hAnsi="Arial" w:cs="Arial"/>
        </w:rPr>
        <w:t>resulting in higher T2DM rates than the national average</w:t>
      </w:r>
      <w:r w:rsidRPr="00D15F0D">
        <w:rPr>
          <w:rFonts w:ascii="Arial" w:hAnsi="Arial" w:cs="Arial"/>
        </w:rPr>
        <w:t>.</w:t>
      </w:r>
    </w:p>
    <w:p w14:paraId="6B450A65" w14:textId="77777777" w:rsidR="00D15F0D" w:rsidRPr="00D15F0D" w:rsidRDefault="00D15F0D" w:rsidP="006E5923">
      <w:pPr>
        <w:pStyle w:val="Heading2"/>
      </w:pPr>
      <w:bookmarkStart w:id="14" w:name="_Toc214091449"/>
      <w:r w:rsidRPr="00D15F0D">
        <w:t>Using Epidemiological Studies and Health Needs Assessment (HNA) to Identify At-Risk Groups</w:t>
      </w:r>
      <w:bookmarkEnd w:id="14"/>
    </w:p>
    <w:p w14:paraId="15DD8FCD" w14:textId="77777777" w:rsidR="0071668C" w:rsidRDefault="00D15F0D" w:rsidP="00D15F0D">
      <w:pPr>
        <w:spacing w:before="240" w:line="360" w:lineRule="auto"/>
        <w:jc w:val="both"/>
        <w:rPr>
          <w:rFonts w:ascii="Arial" w:hAnsi="Arial" w:cs="Arial"/>
        </w:rPr>
      </w:pPr>
      <w:r w:rsidRPr="00D15F0D">
        <w:rPr>
          <w:rFonts w:ascii="Arial" w:hAnsi="Arial" w:cs="Arial"/>
        </w:rPr>
        <w:t>Epidemiological studies conducted in urban multicultural settings, including South London, consistently show elevated T2DM incidence among Black African, Black Caribbean, and South Asian populations, who tend to experience earlier onset and higher rates of complications</w:t>
      </w:r>
      <w:r w:rsidR="009F6933">
        <w:rPr>
          <w:rFonts w:ascii="Arial" w:hAnsi="Arial" w:cs="Arial"/>
        </w:rPr>
        <w:t xml:space="preserve"> (</w:t>
      </w:r>
      <w:r w:rsidR="009F6933" w:rsidRPr="009F6933">
        <w:rPr>
          <w:rFonts w:ascii="Arial" w:hAnsi="Arial" w:cs="Arial"/>
        </w:rPr>
        <w:t>Gray</w:t>
      </w:r>
      <w:r w:rsidR="009F6933">
        <w:rPr>
          <w:rFonts w:ascii="Arial" w:hAnsi="Arial" w:cs="Arial"/>
        </w:rPr>
        <w:t>, 2020)</w:t>
      </w:r>
      <w:r w:rsidRPr="00D15F0D">
        <w:rPr>
          <w:rFonts w:ascii="Arial" w:hAnsi="Arial" w:cs="Arial"/>
        </w:rPr>
        <w:t>. Health Needs Assessments in Lambeth reinforce these patterns by identifying adults aged 40 and over living in deprived wards such as Brixton, Streatham, and Norwood, as well as ethnic minority communities with genetic vulnerability and diet-related cultural risk factors, as groups at heightened risk</w:t>
      </w:r>
      <w:r w:rsidR="00F648BC">
        <w:rPr>
          <w:rFonts w:ascii="Arial" w:hAnsi="Arial" w:cs="Arial"/>
        </w:rPr>
        <w:t xml:space="preserve"> (</w:t>
      </w:r>
      <w:r w:rsidR="00F648BC" w:rsidRPr="00F648BC">
        <w:rPr>
          <w:rFonts w:ascii="Arial" w:hAnsi="Arial" w:cs="Arial"/>
        </w:rPr>
        <w:t>Watkinson</w:t>
      </w:r>
      <w:r w:rsidR="00F648BC">
        <w:rPr>
          <w:rFonts w:ascii="Arial" w:hAnsi="Arial" w:cs="Arial"/>
        </w:rPr>
        <w:t xml:space="preserve"> et al., 2024)</w:t>
      </w:r>
      <w:r w:rsidRPr="00D15F0D">
        <w:rPr>
          <w:rFonts w:ascii="Arial" w:hAnsi="Arial" w:cs="Arial"/>
        </w:rPr>
        <w:t xml:space="preserve">. </w:t>
      </w:r>
    </w:p>
    <w:p w14:paraId="1E1C0097" w14:textId="4BA50C81" w:rsidR="00D15F0D" w:rsidRDefault="00D15F0D" w:rsidP="00D15F0D">
      <w:pPr>
        <w:spacing w:before="240" w:line="360" w:lineRule="auto"/>
        <w:jc w:val="both"/>
        <w:rPr>
          <w:rFonts w:ascii="Arial" w:hAnsi="Arial" w:cs="Arial"/>
        </w:rPr>
      </w:pPr>
      <w:r w:rsidRPr="00D15F0D">
        <w:rPr>
          <w:rFonts w:ascii="Arial" w:hAnsi="Arial" w:cs="Arial"/>
        </w:rPr>
        <w:t>They also highlight individuals living with obesity, hypertension, or prediabetes, alongside those facing low income, insecure employment, or limited access to healthcare services, as particularly affected</w:t>
      </w:r>
      <w:r w:rsidR="00FF1DAE">
        <w:rPr>
          <w:rFonts w:ascii="Arial" w:hAnsi="Arial" w:cs="Arial"/>
        </w:rPr>
        <w:t xml:space="preserve"> (</w:t>
      </w:r>
      <w:r w:rsidR="00FF1DAE" w:rsidRPr="009F6933">
        <w:rPr>
          <w:rFonts w:ascii="Arial" w:hAnsi="Arial" w:cs="Arial"/>
        </w:rPr>
        <w:t>Gray</w:t>
      </w:r>
      <w:r w:rsidR="00FF1DAE">
        <w:rPr>
          <w:rFonts w:ascii="Arial" w:hAnsi="Arial" w:cs="Arial"/>
        </w:rPr>
        <w:t>, 2020)</w:t>
      </w:r>
      <w:r w:rsidRPr="00D15F0D">
        <w:rPr>
          <w:rFonts w:ascii="Arial" w:hAnsi="Arial" w:cs="Arial"/>
        </w:rPr>
        <w:t>. Furthermore, residents experiencing poor mental health or chronic stress are recognised as having increased susceptibility</w:t>
      </w:r>
      <w:r w:rsidR="006605D3">
        <w:rPr>
          <w:rFonts w:ascii="Arial" w:hAnsi="Arial" w:cs="Arial"/>
        </w:rPr>
        <w:t xml:space="preserve"> (</w:t>
      </w:r>
      <w:r w:rsidR="006605D3" w:rsidRPr="00F648BC">
        <w:rPr>
          <w:rFonts w:ascii="Arial" w:hAnsi="Arial" w:cs="Arial"/>
        </w:rPr>
        <w:t>Watkinson</w:t>
      </w:r>
      <w:r w:rsidR="006605D3">
        <w:rPr>
          <w:rFonts w:ascii="Arial" w:hAnsi="Arial" w:cs="Arial"/>
        </w:rPr>
        <w:t xml:space="preserve"> et al., 2024)</w:t>
      </w:r>
      <w:r w:rsidRPr="00D15F0D">
        <w:rPr>
          <w:rFonts w:ascii="Arial" w:hAnsi="Arial" w:cs="Arial"/>
        </w:rPr>
        <w:t>. Together, this evidence supports targeted resource allocation and prioritisation of high-risk groups for screening, prevention, and intervention programmes</w:t>
      </w:r>
      <w:r w:rsidR="006605D3">
        <w:rPr>
          <w:rFonts w:ascii="Arial" w:hAnsi="Arial" w:cs="Arial"/>
        </w:rPr>
        <w:t xml:space="preserve"> (</w:t>
      </w:r>
      <w:r w:rsidR="006605D3" w:rsidRPr="009F6933">
        <w:rPr>
          <w:rFonts w:ascii="Arial" w:hAnsi="Arial" w:cs="Arial"/>
        </w:rPr>
        <w:t>Gray</w:t>
      </w:r>
      <w:r w:rsidR="006605D3">
        <w:rPr>
          <w:rFonts w:ascii="Arial" w:hAnsi="Arial" w:cs="Arial"/>
        </w:rPr>
        <w:t>, 2020)</w:t>
      </w:r>
      <w:r w:rsidRPr="00D15F0D">
        <w:rPr>
          <w:rFonts w:ascii="Arial" w:hAnsi="Arial" w:cs="Arial"/>
        </w:rPr>
        <w:t>.</w:t>
      </w:r>
    </w:p>
    <w:p w14:paraId="09EE57F1" w14:textId="443AC81E" w:rsidR="00D15F0D" w:rsidRPr="00D15F0D" w:rsidRDefault="00D15F0D" w:rsidP="006E5923">
      <w:pPr>
        <w:pStyle w:val="Heading2"/>
      </w:pPr>
      <w:bookmarkStart w:id="15" w:name="_Toc214091450"/>
      <w:r w:rsidRPr="00D15F0D">
        <w:t>Public Health Approaches and Surveillance Systems Used in Lambeth</w:t>
      </w:r>
      <w:bookmarkEnd w:id="15"/>
    </w:p>
    <w:p w14:paraId="17B0814F" w14:textId="77777777" w:rsidR="00D15F0D" w:rsidRPr="00D15F0D" w:rsidRDefault="00D15F0D" w:rsidP="00D15F0D">
      <w:pPr>
        <w:spacing w:before="240" w:line="360" w:lineRule="auto"/>
        <w:jc w:val="both"/>
        <w:rPr>
          <w:rFonts w:ascii="Arial" w:hAnsi="Arial" w:cs="Arial"/>
        </w:rPr>
      </w:pPr>
      <w:r w:rsidRPr="00D15F0D">
        <w:rPr>
          <w:rFonts w:ascii="Arial" w:hAnsi="Arial" w:cs="Arial"/>
        </w:rPr>
        <w:t>Lambeth relies on multiple surveillance and monitoring systems to track diabetes incidence, prevalence, and outcomes:</w:t>
      </w:r>
    </w:p>
    <w:p w14:paraId="695D757C" w14:textId="13C896AF" w:rsidR="00D15F0D" w:rsidRPr="00D15F0D" w:rsidRDefault="00D15F0D" w:rsidP="00D15F0D">
      <w:pPr>
        <w:numPr>
          <w:ilvl w:val="0"/>
          <w:numId w:val="3"/>
        </w:numPr>
        <w:tabs>
          <w:tab w:val="clear" w:pos="360"/>
          <w:tab w:val="num" w:pos="720"/>
        </w:tabs>
        <w:spacing w:before="240" w:line="360" w:lineRule="auto"/>
        <w:jc w:val="both"/>
        <w:rPr>
          <w:rFonts w:ascii="Arial" w:hAnsi="Arial" w:cs="Arial"/>
        </w:rPr>
      </w:pPr>
      <w:r w:rsidRPr="00D15F0D">
        <w:rPr>
          <w:rFonts w:ascii="Arial" w:hAnsi="Arial" w:cs="Arial"/>
          <w:b/>
          <w:bCs/>
        </w:rPr>
        <w:lastRenderedPageBreak/>
        <w:t>Primary care data systems (GP registers):</w:t>
      </w:r>
      <w:r w:rsidRPr="00D15F0D">
        <w:rPr>
          <w:rFonts w:ascii="Arial" w:hAnsi="Arial" w:cs="Arial"/>
        </w:rPr>
        <w:t xml:space="preserve"> provide real-time monitoring of diagnosed cases and risk groups</w:t>
      </w:r>
      <w:r w:rsidR="001D2894">
        <w:rPr>
          <w:rFonts w:ascii="Arial" w:hAnsi="Arial" w:cs="Arial"/>
        </w:rPr>
        <w:t xml:space="preserve"> (</w:t>
      </w:r>
      <w:proofErr w:type="spellStart"/>
      <w:r w:rsidR="001D2894" w:rsidRPr="001D2894">
        <w:rPr>
          <w:rFonts w:ascii="Arial" w:hAnsi="Arial" w:cs="Arial"/>
        </w:rPr>
        <w:t>Kamusheva</w:t>
      </w:r>
      <w:proofErr w:type="spellEnd"/>
      <w:r w:rsidR="001D2894">
        <w:rPr>
          <w:rFonts w:ascii="Arial" w:hAnsi="Arial" w:cs="Arial"/>
        </w:rPr>
        <w:t xml:space="preserve"> et al., 2021)</w:t>
      </w:r>
      <w:r w:rsidRPr="00D15F0D">
        <w:rPr>
          <w:rFonts w:ascii="Arial" w:hAnsi="Arial" w:cs="Arial"/>
        </w:rPr>
        <w:t>.</w:t>
      </w:r>
    </w:p>
    <w:p w14:paraId="41710252" w14:textId="3B82E6C2" w:rsidR="00D15F0D" w:rsidRPr="00D15F0D" w:rsidRDefault="00D15F0D" w:rsidP="00D15F0D">
      <w:pPr>
        <w:numPr>
          <w:ilvl w:val="0"/>
          <w:numId w:val="3"/>
        </w:numPr>
        <w:tabs>
          <w:tab w:val="clear" w:pos="360"/>
          <w:tab w:val="num" w:pos="720"/>
        </w:tabs>
        <w:spacing w:before="240" w:line="360" w:lineRule="auto"/>
        <w:jc w:val="both"/>
        <w:rPr>
          <w:rFonts w:ascii="Arial" w:hAnsi="Arial" w:cs="Arial"/>
        </w:rPr>
      </w:pPr>
      <w:r w:rsidRPr="00D15F0D">
        <w:rPr>
          <w:rFonts w:ascii="Arial" w:hAnsi="Arial" w:cs="Arial"/>
          <w:b/>
          <w:bCs/>
        </w:rPr>
        <w:t>Public Health England/UKHSA surveillance:</w:t>
      </w:r>
      <w:r w:rsidRPr="00D15F0D">
        <w:rPr>
          <w:rFonts w:ascii="Arial" w:hAnsi="Arial" w:cs="Arial"/>
        </w:rPr>
        <w:t xml:space="preserve"> offers regional comparisons, trend analysis, and demographic breakdowns</w:t>
      </w:r>
      <w:r w:rsidR="0067735C">
        <w:rPr>
          <w:rFonts w:ascii="Arial" w:hAnsi="Arial" w:cs="Arial"/>
        </w:rPr>
        <w:t xml:space="preserve"> (</w:t>
      </w:r>
      <w:proofErr w:type="spellStart"/>
      <w:r w:rsidR="0067735C" w:rsidRPr="001D2894">
        <w:rPr>
          <w:rFonts w:ascii="Arial" w:hAnsi="Arial" w:cs="Arial"/>
        </w:rPr>
        <w:t>Kamusheva</w:t>
      </w:r>
      <w:proofErr w:type="spellEnd"/>
      <w:r w:rsidR="0067735C">
        <w:rPr>
          <w:rFonts w:ascii="Arial" w:hAnsi="Arial" w:cs="Arial"/>
        </w:rPr>
        <w:t xml:space="preserve"> et al., 2021)</w:t>
      </w:r>
      <w:r w:rsidR="0067735C" w:rsidRPr="00D15F0D">
        <w:rPr>
          <w:rFonts w:ascii="Arial" w:hAnsi="Arial" w:cs="Arial"/>
        </w:rPr>
        <w:t>.</w:t>
      </w:r>
    </w:p>
    <w:p w14:paraId="2772C953" w14:textId="01F0409C" w:rsidR="00D15F0D" w:rsidRPr="00D15F0D" w:rsidRDefault="00D15F0D" w:rsidP="00D15F0D">
      <w:pPr>
        <w:numPr>
          <w:ilvl w:val="0"/>
          <w:numId w:val="3"/>
        </w:numPr>
        <w:tabs>
          <w:tab w:val="clear" w:pos="360"/>
          <w:tab w:val="num" w:pos="720"/>
        </w:tabs>
        <w:spacing w:before="240" w:line="360" w:lineRule="auto"/>
        <w:jc w:val="both"/>
        <w:rPr>
          <w:rFonts w:ascii="Arial" w:hAnsi="Arial" w:cs="Arial"/>
        </w:rPr>
      </w:pPr>
      <w:r w:rsidRPr="00D15F0D">
        <w:rPr>
          <w:rFonts w:ascii="Arial" w:hAnsi="Arial" w:cs="Arial"/>
          <w:b/>
          <w:bCs/>
        </w:rPr>
        <w:t>National Diabetes Audit (NDA):</w:t>
      </w:r>
      <w:r w:rsidRPr="00D15F0D">
        <w:rPr>
          <w:rFonts w:ascii="Arial" w:hAnsi="Arial" w:cs="Arial"/>
        </w:rPr>
        <w:t xml:space="preserve"> monitors quality of care, treatment outcomes, complications, and inequalities</w:t>
      </w:r>
      <w:r w:rsidR="0067735C">
        <w:rPr>
          <w:rFonts w:ascii="Arial" w:hAnsi="Arial" w:cs="Arial"/>
        </w:rPr>
        <w:t xml:space="preserve"> (</w:t>
      </w:r>
      <w:r w:rsidR="0067735C" w:rsidRPr="00F648BC">
        <w:rPr>
          <w:rFonts w:ascii="Arial" w:hAnsi="Arial" w:cs="Arial"/>
        </w:rPr>
        <w:t>Watkinson</w:t>
      </w:r>
      <w:r w:rsidR="0067735C">
        <w:rPr>
          <w:rFonts w:ascii="Arial" w:hAnsi="Arial" w:cs="Arial"/>
        </w:rPr>
        <w:t xml:space="preserve"> et al., 2024)</w:t>
      </w:r>
      <w:r w:rsidRPr="00D15F0D">
        <w:rPr>
          <w:rFonts w:ascii="Arial" w:hAnsi="Arial" w:cs="Arial"/>
        </w:rPr>
        <w:t>.</w:t>
      </w:r>
    </w:p>
    <w:p w14:paraId="79A23E34" w14:textId="0E27879B" w:rsidR="00D15F0D" w:rsidRPr="00D15F0D" w:rsidRDefault="00D15F0D" w:rsidP="00D15F0D">
      <w:pPr>
        <w:numPr>
          <w:ilvl w:val="0"/>
          <w:numId w:val="3"/>
        </w:numPr>
        <w:tabs>
          <w:tab w:val="clear" w:pos="360"/>
          <w:tab w:val="num" w:pos="720"/>
        </w:tabs>
        <w:spacing w:before="240" w:line="360" w:lineRule="auto"/>
        <w:jc w:val="both"/>
        <w:rPr>
          <w:rFonts w:ascii="Arial" w:hAnsi="Arial" w:cs="Arial"/>
        </w:rPr>
      </w:pPr>
      <w:r w:rsidRPr="00D15F0D">
        <w:rPr>
          <w:rFonts w:ascii="Arial" w:hAnsi="Arial" w:cs="Arial"/>
          <w:b/>
          <w:bCs/>
        </w:rPr>
        <w:t>Hospital Episode Statistics (HES):</w:t>
      </w:r>
      <w:r w:rsidRPr="00D15F0D">
        <w:rPr>
          <w:rFonts w:ascii="Arial" w:hAnsi="Arial" w:cs="Arial"/>
        </w:rPr>
        <w:t xml:space="preserve"> capture admissions related to diabetic emergencies and long-term complications</w:t>
      </w:r>
      <w:r w:rsidR="0067735C">
        <w:rPr>
          <w:rFonts w:ascii="Arial" w:hAnsi="Arial" w:cs="Arial"/>
        </w:rPr>
        <w:t xml:space="preserve"> (</w:t>
      </w:r>
      <w:proofErr w:type="spellStart"/>
      <w:r w:rsidR="0067735C" w:rsidRPr="001D2894">
        <w:rPr>
          <w:rFonts w:ascii="Arial" w:hAnsi="Arial" w:cs="Arial"/>
        </w:rPr>
        <w:t>Kamusheva</w:t>
      </w:r>
      <w:proofErr w:type="spellEnd"/>
      <w:r w:rsidR="0067735C">
        <w:rPr>
          <w:rFonts w:ascii="Arial" w:hAnsi="Arial" w:cs="Arial"/>
        </w:rPr>
        <w:t xml:space="preserve"> et al., 2021)</w:t>
      </w:r>
      <w:r w:rsidR="0067735C" w:rsidRPr="00D15F0D">
        <w:rPr>
          <w:rFonts w:ascii="Arial" w:hAnsi="Arial" w:cs="Arial"/>
        </w:rPr>
        <w:t>.</w:t>
      </w:r>
    </w:p>
    <w:p w14:paraId="603954EA" w14:textId="7419C93B" w:rsidR="00D15F0D" w:rsidRPr="00D15F0D" w:rsidRDefault="00D15F0D" w:rsidP="00D15F0D">
      <w:pPr>
        <w:numPr>
          <w:ilvl w:val="0"/>
          <w:numId w:val="3"/>
        </w:numPr>
        <w:tabs>
          <w:tab w:val="clear" w:pos="360"/>
          <w:tab w:val="num" w:pos="720"/>
        </w:tabs>
        <w:spacing w:before="240" w:line="360" w:lineRule="auto"/>
        <w:jc w:val="both"/>
        <w:rPr>
          <w:rFonts w:ascii="Arial" w:hAnsi="Arial" w:cs="Arial"/>
        </w:rPr>
      </w:pPr>
      <w:r w:rsidRPr="00D15F0D">
        <w:rPr>
          <w:rFonts w:ascii="Arial" w:hAnsi="Arial" w:cs="Arial"/>
          <w:b/>
          <w:bCs/>
        </w:rPr>
        <w:t>Local Joint Strategic Needs Assessments (JSNAs):</w:t>
      </w:r>
      <w:r w:rsidRPr="00D15F0D">
        <w:rPr>
          <w:rFonts w:ascii="Arial" w:hAnsi="Arial" w:cs="Arial"/>
        </w:rPr>
        <w:t xml:space="preserve"> synthesise epidemiological data with community insights to guide planning</w:t>
      </w:r>
      <w:r w:rsidR="0067735C">
        <w:rPr>
          <w:rFonts w:ascii="Arial" w:hAnsi="Arial" w:cs="Arial"/>
        </w:rPr>
        <w:t xml:space="preserve"> (</w:t>
      </w:r>
      <w:r w:rsidR="0067735C" w:rsidRPr="00F648BC">
        <w:rPr>
          <w:rFonts w:ascii="Arial" w:hAnsi="Arial" w:cs="Arial"/>
        </w:rPr>
        <w:t>Watkinson</w:t>
      </w:r>
      <w:r w:rsidR="0067735C">
        <w:rPr>
          <w:rFonts w:ascii="Arial" w:hAnsi="Arial" w:cs="Arial"/>
        </w:rPr>
        <w:t xml:space="preserve"> et al., 2024)</w:t>
      </w:r>
      <w:r w:rsidRPr="00D15F0D">
        <w:rPr>
          <w:rFonts w:ascii="Arial" w:hAnsi="Arial" w:cs="Arial"/>
        </w:rPr>
        <w:t>.</w:t>
      </w:r>
    </w:p>
    <w:p w14:paraId="127B70F3" w14:textId="0DF5375B" w:rsidR="00D15F0D" w:rsidRPr="00D15F0D" w:rsidRDefault="00D15F0D" w:rsidP="00D15F0D">
      <w:pPr>
        <w:numPr>
          <w:ilvl w:val="0"/>
          <w:numId w:val="3"/>
        </w:numPr>
        <w:tabs>
          <w:tab w:val="clear" w:pos="360"/>
          <w:tab w:val="num" w:pos="720"/>
        </w:tabs>
        <w:spacing w:before="240" w:line="360" w:lineRule="auto"/>
        <w:jc w:val="both"/>
        <w:rPr>
          <w:rFonts w:ascii="Arial" w:hAnsi="Arial" w:cs="Arial"/>
        </w:rPr>
      </w:pPr>
      <w:r w:rsidRPr="00D15F0D">
        <w:rPr>
          <w:rFonts w:ascii="Arial" w:hAnsi="Arial" w:cs="Arial"/>
          <w:b/>
          <w:bCs/>
        </w:rPr>
        <w:t>Screening and health checks:</w:t>
      </w:r>
      <w:r w:rsidRPr="00D15F0D">
        <w:rPr>
          <w:rFonts w:ascii="Arial" w:hAnsi="Arial" w:cs="Arial"/>
        </w:rPr>
        <w:t xml:space="preserve"> generate opportunistic data on undiagnosed individuals and progression from prediabetes</w:t>
      </w:r>
      <w:r w:rsidR="0067735C">
        <w:rPr>
          <w:rFonts w:ascii="Arial" w:hAnsi="Arial" w:cs="Arial"/>
        </w:rPr>
        <w:t xml:space="preserve"> (</w:t>
      </w:r>
      <w:proofErr w:type="spellStart"/>
      <w:r w:rsidR="0067735C" w:rsidRPr="001D2894">
        <w:rPr>
          <w:rFonts w:ascii="Arial" w:hAnsi="Arial" w:cs="Arial"/>
        </w:rPr>
        <w:t>Kamusheva</w:t>
      </w:r>
      <w:proofErr w:type="spellEnd"/>
      <w:r w:rsidR="0067735C">
        <w:rPr>
          <w:rFonts w:ascii="Arial" w:hAnsi="Arial" w:cs="Arial"/>
        </w:rPr>
        <w:t xml:space="preserve"> et al., 2021)</w:t>
      </w:r>
      <w:r w:rsidR="0067735C" w:rsidRPr="00D15F0D">
        <w:rPr>
          <w:rFonts w:ascii="Arial" w:hAnsi="Arial" w:cs="Arial"/>
        </w:rPr>
        <w:t>.</w:t>
      </w:r>
    </w:p>
    <w:p w14:paraId="7A2F5F30" w14:textId="244BCC53" w:rsidR="00D15F0D" w:rsidRPr="00D15F0D" w:rsidRDefault="00D15F0D" w:rsidP="00D15F0D">
      <w:pPr>
        <w:spacing w:before="240" w:line="360" w:lineRule="auto"/>
        <w:jc w:val="both"/>
        <w:rPr>
          <w:rFonts w:ascii="Arial" w:hAnsi="Arial" w:cs="Arial"/>
        </w:rPr>
      </w:pPr>
      <w:r w:rsidRPr="00D15F0D">
        <w:rPr>
          <w:rFonts w:ascii="Arial" w:hAnsi="Arial" w:cs="Arial"/>
        </w:rPr>
        <w:t>Together, these systems enable the borough to monitor emerging trends, allocate resources, evaluate care quality, and identify health disparities.</w:t>
      </w:r>
    </w:p>
    <w:p w14:paraId="0663B385" w14:textId="77777777" w:rsidR="00D15F0D" w:rsidRPr="00D15F0D" w:rsidRDefault="00D15F0D" w:rsidP="006E5923">
      <w:pPr>
        <w:pStyle w:val="Heading2"/>
      </w:pPr>
      <w:bookmarkStart w:id="16" w:name="_Toc214091451"/>
      <w:r w:rsidRPr="00D15F0D">
        <w:t>Using Epidemiology to Determine Public Health Impact</w:t>
      </w:r>
      <w:bookmarkEnd w:id="16"/>
    </w:p>
    <w:p w14:paraId="39EAAB31"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Short-Term Impact</w:t>
      </w:r>
    </w:p>
    <w:p w14:paraId="7AB64147" w14:textId="6F9CACA2" w:rsidR="00D15F0D" w:rsidRPr="00D15F0D" w:rsidRDefault="00D15F0D" w:rsidP="00D15F0D">
      <w:pPr>
        <w:spacing w:before="240" w:line="360" w:lineRule="auto"/>
        <w:jc w:val="both"/>
        <w:rPr>
          <w:rFonts w:ascii="Arial" w:hAnsi="Arial" w:cs="Arial"/>
        </w:rPr>
      </w:pPr>
      <w:r w:rsidRPr="00D15F0D">
        <w:rPr>
          <w:rFonts w:ascii="Arial" w:hAnsi="Arial" w:cs="Arial"/>
        </w:rPr>
        <w:t>Short-term impacts include increased GP consultations, rising demand for diagnostic testing, and pressure on community health services. Individuals may experience fatigue, reduced productivity, and psychological distress following diagnosis. Health inequalities become quickly apparent, with high-risk groups facing delayed diagnosis and poorer access to care</w:t>
      </w:r>
      <w:r w:rsidR="00BB754D">
        <w:rPr>
          <w:rFonts w:ascii="Arial" w:hAnsi="Arial" w:cs="Arial"/>
        </w:rPr>
        <w:t xml:space="preserve"> (</w:t>
      </w:r>
      <w:proofErr w:type="spellStart"/>
      <w:r w:rsidR="00BB754D" w:rsidRPr="00BB754D">
        <w:rPr>
          <w:rFonts w:ascii="Arial" w:hAnsi="Arial" w:cs="Arial"/>
        </w:rPr>
        <w:t>Forouhi</w:t>
      </w:r>
      <w:proofErr w:type="spellEnd"/>
      <w:r w:rsidR="008042B4">
        <w:rPr>
          <w:rFonts w:ascii="Arial" w:hAnsi="Arial" w:cs="Arial"/>
        </w:rPr>
        <w:t xml:space="preserve"> </w:t>
      </w:r>
      <w:r w:rsidR="00BB754D" w:rsidRPr="00BB754D">
        <w:rPr>
          <w:rFonts w:ascii="Arial" w:hAnsi="Arial" w:cs="Arial"/>
        </w:rPr>
        <w:t>and Wareham,</w:t>
      </w:r>
      <w:r w:rsidR="00BB754D">
        <w:rPr>
          <w:rFonts w:ascii="Arial" w:hAnsi="Arial" w:cs="Arial"/>
        </w:rPr>
        <w:t xml:space="preserve"> 2019)</w:t>
      </w:r>
      <w:r w:rsidRPr="00D15F0D">
        <w:rPr>
          <w:rFonts w:ascii="Arial" w:hAnsi="Arial" w:cs="Arial"/>
        </w:rPr>
        <w:t>.</w:t>
      </w:r>
    </w:p>
    <w:p w14:paraId="3CF32FC3"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Long-Term Impact</w:t>
      </w:r>
    </w:p>
    <w:p w14:paraId="2DCF951C" w14:textId="47EA0FBB" w:rsidR="00D15F0D" w:rsidRPr="00D15F0D" w:rsidRDefault="00D15F0D" w:rsidP="00D15F0D">
      <w:pPr>
        <w:spacing w:before="240" w:line="360" w:lineRule="auto"/>
        <w:jc w:val="both"/>
        <w:rPr>
          <w:rFonts w:ascii="Arial" w:hAnsi="Arial" w:cs="Arial"/>
        </w:rPr>
      </w:pPr>
      <w:r w:rsidRPr="00D15F0D">
        <w:rPr>
          <w:rFonts w:ascii="Arial" w:hAnsi="Arial" w:cs="Arial"/>
        </w:rPr>
        <w:t xml:space="preserve">Long-term consequences include higher rates of cardiovascular disease, renal failure, peripheral neuropathy, retinopathy, and premature mortality. These outcomes place substantial strain on hospital services, </w:t>
      </w:r>
      <w:proofErr w:type="spellStart"/>
      <w:r w:rsidRPr="00D15F0D">
        <w:rPr>
          <w:rFonts w:ascii="Arial" w:hAnsi="Arial" w:cs="Arial"/>
        </w:rPr>
        <w:t>renal</w:t>
      </w:r>
      <w:proofErr w:type="spellEnd"/>
      <w:r w:rsidRPr="00D15F0D">
        <w:rPr>
          <w:rFonts w:ascii="Arial" w:hAnsi="Arial" w:cs="Arial"/>
        </w:rPr>
        <w:t xml:space="preserve"> units, podiatry clinics, and social care systems</w:t>
      </w:r>
      <w:r w:rsidR="002F7AA1">
        <w:rPr>
          <w:rFonts w:ascii="Arial" w:hAnsi="Arial" w:cs="Arial"/>
        </w:rPr>
        <w:t xml:space="preserve"> (</w:t>
      </w:r>
      <w:r w:rsidR="006709A3" w:rsidRPr="006709A3">
        <w:rPr>
          <w:rFonts w:ascii="Arial" w:hAnsi="Arial" w:cs="Arial"/>
        </w:rPr>
        <w:t>Pearson-</w:t>
      </w:r>
      <w:proofErr w:type="spellStart"/>
      <w:r w:rsidR="006709A3" w:rsidRPr="006709A3">
        <w:rPr>
          <w:rFonts w:ascii="Arial" w:hAnsi="Arial" w:cs="Arial"/>
        </w:rPr>
        <w:t>Stuttard</w:t>
      </w:r>
      <w:proofErr w:type="spellEnd"/>
      <w:r w:rsidR="006709A3">
        <w:rPr>
          <w:rFonts w:ascii="Arial" w:hAnsi="Arial" w:cs="Arial"/>
        </w:rPr>
        <w:t xml:space="preserve"> </w:t>
      </w:r>
      <w:r w:rsidR="002F7AA1">
        <w:rPr>
          <w:rFonts w:ascii="Arial" w:hAnsi="Arial" w:cs="Arial"/>
        </w:rPr>
        <w:t>et al., 20</w:t>
      </w:r>
      <w:r w:rsidR="006709A3">
        <w:rPr>
          <w:rFonts w:ascii="Arial" w:hAnsi="Arial" w:cs="Arial"/>
        </w:rPr>
        <w:t>21</w:t>
      </w:r>
      <w:r w:rsidR="002F7AA1">
        <w:rPr>
          <w:rFonts w:ascii="Arial" w:hAnsi="Arial" w:cs="Arial"/>
        </w:rPr>
        <w:t>)</w:t>
      </w:r>
      <w:r w:rsidRPr="00D15F0D">
        <w:rPr>
          <w:rFonts w:ascii="Arial" w:hAnsi="Arial" w:cs="Arial"/>
        </w:rPr>
        <w:t xml:space="preserve">. At the societal level, long-term diabetes contributes to economic burdens due to sickness absence, disability, and increased healthcare expenditure. For communities in Lambeth, the persistence of ethnic and </w:t>
      </w:r>
      <w:r w:rsidRPr="00D15F0D">
        <w:rPr>
          <w:rFonts w:ascii="Arial" w:hAnsi="Arial" w:cs="Arial"/>
        </w:rPr>
        <w:lastRenderedPageBreak/>
        <w:t>income-based disparities reinforces cycles of inequality and poor health outcomes across generations</w:t>
      </w:r>
      <w:r w:rsidR="00CB5D80">
        <w:rPr>
          <w:rFonts w:ascii="Arial" w:hAnsi="Arial" w:cs="Arial"/>
        </w:rPr>
        <w:t xml:space="preserve"> (</w:t>
      </w:r>
      <w:r w:rsidR="006709A3" w:rsidRPr="006709A3">
        <w:rPr>
          <w:rFonts w:ascii="Arial" w:hAnsi="Arial" w:cs="Arial"/>
        </w:rPr>
        <w:t>Pearson-</w:t>
      </w:r>
      <w:proofErr w:type="spellStart"/>
      <w:r w:rsidR="006709A3" w:rsidRPr="006709A3">
        <w:rPr>
          <w:rFonts w:ascii="Arial" w:hAnsi="Arial" w:cs="Arial"/>
        </w:rPr>
        <w:t>Stuttard</w:t>
      </w:r>
      <w:proofErr w:type="spellEnd"/>
      <w:r w:rsidR="006709A3">
        <w:rPr>
          <w:rFonts w:ascii="Arial" w:hAnsi="Arial" w:cs="Arial"/>
        </w:rPr>
        <w:t xml:space="preserve"> et al., 2021</w:t>
      </w:r>
      <w:r w:rsidR="00CB5D80">
        <w:rPr>
          <w:rFonts w:ascii="Arial" w:hAnsi="Arial" w:cs="Arial"/>
        </w:rPr>
        <w:t>)</w:t>
      </w:r>
      <w:r w:rsidRPr="00D15F0D">
        <w:rPr>
          <w:rFonts w:ascii="Arial" w:hAnsi="Arial" w:cs="Arial"/>
        </w:rPr>
        <w:t>.</w:t>
      </w:r>
    </w:p>
    <w:p w14:paraId="0F9813D7" w14:textId="77777777" w:rsidR="00D15F0D" w:rsidRPr="00D15F0D" w:rsidRDefault="00D15F0D" w:rsidP="006E5923">
      <w:pPr>
        <w:pStyle w:val="Heading2"/>
      </w:pPr>
      <w:bookmarkStart w:id="17" w:name="_Toc214091452"/>
      <w:r w:rsidRPr="00D15F0D">
        <w:t>Designing an Appropriate Health Intervention Programme</w:t>
      </w:r>
      <w:bookmarkEnd w:id="17"/>
    </w:p>
    <w:p w14:paraId="303CABBA"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1. Community-Based Prevention Programme</w:t>
      </w:r>
    </w:p>
    <w:p w14:paraId="2294B8CB" w14:textId="1A3403AA" w:rsidR="00D15F0D" w:rsidRPr="00D15F0D" w:rsidRDefault="00D15F0D" w:rsidP="00D15F0D">
      <w:pPr>
        <w:spacing w:before="240" w:line="360" w:lineRule="auto"/>
        <w:jc w:val="both"/>
        <w:rPr>
          <w:rFonts w:ascii="Arial" w:hAnsi="Arial" w:cs="Arial"/>
        </w:rPr>
      </w:pPr>
      <w:r w:rsidRPr="00D15F0D">
        <w:rPr>
          <w:rFonts w:ascii="Arial" w:hAnsi="Arial" w:cs="Arial"/>
        </w:rPr>
        <w:t>The prevention programme would include culturally adapted nutritional workshops delivered in community centres, faith organisations, and schools, alongside subsidised physical-activity initiatives using local parks and leisure facilities, and partnerships with local food vendors to promote healthier and affordable meal options</w:t>
      </w:r>
      <w:r w:rsidR="001C4772">
        <w:rPr>
          <w:rFonts w:ascii="Arial" w:hAnsi="Arial" w:cs="Arial"/>
        </w:rPr>
        <w:t xml:space="preserve"> (</w:t>
      </w:r>
      <w:r w:rsidR="001C4772" w:rsidRPr="001C4772">
        <w:rPr>
          <w:rFonts w:ascii="Arial" w:hAnsi="Arial" w:cs="Arial"/>
        </w:rPr>
        <w:t>Desse</w:t>
      </w:r>
      <w:r w:rsidR="001C4772">
        <w:rPr>
          <w:rFonts w:ascii="Arial" w:hAnsi="Arial" w:cs="Arial"/>
        </w:rPr>
        <w:t xml:space="preserve"> et al., 2022)</w:t>
      </w:r>
      <w:r w:rsidRPr="00D15F0D">
        <w:rPr>
          <w:rFonts w:ascii="Arial" w:hAnsi="Arial" w:cs="Arial"/>
        </w:rPr>
        <w:t>.</w:t>
      </w:r>
    </w:p>
    <w:p w14:paraId="3E81FC64"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2. Targeted Screening and Early Detection</w:t>
      </w:r>
    </w:p>
    <w:p w14:paraId="1BBC6E75" w14:textId="1B0CC22A" w:rsidR="00D15F0D" w:rsidRPr="00D15F0D" w:rsidRDefault="00D15F0D" w:rsidP="00D15F0D">
      <w:pPr>
        <w:spacing w:before="240" w:line="360" w:lineRule="auto"/>
        <w:jc w:val="both"/>
        <w:rPr>
          <w:rFonts w:ascii="Arial" w:hAnsi="Arial" w:cs="Arial"/>
        </w:rPr>
      </w:pPr>
      <w:r w:rsidRPr="00D15F0D">
        <w:rPr>
          <w:rFonts w:ascii="Arial" w:hAnsi="Arial" w:cs="Arial"/>
        </w:rPr>
        <w:t>Screening efforts would be strengthened through enhanced NHS Health Checks in high-risk wards, mobile screening units placed in shopping areas, GP hubs, and community events, and the use of text-message outreach and digital reminders tailored to younger adults and ethnic minority communities</w:t>
      </w:r>
      <w:r w:rsidR="00F97039">
        <w:rPr>
          <w:rFonts w:ascii="Arial" w:hAnsi="Arial" w:cs="Arial"/>
        </w:rPr>
        <w:t xml:space="preserve"> (</w:t>
      </w:r>
      <w:r w:rsidR="00F97039" w:rsidRPr="001C4772">
        <w:rPr>
          <w:rFonts w:ascii="Arial" w:hAnsi="Arial" w:cs="Arial"/>
        </w:rPr>
        <w:t>Desse</w:t>
      </w:r>
      <w:r w:rsidR="00F97039">
        <w:rPr>
          <w:rFonts w:ascii="Arial" w:hAnsi="Arial" w:cs="Arial"/>
        </w:rPr>
        <w:t xml:space="preserve"> et al., 2022)</w:t>
      </w:r>
      <w:r w:rsidRPr="00D15F0D">
        <w:rPr>
          <w:rFonts w:ascii="Arial" w:hAnsi="Arial" w:cs="Arial"/>
        </w:rPr>
        <w:t>.</w:t>
      </w:r>
    </w:p>
    <w:p w14:paraId="26E64816"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3. Enhanced Clinical Management</w:t>
      </w:r>
    </w:p>
    <w:p w14:paraId="6B6835B4" w14:textId="4229DF2A" w:rsidR="00D15F0D" w:rsidRPr="00D15F0D" w:rsidRDefault="00D15F0D" w:rsidP="00D15F0D">
      <w:pPr>
        <w:spacing w:before="240" w:line="360" w:lineRule="auto"/>
        <w:jc w:val="both"/>
        <w:rPr>
          <w:rFonts w:ascii="Arial" w:hAnsi="Arial" w:cs="Arial"/>
        </w:rPr>
      </w:pPr>
      <w:r w:rsidRPr="00D15F0D">
        <w:rPr>
          <w:rFonts w:ascii="Arial" w:hAnsi="Arial" w:cs="Arial"/>
        </w:rPr>
        <w:t>Clinical management would involve multidisciplinary diabetes clinics bringing together GPs, dieticians, nurses, and mental health professionals, supported by digital self-management tools offering personalised goals, glucose monitoring, and educational resources, as well as automatic referral pathways for those at high risk of complications</w:t>
      </w:r>
      <w:r w:rsidR="004D1383">
        <w:rPr>
          <w:rFonts w:ascii="Arial" w:hAnsi="Arial" w:cs="Arial"/>
        </w:rPr>
        <w:t xml:space="preserve"> (</w:t>
      </w:r>
      <w:proofErr w:type="spellStart"/>
      <w:r w:rsidR="004D1383" w:rsidRPr="004D1383">
        <w:rPr>
          <w:rFonts w:ascii="Arial" w:hAnsi="Arial" w:cs="Arial"/>
        </w:rPr>
        <w:t>Hapsari</w:t>
      </w:r>
      <w:proofErr w:type="spellEnd"/>
      <w:r w:rsidR="004D1383">
        <w:rPr>
          <w:rFonts w:ascii="Arial" w:hAnsi="Arial" w:cs="Arial"/>
        </w:rPr>
        <w:t xml:space="preserve"> et al., 2025)</w:t>
      </w:r>
      <w:r w:rsidRPr="00D15F0D">
        <w:rPr>
          <w:rFonts w:ascii="Arial" w:hAnsi="Arial" w:cs="Arial"/>
        </w:rPr>
        <w:t>.</w:t>
      </w:r>
    </w:p>
    <w:p w14:paraId="17E11FB2"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4. Evaluation of the Intervention</w:t>
      </w:r>
    </w:p>
    <w:p w14:paraId="3289B952" w14:textId="43DD911B" w:rsidR="00D15F0D" w:rsidRPr="00D15F0D" w:rsidRDefault="00D15F0D" w:rsidP="00D15F0D">
      <w:pPr>
        <w:spacing w:before="240" w:line="360" w:lineRule="auto"/>
        <w:jc w:val="both"/>
        <w:rPr>
          <w:rFonts w:ascii="Arial" w:hAnsi="Arial" w:cs="Arial"/>
        </w:rPr>
      </w:pPr>
      <w:r w:rsidRPr="00D15F0D">
        <w:rPr>
          <w:rFonts w:ascii="Arial" w:hAnsi="Arial" w:cs="Arial"/>
        </w:rPr>
        <w:t>Evaluation would use mixed-methods approaches to measure changes in HbA1c, weight, and blood pressure, track reductions in new diagnoses among high-risk groups, assess screening uptake, and capture patient satisfaction, quality-of-life improvements, cost-effectiveness, and equity outcomes, ensuring the programme continually adapts to emerging needs and aligns with national best-practice standards</w:t>
      </w:r>
      <w:r w:rsidR="00231CF2">
        <w:rPr>
          <w:rFonts w:ascii="Arial" w:hAnsi="Arial" w:cs="Arial"/>
        </w:rPr>
        <w:t xml:space="preserve"> (</w:t>
      </w:r>
      <w:proofErr w:type="spellStart"/>
      <w:r w:rsidR="00231CF2" w:rsidRPr="004D1383">
        <w:rPr>
          <w:rFonts w:ascii="Arial" w:hAnsi="Arial" w:cs="Arial"/>
        </w:rPr>
        <w:t>Hapsari</w:t>
      </w:r>
      <w:proofErr w:type="spellEnd"/>
      <w:r w:rsidR="00231CF2">
        <w:rPr>
          <w:rFonts w:ascii="Arial" w:hAnsi="Arial" w:cs="Arial"/>
        </w:rPr>
        <w:t xml:space="preserve"> et al., 2025)</w:t>
      </w:r>
      <w:r w:rsidRPr="00D15F0D">
        <w:rPr>
          <w:rFonts w:ascii="Arial" w:hAnsi="Arial" w:cs="Arial"/>
        </w:rPr>
        <w:t>.</w:t>
      </w:r>
    </w:p>
    <w:p w14:paraId="013999A8" w14:textId="77777777" w:rsidR="00D15F0D" w:rsidRPr="00D15F0D" w:rsidRDefault="00D15F0D" w:rsidP="006E5923">
      <w:pPr>
        <w:pStyle w:val="Heading2"/>
      </w:pPr>
      <w:bookmarkStart w:id="18" w:name="_Toc214091453"/>
      <w:r w:rsidRPr="00D15F0D">
        <w:lastRenderedPageBreak/>
        <w:t>Strengths and Weaknesses of the Epidemiological Approach</w:t>
      </w:r>
      <w:bookmarkEnd w:id="18"/>
    </w:p>
    <w:p w14:paraId="19C86ACB"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Strengths</w:t>
      </w:r>
    </w:p>
    <w:p w14:paraId="799CC7DA" w14:textId="1656391E" w:rsidR="00D15F0D" w:rsidRPr="00D15F0D" w:rsidRDefault="00D15F0D" w:rsidP="00D15F0D">
      <w:pPr>
        <w:spacing w:before="240" w:line="360" w:lineRule="auto"/>
        <w:jc w:val="both"/>
        <w:rPr>
          <w:rFonts w:ascii="Arial" w:hAnsi="Arial" w:cs="Arial"/>
        </w:rPr>
      </w:pPr>
      <w:r w:rsidRPr="00D15F0D">
        <w:rPr>
          <w:rFonts w:ascii="Arial" w:hAnsi="Arial" w:cs="Arial"/>
        </w:rPr>
        <w:t>The epidemiological approach has several strengths, as it combines multiple data sources to provide a comprehensive analysis and uses evidence-based methods to clearly identify at-risk groups</w:t>
      </w:r>
      <w:r w:rsidR="006C0732">
        <w:rPr>
          <w:rFonts w:ascii="Arial" w:hAnsi="Arial" w:cs="Arial"/>
        </w:rPr>
        <w:t xml:space="preserve"> (</w:t>
      </w:r>
      <w:proofErr w:type="spellStart"/>
      <w:r w:rsidR="006C0732" w:rsidRPr="004D1383">
        <w:rPr>
          <w:rFonts w:ascii="Arial" w:hAnsi="Arial" w:cs="Arial"/>
        </w:rPr>
        <w:t>Hapsari</w:t>
      </w:r>
      <w:proofErr w:type="spellEnd"/>
      <w:r w:rsidR="006C0732">
        <w:rPr>
          <w:rFonts w:ascii="Arial" w:hAnsi="Arial" w:cs="Arial"/>
        </w:rPr>
        <w:t xml:space="preserve"> et al., 2025)</w:t>
      </w:r>
      <w:r w:rsidRPr="00D15F0D">
        <w:rPr>
          <w:rFonts w:ascii="Arial" w:hAnsi="Arial" w:cs="Arial"/>
        </w:rPr>
        <w:t>. This enables the design of targeted interventions, reducing inefficient use of resources while supporting effective prevention and management strategies. It also allows continuous trend monitoring and evaluation of long-term impact, ensuring programmes remain responsive to changing needs. Importantly, this approach helps reduce health inequalities by highlighting vulnerable populations who require prioritised attention and tailored support</w:t>
      </w:r>
      <w:r w:rsidR="006C0732">
        <w:rPr>
          <w:rFonts w:ascii="Arial" w:hAnsi="Arial" w:cs="Arial"/>
        </w:rPr>
        <w:t xml:space="preserve"> (</w:t>
      </w:r>
      <w:r w:rsidR="006C0732" w:rsidRPr="001C4772">
        <w:rPr>
          <w:rFonts w:ascii="Arial" w:hAnsi="Arial" w:cs="Arial"/>
        </w:rPr>
        <w:t>Desse</w:t>
      </w:r>
      <w:r w:rsidR="006C0732">
        <w:rPr>
          <w:rFonts w:ascii="Arial" w:hAnsi="Arial" w:cs="Arial"/>
        </w:rPr>
        <w:t xml:space="preserve"> et al., 2022)</w:t>
      </w:r>
      <w:r w:rsidRPr="00D15F0D">
        <w:rPr>
          <w:rFonts w:ascii="Arial" w:hAnsi="Arial" w:cs="Arial"/>
        </w:rPr>
        <w:t>.</w:t>
      </w:r>
    </w:p>
    <w:p w14:paraId="2B9DC6E5" w14:textId="77777777" w:rsidR="00D15F0D" w:rsidRPr="00D15F0D" w:rsidRDefault="00D15F0D" w:rsidP="00D15F0D">
      <w:pPr>
        <w:spacing w:before="240" w:line="360" w:lineRule="auto"/>
        <w:jc w:val="both"/>
        <w:rPr>
          <w:rFonts w:ascii="Arial" w:hAnsi="Arial" w:cs="Arial"/>
          <w:b/>
          <w:bCs/>
        </w:rPr>
      </w:pPr>
      <w:r w:rsidRPr="00D15F0D">
        <w:rPr>
          <w:rFonts w:ascii="Arial" w:hAnsi="Arial" w:cs="Arial"/>
          <w:b/>
          <w:bCs/>
        </w:rPr>
        <w:t>Weaknesses</w:t>
      </w:r>
    </w:p>
    <w:p w14:paraId="5FFD1D94" w14:textId="2C75B822" w:rsidR="00D15F0D" w:rsidRDefault="00D15F0D" w:rsidP="00D15F0D">
      <w:pPr>
        <w:spacing w:before="240" w:line="360" w:lineRule="auto"/>
        <w:jc w:val="both"/>
        <w:rPr>
          <w:rFonts w:ascii="Arial" w:hAnsi="Arial" w:cs="Arial"/>
        </w:rPr>
      </w:pPr>
      <w:r w:rsidRPr="00D15F0D">
        <w:rPr>
          <w:rFonts w:ascii="Arial" w:hAnsi="Arial" w:cs="Arial"/>
        </w:rPr>
        <w:t>The epidemiological approach also has limitations, as surveillance systems may undercount undiagnosed cases, particularly in communities with low healthcare engagement. Socioeconomic and cultural determinants are complex and often difficult to quantify accurately, while reliance on self-reported risk factor data can introduce bias</w:t>
      </w:r>
      <w:r w:rsidR="006C0732">
        <w:rPr>
          <w:rFonts w:ascii="Arial" w:hAnsi="Arial" w:cs="Arial"/>
        </w:rPr>
        <w:t xml:space="preserve"> (</w:t>
      </w:r>
      <w:proofErr w:type="spellStart"/>
      <w:r w:rsidR="006C0732" w:rsidRPr="004D1383">
        <w:rPr>
          <w:rFonts w:ascii="Arial" w:hAnsi="Arial" w:cs="Arial"/>
        </w:rPr>
        <w:t>Hapsari</w:t>
      </w:r>
      <w:proofErr w:type="spellEnd"/>
      <w:r w:rsidR="006C0732">
        <w:rPr>
          <w:rFonts w:ascii="Arial" w:hAnsi="Arial" w:cs="Arial"/>
        </w:rPr>
        <w:t xml:space="preserve"> et al., 2025)</w:t>
      </w:r>
      <w:r w:rsidRPr="00D15F0D">
        <w:rPr>
          <w:rFonts w:ascii="Arial" w:hAnsi="Arial" w:cs="Arial"/>
        </w:rPr>
        <w:t>. Effective interventions require sustained funding and strong intersectoral collaboration, both of which may be challenging to secure. Additionally, assumptions used in modelling</w:t>
      </w:r>
      <w:r>
        <w:rPr>
          <w:rFonts w:ascii="Arial" w:hAnsi="Arial" w:cs="Arial"/>
        </w:rPr>
        <w:t xml:space="preserve">, </w:t>
      </w:r>
      <w:r w:rsidRPr="00D15F0D">
        <w:rPr>
          <w:rFonts w:ascii="Arial" w:hAnsi="Arial" w:cs="Arial"/>
        </w:rPr>
        <w:t>such as estimates of population size or the weighting of risk factors</w:t>
      </w:r>
      <w:r>
        <w:rPr>
          <w:rFonts w:ascii="Arial" w:hAnsi="Arial" w:cs="Arial"/>
        </w:rPr>
        <w:t xml:space="preserve">, </w:t>
      </w:r>
      <w:r w:rsidRPr="00D15F0D">
        <w:rPr>
          <w:rFonts w:ascii="Arial" w:hAnsi="Arial" w:cs="Arial"/>
        </w:rPr>
        <w:t>can reduce the precision and reliability of epidemiological conclusions</w:t>
      </w:r>
      <w:r w:rsidR="00C82B26">
        <w:rPr>
          <w:rFonts w:ascii="Arial" w:hAnsi="Arial" w:cs="Arial"/>
        </w:rPr>
        <w:t xml:space="preserve"> (</w:t>
      </w:r>
      <w:r w:rsidR="00C82B26" w:rsidRPr="001C4772">
        <w:rPr>
          <w:rFonts w:ascii="Arial" w:hAnsi="Arial" w:cs="Arial"/>
        </w:rPr>
        <w:t>Desse</w:t>
      </w:r>
      <w:r w:rsidR="00C82B26">
        <w:rPr>
          <w:rFonts w:ascii="Arial" w:hAnsi="Arial" w:cs="Arial"/>
        </w:rPr>
        <w:t xml:space="preserve"> et al., 2022)</w:t>
      </w:r>
      <w:r w:rsidRPr="00D15F0D">
        <w:rPr>
          <w:rFonts w:ascii="Arial" w:hAnsi="Arial" w:cs="Arial"/>
        </w:rPr>
        <w:t>.</w:t>
      </w:r>
    </w:p>
    <w:p w14:paraId="26693A76" w14:textId="21FF7375" w:rsidR="00D15F0D" w:rsidRPr="00D15F0D" w:rsidRDefault="00D15F0D" w:rsidP="006E5923">
      <w:pPr>
        <w:pStyle w:val="Heading2"/>
      </w:pPr>
      <w:bookmarkStart w:id="19" w:name="_Toc214091454"/>
      <w:r w:rsidRPr="00D15F0D">
        <w:t>Conclusion</w:t>
      </w:r>
      <w:bookmarkEnd w:id="19"/>
    </w:p>
    <w:p w14:paraId="1CB54F37" w14:textId="70ECAEBB" w:rsidR="00D15F0D" w:rsidRPr="005A155E" w:rsidRDefault="00D15F0D" w:rsidP="00F55A4D">
      <w:pPr>
        <w:spacing w:before="240" w:line="360" w:lineRule="auto"/>
        <w:jc w:val="both"/>
        <w:rPr>
          <w:rFonts w:ascii="Arial" w:hAnsi="Arial" w:cs="Arial"/>
        </w:rPr>
      </w:pPr>
      <w:r w:rsidRPr="00D15F0D">
        <w:rPr>
          <w:rFonts w:ascii="Arial" w:hAnsi="Arial" w:cs="Arial"/>
        </w:rPr>
        <w:t>Type 2 Diabetes Mellitus poses a substantial and growing challenge for Lambeth, driven by social inequalities, behavioural risk factors, and population diversity. Epidemiological analysis highlights clear patterns of risk, disease clustering, and long-term consequences that affect both individuals and the wider health system. By using robust surveillance, targeted prevention, early detection, and community-led interventions, the borough can reduce the burden of T2DM and address profound health inequalities. However, success depends on sustained investment in public health infrastructure and the continuous refinement of epidemiological approaches to reflect evolving population needs.</w:t>
      </w:r>
    </w:p>
    <w:p w14:paraId="758B7331" w14:textId="5731B2A2" w:rsidR="00696752" w:rsidRPr="005A155E" w:rsidRDefault="00696752" w:rsidP="00696752">
      <w:pPr>
        <w:pStyle w:val="Heading1"/>
        <w:rPr>
          <w:rFonts w:cs="Arial"/>
          <w:sz w:val="24"/>
          <w:szCs w:val="24"/>
        </w:rPr>
      </w:pPr>
      <w:bookmarkStart w:id="20" w:name="_Toc214091455"/>
      <w:r w:rsidRPr="005A155E">
        <w:rPr>
          <w:rFonts w:cs="Arial"/>
          <w:sz w:val="24"/>
          <w:szCs w:val="24"/>
        </w:rPr>
        <w:lastRenderedPageBreak/>
        <w:t>References</w:t>
      </w:r>
      <w:bookmarkEnd w:id="20"/>
    </w:p>
    <w:p w14:paraId="620C4513" w14:textId="168D5355" w:rsidR="005A1B4B" w:rsidRPr="003A0272" w:rsidRDefault="005A1B4B" w:rsidP="003A0272">
      <w:pPr>
        <w:spacing w:before="240" w:line="360" w:lineRule="auto"/>
        <w:jc w:val="both"/>
        <w:rPr>
          <w:rFonts w:ascii="Arial" w:hAnsi="Arial" w:cs="Arial"/>
        </w:rPr>
      </w:pPr>
      <w:r w:rsidRPr="003A0272">
        <w:rPr>
          <w:rFonts w:ascii="Arial" w:hAnsi="Arial" w:cs="Arial"/>
        </w:rPr>
        <w:t xml:space="preserve">Alzheimer’s Society (2024), How many people have dementia in the UK? </w:t>
      </w:r>
      <w:hyperlink r:id="rId15" w:history="1">
        <w:r w:rsidRPr="003A0272">
          <w:rPr>
            <w:rStyle w:val="Hyperlink"/>
            <w:rFonts w:ascii="Arial" w:hAnsi="Arial" w:cs="Arial"/>
          </w:rPr>
          <w:t>https://www.alzheimers.org.uk/blog/how-many-people-have-dementia-uk</w:t>
        </w:r>
      </w:hyperlink>
    </w:p>
    <w:p w14:paraId="2C1D183D" w14:textId="7CFF2360" w:rsidR="00696752" w:rsidRPr="003A0272" w:rsidRDefault="00521397" w:rsidP="003A0272">
      <w:pPr>
        <w:spacing w:before="240" w:line="360" w:lineRule="auto"/>
        <w:jc w:val="both"/>
        <w:rPr>
          <w:rFonts w:ascii="Arial" w:hAnsi="Arial" w:cs="Arial"/>
          <w:lang w:eastAsia="en-GB"/>
        </w:rPr>
      </w:pPr>
      <w:r w:rsidRPr="003A0272">
        <w:rPr>
          <w:rFonts w:ascii="Arial" w:hAnsi="Arial" w:cs="Arial"/>
          <w:lang w:eastAsia="en-GB"/>
        </w:rPr>
        <w:t xml:space="preserve">Anand, J.C., Donnelly, S., Milne, A., Nelson-Becker, H., </w:t>
      </w:r>
      <w:proofErr w:type="spellStart"/>
      <w:r w:rsidRPr="003A0272">
        <w:rPr>
          <w:rFonts w:ascii="Arial" w:hAnsi="Arial" w:cs="Arial"/>
          <w:lang w:eastAsia="en-GB"/>
        </w:rPr>
        <w:t>Vingare</w:t>
      </w:r>
      <w:proofErr w:type="spellEnd"/>
      <w:r w:rsidRPr="003A0272">
        <w:rPr>
          <w:rFonts w:ascii="Arial" w:hAnsi="Arial" w:cs="Arial"/>
          <w:lang w:eastAsia="en-GB"/>
        </w:rPr>
        <w:t xml:space="preserve">, E.L., </w:t>
      </w:r>
      <w:proofErr w:type="spellStart"/>
      <w:r w:rsidRPr="003A0272">
        <w:rPr>
          <w:rFonts w:ascii="Arial" w:hAnsi="Arial" w:cs="Arial"/>
          <w:lang w:eastAsia="en-GB"/>
        </w:rPr>
        <w:t>Deusdad</w:t>
      </w:r>
      <w:proofErr w:type="spellEnd"/>
      <w:r w:rsidRPr="003A0272">
        <w:rPr>
          <w:rFonts w:ascii="Arial" w:hAnsi="Arial" w:cs="Arial"/>
          <w:lang w:eastAsia="en-GB"/>
        </w:rPr>
        <w:t xml:space="preserve">, B., Cellini, G., Kinni, R.L. and </w:t>
      </w:r>
      <w:proofErr w:type="spellStart"/>
      <w:r w:rsidRPr="003A0272">
        <w:rPr>
          <w:rFonts w:ascii="Arial" w:hAnsi="Arial" w:cs="Arial"/>
          <w:lang w:eastAsia="en-GB"/>
        </w:rPr>
        <w:t>Pregno</w:t>
      </w:r>
      <w:proofErr w:type="spellEnd"/>
      <w:r w:rsidRPr="003A0272">
        <w:rPr>
          <w:rFonts w:ascii="Arial" w:hAnsi="Arial" w:cs="Arial"/>
          <w:lang w:eastAsia="en-GB"/>
        </w:rPr>
        <w:t xml:space="preserve">, C., </w:t>
      </w:r>
      <w:r w:rsidR="00C96866" w:rsidRPr="003A0272">
        <w:rPr>
          <w:rFonts w:ascii="Arial" w:hAnsi="Arial" w:cs="Arial"/>
          <w:lang w:eastAsia="en-GB"/>
        </w:rPr>
        <w:t>(</w:t>
      </w:r>
      <w:r w:rsidRPr="003A0272">
        <w:rPr>
          <w:rFonts w:ascii="Arial" w:hAnsi="Arial" w:cs="Arial"/>
          <w:lang w:eastAsia="en-GB"/>
        </w:rPr>
        <w:t>2022</w:t>
      </w:r>
      <w:r w:rsidR="00C96866" w:rsidRPr="003A0272">
        <w:rPr>
          <w:rFonts w:ascii="Arial" w:hAnsi="Arial" w:cs="Arial"/>
          <w:lang w:eastAsia="en-GB"/>
        </w:rPr>
        <w:t>)</w:t>
      </w:r>
      <w:r w:rsidRPr="003A0272">
        <w:rPr>
          <w:rFonts w:ascii="Arial" w:hAnsi="Arial" w:cs="Arial"/>
          <w:lang w:eastAsia="en-GB"/>
        </w:rPr>
        <w:t>. The covid-19 pandemic and care homes for older people in Europe-deaths, damage and violations of human rights. </w:t>
      </w:r>
      <w:r w:rsidRPr="003A0272">
        <w:rPr>
          <w:rFonts w:ascii="Arial" w:hAnsi="Arial" w:cs="Arial"/>
          <w:i/>
          <w:iCs/>
          <w:lang w:eastAsia="en-GB"/>
        </w:rPr>
        <w:t>European Journal of Social Work</w:t>
      </w:r>
      <w:r w:rsidRPr="003A0272">
        <w:rPr>
          <w:rFonts w:ascii="Arial" w:hAnsi="Arial" w:cs="Arial"/>
          <w:lang w:eastAsia="en-GB"/>
        </w:rPr>
        <w:t>, </w:t>
      </w:r>
      <w:r w:rsidRPr="003A0272">
        <w:rPr>
          <w:rFonts w:ascii="Arial" w:hAnsi="Arial" w:cs="Arial"/>
          <w:i/>
          <w:iCs/>
          <w:lang w:eastAsia="en-GB"/>
        </w:rPr>
        <w:t>25</w:t>
      </w:r>
      <w:r w:rsidRPr="003A0272">
        <w:rPr>
          <w:rFonts w:ascii="Arial" w:hAnsi="Arial" w:cs="Arial"/>
          <w:lang w:eastAsia="en-GB"/>
        </w:rPr>
        <w:t xml:space="preserve">(5), pp.804-815. </w:t>
      </w:r>
      <w:hyperlink r:id="rId16" w:history="1">
        <w:r w:rsidRPr="003A0272">
          <w:rPr>
            <w:rStyle w:val="Hyperlink"/>
            <w:rFonts w:ascii="Arial" w:hAnsi="Arial" w:cs="Arial"/>
            <w:lang w:eastAsia="en-GB"/>
          </w:rPr>
          <w:t>https://www.tandfonline.com/doi/abs/10.1080/13691457.2021.1954886</w:t>
        </w:r>
      </w:hyperlink>
    </w:p>
    <w:p w14:paraId="17C4DB0B" w14:textId="0B58133B" w:rsidR="005A02F3" w:rsidRPr="003A0272" w:rsidRDefault="005A02F3" w:rsidP="003A0272">
      <w:pPr>
        <w:spacing w:before="240" w:line="360" w:lineRule="auto"/>
        <w:jc w:val="both"/>
        <w:rPr>
          <w:rFonts w:ascii="Arial" w:hAnsi="Arial" w:cs="Arial"/>
        </w:rPr>
      </w:pPr>
      <w:r w:rsidRPr="003A0272">
        <w:rPr>
          <w:rFonts w:ascii="Arial" w:hAnsi="Arial" w:cs="Arial"/>
        </w:rPr>
        <w:t xml:space="preserve">British Geriatrics Society (2023), The Price of Poverty - The dire impact of the </w:t>
      </w:r>
      <w:proofErr w:type="gramStart"/>
      <w:r w:rsidRPr="003A0272">
        <w:rPr>
          <w:rFonts w:ascii="Arial" w:hAnsi="Arial" w:cs="Arial"/>
        </w:rPr>
        <w:t>cost of living</w:t>
      </w:r>
      <w:proofErr w:type="gramEnd"/>
      <w:r w:rsidRPr="003A0272">
        <w:rPr>
          <w:rFonts w:ascii="Arial" w:hAnsi="Arial" w:cs="Arial"/>
        </w:rPr>
        <w:t xml:space="preserve"> crisis in older adults. </w:t>
      </w:r>
      <w:hyperlink r:id="rId17" w:history="1">
        <w:r w:rsidRPr="003A0272">
          <w:rPr>
            <w:rStyle w:val="Hyperlink"/>
            <w:rFonts w:ascii="Arial" w:hAnsi="Arial" w:cs="Arial"/>
          </w:rPr>
          <w:t>https://www.bgs.org.uk/blog/the-price-of-poverty-the-dire-impact-of-the-cost-of-living-crisis-in-older-adults</w:t>
        </w:r>
      </w:hyperlink>
    </w:p>
    <w:p w14:paraId="3137FEFE" w14:textId="724A0669" w:rsidR="00A87E3D" w:rsidRPr="003A0272" w:rsidRDefault="00A87E3D" w:rsidP="003A0272">
      <w:pPr>
        <w:spacing w:before="240" w:line="360" w:lineRule="auto"/>
        <w:jc w:val="both"/>
        <w:rPr>
          <w:rFonts w:ascii="Arial" w:hAnsi="Arial" w:cs="Arial"/>
        </w:rPr>
      </w:pPr>
      <w:proofErr w:type="spellStart"/>
      <w:r w:rsidRPr="003A0272">
        <w:rPr>
          <w:rFonts w:ascii="Arial" w:hAnsi="Arial" w:cs="Arial"/>
        </w:rPr>
        <w:t>Checkland</w:t>
      </w:r>
      <w:proofErr w:type="spellEnd"/>
      <w:r w:rsidRPr="003A0272">
        <w:rPr>
          <w:rFonts w:ascii="Arial" w:hAnsi="Arial" w:cs="Arial"/>
        </w:rPr>
        <w:t xml:space="preserve">, K., Bramwell, D., Hammond, J., Bailey, S. and Warwick-Giles, L., </w:t>
      </w:r>
      <w:r w:rsidR="007509A3" w:rsidRPr="003A0272">
        <w:rPr>
          <w:rFonts w:ascii="Arial" w:hAnsi="Arial" w:cs="Arial"/>
        </w:rPr>
        <w:t>(</w:t>
      </w:r>
      <w:r w:rsidRPr="003A0272">
        <w:rPr>
          <w:rFonts w:ascii="Arial" w:hAnsi="Arial" w:cs="Arial"/>
        </w:rPr>
        <w:t>2025</w:t>
      </w:r>
      <w:r w:rsidR="007509A3" w:rsidRPr="003A0272">
        <w:rPr>
          <w:rFonts w:ascii="Arial" w:hAnsi="Arial" w:cs="Arial"/>
        </w:rPr>
        <w:t>)</w:t>
      </w:r>
      <w:r w:rsidRPr="003A0272">
        <w:rPr>
          <w:rFonts w:ascii="Arial" w:hAnsi="Arial" w:cs="Arial"/>
        </w:rPr>
        <w:t>. Tackling health inequalities: What exactly do we mean? Evidence from health policy in England. </w:t>
      </w:r>
      <w:r w:rsidRPr="003A0272">
        <w:rPr>
          <w:rFonts w:ascii="Arial" w:hAnsi="Arial" w:cs="Arial"/>
          <w:i/>
          <w:iCs/>
        </w:rPr>
        <w:t>Journal of health services research &amp; policy</w:t>
      </w:r>
      <w:r w:rsidRPr="003A0272">
        <w:rPr>
          <w:rFonts w:ascii="Arial" w:hAnsi="Arial" w:cs="Arial"/>
        </w:rPr>
        <w:t xml:space="preserve">, p.13558196251334571. </w:t>
      </w:r>
      <w:hyperlink r:id="rId18" w:history="1">
        <w:r w:rsidRPr="003A0272">
          <w:rPr>
            <w:rStyle w:val="Hyperlink"/>
            <w:rFonts w:ascii="Arial" w:hAnsi="Arial" w:cs="Arial"/>
          </w:rPr>
          <w:t>https://journals.sagepub.com/doi/abs/10.1177/13558196251334571</w:t>
        </w:r>
      </w:hyperlink>
    </w:p>
    <w:p w14:paraId="6401B078" w14:textId="38E3A71C" w:rsidR="00AA30B9" w:rsidRPr="003A0272" w:rsidRDefault="00AA30B9" w:rsidP="003A0272">
      <w:pPr>
        <w:spacing w:before="240" w:line="360" w:lineRule="auto"/>
        <w:jc w:val="both"/>
        <w:rPr>
          <w:rFonts w:ascii="Arial" w:hAnsi="Arial" w:cs="Arial"/>
        </w:rPr>
      </w:pPr>
      <w:r w:rsidRPr="003A0272">
        <w:rPr>
          <w:rFonts w:ascii="Arial" w:hAnsi="Arial" w:cs="Arial"/>
        </w:rPr>
        <w:t xml:space="preserve">Davies, M.J., Davies, M., Gray, L.J., Gray, L., </w:t>
      </w:r>
      <w:proofErr w:type="spellStart"/>
      <w:r w:rsidRPr="003A0272">
        <w:rPr>
          <w:rFonts w:ascii="Arial" w:hAnsi="Arial" w:cs="Arial"/>
        </w:rPr>
        <w:t>Ahrabian</w:t>
      </w:r>
      <w:proofErr w:type="spellEnd"/>
      <w:r w:rsidRPr="003A0272">
        <w:rPr>
          <w:rFonts w:ascii="Arial" w:hAnsi="Arial" w:cs="Arial"/>
        </w:rPr>
        <w:t xml:space="preserve">, D., Carey, M., Farooqi, A., Gray, A., Goldby, S., Hill, S. and Jones, K., </w:t>
      </w:r>
      <w:r w:rsidR="003A0272">
        <w:rPr>
          <w:rFonts w:ascii="Arial" w:hAnsi="Arial" w:cs="Arial"/>
        </w:rPr>
        <w:t>(</w:t>
      </w:r>
      <w:r w:rsidRPr="003A0272">
        <w:rPr>
          <w:rFonts w:ascii="Arial" w:hAnsi="Arial" w:cs="Arial"/>
        </w:rPr>
        <w:t>2017</w:t>
      </w:r>
      <w:r w:rsidR="003A0272">
        <w:rPr>
          <w:rFonts w:ascii="Arial" w:hAnsi="Arial" w:cs="Arial"/>
        </w:rPr>
        <w:t>)</w:t>
      </w:r>
      <w:r w:rsidRPr="003A0272">
        <w:rPr>
          <w:rFonts w:ascii="Arial" w:hAnsi="Arial" w:cs="Arial"/>
        </w:rPr>
        <w:t>. A community-based primary prevention programme for type 2 diabetes mellitus integrating identification and lifestyle intervention for prevention: a cluster randomised controlled trial. </w:t>
      </w:r>
      <w:r w:rsidRPr="003A0272">
        <w:rPr>
          <w:rFonts w:ascii="Arial" w:hAnsi="Arial" w:cs="Arial"/>
          <w:i/>
          <w:iCs/>
        </w:rPr>
        <w:t>Programme Grants for Applied Research</w:t>
      </w:r>
      <w:r w:rsidRPr="003A0272">
        <w:rPr>
          <w:rFonts w:ascii="Arial" w:hAnsi="Arial" w:cs="Arial"/>
        </w:rPr>
        <w:t>, </w:t>
      </w:r>
      <w:r w:rsidRPr="003A0272">
        <w:rPr>
          <w:rFonts w:ascii="Arial" w:hAnsi="Arial" w:cs="Arial"/>
          <w:i/>
          <w:iCs/>
        </w:rPr>
        <w:t>5</w:t>
      </w:r>
      <w:r w:rsidRPr="003A0272">
        <w:rPr>
          <w:rFonts w:ascii="Arial" w:hAnsi="Arial" w:cs="Arial"/>
        </w:rPr>
        <w:t xml:space="preserve">(2), pp.1-290. </w:t>
      </w:r>
      <w:hyperlink r:id="rId19" w:history="1">
        <w:r w:rsidRPr="003A0272">
          <w:rPr>
            <w:rStyle w:val="Hyperlink"/>
            <w:rFonts w:ascii="Arial" w:hAnsi="Arial" w:cs="Arial"/>
          </w:rPr>
          <w:t>https://www.journalslibrary.nihr.ac.uk/pgfar/PGFAR05020</w:t>
        </w:r>
      </w:hyperlink>
    </w:p>
    <w:p w14:paraId="447D6647" w14:textId="4B805D3F" w:rsidR="008042B4" w:rsidRPr="003A0272" w:rsidRDefault="008042B4" w:rsidP="003A0272">
      <w:pPr>
        <w:spacing w:before="240" w:line="360" w:lineRule="auto"/>
        <w:jc w:val="both"/>
        <w:rPr>
          <w:rFonts w:ascii="Arial" w:hAnsi="Arial" w:cs="Arial"/>
        </w:rPr>
      </w:pPr>
      <w:r w:rsidRPr="003A0272">
        <w:rPr>
          <w:rFonts w:ascii="Arial" w:hAnsi="Arial" w:cs="Arial"/>
        </w:rPr>
        <w:t xml:space="preserve">Desse, T.A., Namara, K.M., </w:t>
      </w:r>
      <w:proofErr w:type="spellStart"/>
      <w:r w:rsidRPr="003A0272">
        <w:rPr>
          <w:rFonts w:ascii="Arial" w:hAnsi="Arial" w:cs="Arial"/>
        </w:rPr>
        <w:t>Yifter</w:t>
      </w:r>
      <w:proofErr w:type="spellEnd"/>
      <w:r w:rsidRPr="003A0272">
        <w:rPr>
          <w:rFonts w:ascii="Arial" w:hAnsi="Arial" w:cs="Arial"/>
        </w:rPr>
        <w:t xml:space="preserve">, H. and Manias, E., </w:t>
      </w:r>
      <w:r w:rsidR="003A0272">
        <w:rPr>
          <w:rFonts w:ascii="Arial" w:hAnsi="Arial" w:cs="Arial"/>
        </w:rPr>
        <w:t>(</w:t>
      </w:r>
      <w:r w:rsidRPr="003A0272">
        <w:rPr>
          <w:rFonts w:ascii="Arial" w:hAnsi="Arial" w:cs="Arial"/>
        </w:rPr>
        <w:t>2022</w:t>
      </w:r>
      <w:r w:rsidR="003A0272">
        <w:rPr>
          <w:rFonts w:ascii="Arial" w:hAnsi="Arial" w:cs="Arial"/>
        </w:rPr>
        <w:t>)</w:t>
      </w:r>
      <w:r w:rsidRPr="003A0272">
        <w:rPr>
          <w:rFonts w:ascii="Arial" w:hAnsi="Arial" w:cs="Arial"/>
        </w:rPr>
        <w:t>. Development of a complex intervention for effective management of type 2 diabetes in a developing country. </w:t>
      </w:r>
      <w:r w:rsidRPr="003A0272">
        <w:rPr>
          <w:rFonts w:ascii="Arial" w:hAnsi="Arial" w:cs="Arial"/>
          <w:i/>
          <w:iCs/>
        </w:rPr>
        <w:t>Journal of Clinical Medicine</w:t>
      </w:r>
      <w:r w:rsidRPr="003A0272">
        <w:rPr>
          <w:rFonts w:ascii="Arial" w:hAnsi="Arial" w:cs="Arial"/>
        </w:rPr>
        <w:t>, </w:t>
      </w:r>
      <w:r w:rsidRPr="003A0272">
        <w:rPr>
          <w:rFonts w:ascii="Arial" w:hAnsi="Arial" w:cs="Arial"/>
          <w:i/>
          <w:iCs/>
        </w:rPr>
        <w:t>11</w:t>
      </w:r>
      <w:r w:rsidRPr="003A0272">
        <w:rPr>
          <w:rFonts w:ascii="Arial" w:hAnsi="Arial" w:cs="Arial"/>
        </w:rPr>
        <w:t xml:space="preserve">(5), p.1149. </w:t>
      </w:r>
      <w:hyperlink r:id="rId20" w:history="1">
        <w:r w:rsidRPr="003A0272">
          <w:rPr>
            <w:rStyle w:val="Hyperlink"/>
            <w:rFonts w:ascii="Arial" w:hAnsi="Arial" w:cs="Arial"/>
          </w:rPr>
          <w:t>https://www.mdpi.com/2077-0383/11/5/1149</w:t>
        </w:r>
      </w:hyperlink>
    </w:p>
    <w:p w14:paraId="2DD379A7" w14:textId="55E95508" w:rsidR="00E00CF1" w:rsidRPr="003A0272" w:rsidRDefault="00E00CF1" w:rsidP="003A0272">
      <w:pPr>
        <w:spacing w:before="240" w:line="360" w:lineRule="auto"/>
        <w:jc w:val="both"/>
        <w:rPr>
          <w:rFonts w:ascii="Arial" w:hAnsi="Arial" w:cs="Arial"/>
        </w:rPr>
      </w:pPr>
      <w:r w:rsidRPr="003A0272">
        <w:rPr>
          <w:rFonts w:ascii="Arial" w:hAnsi="Arial" w:cs="Arial"/>
        </w:rPr>
        <w:t xml:space="preserve">Edwards, S., </w:t>
      </w:r>
      <w:proofErr w:type="spellStart"/>
      <w:r w:rsidRPr="003A0272">
        <w:rPr>
          <w:rFonts w:ascii="Arial" w:hAnsi="Arial" w:cs="Arial"/>
        </w:rPr>
        <w:t>Trepel</w:t>
      </w:r>
      <w:proofErr w:type="spellEnd"/>
      <w:r w:rsidRPr="003A0272">
        <w:rPr>
          <w:rFonts w:ascii="Arial" w:hAnsi="Arial" w:cs="Arial"/>
        </w:rPr>
        <w:t xml:space="preserve">, D., Ritchie, C., Hahn-Pedersen, J.H., Robinson, D.E., Chan, M.S., Bray, B.D., Clark, A., Ivkovic, M., Michalak, W. and Wichmann, C.A., </w:t>
      </w:r>
      <w:r w:rsidR="007509A3" w:rsidRPr="003A0272">
        <w:rPr>
          <w:rFonts w:ascii="Arial" w:hAnsi="Arial" w:cs="Arial"/>
        </w:rPr>
        <w:t>(</w:t>
      </w:r>
      <w:r w:rsidRPr="003A0272">
        <w:rPr>
          <w:rFonts w:ascii="Arial" w:hAnsi="Arial" w:cs="Arial"/>
        </w:rPr>
        <w:t>2024</w:t>
      </w:r>
      <w:r w:rsidR="007509A3" w:rsidRPr="003A0272">
        <w:rPr>
          <w:rFonts w:ascii="Arial" w:hAnsi="Arial" w:cs="Arial"/>
        </w:rPr>
        <w:t>)</w:t>
      </w:r>
      <w:r w:rsidRPr="003A0272">
        <w:rPr>
          <w:rFonts w:ascii="Arial" w:hAnsi="Arial" w:cs="Arial"/>
        </w:rPr>
        <w:t>. Real world outcomes, healthcare utilisation and costs of Alzheimer's disease in England. </w:t>
      </w:r>
      <w:r w:rsidRPr="003A0272">
        <w:rPr>
          <w:rFonts w:ascii="Arial" w:hAnsi="Arial" w:cs="Arial"/>
          <w:i/>
          <w:iCs/>
        </w:rPr>
        <w:t>Aging and Health Research</w:t>
      </w:r>
      <w:r w:rsidRPr="003A0272">
        <w:rPr>
          <w:rFonts w:ascii="Arial" w:hAnsi="Arial" w:cs="Arial"/>
        </w:rPr>
        <w:t>, </w:t>
      </w:r>
      <w:r w:rsidRPr="003A0272">
        <w:rPr>
          <w:rFonts w:ascii="Arial" w:hAnsi="Arial" w:cs="Arial"/>
          <w:i/>
          <w:iCs/>
        </w:rPr>
        <w:t>4</w:t>
      </w:r>
      <w:r w:rsidRPr="003A0272">
        <w:rPr>
          <w:rFonts w:ascii="Arial" w:hAnsi="Arial" w:cs="Arial"/>
        </w:rPr>
        <w:t xml:space="preserve">(1), p.100180. </w:t>
      </w:r>
      <w:hyperlink r:id="rId21" w:history="1">
        <w:r w:rsidRPr="003A0272">
          <w:rPr>
            <w:rStyle w:val="Hyperlink"/>
            <w:rFonts w:ascii="Arial" w:hAnsi="Arial" w:cs="Arial"/>
          </w:rPr>
          <w:t>https://www.sciencedirect.com/science/article/pii/S2667032124000015</w:t>
        </w:r>
      </w:hyperlink>
    </w:p>
    <w:p w14:paraId="11A18BE0" w14:textId="2B377F13" w:rsidR="002F7AA1" w:rsidRPr="003A0272" w:rsidRDefault="002F7AA1" w:rsidP="003A0272">
      <w:pPr>
        <w:spacing w:before="240" w:line="360" w:lineRule="auto"/>
        <w:jc w:val="both"/>
        <w:rPr>
          <w:rFonts w:ascii="Arial" w:hAnsi="Arial" w:cs="Arial"/>
        </w:rPr>
      </w:pPr>
      <w:proofErr w:type="spellStart"/>
      <w:r w:rsidRPr="003A0272">
        <w:rPr>
          <w:rFonts w:ascii="Arial" w:hAnsi="Arial" w:cs="Arial"/>
        </w:rPr>
        <w:lastRenderedPageBreak/>
        <w:t>Forouhi</w:t>
      </w:r>
      <w:proofErr w:type="spellEnd"/>
      <w:r w:rsidRPr="003A0272">
        <w:rPr>
          <w:rFonts w:ascii="Arial" w:hAnsi="Arial" w:cs="Arial"/>
        </w:rPr>
        <w:t>, N.G. and Wareham, N.J., 2019. Epidemiology of diabetes. </w:t>
      </w:r>
      <w:r w:rsidRPr="003A0272">
        <w:rPr>
          <w:rFonts w:ascii="Arial" w:hAnsi="Arial" w:cs="Arial"/>
          <w:i/>
          <w:iCs/>
        </w:rPr>
        <w:t>Medicine</w:t>
      </w:r>
      <w:r w:rsidRPr="003A0272">
        <w:rPr>
          <w:rFonts w:ascii="Arial" w:hAnsi="Arial" w:cs="Arial"/>
        </w:rPr>
        <w:t>, </w:t>
      </w:r>
      <w:r w:rsidRPr="003A0272">
        <w:rPr>
          <w:rFonts w:ascii="Arial" w:hAnsi="Arial" w:cs="Arial"/>
          <w:i/>
          <w:iCs/>
        </w:rPr>
        <w:t>47</w:t>
      </w:r>
      <w:r w:rsidRPr="003A0272">
        <w:rPr>
          <w:rFonts w:ascii="Arial" w:hAnsi="Arial" w:cs="Arial"/>
        </w:rPr>
        <w:t xml:space="preserve">(1), pp.22-27. </w:t>
      </w:r>
      <w:hyperlink r:id="rId22" w:history="1">
        <w:r w:rsidRPr="003A0272">
          <w:rPr>
            <w:rStyle w:val="Hyperlink"/>
            <w:rFonts w:ascii="Arial" w:hAnsi="Arial" w:cs="Arial"/>
          </w:rPr>
          <w:t>https://www.sciencedirect.com/science/article/pii/S1357303918302640</w:t>
        </w:r>
      </w:hyperlink>
    </w:p>
    <w:p w14:paraId="55AD97E1" w14:textId="353DA376" w:rsidR="003F6965" w:rsidRPr="003A0272" w:rsidRDefault="003F6965" w:rsidP="003A0272">
      <w:pPr>
        <w:spacing w:before="240" w:line="360" w:lineRule="auto"/>
        <w:jc w:val="both"/>
        <w:rPr>
          <w:rFonts w:ascii="Arial" w:hAnsi="Arial" w:cs="Arial"/>
        </w:rPr>
      </w:pPr>
      <w:r w:rsidRPr="003A0272">
        <w:rPr>
          <w:rFonts w:ascii="Arial" w:hAnsi="Arial" w:cs="Arial"/>
        </w:rPr>
        <w:t xml:space="preserve">Galicia-Garcia, U., Benito-Vicente, A., </w:t>
      </w:r>
      <w:proofErr w:type="spellStart"/>
      <w:r w:rsidRPr="003A0272">
        <w:rPr>
          <w:rFonts w:ascii="Arial" w:hAnsi="Arial" w:cs="Arial"/>
        </w:rPr>
        <w:t>Jebari</w:t>
      </w:r>
      <w:proofErr w:type="spellEnd"/>
      <w:r w:rsidRPr="003A0272">
        <w:rPr>
          <w:rFonts w:ascii="Arial" w:hAnsi="Arial" w:cs="Arial"/>
        </w:rPr>
        <w:t>, S., Larrea-</w:t>
      </w:r>
      <w:proofErr w:type="spellStart"/>
      <w:r w:rsidRPr="003A0272">
        <w:rPr>
          <w:rFonts w:ascii="Arial" w:hAnsi="Arial" w:cs="Arial"/>
        </w:rPr>
        <w:t>Sebal</w:t>
      </w:r>
      <w:proofErr w:type="spellEnd"/>
      <w:r w:rsidRPr="003A0272">
        <w:rPr>
          <w:rFonts w:ascii="Arial" w:hAnsi="Arial" w:cs="Arial"/>
        </w:rPr>
        <w:t xml:space="preserve">, A., Siddiqi, H., Uribe, K.B., Ostolaza, H. and Martín, C., </w:t>
      </w:r>
      <w:r w:rsidR="002F2200">
        <w:rPr>
          <w:rFonts w:ascii="Arial" w:hAnsi="Arial" w:cs="Arial"/>
        </w:rPr>
        <w:t>(</w:t>
      </w:r>
      <w:r w:rsidRPr="003A0272">
        <w:rPr>
          <w:rFonts w:ascii="Arial" w:hAnsi="Arial" w:cs="Arial"/>
        </w:rPr>
        <w:t>2020</w:t>
      </w:r>
      <w:r w:rsidR="002F2200">
        <w:rPr>
          <w:rFonts w:ascii="Arial" w:hAnsi="Arial" w:cs="Arial"/>
        </w:rPr>
        <w:t>)</w:t>
      </w:r>
      <w:r w:rsidRPr="003A0272">
        <w:rPr>
          <w:rFonts w:ascii="Arial" w:hAnsi="Arial" w:cs="Arial"/>
        </w:rPr>
        <w:t>. Pathophysiology of type 2 diabetes mellitus. </w:t>
      </w:r>
      <w:r w:rsidRPr="003A0272">
        <w:rPr>
          <w:rFonts w:ascii="Arial" w:hAnsi="Arial" w:cs="Arial"/>
          <w:i/>
          <w:iCs/>
        </w:rPr>
        <w:t>International journal of molecular sciences</w:t>
      </w:r>
      <w:r w:rsidRPr="003A0272">
        <w:rPr>
          <w:rFonts w:ascii="Arial" w:hAnsi="Arial" w:cs="Arial"/>
        </w:rPr>
        <w:t>, </w:t>
      </w:r>
      <w:r w:rsidRPr="003A0272">
        <w:rPr>
          <w:rFonts w:ascii="Arial" w:hAnsi="Arial" w:cs="Arial"/>
          <w:i/>
          <w:iCs/>
        </w:rPr>
        <w:t>21</w:t>
      </w:r>
      <w:r w:rsidRPr="003A0272">
        <w:rPr>
          <w:rFonts w:ascii="Arial" w:hAnsi="Arial" w:cs="Arial"/>
        </w:rPr>
        <w:t xml:space="preserve">(17), p.6275. </w:t>
      </w:r>
      <w:hyperlink r:id="rId23" w:history="1">
        <w:r w:rsidRPr="003A0272">
          <w:rPr>
            <w:rStyle w:val="Hyperlink"/>
            <w:rFonts w:ascii="Arial" w:hAnsi="Arial" w:cs="Arial"/>
          </w:rPr>
          <w:t>https://www.mdpi.com/1422-0067/21/17/6275</w:t>
        </w:r>
      </w:hyperlink>
    </w:p>
    <w:p w14:paraId="77A8FC98" w14:textId="25AC14FB" w:rsidR="005E3F36" w:rsidRPr="003A0272" w:rsidRDefault="005E3F36" w:rsidP="003A0272">
      <w:pPr>
        <w:spacing w:before="240" w:line="360" w:lineRule="auto"/>
        <w:jc w:val="both"/>
        <w:rPr>
          <w:rFonts w:ascii="Arial" w:hAnsi="Arial" w:cs="Arial"/>
        </w:rPr>
      </w:pPr>
      <w:r w:rsidRPr="003A0272">
        <w:rPr>
          <w:rFonts w:ascii="Arial" w:hAnsi="Arial" w:cs="Arial"/>
        </w:rPr>
        <w:t xml:space="preserve">Goodwin, V.A., Low, M.S., Quinn, T.J., Cockcroft, E.J., Shepherd, V., Evans, P.H., Henderson, E.J., Mahmood, F., Ni Lochlainn, M., Needham, C. and Underwood, B.R., </w:t>
      </w:r>
      <w:r w:rsidR="007509A3" w:rsidRPr="003A0272">
        <w:rPr>
          <w:rFonts w:ascii="Arial" w:hAnsi="Arial" w:cs="Arial"/>
        </w:rPr>
        <w:t>(</w:t>
      </w:r>
      <w:r w:rsidRPr="003A0272">
        <w:rPr>
          <w:rFonts w:ascii="Arial" w:hAnsi="Arial" w:cs="Arial"/>
        </w:rPr>
        <w:t>2023</w:t>
      </w:r>
      <w:r w:rsidR="007509A3" w:rsidRPr="003A0272">
        <w:rPr>
          <w:rFonts w:ascii="Arial" w:hAnsi="Arial" w:cs="Arial"/>
        </w:rPr>
        <w:t>)</w:t>
      </w:r>
      <w:r w:rsidRPr="003A0272">
        <w:rPr>
          <w:rFonts w:ascii="Arial" w:hAnsi="Arial" w:cs="Arial"/>
        </w:rPr>
        <w:t>. Including older people in health and social care research: best practice recommendations based on the INCLUDE framework. </w:t>
      </w:r>
      <w:r w:rsidRPr="003A0272">
        <w:rPr>
          <w:rFonts w:ascii="Arial" w:hAnsi="Arial" w:cs="Arial"/>
          <w:i/>
          <w:iCs/>
        </w:rPr>
        <w:t>Age and Ageing</w:t>
      </w:r>
      <w:r w:rsidRPr="003A0272">
        <w:rPr>
          <w:rFonts w:ascii="Arial" w:hAnsi="Arial" w:cs="Arial"/>
        </w:rPr>
        <w:t>, </w:t>
      </w:r>
      <w:r w:rsidRPr="003A0272">
        <w:rPr>
          <w:rFonts w:ascii="Arial" w:hAnsi="Arial" w:cs="Arial"/>
          <w:i/>
          <w:iCs/>
        </w:rPr>
        <w:t>52</w:t>
      </w:r>
      <w:r w:rsidRPr="003A0272">
        <w:rPr>
          <w:rFonts w:ascii="Arial" w:hAnsi="Arial" w:cs="Arial"/>
        </w:rPr>
        <w:t xml:space="preserve">(6), </w:t>
      </w:r>
      <w:proofErr w:type="gramStart"/>
      <w:r w:rsidRPr="003A0272">
        <w:rPr>
          <w:rFonts w:ascii="Arial" w:hAnsi="Arial" w:cs="Arial"/>
        </w:rPr>
        <w:t>p.afad</w:t>
      </w:r>
      <w:proofErr w:type="gramEnd"/>
      <w:r w:rsidRPr="003A0272">
        <w:rPr>
          <w:rFonts w:ascii="Arial" w:hAnsi="Arial" w:cs="Arial"/>
        </w:rPr>
        <w:t xml:space="preserve">082. </w:t>
      </w:r>
      <w:hyperlink r:id="rId24" w:history="1">
        <w:r w:rsidRPr="003A0272">
          <w:rPr>
            <w:rStyle w:val="Hyperlink"/>
            <w:rFonts w:ascii="Arial" w:hAnsi="Arial" w:cs="Arial"/>
          </w:rPr>
          <w:t>https://academic.oup.com/ageing/article-abstract/52/6/afad082/7187125</w:t>
        </w:r>
      </w:hyperlink>
    </w:p>
    <w:p w14:paraId="1781DFDD" w14:textId="67C124B8" w:rsidR="00842BF7" w:rsidRPr="003A0272" w:rsidRDefault="00842BF7" w:rsidP="003A0272">
      <w:pPr>
        <w:spacing w:before="240" w:line="360" w:lineRule="auto"/>
        <w:jc w:val="both"/>
        <w:rPr>
          <w:rFonts w:ascii="Arial" w:hAnsi="Arial" w:cs="Arial"/>
        </w:rPr>
      </w:pPr>
      <w:r w:rsidRPr="003A0272">
        <w:rPr>
          <w:rFonts w:ascii="Arial" w:hAnsi="Arial" w:cs="Arial"/>
        </w:rPr>
        <w:t xml:space="preserve">Gray, L.J., </w:t>
      </w:r>
      <w:r w:rsidR="002F2200">
        <w:rPr>
          <w:rFonts w:ascii="Arial" w:hAnsi="Arial" w:cs="Arial"/>
        </w:rPr>
        <w:t>(</w:t>
      </w:r>
      <w:r w:rsidRPr="003A0272">
        <w:rPr>
          <w:rFonts w:ascii="Arial" w:hAnsi="Arial" w:cs="Arial"/>
        </w:rPr>
        <w:t>2020</w:t>
      </w:r>
      <w:r w:rsidR="002F2200">
        <w:rPr>
          <w:rFonts w:ascii="Arial" w:hAnsi="Arial" w:cs="Arial"/>
        </w:rPr>
        <w:t>)</w:t>
      </w:r>
      <w:r w:rsidRPr="003A0272">
        <w:rPr>
          <w:rFonts w:ascii="Arial" w:hAnsi="Arial" w:cs="Arial"/>
        </w:rPr>
        <w:t>. Risk Assessment for Diabetes. In </w:t>
      </w:r>
      <w:r w:rsidRPr="003A0272">
        <w:rPr>
          <w:rFonts w:ascii="Arial" w:hAnsi="Arial" w:cs="Arial"/>
          <w:i/>
          <w:iCs/>
        </w:rPr>
        <w:t>Risk Assessment in Oral Health: A Concise Guide for Clinical Application</w:t>
      </w:r>
      <w:r w:rsidRPr="003A0272">
        <w:rPr>
          <w:rFonts w:ascii="Arial" w:hAnsi="Arial" w:cs="Arial"/>
        </w:rPr>
        <w:t xml:space="preserve"> (pp. 61-76). Cham: Springer International Publishing. </w:t>
      </w:r>
      <w:hyperlink r:id="rId25" w:history="1">
        <w:r w:rsidRPr="003A0272">
          <w:rPr>
            <w:rStyle w:val="Hyperlink"/>
            <w:rFonts w:ascii="Arial" w:hAnsi="Arial" w:cs="Arial"/>
          </w:rPr>
          <w:t>https://link.springer.com/chapter/10.1007/978-3-030-38647-4_5</w:t>
        </w:r>
      </w:hyperlink>
    </w:p>
    <w:p w14:paraId="653BC5DB" w14:textId="0AFCA421" w:rsidR="00BB7FD4" w:rsidRPr="003A0272" w:rsidRDefault="00BB7FD4" w:rsidP="003A0272">
      <w:pPr>
        <w:spacing w:before="240" w:line="360" w:lineRule="auto"/>
        <w:jc w:val="both"/>
        <w:rPr>
          <w:rFonts w:ascii="Arial" w:hAnsi="Arial" w:cs="Arial"/>
        </w:rPr>
      </w:pPr>
      <w:r w:rsidRPr="003A0272">
        <w:rPr>
          <w:rFonts w:ascii="Arial" w:hAnsi="Arial" w:cs="Arial"/>
        </w:rPr>
        <w:t xml:space="preserve">Health Profile for Lambeth, </w:t>
      </w:r>
      <w:r w:rsidR="002F2200">
        <w:rPr>
          <w:rFonts w:ascii="Arial" w:hAnsi="Arial" w:cs="Arial"/>
        </w:rPr>
        <w:t>(</w:t>
      </w:r>
      <w:r w:rsidRPr="003A0272">
        <w:rPr>
          <w:rFonts w:ascii="Arial" w:hAnsi="Arial" w:cs="Arial"/>
        </w:rPr>
        <w:t>2022</w:t>
      </w:r>
      <w:r w:rsidR="002F2200">
        <w:rPr>
          <w:rFonts w:ascii="Arial" w:hAnsi="Arial" w:cs="Arial"/>
        </w:rPr>
        <w:t>),</w:t>
      </w:r>
      <w:r w:rsidRPr="003A0272">
        <w:rPr>
          <w:rFonts w:ascii="Arial" w:hAnsi="Arial" w:cs="Arial"/>
        </w:rPr>
        <w:t xml:space="preserve"> </w:t>
      </w:r>
      <w:hyperlink r:id="rId26" w:history="1">
        <w:r w:rsidRPr="003A0272">
          <w:rPr>
            <w:rStyle w:val="Hyperlink"/>
            <w:rFonts w:ascii="Arial" w:hAnsi="Arial" w:cs="Arial"/>
          </w:rPr>
          <w:t>https://www.lambeth.gov.uk/sites/default/files/2022-10/health-profile-for-lambeth-2022-section-6.pdf?utm_source=chatgpt.com</w:t>
        </w:r>
      </w:hyperlink>
    </w:p>
    <w:p w14:paraId="3B803D3E" w14:textId="0E9C113F" w:rsidR="00231CF2" w:rsidRPr="003A0272" w:rsidRDefault="00231CF2" w:rsidP="003A0272">
      <w:pPr>
        <w:spacing w:before="240" w:line="360" w:lineRule="auto"/>
        <w:jc w:val="both"/>
        <w:rPr>
          <w:rFonts w:ascii="Arial" w:hAnsi="Arial" w:cs="Arial"/>
        </w:rPr>
      </w:pPr>
      <w:proofErr w:type="spellStart"/>
      <w:r w:rsidRPr="003A0272">
        <w:rPr>
          <w:rFonts w:ascii="Arial" w:hAnsi="Arial" w:cs="Arial"/>
        </w:rPr>
        <w:t>Hapsari</w:t>
      </w:r>
      <w:proofErr w:type="spellEnd"/>
      <w:r w:rsidRPr="003A0272">
        <w:rPr>
          <w:rFonts w:ascii="Arial" w:hAnsi="Arial" w:cs="Arial"/>
        </w:rPr>
        <w:t xml:space="preserve">, A.R., </w:t>
      </w:r>
      <w:proofErr w:type="spellStart"/>
      <w:r w:rsidRPr="003A0272">
        <w:rPr>
          <w:rFonts w:ascii="Arial" w:hAnsi="Arial" w:cs="Arial"/>
        </w:rPr>
        <w:t>Mardiyono</w:t>
      </w:r>
      <w:proofErr w:type="spellEnd"/>
      <w:r w:rsidRPr="003A0272">
        <w:rPr>
          <w:rFonts w:ascii="Arial" w:hAnsi="Arial" w:cs="Arial"/>
        </w:rPr>
        <w:t xml:space="preserve">, M. and </w:t>
      </w:r>
      <w:proofErr w:type="spellStart"/>
      <w:r w:rsidRPr="003A0272">
        <w:rPr>
          <w:rFonts w:ascii="Arial" w:hAnsi="Arial" w:cs="Arial"/>
        </w:rPr>
        <w:t>Suharsono</w:t>
      </w:r>
      <w:proofErr w:type="spellEnd"/>
      <w:r w:rsidRPr="003A0272">
        <w:rPr>
          <w:rFonts w:ascii="Arial" w:hAnsi="Arial" w:cs="Arial"/>
        </w:rPr>
        <w:t xml:space="preserve">, S., </w:t>
      </w:r>
      <w:r w:rsidR="002F2200">
        <w:rPr>
          <w:rFonts w:ascii="Arial" w:hAnsi="Arial" w:cs="Arial"/>
        </w:rPr>
        <w:t>(</w:t>
      </w:r>
      <w:r w:rsidRPr="003A0272">
        <w:rPr>
          <w:rFonts w:ascii="Arial" w:hAnsi="Arial" w:cs="Arial"/>
        </w:rPr>
        <w:t>2025</w:t>
      </w:r>
      <w:r w:rsidR="002F2200">
        <w:rPr>
          <w:rFonts w:ascii="Arial" w:hAnsi="Arial" w:cs="Arial"/>
        </w:rPr>
        <w:t>)</w:t>
      </w:r>
      <w:r w:rsidRPr="003A0272">
        <w:rPr>
          <w:rFonts w:ascii="Arial" w:hAnsi="Arial" w:cs="Arial"/>
        </w:rPr>
        <w:t xml:space="preserve">. The effect of android-based </w:t>
      </w:r>
      <w:proofErr w:type="spellStart"/>
      <w:r w:rsidRPr="003A0272">
        <w:rPr>
          <w:rFonts w:ascii="Arial" w:hAnsi="Arial" w:cs="Arial"/>
        </w:rPr>
        <w:t>self care</w:t>
      </w:r>
      <w:proofErr w:type="spellEnd"/>
      <w:r w:rsidRPr="003A0272">
        <w:rPr>
          <w:rFonts w:ascii="Arial" w:hAnsi="Arial" w:cs="Arial"/>
        </w:rPr>
        <w:t xml:space="preserve"> management on </w:t>
      </w:r>
      <w:proofErr w:type="spellStart"/>
      <w:r w:rsidRPr="003A0272">
        <w:rPr>
          <w:rFonts w:ascii="Arial" w:hAnsi="Arial" w:cs="Arial"/>
        </w:rPr>
        <w:t>self efficacy</w:t>
      </w:r>
      <w:proofErr w:type="spellEnd"/>
      <w:r w:rsidRPr="003A0272">
        <w:rPr>
          <w:rFonts w:ascii="Arial" w:hAnsi="Arial" w:cs="Arial"/>
        </w:rPr>
        <w:t xml:space="preserve"> and control of fasting blood sugar levels of people with type 2 diabetes mellitus in the working area of the </w:t>
      </w:r>
      <w:proofErr w:type="spellStart"/>
      <w:r w:rsidRPr="003A0272">
        <w:rPr>
          <w:rFonts w:ascii="Arial" w:hAnsi="Arial" w:cs="Arial"/>
        </w:rPr>
        <w:t>tempel</w:t>
      </w:r>
      <w:proofErr w:type="spellEnd"/>
      <w:r w:rsidRPr="003A0272">
        <w:rPr>
          <w:rFonts w:ascii="Arial" w:hAnsi="Arial" w:cs="Arial"/>
        </w:rPr>
        <w:t xml:space="preserve"> </w:t>
      </w:r>
      <w:proofErr w:type="spellStart"/>
      <w:r w:rsidRPr="003A0272">
        <w:rPr>
          <w:rFonts w:ascii="Arial" w:hAnsi="Arial" w:cs="Arial"/>
        </w:rPr>
        <w:t>sleman</w:t>
      </w:r>
      <w:proofErr w:type="spellEnd"/>
      <w:r w:rsidRPr="003A0272">
        <w:rPr>
          <w:rFonts w:ascii="Arial" w:hAnsi="Arial" w:cs="Arial"/>
        </w:rPr>
        <w:t xml:space="preserve"> health </w:t>
      </w:r>
      <w:proofErr w:type="spellStart"/>
      <w:r w:rsidRPr="003A0272">
        <w:rPr>
          <w:rFonts w:ascii="Arial" w:hAnsi="Arial" w:cs="Arial"/>
        </w:rPr>
        <w:t>center</w:t>
      </w:r>
      <w:proofErr w:type="spellEnd"/>
      <w:r w:rsidRPr="003A0272">
        <w:rPr>
          <w:rFonts w:ascii="Arial" w:hAnsi="Arial" w:cs="Arial"/>
        </w:rPr>
        <w:t>. </w:t>
      </w:r>
      <w:proofErr w:type="spellStart"/>
      <w:r w:rsidRPr="003A0272">
        <w:rPr>
          <w:rFonts w:ascii="Arial" w:hAnsi="Arial" w:cs="Arial"/>
          <w:i/>
          <w:iCs/>
        </w:rPr>
        <w:t>Eduvest</w:t>
      </w:r>
      <w:proofErr w:type="spellEnd"/>
      <w:r w:rsidRPr="003A0272">
        <w:rPr>
          <w:rFonts w:ascii="Arial" w:hAnsi="Arial" w:cs="Arial"/>
          <w:i/>
          <w:iCs/>
        </w:rPr>
        <w:t>-Journal of Universal Studies</w:t>
      </w:r>
      <w:r w:rsidRPr="003A0272">
        <w:rPr>
          <w:rFonts w:ascii="Arial" w:hAnsi="Arial" w:cs="Arial"/>
        </w:rPr>
        <w:t>, </w:t>
      </w:r>
      <w:r w:rsidRPr="003A0272">
        <w:rPr>
          <w:rFonts w:ascii="Arial" w:hAnsi="Arial" w:cs="Arial"/>
          <w:i/>
          <w:iCs/>
        </w:rPr>
        <w:t>5</w:t>
      </w:r>
      <w:r w:rsidRPr="003A0272">
        <w:rPr>
          <w:rFonts w:ascii="Arial" w:hAnsi="Arial" w:cs="Arial"/>
        </w:rPr>
        <w:t xml:space="preserve">(4), pp.4008-4026. </w:t>
      </w:r>
      <w:hyperlink r:id="rId27" w:history="1">
        <w:r w:rsidRPr="003A0272">
          <w:rPr>
            <w:rStyle w:val="Hyperlink"/>
            <w:rFonts w:ascii="Arial" w:hAnsi="Arial" w:cs="Arial"/>
          </w:rPr>
          <w:t>http://eduvest.greenvest.co.id/index.php/edv/article/view/49974</w:t>
        </w:r>
      </w:hyperlink>
    </w:p>
    <w:p w14:paraId="36CA4F24" w14:textId="63C0EAE3" w:rsidR="00BB754D" w:rsidRPr="003A0272" w:rsidRDefault="00BB754D" w:rsidP="003A0272">
      <w:pPr>
        <w:spacing w:before="240" w:line="360" w:lineRule="auto"/>
        <w:jc w:val="both"/>
        <w:rPr>
          <w:rFonts w:ascii="Arial" w:hAnsi="Arial" w:cs="Arial"/>
        </w:rPr>
      </w:pPr>
      <w:proofErr w:type="spellStart"/>
      <w:r w:rsidRPr="003A0272">
        <w:rPr>
          <w:rFonts w:ascii="Arial" w:hAnsi="Arial" w:cs="Arial"/>
        </w:rPr>
        <w:t>Kamusheva</w:t>
      </w:r>
      <w:proofErr w:type="spellEnd"/>
      <w:r w:rsidRPr="003A0272">
        <w:rPr>
          <w:rFonts w:ascii="Arial" w:hAnsi="Arial" w:cs="Arial"/>
        </w:rPr>
        <w:t xml:space="preserve">, M., Tachkov, K., Dimitrova, M., Mitkova, Z., García-Sáez, G., Hernando, M.E., Goettsch, W. and Petrova, G., </w:t>
      </w:r>
      <w:r w:rsidR="001E1705">
        <w:rPr>
          <w:rFonts w:ascii="Arial" w:hAnsi="Arial" w:cs="Arial"/>
        </w:rPr>
        <w:t>(</w:t>
      </w:r>
      <w:r w:rsidRPr="003A0272">
        <w:rPr>
          <w:rFonts w:ascii="Arial" w:hAnsi="Arial" w:cs="Arial"/>
        </w:rPr>
        <w:t>2021</w:t>
      </w:r>
      <w:r w:rsidR="001E1705">
        <w:rPr>
          <w:rFonts w:ascii="Arial" w:hAnsi="Arial" w:cs="Arial"/>
        </w:rPr>
        <w:t>)</w:t>
      </w:r>
      <w:r w:rsidRPr="003A0272">
        <w:rPr>
          <w:rFonts w:ascii="Arial" w:hAnsi="Arial" w:cs="Arial"/>
        </w:rPr>
        <w:t>. A systematic review of collective evidences investigating the effect of diabetes monitoring systems and their application in health care. </w:t>
      </w:r>
      <w:r w:rsidRPr="003A0272">
        <w:rPr>
          <w:rFonts w:ascii="Arial" w:hAnsi="Arial" w:cs="Arial"/>
          <w:i/>
          <w:iCs/>
        </w:rPr>
        <w:t>Frontiers in endocrinology</w:t>
      </w:r>
      <w:r w:rsidRPr="003A0272">
        <w:rPr>
          <w:rFonts w:ascii="Arial" w:hAnsi="Arial" w:cs="Arial"/>
        </w:rPr>
        <w:t>, </w:t>
      </w:r>
      <w:r w:rsidRPr="003A0272">
        <w:rPr>
          <w:rFonts w:ascii="Arial" w:hAnsi="Arial" w:cs="Arial"/>
          <w:i/>
          <w:iCs/>
        </w:rPr>
        <w:t>12</w:t>
      </w:r>
      <w:r w:rsidRPr="003A0272">
        <w:rPr>
          <w:rFonts w:ascii="Arial" w:hAnsi="Arial" w:cs="Arial"/>
        </w:rPr>
        <w:t xml:space="preserve">, p.636959. </w:t>
      </w:r>
      <w:hyperlink r:id="rId28" w:history="1">
        <w:r w:rsidRPr="003A0272">
          <w:rPr>
            <w:rStyle w:val="Hyperlink"/>
            <w:rFonts w:ascii="Arial" w:hAnsi="Arial" w:cs="Arial"/>
          </w:rPr>
          <w:t>https://www.frontiersin.org/journals/endocrinology/articles/10.3389/fendo.2021.636959/full</w:t>
        </w:r>
      </w:hyperlink>
    </w:p>
    <w:p w14:paraId="1D9A69E7" w14:textId="3C8433F7" w:rsidR="00F237BC" w:rsidRPr="003A0272" w:rsidRDefault="00F237BC" w:rsidP="003A0272">
      <w:pPr>
        <w:spacing w:before="240" w:line="360" w:lineRule="auto"/>
        <w:jc w:val="both"/>
        <w:rPr>
          <w:rFonts w:ascii="Arial" w:hAnsi="Arial" w:cs="Arial"/>
        </w:rPr>
      </w:pPr>
      <w:r w:rsidRPr="003A0272">
        <w:rPr>
          <w:rFonts w:ascii="Arial" w:hAnsi="Arial" w:cs="Arial"/>
        </w:rPr>
        <w:lastRenderedPageBreak/>
        <w:t xml:space="preserve">Kneale, D., Henley, J., Thomas, J. and French, R., </w:t>
      </w:r>
      <w:r w:rsidR="00513B6D" w:rsidRPr="003A0272">
        <w:rPr>
          <w:rFonts w:ascii="Arial" w:hAnsi="Arial" w:cs="Arial"/>
        </w:rPr>
        <w:t>(</w:t>
      </w:r>
      <w:r w:rsidRPr="003A0272">
        <w:rPr>
          <w:rFonts w:ascii="Arial" w:hAnsi="Arial" w:cs="Arial"/>
        </w:rPr>
        <w:t>2021</w:t>
      </w:r>
      <w:r w:rsidR="00513B6D" w:rsidRPr="003A0272">
        <w:rPr>
          <w:rFonts w:ascii="Arial" w:hAnsi="Arial" w:cs="Arial"/>
        </w:rPr>
        <w:t>)</w:t>
      </w:r>
      <w:r w:rsidRPr="003A0272">
        <w:rPr>
          <w:rFonts w:ascii="Arial" w:hAnsi="Arial" w:cs="Arial"/>
        </w:rPr>
        <w:t>. Inequalities in older LGBT people's health and care needs in the United Kingdom: a systematic scoping review. </w:t>
      </w:r>
      <w:r w:rsidRPr="003A0272">
        <w:rPr>
          <w:rFonts w:ascii="Arial" w:hAnsi="Arial" w:cs="Arial"/>
          <w:i/>
          <w:iCs/>
        </w:rPr>
        <w:t>Ageing &amp; Society</w:t>
      </w:r>
      <w:r w:rsidRPr="003A0272">
        <w:rPr>
          <w:rFonts w:ascii="Arial" w:hAnsi="Arial" w:cs="Arial"/>
        </w:rPr>
        <w:t>, </w:t>
      </w:r>
      <w:r w:rsidRPr="003A0272">
        <w:rPr>
          <w:rFonts w:ascii="Arial" w:hAnsi="Arial" w:cs="Arial"/>
          <w:i/>
          <w:iCs/>
        </w:rPr>
        <w:t>41</w:t>
      </w:r>
      <w:r w:rsidRPr="003A0272">
        <w:rPr>
          <w:rFonts w:ascii="Arial" w:hAnsi="Arial" w:cs="Arial"/>
        </w:rPr>
        <w:t xml:space="preserve">(3), pp.493-515. </w:t>
      </w:r>
      <w:hyperlink r:id="rId29" w:history="1">
        <w:r w:rsidRPr="003A0272">
          <w:rPr>
            <w:rStyle w:val="Hyperlink"/>
            <w:rFonts w:ascii="Arial" w:hAnsi="Arial" w:cs="Arial"/>
          </w:rPr>
          <w:t>https://www.cambridge.org/core/journals/ageing-and-society/article/inequalities-in-older-lgbt-peoples-health-and-care-needs-in-the-united-kingdom-a-systematic-scoping-review/FDF7D2BC9C59B50FFF13B5A796D48259</w:t>
        </w:r>
      </w:hyperlink>
    </w:p>
    <w:p w14:paraId="342DE227" w14:textId="23567BDD" w:rsidR="00E00CF1" w:rsidRPr="003A0272" w:rsidRDefault="00E00CF1" w:rsidP="003A0272">
      <w:pPr>
        <w:spacing w:before="240" w:line="360" w:lineRule="auto"/>
        <w:jc w:val="both"/>
        <w:rPr>
          <w:rFonts w:ascii="Arial" w:hAnsi="Arial" w:cs="Arial"/>
        </w:rPr>
      </w:pPr>
      <w:r w:rsidRPr="003A0272">
        <w:rPr>
          <w:rFonts w:ascii="Arial" w:hAnsi="Arial" w:cs="Arial"/>
        </w:rPr>
        <w:t xml:space="preserve">Laurell, A.A., Venkataraman, A.V., Schmidt, T., Montagnese, M., Mueller, C., Stewart, R., Lewis, J., Mundell, C., Isaacs, J.D., Krishnan, M.S. and Barber, R., </w:t>
      </w:r>
      <w:r w:rsidR="00513B6D" w:rsidRPr="003A0272">
        <w:rPr>
          <w:rFonts w:ascii="Arial" w:hAnsi="Arial" w:cs="Arial"/>
        </w:rPr>
        <w:t>(</w:t>
      </w:r>
      <w:r w:rsidRPr="003A0272">
        <w:rPr>
          <w:rFonts w:ascii="Arial" w:hAnsi="Arial" w:cs="Arial"/>
        </w:rPr>
        <w:t>2024</w:t>
      </w:r>
      <w:r w:rsidR="00513B6D" w:rsidRPr="003A0272">
        <w:rPr>
          <w:rFonts w:ascii="Arial" w:hAnsi="Arial" w:cs="Arial"/>
        </w:rPr>
        <w:t>)</w:t>
      </w:r>
      <w:r w:rsidRPr="003A0272">
        <w:rPr>
          <w:rFonts w:ascii="Arial" w:hAnsi="Arial" w:cs="Arial"/>
        </w:rPr>
        <w:t>. Estimating demand for potential disease-modifying therapies for Alzheimer's disease in the UK. </w:t>
      </w:r>
      <w:r w:rsidRPr="003A0272">
        <w:rPr>
          <w:rFonts w:ascii="Arial" w:hAnsi="Arial" w:cs="Arial"/>
          <w:i/>
          <w:iCs/>
        </w:rPr>
        <w:t>The British Journal of Psychiatry</w:t>
      </w:r>
      <w:r w:rsidRPr="003A0272">
        <w:rPr>
          <w:rFonts w:ascii="Arial" w:hAnsi="Arial" w:cs="Arial"/>
        </w:rPr>
        <w:t>, </w:t>
      </w:r>
      <w:r w:rsidRPr="003A0272">
        <w:rPr>
          <w:rFonts w:ascii="Arial" w:hAnsi="Arial" w:cs="Arial"/>
          <w:i/>
          <w:iCs/>
        </w:rPr>
        <w:t>224</w:t>
      </w:r>
      <w:r w:rsidRPr="003A0272">
        <w:rPr>
          <w:rFonts w:ascii="Arial" w:hAnsi="Arial" w:cs="Arial"/>
        </w:rPr>
        <w:t xml:space="preserve">(6), pp.198-204. </w:t>
      </w:r>
      <w:hyperlink r:id="rId30" w:history="1">
        <w:r w:rsidRPr="003A0272">
          <w:rPr>
            <w:rStyle w:val="Hyperlink"/>
            <w:rFonts w:ascii="Arial" w:hAnsi="Arial" w:cs="Arial"/>
          </w:rPr>
          <w:t>https://www.cambridge.org/core/journals/the-british-journal-of-psychiatry/article/estimating-demand-for-potential-diseasemodifying-therapies-for-alzheimers-disease-in-the-uk/1C260715A34048C3F10EB49B3D42AD86</w:t>
        </w:r>
      </w:hyperlink>
    </w:p>
    <w:p w14:paraId="0D80DF49" w14:textId="256AC06D" w:rsidR="00092B65" w:rsidRPr="003A0272" w:rsidRDefault="00092B65" w:rsidP="003A0272">
      <w:pPr>
        <w:spacing w:before="240" w:line="360" w:lineRule="auto"/>
        <w:jc w:val="both"/>
        <w:rPr>
          <w:rFonts w:ascii="Arial" w:hAnsi="Arial" w:cs="Arial"/>
        </w:rPr>
      </w:pPr>
      <w:r w:rsidRPr="003A0272">
        <w:rPr>
          <w:rFonts w:ascii="Arial" w:hAnsi="Arial" w:cs="Arial"/>
        </w:rPr>
        <w:t xml:space="preserve">Lee, S.L., Pearce, E., </w:t>
      </w:r>
      <w:proofErr w:type="spellStart"/>
      <w:r w:rsidRPr="003A0272">
        <w:rPr>
          <w:rFonts w:ascii="Arial" w:hAnsi="Arial" w:cs="Arial"/>
        </w:rPr>
        <w:t>Ajnakina</w:t>
      </w:r>
      <w:proofErr w:type="spellEnd"/>
      <w:r w:rsidRPr="003A0272">
        <w:rPr>
          <w:rFonts w:ascii="Arial" w:hAnsi="Arial" w:cs="Arial"/>
        </w:rPr>
        <w:t xml:space="preserve">, O., Johnson, S., Lewis, G., Mann, F., Pitman, A., </w:t>
      </w:r>
      <w:proofErr w:type="spellStart"/>
      <w:r w:rsidRPr="003A0272">
        <w:rPr>
          <w:rFonts w:ascii="Arial" w:hAnsi="Arial" w:cs="Arial"/>
        </w:rPr>
        <w:t>Solmi</w:t>
      </w:r>
      <w:proofErr w:type="spellEnd"/>
      <w:r w:rsidRPr="003A0272">
        <w:rPr>
          <w:rFonts w:ascii="Arial" w:hAnsi="Arial" w:cs="Arial"/>
        </w:rPr>
        <w:t xml:space="preserve">, F., </w:t>
      </w:r>
      <w:proofErr w:type="spellStart"/>
      <w:r w:rsidRPr="003A0272">
        <w:rPr>
          <w:rFonts w:ascii="Arial" w:hAnsi="Arial" w:cs="Arial"/>
        </w:rPr>
        <w:t>Sommerlad</w:t>
      </w:r>
      <w:proofErr w:type="spellEnd"/>
      <w:r w:rsidRPr="003A0272">
        <w:rPr>
          <w:rFonts w:ascii="Arial" w:hAnsi="Arial" w:cs="Arial"/>
        </w:rPr>
        <w:t xml:space="preserve">, A., Steptoe, A. and </w:t>
      </w:r>
      <w:proofErr w:type="spellStart"/>
      <w:r w:rsidRPr="003A0272">
        <w:rPr>
          <w:rFonts w:ascii="Arial" w:hAnsi="Arial" w:cs="Arial"/>
        </w:rPr>
        <w:t>Tymoszuk</w:t>
      </w:r>
      <w:proofErr w:type="spellEnd"/>
      <w:r w:rsidRPr="003A0272">
        <w:rPr>
          <w:rFonts w:ascii="Arial" w:hAnsi="Arial" w:cs="Arial"/>
        </w:rPr>
        <w:t xml:space="preserve">, U., </w:t>
      </w:r>
      <w:r w:rsidR="00513B6D" w:rsidRPr="003A0272">
        <w:rPr>
          <w:rFonts w:ascii="Arial" w:hAnsi="Arial" w:cs="Arial"/>
        </w:rPr>
        <w:t>(</w:t>
      </w:r>
      <w:r w:rsidRPr="003A0272">
        <w:rPr>
          <w:rFonts w:ascii="Arial" w:hAnsi="Arial" w:cs="Arial"/>
        </w:rPr>
        <w:t>2021</w:t>
      </w:r>
      <w:r w:rsidR="00513B6D" w:rsidRPr="003A0272">
        <w:rPr>
          <w:rFonts w:ascii="Arial" w:hAnsi="Arial" w:cs="Arial"/>
        </w:rPr>
        <w:t>)</w:t>
      </w:r>
      <w:r w:rsidRPr="003A0272">
        <w:rPr>
          <w:rFonts w:ascii="Arial" w:hAnsi="Arial" w:cs="Arial"/>
        </w:rPr>
        <w:t>. The association between loneliness and depressive symptoms among adults aged 50 years and older: a 12-year population-based cohort study. </w:t>
      </w:r>
      <w:r w:rsidRPr="003A0272">
        <w:rPr>
          <w:rFonts w:ascii="Arial" w:hAnsi="Arial" w:cs="Arial"/>
          <w:i/>
          <w:iCs/>
        </w:rPr>
        <w:t>The Lancet Psychiatry</w:t>
      </w:r>
      <w:r w:rsidRPr="003A0272">
        <w:rPr>
          <w:rFonts w:ascii="Arial" w:hAnsi="Arial" w:cs="Arial"/>
        </w:rPr>
        <w:t>, </w:t>
      </w:r>
      <w:r w:rsidRPr="003A0272">
        <w:rPr>
          <w:rFonts w:ascii="Arial" w:hAnsi="Arial" w:cs="Arial"/>
          <w:i/>
          <w:iCs/>
        </w:rPr>
        <w:t>8</w:t>
      </w:r>
      <w:r w:rsidRPr="003A0272">
        <w:rPr>
          <w:rFonts w:ascii="Arial" w:hAnsi="Arial" w:cs="Arial"/>
        </w:rPr>
        <w:t xml:space="preserve">(1), pp.48-57. </w:t>
      </w:r>
      <w:hyperlink r:id="rId31" w:history="1">
        <w:r w:rsidRPr="003A0272">
          <w:rPr>
            <w:rStyle w:val="Hyperlink"/>
            <w:rFonts w:ascii="Arial" w:hAnsi="Arial" w:cs="Arial"/>
          </w:rPr>
          <w:t>https://www.thelancet.com/journals/lanpsy/article/PIIS2215-0366(20)30383-7/fulltext</w:t>
        </w:r>
      </w:hyperlink>
    </w:p>
    <w:p w14:paraId="384B1502" w14:textId="7991929C" w:rsidR="00A87E3D" w:rsidRPr="003A0272" w:rsidRDefault="00A87E3D" w:rsidP="003A0272">
      <w:pPr>
        <w:spacing w:before="240" w:line="360" w:lineRule="auto"/>
        <w:jc w:val="both"/>
        <w:rPr>
          <w:rFonts w:ascii="Arial" w:hAnsi="Arial" w:cs="Arial"/>
        </w:rPr>
      </w:pPr>
      <w:r w:rsidRPr="003A0272">
        <w:rPr>
          <w:rFonts w:ascii="Arial" w:hAnsi="Arial" w:cs="Arial"/>
        </w:rPr>
        <w:t xml:space="preserve">Miller, R., Glasby, J. and Dickinson, H., </w:t>
      </w:r>
      <w:r w:rsidR="00764C52" w:rsidRPr="003A0272">
        <w:rPr>
          <w:rFonts w:ascii="Arial" w:hAnsi="Arial" w:cs="Arial"/>
        </w:rPr>
        <w:t>(</w:t>
      </w:r>
      <w:r w:rsidRPr="003A0272">
        <w:rPr>
          <w:rFonts w:ascii="Arial" w:hAnsi="Arial" w:cs="Arial"/>
        </w:rPr>
        <w:t>2021</w:t>
      </w:r>
      <w:r w:rsidR="00764C52" w:rsidRPr="003A0272">
        <w:rPr>
          <w:rFonts w:ascii="Arial" w:hAnsi="Arial" w:cs="Arial"/>
        </w:rPr>
        <w:t>)</w:t>
      </w:r>
      <w:r w:rsidRPr="003A0272">
        <w:rPr>
          <w:rFonts w:ascii="Arial" w:hAnsi="Arial" w:cs="Arial"/>
        </w:rPr>
        <w:t>. Integrated health and social care in England: ten years on. </w:t>
      </w:r>
      <w:r w:rsidRPr="003A0272">
        <w:rPr>
          <w:rFonts w:ascii="Arial" w:hAnsi="Arial" w:cs="Arial"/>
          <w:i/>
          <w:iCs/>
        </w:rPr>
        <w:t>International journal of integrated care</w:t>
      </w:r>
      <w:r w:rsidRPr="003A0272">
        <w:rPr>
          <w:rFonts w:ascii="Arial" w:hAnsi="Arial" w:cs="Arial"/>
        </w:rPr>
        <w:t>, </w:t>
      </w:r>
      <w:r w:rsidRPr="003A0272">
        <w:rPr>
          <w:rFonts w:ascii="Arial" w:hAnsi="Arial" w:cs="Arial"/>
          <w:i/>
          <w:iCs/>
        </w:rPr>
        <w:t>21</w:t>
      </w:r>
      <w:r w:rsidRPr="003A0272">
        <w:rPr>
          <w:rFonts w:ascii="Arial" w:hAnsi="Arial" w:cs="Arial"/>
        </w:rPr>
        <w:t xml:space="preserve">(4), p.6. </w:t>
      </w:r>
      <w:hyperlink r:id="rId32" w:history="1">
        <w:r w:rsidRPr="003A0272">
          <w:rPr>
            <w:rStyle w:val="Hyperlink"/>
            <w:rFonts w:ascii="Arial" w:hAnsi="Arial" w:cs="Arial"/>
          </w:rPr>
          <w:t>https://pmc.ncbi.nlm.nih.gov/articles/PMC8555479/</w:t>
        </w:r>
      </w:hyperlink>
    </w:p>
    <w:p w14:paraId="525B759C" w14:textId="38B7D9BE" w:rsidR="00567570" w:rsidRPr="003A0272" w:rsidRDefault="00567570" w:rsidP="003A0272">
      <w:pPr>
        <w:spacing w:before="240" w:line="360" w:lineRule="auto"/>
        <w:jc w:val="both"/>
        <w:rPr>
          <w:rFonts w:ascii="Arial" w:hAnsi="Arial" w:cs="Arial"/>
        </w:rPr>
      </w:pPr>
      <w:r w:rsidRPr="003A0272">
        <w:rPr>
          <w:rFonts w:ascii="Arial" w:hAnsi="Arial" w:cs="Arial"/>
        </w:rPr>
        <w:t xml:space="preserve">Muzambi, R., Bhaskaran, K., Smeeth, L., </w:t>
      </w:r>
      <w:proofErr w:type="spellStart"/>
      <w:r w:rsidRPr="003A0272">
        <w:rPr>
          <w:rFonts w:ascii="Arial" w:hAnsi="Arial" w:cs="Arial"/>
        </w:rPr>
        <w:t>Brayne</w:t>
      </w:r>
      <w:proofErr w:type="spellEnd"/>
      <w:r w:rsidRPr="003A0272">
        <w:rPr>
          <w:rFonts w:ascii="Arial" w:hAnsi="Arial" w:cs="Arial"/>
        </w:rPr>
        <w:t xml:space="preserve">, C., Chaturvedi, N. and Warren-Gash, C., </w:t>
      </w:r>
      <w:r w:rsidR="00764C52" w:rsidRPr="003A0272">
        <w:rPr>
          <w:rFonts w:ascii="Arial" w:hAnsi="Arial" w:cs="Arial"/>
        </w:rPr>
        <w:t>(</w:t>
      </w:r>
      <w:r w:rsidRPr="003A0272">
        <w:rPr>
          <w:rFonts w:ascii="Arial" w:hAnsi="Arial" w:cs="Arial"/>
        </w:rPr>
        <w:t>2021</w:t>
      </w:r>
      <w:r w:rsidR="00764C52" w:rsidRPr="003A0272">
        <w:rPr>
          <w:rFonts w:ascii="Arial" w:hAnsi="Arial" w:cs="Arial"/>
        </w:rPr>
        <w:t>)</w:t>
      </w:r>
      <w:r w:rsidRPr="003A0272">
        <w:rPr>
          <w:rFonts w:ascii="Arial" w:hAnsi="Arial" w:cs="Arial"/>
        </w:rPr>
        <w:t>. Assessment of common infections and incident dementia using UK primary and secondary care data: a historical cohort study. </w:t>
      </w:r>
      <w:r w:rsidRPr="003A0272">
        <w:rPr>
          <w:rFonts w:ascii="Arial" w:hAnsi="Arial" w:cs="Arial"/>
          <w:i/>
          <w:iCs/>
        </w:rPr>
        <w:t>The Lancet Healthy Longevity</w:t>
      </w:r>
      <w:r w:rsidRPr="003A0272">
        <w:rPr>
          <w:rFonts w:ascii="Arial" w:hAnsi="Arial" w:cs="Arial"/>
        </w:rPr>
        <w:t>, </w:t>
      </w:r>
      <w:r w:rsidRPr="003A0272">
        <w:rPr>
          <w:rFonts w:ascii="Arial" w:hAnsi="Arial" w:cs="Arial"/>
          <w:i/>
          <w:iCs/>
        </w:rPr>
        <w:t>2</w:t>
      </w:r>
      <w:r w:rsidRPr="003A0272">
        <w:rPr>
          <w:rFonts w:ascii="Arial" w:hAnsi="Arial" w:cs="Arial"/>
        </w:rPr>
        <w:t xml:space="preserve">(7), </w:t>
      </w:r>
      <w:proofErr w:type="gramStart"/>
      <w:r w:rsidRPr="003A0272">
        <w:rPr>
          <w:rFonts w:ascii="Arial" w:hAnsi="Arial" w:cs="Arial"/>
        </w:rPr>
        <w:t>pp.e</w:t>
      </w:r>
      <w:proofErr w:type="gramEnd"/>
      <w:r w:rsidRPr="003A0272">
        <w:rPr>
          <w:rFonts w:ascii="Arial" w:hAnsi="Arial" w:cs="Arial"/>
        </w:rPr>
        <w:t xml:space="preserve">426-e435. </w:t>
      </w:r>
      <w:hyperlink r:id="rId33" w:history="1">
        <w:r w:rsidRPr="003A0272">
          <w:rPr>
            <w:rStyle w:val="Hyperlink"/>
            <w:rFonts w:ascii="Arial" w:hAnsi="Arial" w:cs="Arial"/>
          </w:rPr>
          <w:t>https://www.thelancet.com/journals/lanhl/article/PIIS2666-7568(21)00118-5/fulltext?ref=atmasvasth.com</w:t>
        </w:r>
      </w:hyperlink>
    </w:p>
    <w:p w14:paraId="2E851C35" w14:textId="570D4BE7" w:rsidR="00B4589F" w:rsidRPr="003A0272" w:rsidRDefault="00B4589F" w:rsidP="003A0272">
      <w:pPr>
        <w:spacing w:before="240" w:line="360" w:lineRule="auto"/>
        <w:jc w:val="both"/>
        <w:rPr>
          <w:rFonts w:ascii="Arial" w:hAnsi="Arial" w:cs="Arial"/>
        </w:rPr>
      </w:pPr>
      <w:r w:rsidRPr="003A0272">
        <w:rPr>
          <w:rFonts w:ascii="Arial" w:hAnsi="Arial" w:cs="Arial"/>
        </w:rPr>
        <w:t xml:space="preserve">Nadarajah, R., Farooq, M., Raveendra, K., Nakao, Y.M., Nakao, K., Wilkinson, C., Wu, J. and Gale, C.P., </w:t>
      </w:r>
      <w:r w:rsidR="00764C52" w:rsidRPr="003A0272">
        <w:rPr>
          <w:rFonts w:ascii="Arial" w:hAnsi="Arial" w:cs="Arial"/>
        </w:rPr>
        <w:t>(</w:t>
      </w:r>
      <w:r w:rsidRPr="003A0272">
        <w:rPr>
          <w:rFonts w:ascii="Arial" w:hAnsi="Arial" w:cs="Arial"/>
        </w:rPr>
        <w:t>2023</w:t>
      </w:r>
      <w:r w:rsidR="00764C52" w:rsidRPr="003A0272">
        <w:rPr>
          <w:rFonts w:ascii="Arial" w:hAnsi="Arial" w:cs="Arial"/>
        </w:rPr>
        <w:t>)</w:t>
      </w:r>
      <w:r w:rsidRPr="003A0272">
        <w:rPr>
          <w:rFonts w:ascii="Arial" w:hAnsi="Arial" w:cs="Arial"/>
        </w:rPr>
        <w:t xml:space="preserve">. Inequalities in care delivery and outcomes for myocardial infarction, heart failure, atrial fibrillation, and aortic stenosis in the United </w:t>
      </w:r>
      <w:r w:rsidRPr="003A0272">
        <w:rPr>
          <w:rFonts w:ascii="Arial" w:hAnsi="Arial" w:cs="Arial"/>
        </w:rPr>
        <w:lastRenderedPageBreak/>
        <w:t>Kingdom. </w:t>
      </w:r>
      <w:r w:rsidRPr="003A0272">
        <w:rPr>
          <w:rFonts w:ascii="Arial" w:hAnsi="Arial" w:cs="Arial"/>
          <w:i/>
          <w:iCs/>
        </w:rPr>
        <w:t>The Lancet Regional Health–Europe</w:t>
      </w:r>
      <w:r w:rsidRPr="003A0272">
        <w:rPr>
          <w:rFonts w:ascii="Arial" w:hAnsi="Arial" w:cs="Arial"/>
        </w:rPr>
        <w:t>, </w:t>
      </w:r>
      <w:r w:rsidRPr="003A0272">
        <w:rPr>
          <w:rFonts w:ascii="Arial" w:hAnsi="Arial" w:cs="Arial"/>
          <w:i/>
          <w:iCs/>
        </w:rPr>
        <w:t>33</w:t>
      </w:r>
      <w:r w:rsidRPr="003A0272">
        <w:rPr>
          <w:rFonts w:ascii="Arial" w:hAnsi="Arial" w:cs="Arial"/>
        </w:rPr>
        <w:t xml:space="preserve">. </w:t>
      </w:r>
      <w:hyperlink r:id="rId34" w:history="1">
        <w:r w:rsidRPr="003A0272">
          <w:rPr>
            <w:rStyle w:val="Hyperlink"/>
            <w:rFonts w:ascii="Arial" w:hAnsi="Arial" w:cs="Arial"/>
          </w:rPr>
          <w:t>https://www.thelancet.com/journals/lanepe/article/PIIS2666-7762(23)00138-2/fulltext</w:t>
        </w:r>
      </w:hyperlink>
    </w:p>
    <w:p w14:paraId="14044223" w14:textId="612434A5" w:rsidR="00B1211C" w:rsidRPr="003A0272" w:rsidRDefault="00B1211C" w:rsidP="003A0272">
      <w:pPr>
        <w:spacing w:before="240" w:line="360" w:lineRule="auto"/>
        <w:jc w:val="both"/>
        <w:rPr>
          <w:rFonts w:ascii="Arial" w:hAnsi="Arial" w:cs="Arial"/>
        </w:rPr>
      </w:pPr>
      <w:r w:rsidRPr="003A0272">
        <w:rPr>
          <w:rFonts w:ascii="Arial" w:hAnsi="Arial" w:cs="Arial"/>
        </w:rPr>
        <w:t xml:space="preserve">Nelles, J., Tuckerman, L., Purna, N., Phillips, J. and </w:t>
      </w:r>
      <w:proofErr w:type="spellStart"/>
      <w:r w:rsidRPr="003A0272">
        <w:rPr>
          <w:rFonts w:ascii="Arial" w:hAnsi="Arial" w:cs="Arial"/>
        </w:rPr>
        <w:t>Vorley</w:t>
      </w:r>
      <w:proofErr w:type="spellEnd"/>
      <w:r w:rsidRPr="003A0272">
        <w:rPr>
          <w:rFonts w:ascii="Arial" w:hAnsi="Arial" w:cs="Arial"/>
        </w:rPr>
        <w:t xml:space="preserve">, T., </w:t>
      </w:r>
      <w:r w:rsidR="003D0F5F" w:rsidRPr="003A0272">
        <w:rPr>
          <w:rFonts w:ascii="Arial" w:hAnsi="Arial" w:cs="Arial"/>
        </w:rPr>
        <w:t>(</w:t>
      </w:r>
      <w:r w:rsidRPr="003A0272">
        <w:rPr>
          <w:rFonts w:ascii="Arial" w:hAnsi="Arial" w:cs="Arial"/>
        </w:rPr>
        <w:t>2025</w:t>
      </w:r>
      <w:r w:rsidR="003D0F5F" w:rsidRPr="003A0272">
        <w:rPr>
          <w:rFonts w:ascii="Arial" w:hAnsi="Arial" w:cs="Arial"/>
        </w:rPr>
        <w:t>)</w:t>
      </w:r>
      <w:r w:rsidRPr="003A0272">
        <w:rPr>
          <w:rFonts w:ascii="Arial" w:hAnsi="Arial" w:cs="Arial"/>
        </w:rPr>
        <w:t>. Policy Responses to the Healthy Aging Challenge: Confronting Hybridity with Social Innovation. </w:t>
      </w:r>
      <w:r w:rsidRPr="003A0272">
        <w:rPr>
          <w:rFonts w:ascii="Arial" w:hAnsi="Arial" w:cs="Arial"/>
          <w:i/>
          <w:iCs/>
        </w:rPr>
        <w:t>Journal of Aging &amp; Social Policy</w:t>
      </w:r>
      <w:r w:rsidRPr="003A0272">
        <w:rPr>
          <w:rFonts w:ascii="Arial" w:hAnsi="Arial" w:cs="Arial"/>
        </w:rPr>
        <w:t>, </w:t>
      </w:r>
      <w:r w:rsidRPr="003A0272">
        <w:rPr>
          <w:rFonts w:ascii="Arial" w:hAnsi="Arial" w:cs="Arial"/>
          <w:i/>
          <w:iCs/>
        </w:rPr>
        <w:t>37</w:t>
      </w:r>
      <w:r w:rsidRPr="003A0272">
        <w:rPr>
          <w:rFonts w:ascii="Arial" w:hAnsi="Arial" w:cs="Arial"/>
        </w:rPr>
        <w:t xml:space="preserve">(2), pp.273-288. </w:t>
      </w:r>
      <w:hyperlink r:id="rId35" w:history="1">
        <w:r w:rsidRPr="003A0272">
          <w:rPr>
            <w:rStyle w:val="Hyperlink"/>
            <w:rFonts w:ascii="Arial" w:hAnsi="Arial" w:cs="Arial"/>
          </w:rPr>
          <w:t>https://www.tandfonline.com/doi/abs/10.1080/08959420.2024.2384176</w:t>
        </w:r>
      </w:hyperlink>
    </w:p>
    <w:p w14:paraId="1DF26F7C" w14:textId="18C80AE5" w:rsidR="00901861" w:rsidRPr="003A0272" w:rsidRDefault="00901861" w:rsidP="003A0272">
      <w:pPr>
        <w:spacing w:before="240" w:line="360" w:lineRule="auto"/>
        <w:jc w:val="both"/>
        <w:rPr>
          <w:rFonts w:ascii="Arial" w:hAnsi="Arial" w:cs="Arial"/>
        </w:rPr>
      </w:pPr>
      <w:r w:rsidRPr="003A0272">
        <w:rPr>
          <w:rFonts w:ascii="Arial" w:hAnsi="Arial" w:cs="Arial"/>
        </w:rPr>
        <w:t>Pearson-</w:t>
      </w:r>
      <w:proofErr w:type="spellStart"/>
      <w:r w:rsidRPr="003A0272">
        <w:rPr>
          <w:rFonts w:ascii="Arial" w:hAnsi="Arial" w:cs="Arial"/>
        </w:rPr>
        <w:t>Stuttard</w:t>
      </w:r>
      <w:proofErr w:type="spellEnd"/>
      <w:r w:rsidRPr="003A0272">
        <w:rPr>
          <w:rFonts w:ascii="Arial" w:hAnsi="Arial" w:cs="Arial"/>
        </w:rPr>
        <w:t xml:space="preserve">, J., Bennett, J., Cheng, Y.J., Vamos, E.P., Cross, A.J., Ezzati, M. and Gregg, E.W., </w:t>
      </w:r>
      <w:r w:rsidR="009358B6">
        <w:rPr>
          <w:rFonts w:ascii="Arial" w:hAnsi="Arial" w:cs="Arial"/>
        </w:rPr>
        <w:t>(</w:t>
      </w:r>
      <w:r w:rsidRPr="003A0272">
        <w:rPr>
          <w:rFonts w:ascii="Arial" w:hAnsi="Arial" w:cs="Arial"/>
        </w:rPr>
        <w:t>2021</w:t>
      </w:r>
      <w:r w:rsidR="009358B6">
        <w:rPr>
          <w:rFonts w:ascii="Arial" w:hAnsi="Arial" w:cs="Arial"/>
        </w:rPr>
        <w:t>)</w:t>
      </w:r>
      <w:r w:rsidRPr="003A0272">
        <w:rPr>
          <w:rFonts w:ascii="Arial" w:hAnsi="Arial" w:cs="Arial"/>
        </w:rPr>
        <w:t>. Trends in predominant causes of death in individuals with and without diabetes in England from 2001 to 2018: an epidemiological analysis of linked primary care records. </w:t>
      </w:r>
      <w:r w:rsidRPr="003A0272">
        <w:rPr>
          <w:rFonts w:ascii="Arial" w:hAnsi="Arial" w:cs="Arial"/>
          <w:i/>
          <w:iCs/>
        </w:rPr>
        <w:t>The lancet Diabetes &amp; endocrinology</w:t>
      </w:r>
      <w:r w:rsidRPr="003A0272">
        <w:rPr>
          <w:rFonts w:ascii="Arial" w:hAnsi="Arial" w:cs="Arial"/>
        </w:rPr>
        <w:t>, </w:t>
      </w:r>
      <w:r w:rsidRPr="003A0272">
        <w:rPr>
          <w:rFonts w:ascii="Arial" w:hAnsi="Arial" w:cs="Arial"/>
          <w:i/>
          <w:iCs/>
        </w:rPr>
        <w:t>9</w:t>
      </w:r>
      <w:r w:rsidRPr="003A0272">
        <w:rPr>
          <w:rFonts w:ascii="Arial" w:hAnsi="Arial" w:cs="Arial"/>
        </w:rPr>
        <w:t xml:space="preserve">(3), pp.165-173. </w:t>
      </w:r>
      <w:hyperlink r:id="rId36" w:history="1">
        <w:r w:rsidRPr="003A0272">
          <w:rPr>
            <w:rStyle w:val="Hyperlink"/>
            <w:rFonts w:ascii="Arial" w:hAnsi="Arial" w:cs="Arial"/>
          </w:rPr>
          <w:t>https://www.thelancet.com/journals/landia/article/PIIS2213-8587(20)30431-9/fulltext</w:t>
        </w:r>
      </w:hyperlink>
    </w:p>
    <w:p w14:paraId="38D54499" w14:textId="13EDE123" w:rsidR="005B41D9" w:rsidRPr="003A0272" w:rsidRDefault="005B41D9" w:rsidP="003A0272">
      <w:pPr>
        <w:spacing w:before="240" w:line="360" w:lineRule="auto"/>
        <w:jc w:val="both"/>
        <w:rPr>
          <w:rFonts w:ascii="Arial" w:hAnsi="Arial" w:cs="Arial"/>
        </w:rPr>
      </w:pPr>
      <w:r w:rsidRPr="003A0272">
        <w:rPr>
          <w:rFonts w:ascii="Arial" w:hAnsi="Arial" w:cs="Arial"/>
        </w:rPr>
        <w:t xml:space="preserve">Pillon, N.J., Loos, R.J., Marshall, S.M. and </w:t>
      </w:r>
      <w:proofErr w:type="spellStart"/>
      <w:r w:rsidRPr="003A0272">
        <w:rPr>
          <w:rFonts w:ascii="Arial" w:hAnsi="Arial" w:cs="Arial"/>
        </w:rPr>
        <w:t>Zierath</w:t>
      </w:r>
      <w:proofErr w:type="spellEnd"/>
      <w:r w:rsidRPr="003A0272">
        <w:rPr>
          <w:rFonts w:ascii="Arial" w:hAnsi="Arial" w:cs="Arial"/>
        </w:rPr>
        <w:t xml:space="preserve">, J.R., </w:t>
      </w:r>
      <w:r w:rsidR="009358B6">
        <w:rPr>
          <w:rFonts w:ascii="Arial" w:hAnsi="Arial" w:cs="Arial"/>
        </w:rPr>
        <w:t>(</w:t>
      </w:r>
      <w:r w:rsidRPr="003A0272">
        <w:rPr>
          <w:rFonts w:ascii="Arial" w:hAnsi="Arial" w:cs="Arial"/>
        </w:rPr>
        <w:t>2021</w:t>
      </w:r>
      <w:r w:rsidR="009358B6">
        <w:rPr>
          <w:rFonts w:ascii="Arial" w:hAnsi="Arial" w:cs="Arial"/>
        </w:rPr>
        <w:t>)</w:t>
      </w:r>
      <w:r w:rsidRPr="003A0272">
        <w:rPr>
          <w:rFonts w:ascii="Arial" w:hAnsi="Arial" w:cs="Arial"/>
        </w:rPr>
        <w:t>. Metabolic consequences of obesity and type 2 diabetes: Balancing genes and environment for personalized care. </w:t>
      </w:r>
      <w:r w:rsidRPr="003A0272">
        <w:rPr>
          <w:rFonts w:ascii="Arial" w:hAnsi="Arial" w:cs="Arial"/>
          <w:i/>
          <w:iCs/>
        </w:rPr>
        <w:t>Cell</w:t>
      </w:r>
      <w:r w:rsidRPr="003A0272">
        <w:rPr>
          <w:rFonts w:ascii="Arial" w:hAnsi="Arial" w:cs="Arial"/>
        </w:rPr>
        <w:t>, </w:t>
      </w:r>
      <w:r w:rsidRPr="003A0272">
        <w:rPr>
          <w:rFonts w:ascii="Arial" w:hAnsi="Arial" w:cs="Arial"/>
          <w:i/>
          <w:iCs/>
        </w:rPr>
        <w:t>184</w:t>
      </w:r>
      <w:r w:rsidRPr="003A0272">
        <w:rPr>
          <w:rFonts w:ascii="Arial" w:hAnsi="Arial" w:cs="Arial"/>
        </w:rPr>
        <w:t xml:space="preserve">(6), pp.1530-1544. </w:t>
      </w:r>
      <w:hyperlink r:id="rId37" w:history="1">
        <w:r w:rsidRPr="003A0272">
          <w:rPr>
            <w:rStyle w:val="Hyperlink"/>
            <w:rFonts w:ascii="Arial" w:hAnsi="Arial" w:cs="Arial"/>
          </w:rPr>
          <w:t>https://www.cell.com/cell/fulltext/S0092-8674(21)00162-8?dgcid=raven_jbs_aip_email</w:t>
        </w:r>
      </w:hyperlink>
    </w:p>
    <w:p w14:paraId="5174EF48" w14:textId="6B51B68E" w:rsidR="00F55A4D" w:rsidRPr="003A0272" w:rsidRDefault="00F8115C" w:rsidP="003A0272">
      <w:pPr>
        <w:spacing w:before="240" w:line="360" w:lineRule="auto"/>
        <w:jc w:val="both"/>
        <w:rPr>
          <w:rFonts w:ascii="Arial" w:hAnsi="Arial" w:cs="Arial"/>
        </w:rPr>
      </w:pPr>
      <w:r w:rsidRPr="003A0272">
        <w:rPr>
          <w:rFonts w:ascii="Arial" w:hAnsi="Arial" w:cs="Arial"/>
        </w:rPr>
        <w:t>Rahman, M.M., Khan, H.T. and Hafford-</w:t>
      </w:r>
      <w:proofErr w:type="spellStart"/>
      <w:r w:rsidRPr="003A0272">
        <w:rPr>
          <w:rFonts w:ascii="Arial" w:hAnsi="Arial" w:cs="Arial"/>
        </w:rPr>
        <w:t>Letchfield</w:t>
      </w:r>
      <w:proofErr w:type="spellEnd"/>
      <w:r w:rsidRPr="003A0272">
        <w:rPr>
          <w:rFonts w:ascii="Arial" w:hAnsi="Arial" w:cs="Arial"/>
        </w:rPr>
        <w:t xml:space="preserve">, T., </w:t>
      </w:r>
      <w:r w:rsidR="003D0F5F" w:rsidRPr="003A0272">
        <w:rPr>
          <w:rFonts w:ascii="Arial" w:hAnsi="Arial" w:cs="Arial"/>
        </w:rPr>
        <w:t>(</w:t>
      </w:r>
      <w:r w:rsidRPr="003A0272">
        <w:rPr>
          <w:rFonts w:ascii="Arial" w:hAnsi="Arial" w:cs="Arial"/>
        </w:rPr>
        <w:t>2016</w:t>
      </w:r>
      <w:r w:rsidR="003D0F5F" w:rsidRPr="003A0272">
        <w:rPr>
          <w:rFonts w:ascii="Arial" w:hAnsi="Arial" w:cs="Arial"/>
        </w:rPr>
        <w:t>)</w:t>
      </w:r>
      <w:r w:rsidRPr="003A0272">
        <w:rPr>
          <w:rFonts w:ascii="Arial" w:hAnsi="Arial" w:cs="Arial"/>
        </w:rPr>
        <w:t>. Correlates of socioeconomic status and the health of older people in the United Kingdom: A review. </w:t>
      </w:r>
      <w:r w:rsidRPr="003A0272">
        <w:rPr>
          <w:rFonts w:ascii="Arial" w:hAnsi="Arial" w:cs="Arial"/>
          <w:i/>
          <w:iCs/>
        </w:rPr>
        <w:t>Illness, Crisis &amp; Loss</w:t>
      </w:r>
      <w:r w:rsidRPr="003A0272">
        <w:rPr>
          <w:rFonts w:ascii="Arial" w:hAnsi="Arial" w:cs="Arial"/>
        </w:rPr>
        <w:t>, </w:t>
      </w:r>
      <w:r w:rsidRPr="003A0272">
        <w:rPr>
          <w:rFonts w:ascii="Arial" w:hAnsi="Arial" w:cs="Arial"/>
          <w:i/>
          <w:iCs/>
        </w:rPr>
        <w:t>24</w:t>
      </w:r>
      <w:r w:rsidRPr="003A0272">
        <w:rPr>
          <w:rFonts w:ascii="Arial" w:hAnsi="Arial" w:cs="Arial"/>
        </w:rPr>
        <w:t xml:space="preserve">(4), pp.195-216. </w:t>
      </w:r>
      <w:hyperlink r:id="rId38" w:history="1">
        <w:r w:rsidR="00D1712F" w:rsidRPr="003A0272">
          <w:rPr>
            <w:rStyle w:val="Hyperlink"/>
            <w:rFonts w:ascii="Arial" w:hAnsi="Arial" w:cs="Arial"/>
          </w:rPr>
          <w:t>https://journals.sagepub.com/doi/abs/10.1177/1054137315608347</w:t>
        </w:r>
        <w:r w:rsidR="00D1712F" w:rsidRPr="003A0272">
          <w:rPr>
            <w:rStyle w:val="Hyperlink"/>
            <w:rFonts w:ascii="Arial" w:hAnsi="Arial" w:cs="Arial"/>
            <w:vanish/>
          </w:rPr>
          <w:t>Top</w:t>
        </w:r>
      </w:hyperlink>
      <w:r w:rsidR="00F55A4D" w:rsidRPr="003A0272">
        <w:rPr>
          <w:rFonts w:ascii="Arial" w:hAnsi="Arial" w:cs="Arial"/>
          <w:vanish/>
        </w:rPr>
        <w:t xml:space="preserve"> of Form</w:t>
      </w:r>
    </w:p>
    <w:p w14:paraId="1649C90C" w14:textId="1E152BD7" w:rsidR="00580EE6" w:rsidRPr="003A0272" w:rsidRDefault="00580EE6" w:rsidP="003A0272">
      <w:pPr>
        <w:spacing w:before="240" w:line="360" w:lineRule="auto"/>
        <w:jc w:val="both"/>
        <w:rPr>
          <w:rFonts w:ascii="Arial" w:hAnsi="Arial" w:cs="Arial"/>
        </w:rPr>
      </w:pPr>
      <w:r w:rsidRPr="003A0272">
        <w:rPr>
          <w:rFonts w:ascii="Arial" w:hAnsi="Arial" w:cs="Arial"/>
        </w:rPr>
        <w:t xml:space="preserve">Richards, S.E., Wijeweera, C. and Wijeweera, A., </w:t>
      </w:r>
      <w:r w:rsidR="00A81681">
        <w:rPr>
          <w:rFonts w:ascii="Arial" w:hAnsi="Arial" w:cs="Arial"/>
        </w:rPr>
        <w:t>(</w:t>
      </w:r>
      <w:r w:rsidRPr="003A0272">
        <w:rPr>
          <w:rFonts w:ascii="Arial" w:hAnsi="Arial" w:cs="Arial"/>
        </w:rPr>
        <w:t>2022</w:t>
      </w:r>
      <w:r w:rsidR="00A81681">
        <w:rPr>
          <w:rFonts w:ascii="Arial" w:hAnsi="Arial" w:cs="Arial"/>
        </w:rPr>
        <w:t>)</w:t>
      </w:r>
      <w:r w:rsidRPr="003A0272">
        <w:rPr>
          <w:rFonts w:ascii="Arial" w:hAnsi="Arial" w:cs="Arial"/>
        </w:rPr>
        <w:t>. Lifestyle and socioeconomic determinants of diabetes: Evidence from country-level data. </w:t>
      </w:r>
      <w:proofErr w:type="spellStart"/>
      <w:r w:rsidRPr="003A0272">
        <w:rPr>
          <w:rFonts w:ascii="Arial" w:hAnsi="Arial" w:cs="Arial"/>
          <w:i/>
          <w:iCs/>
        </w:rPr>
        <w:t>Plos</w:t>
      </w:r>
      <w:proofErr w:type="spellEnd"/>
      <w:r w:rsidRPr="003A0272">
        <w:rPr>
          <w:rFonts w:ascii="Arial" w:hAnsi="Arial" w:cs="Arial"/>
          <w:i/>
          <w:iCs/>
        </w:rPr>
        <w:t xml:space="preserve"> one</w:t>
      </w:r>
      <w:r w:rsidRPr="003A0272">
        <w:rPr>
          <w:rFonts w:ascii="Arial" w:hAnsi="Arial" w:cs="Arial"/>
        </w:rPr>
        <w:t>, </w:t>
      </w:r>
      <w:r w:rsidRPr="003A0272">
        <w:rPr>
          <w:rFonts w:ascii="Arial" w:hAnsi="Arial" w:cs="Arial"/>
          <w:i/>
          <w:iCs/>
        </w:rPr>
        <w:t>17</w:t>
      </w:r>
      <w:r w:rsidRPr="003A0272">
        <w:rPr>
          <w:rFonts w:ascii="Arial" w:hAnsi="Arial" w:cs="Arial"/>
        </w:rPr>
        <w:t xml:space="preserve">(7), p.e0270476. </w:t>
      </w:r>
      <w:hyperlink r:id="rId39" w:history="1">
        <w:r w:rsidRPr="003A0272">
          <w:rPr>
            <w:rStyle w:val="Hyperlink"/>
            <w:rFonts w:ascii="Arial" w:hAnsi="Arial" w:cs="Arial"/>
          </w:rPr>
          <w:t>https://journals.plos.org/plosone/article?id=10.1371/journal.pone.0270476</w:t>
        </w:r>
      </w:hyperlink>
    </w:p>
    <w:p w14:paraId="12AF6B74" w14:textId="6C04FC23" w:rsidR="004B646D" w:rsidRPr="003A0272" w:rsidRDefault="004B646D" w:rsidP="003A0272">
      <w:pPr>
        <w:spacing w:before="240" w:line="360" w:lineRule="auto"/>
        <w:jc w:val="both"/>
        <w:rPr>
          <w:rFonts w:ascii="Arial" w:hAnsi="Arial" w:cs="Arial"/>
        </w:rPr>
      </w:pPr>
      <w:r w:rsidRPr="003A0272">
        <w:rPr>
          <w:rFonts w:ascii="Arial" w:hAnsi="Arial" w:cs="Arial"/>
        </w:rPr>
        <w:t xml:space="preserve">Rees, J., Liu, W., </w:t>
      </w:r>
      <w:proofErr w:type="spellStart"/>
      <w:r w:rsidRPr="003A0272">
        <w:rPr>
          <w:rFonts w:ascii="Arial" w:hAnsi="Arial" w:cs="Arial"/>
        </w:rPr>
        <w:t>Ourselin</w:t>
      </w:r>
      <w:proofErr w:type="spellEnd"/>
      <w:r w:rsidRPr="003A0272">
        <w:rPr>
          <w:rFonts w:ascii="Arial" w:hAnsi="Arial" w:cs="Arial"/>
        </w:rPr>
        <w:t xml:space="preserve">, S., Shi, Y., Probst, F., Antonelli, M., Tinker, A. and </w:t>
      </w:r>
      <w:proofErr w:type="spellStart"/>
      <w:r w:rsidRPr="003A0272">
        <w:rPr>
          <w:rFonts w:ascii="Arial" w:hAnsi="Arial" w:cs="Arial"/>
        </w:rPr>
        <w:t>Matcham</w:t>
      </w:r>
      <w:proofErr w:type="spellEnd"/>
      <w:r w:rsidRPr="003A0272">
        <w:rPr>
          <w:rFonts w:ascii="Arial" w:hAnsi="Arial" w:cs="Arial"/>
        </w:rPr>
        <w:t xml:space="preserve">, F., </w:t>
      </w:r>
      <w:r w:rsidR="003D0F5F" w:rsidRPr="003A0272">
        <w:rPr>
          <w:rFonts w:ascii="Arial" w:hAnsi="Arial" w:cs="Arial"/>
        </w:rPr>
        <w:t>(</w:t>
      </w:r>
      <w:r w:rsidRPr="003A0272">
        <w:rPr>
          <w:rFonts w:ascii="Arial" w:hAnsi="Arial" w:cs="Arial"/>
        </w:rPr>
        <w:t>2023</w:t>
      </w:r>
      <w:r w:rsidR="003D0F5F" w:rsidRPr="003A0272">
        <w:rPr>
          <w:rFonts w:ascii="Arial" w:hAnsi="Arial" w:cs="Arial"/>
        </w:rPr>
        <w:t>)</w:t>
      </w:r>
      <w:r w:rsidRPr="003A0272">
        <w:rPr>
          <w:rFonts w:ascii="Arial" w:hAnsi="Arial" w:cs="Arial"/>
        </w:rPr>
        <w:t>. Understanding the psychological experiences of loneliness in later life: qualitative protocol to inform technology development. </w:t>
      </w:r>
      <w:r w:rsidRPr="003A0272">
        <w:rPr>
          <w:rFonts w:ascii="Arial" w:hAnsi="Arial" w:cs="Arial"/>
          <w:i/>
          <w:iCs/>
        </w:rPr>
        <w:t>BMJ open</w:t>
      </w:r>
      <w:r w:rsidRPr="003A0272">
        <w:rPr>
          <w:rFonts w:ascii="Arial" w:hAnsi="Arial" w:cs="Arial"/>
        </w:rPr>
        <w:t>, </w:t>
      </w:r>
      <w:r w:rsidRPr="003A0272">
        <w:rPr>
          <w:rFonts w:ascii="Arial" w:hAnsi="Arial" w:cs="Arial"/>
          <w:i/>
          <w:iCs/>
        </w:rPr>
        <w:t>13</w:t>
      </w:r>
      <w:r w:rsidRPr="003A0272">
        <w:rPr>
          <w:rFonts w:ascii="Arial" w:hAnsi="Arial" w:cs="Arial"/>
        </w:rPr>
        <w:t xml:space="preserve">(6), p.e072420. </w:t>
      </w:r>
      <w:hyperlink r:id="rId40" w:history="1">
        <w:r w:rsidRPr="003A0272">
          <w:rPr>
            <w:rStyle w:val="Hyperlink"/>
            <w:rFonts w:ascii="Arial" w:hAnsi="Arial" w:cs="Arial"/>
          </w:rPr>
          <w:t>https://bmjopen.bmj.com/content/13/6/e072420.abstract</w:t>
        </w:r>
      </w:hyperlink>
    </w:p>
    <w:p w14:paraId="01970467" w14:textId="4309504E" w:rsidR="00AA30B9" w:rsidRPr="003A0272" w:rsidRDefault="00AA30B9" w:rsidP="003A0272">
      <w:pPr>
        <w:spacing w:before="240" w:line="360" w:lineRule="auto"/>
        <w:jc w:val="both"/>
        <w:rPr>
          <w:rFonts w:ascii="Arial" w:hAnsi="Arial" w:cs="Arial"/>
        </w:rPr>
      </w:pPr>
      <w:r w:rsidRPr="003A0272">
        <w:rPr>
          <w:rFonts w:ascii="Arial" w:hAnsi="Arial" w:cs="Arial"/>
        </w:rPr>
        <w:lastRenderedPageBreak/>
        <w:t xml:space="preserve">Smith, J. and Mapstone, J., </w:t>
      </w:r>
      <w:r w:rsidR="00803CE1">
        <w:rPr>
          <w:rFonts w:ascii="Arial" w:hAnsi="Arial" w:cs="Arial"/>
        </w:rPr>
        <w:t>(</w:t>
      </w:r>
      <w:r w:rsidRPr="003A0272">
        <w:rPr>
          <w:rFonts w:ascii="Arial" w:hAnsi="Arial" w:cs="Arial"/>
        </w:rPr>
        <w:t>2020</w:t>
      </w:r>
      <w:r w:rsidR="00803CE1">
        <w:rPr>
          <w:rFonts w:ascii="Arial" w:hAnsi="Arial" w:cs="Arial"/>
        </w:rPr>
        <w:t>)</w:t>
      </w:r>
      <w:r w:rsidRPr="003A0272">
        <w:rPr>
          <w:rFonts w:ascii="Arial" w:hAnsi="Arial" w:cs="Arial"/>
        </w:rPr>
        <w:t>. Health services for health promotion and disease prevention. </w:t>
      </w:r>
      <w:r w:rsidRPr="003A0272">
        <w:rPr>
          <w:rFonts w:ascii="Arial" w:hAnsi="Arial" w:cs="Arial"/>
          <w:i/>
          <w:iCs/>
        </w:rPr>
        <w:t>Healthcare Public Health: Improving health services through population science</w:t>
      </w:r>
      <w:r w:rsidRPr="003A0272">
        <w:rPr>
          <w:rFonts w:ascii="Arial" w:hAnsi="Arial" w:cs="Arial"/>
        </w:rPr>
        <w:t xml:space="preserve">, pp.158-171. </w:t>
      </w:r>
      <w:hyperlink r:id="rId41" w:history="1">
        <w:r w:rsidRPr="003A0272">
          <w:rPr>
            <w:rStyle w:val="Hyperlink"/>
            <w:rFonts w:ascii="Arial" w:hAnsi="Arial" w:cs="Arial"/>
          </w:rPr>
          <w:t>https://books.google.com/books?hl=en&amp;lr=&amp;id=M7vyDwAAQBAJ&amp;oi=fnd&amp;pg=PA158&amp;dq=Type+2+diabetes+Public+Health+Measures+using+3P%27S+prevention,+promotion,+protection+in+UK+&amp;ots=hVEvRUXe74&amp;sig=733eozI1pudzGRRQxmSEMrqfjRg</w:t>
        </w:r>
      </w:hyperlink>
    </w:p>
    <w:p w14:paraId="1FB9410B" w14:textId="5D068FBF" w:rsidR="003D6913" w:rsidRPr="003A0272" w:rsidRDefault="003D6913" w:rsidP="003A0272">
      <w:pPr>
        <w:spacing w:before="240" w:line="360" w:lineRule="auto"/>
        <w:jc w:val="both"/>
        <w:rPr>
          <w:rFonts w:ascii="Arial" w:hAnsi="Arial" w:cs="Arial"/>
        </w:rPr>
      </w:pPr>
      <w:r w:rsidRPr="003A0272">
        <w:rPr>
          <w:rFonts w:ascii="Arial" w:hAnsi="Arial" w:cs="Arial"/>
        </w:rPr>
        <w:t xml:space="preserve">Thane, P., </w:t>
      </w:r>
      <w:r w:rsidR="003D0F5F" w:rsidRPr="003A0272">
        <w:rPr>
          <w:rFonts w:ascii="Arial" w:hAnsi="Arial" w:cs="Arial"/>
        </w:rPr>
        <w:t>(</w:t>
      </w:r>
      <w:r w:rsidRPr="003A0272">
        <w:rPr>
          <w:rFonts w:ascii="Arial" w:hAnsi="Arial" w:cs="Arial"/>
        </w:rPr>
        <w:t>2024</w:t>
      </w:r>
      <w:r w:rsidR="003D0F5F" w:rsidRPr="003A0272">
        <w:rPr>
          <w:rFonts w:ascii="Arial" w:hAnsi="Arial" w:cs="Arial"/>
        </w:rPr>
        <w:t>)</w:t>
      </w:r>
      <w:r w:rsidRPr="003A0272">
        <w:rPr>
          <w:rFonts w:ascii="Arial" w:hAnsi="Arial" w:cs="Arial"/>
        </w:rPr>
        <w:t>. Poverty and the Rise and Fall of the Welfare State in Britain, 1900 to the Present. </w:t>
      </w:r>
      <w:r w:rsidRPr="003A0272">
        <w:rPr>
          <w:rFonts w:ascii="Arial" w:hAnsi="Arial" w:cs="Arial"/>
          <w:i/>
          <w:iCs/>
        </w:rPr>
        <w:t>Society</w:t>
      </w:r>
      <w:r w:rsidRPr="003A0272">
        <w:rPr>
          <w:rFonts w:ascii="Arial" w:hAnsi="Arial" w:cs="Arial"/>
        </w:rPr>
        <w:t>, </w:t>
      </w:r>
      <w:r w:rsidRPr="003A0272">
        <w:rPr>
          <w:rFonts w:ascii="Arial" w:hAnsi="Arial" w:cs="Arial"/>
          <w:i/>
          <w:iCs/>
        </w:rPr>
        <w:t>61</w:t>
      </w:r>
      <w:r w:rsidRPr="003A0272">
        <w:rPr>
          <w:rFonts w:ascii="Arial" w:hAnsi="Arial" w:cs="Arial"/>
        </w:rPr>
        <w:t xml:space="preserve">(3), pp.263-274. </w:t>
      </w:r>
      <w:hyperlink r:id="rId42" w:history="1">
        <w:r w:rsidRPr="003A0272">
          <w:rPr>
            <w:rStyle w:val="Hyperlink"/>
            <w:rFonts w:ascii="Arial" w:hAnsi="Arial" w:cs="Arial"/>
          </w:rPr>
          <w:t>https://link.springer.com/article/10.1007/s12115-024-00976-8</w:t>
        </w:r>
      </w:hyperlink>
    </w:p>
    <w:p w14:paraId="658EE248" w14:textId="3E06804C" w:rsidR="00DF3C02" w:rsidRPr="003A0272" w:rsidRDefault="00DF3C02" w:rsidP="003A0272">
      <w:pPr>
        <w:spacing w:before="240" w:line="360" w:lineRule="auto"/>
        <w:jc w:val="both"/>
        <w:rPr>
          <w:rFonts w:ascii="Arial" w:hAnsi="Arial" w:cs="Arial"/>
        </w:rPr>
      </w:pPr>
      <w:r w:rsidRPr="003A0272">
        <w:rPr>
          <w:rFonts w:ascii="Arial" w:hAnsi="Arial" w:cs="Arial"/>
        </w:rPr>
        <w:t xml:space="preserve">Ubi, J., </w:t>
      </w:r>
      <w:r w:rsidR="00A04E42">
        <w:rPr>
          <w:rFonts w:ascii="Arial" w:hAnsi="Arial" w:cs="Arial"/>
        </w:rPr>
        <w:t>(</w:t>
      </w:r>
      <w:r w:rsidRPr="003A0272">
        <w:rPr>
          <w:rFonts w:ascii="Arial" w:hAnsi="Arial" w:cs="Arial"/>
        </w:rPr>
        <w:t>2019</w:t>
      </w:r>
      <w:r w:rsidR="00A04E42">
        <w:rPr>
          <w:rFonts w:ascii="Arial" w:hAnsi="Arial" w:cs="Arial"/>
        </w:rPr>
        <w:t>)</w:t>
      </w:r>
      <w:r w:rsidRPr="003A0272">
        <w:rPr>
          <w:rFonts w:ascii="Arial" w:hAnsi="Arial" w:cs="Arial"/>
        </w:rPr>
        <w:t>. </w:t>
      </w:r>
      <w:r w:rsidRPr="003A0272">
        <w:rPr>
          <w:rFonts w:ascii="Arial" w:hAnsi="Arial" w:cs="Arial"/>
          <w:i/>
          <w:iCs/>
        </w:rPr>
        <w:t>Primary Care Physicians' Lived Experiences for Early Detection and Prevention of Type 2 Diabetes Mellitus</w:t>
      </w:r>
      <w:r w:rsidRPr="003A0272">
        <w:rPr>
          <w:rFonts w:ascii="Arial" w:hAnsi="Arial" w:cs="Arial"/>
        </w:rPr>
        <w:t xml:space="preserve">. Northcentral University. </w:t>
      </w:r>
      <w:hyperlink r:id="rId43" w:history="1">
        <w:r w:rsidRPr="003A0272">
          <w:rPr>
            <w:rStyle w:val="Hyperlink"/>
            <w:rFonts w:ascii="Arial" w:hAnsi="Arial" w:cs="Arial"/>
          </w:rPr>
          <w:t>https://search.proquest.com/openview/dbe35a159677d142e32d452c616a62ef/1?pq-origsite=gscholar&amp;cbl=18750&amp;diss=y</w:t>
        </w:r>
      </w:hyperlink>
    </w:p>
    <w:p w14:paraId="3B3310AE" w14:textId="34024939" w:rsidR="00D1712F" w:rsidRPr="003A0272" w:rsidRDefault="00D1712F" w:rsidP="003A0272">
      <w:pPr>
        <w:spacing w:before="240" w:line="360" w:lineRule="auto"/>
        <w:jc w:val="both"/>
        <w:rPr>
          <w:rFonts w:ascii="Arial" w:hAnsi="Arial" w:cs="Arial"/>
        </w:rPr>
      </w:pPr>
      <w:r w:rsidRPr="003A0272">
        <w:rPr>
          <w:rFonts w:ascii="Arial" w:hAnsi="Arial" w:cs="Arial"/>
        </w:rPr>
        <w:t xml:space="preserve">Walker, L.E. and </w:t>
      </w:r>
      <w:proofErr w:type="spellStart"/>
      <w:r w:rsidRPr="003A0272">
        <w:rPr>
          <w:rFonts w:ascii="Arial" w:hAnsi="Arial" w:cs="Arial"/>
        </w:rPr>
        <w:t>Pirmohamed</w:t>
      </w:r>
      <w:proofErr w:type="spellEnd"/>
      <w:r w:rsidRPr="003A0272">
        <w:rPr>
          <w:rFonts w:ascii="Arial" w:hAnsi="Arial" w:cs="Arial"/>
        </w:rPr>
        <w:t xml:space="preserve">, M., </w:t>
      </w:r>
      <w:r w:rsidR="003D0F5F" w:rsidRPr="003A0272">
        <w:rPr>
          <w:rFonts w:ascii="Arial" w:hAnsi="Arial" w:cs="Arial"/>
        </w:rPr>
        <w:t>(</w:t>
      </w:r>
      <w:r w:rsidRPr="003A0272">
        <w:rPr>
          <w:rFonts w:ascii="Arial" w:hAnsi="Arial" w:cs="Arial"/>
        </w:rPr>
        <w:t>2024</w:t>
      </w:r>
      <w:r w:rsidR="003D0F5F" w:rsidRPr="003A0272">
        <w:rPr>
          <w:rFonts w:ascii="Arial" w:hAnsi="Arial" w:cs="Arial"/>
        </w:rPr>
        <w:t>)</w:t>
      </w:r>
      <w:r w:rsidRPr="003A0272">
        <w:rPr>
          <w:rFonts w:ascii="Arial" w:hAnsi="Arial" w:cs="Arial"/>
        </w:rPr>
        <w:t>. The status of drug evaluation in older adults in the United Kingdom: Bridging the representation gap. </w:t>
      </w:r>
      <w:r w:rsidRPr="003A0272">
        <w:rPr>
          <w:rFonts w:ascii="Arial" w:hAnsi="Arial" w:cs="Arial"/>
          <w:i/>
          <w:iCs/>
        </w:rPr>
        <w:t>Journal of the American Geriatrics Society</w:t>
      </w:r>
      <w:r w:rsidRPr="003A0272">
        <w:rPr>
          <w:rFonts w:ascii="Arial" w:hAnsi="Arial" w:cs="Arial"/>
        </w:rPr>
        <w:t>, </w:t>
      </w:r>
      <w:r w:rsidRPr="003A0272">
        <w:rPr>
          <w:rFonts w:ascii="Arial" w:hAnsi="Arial" w:cs="Arial"/>
          <w:i/>
          <w:iCs/>
        </w:rPr>
        <w:t>72</w:t>
      </w:r>
      <w:r w:rsidRPr="003A0272">
        <w:rPr>
          <w:rFonts w:ascii="Arial" w:hAnsi="Arial" w:cs="Arial"/>
        </w:rPr>
        <w:t xml:space="preserve">(9), pp.2933-2941. </w:t>
      </w:r>
      <w:hyperlink r:id="rId44" w:history="1">
        <w:r w:rsidRPr="003A0272">
          <w:rPr>
            <w:rStyle w:val="Hyperlink"/>
            <w:rFonts w:ascii="Arial" w:hAnsi="Arial" w:cs="Arial"/>
          </w:rPr>
          <w:t>https://agsjournals.onlinelibrary.wiley.com/doi/abs/10.1111/jgs.18817</w:t>
        </w:r>
      </w:hyperlink>
    </w:p>
    <w:p w14:paraId="7CC837A6" w14:textId="69361CBE" w:rsidR="00A67A20" w:rsidRPr="003A0272" w:rsidRDefault="00A67A20" w:rsidP="003A0272">
      <w:pPr>
        <w:spacing w:before="240" w:line="360" w:lineRule="auto"/>
        <w:jc w:val="both"/>
        <w:rPr>
          <w:rFonts w:ascii="Arial" w:hAnsi="Arial" w:cs="Arial"/>
        </w:rPr>
      </w:pPr>
      <w:r w:rsidRPr="003A0272">
        <w:rPr>
          <w:rFonts w:ascii="Arial" w:hAnsi="Arial" w:cs="Arial"/>
        </w:rPr>
        <w:t xml:space="preserve">Watkinson, R., McManus, E., Meacock, R. and Sutton, M., </w:t>
      </w:r>
      <w:r w:rsidR="00A9169C">
        <w:rPr>
          <w:rFonts w:ascii="Arial" w:hAnsi="Arial" w:cs="Arial"/>
        </w:rPr>
        <w:t>(</w:t>
      </w:r>
      <w:r w:rsidRPr="003A0272">
        <w:rPr>
          <w:rFonts w:ascii="Arial" w:hAnsi="Arial" w:cs="Arial"/>
        </w:rPr>
        <w:t>2024</w:t>
      </w:r>
      <w:r w:rsidR="00A9169C">
        <w:rPr>
          <w:rFonts w:ascii="Arial" w:hAnsi="Arial" w:cs="Arial"/>
        </w:rPr>
        <w:t>)</w:t>
      </w:r>
      <w:r w:rsidRPr="003A0272">
        <w:rPr>
          <w:rFonts w:ascii="Arial" w:hAnsi="Arial" w:cs="Arial"/>
        </w:rPr>
        <w:t>. Age-and deprivation-related inequalities in identification of people at high risk of type 2 diabetes in England. </w:t>
      </w:r>
      <w:r w:rsidRPr="003A0272">
        <w:rPr>
          <w:rFonts w:ascii="Arial" w:hAnsi="Arial" w:cs="Arial"/>
          <w:i/>
          <w:iCs/>
        </w:rPr>
        <w:t>BMC Public Health</w:t>
      </w:r>
      <w:r w:rsidRPr="003A0272">
        <w:rPr>
          <w:rFonts w:ascii="Arial" w:hAnsi="Arial" w:cs="Arial"/>
        </w:rPr>
        <w:t>, </w:t>
      </w:r>
      <w:r w:rsidRPr="003A0272">
        <w:rPr>
          <w:rFonts w:ascii="Arial" w:hAnsi="Arial" w:cs="Arial"/>
          <w:i/>
          <w:iCs/>
        </w:rPr>
        <w:t>24</w:t>
      </w:r>
      <w:r w:rsidRPr="003A0272">
        <w:rPr>
          <w:rFonts w:ascii="Arial" w:hAnsi="Arial" w:cs="Arial"/>
        </w:rPr>
        <w:t xml:space="preserve">(1), p.2166. </w:t>
      </w:r>
      <w:hyperlink r:id="rId45" w:history="1">
        <w:r w:rsidRPr="003A0272">
          <w:rPr>
            <w:rStyle w:val="Hyperlink"/>
            <w:rFonts w:ascii="Arial" w:hAnsi="Arial" w:cs="Arial"/>
          </w:rPr>
          <w:t>https://link.springer.com/article/10.1186/s12889-024-19571-x</w:t>
        </w:r>
      </w:hyperlink>
    </w:p>
    <w:p w14:paraId="1805ED7C" w14:textId="42882A36" w:rsidR="00383A92" w:rsidRPr="003A0272" w:rsidRDefault="00383A92" w:rsidP="003A0272">
      <w:pPr>
        <w:spacing w:before="240" w:line="360" w:lineRule="auto"/>
        <w:jc w:val="both"/>
        <w:rPr>
          <w:rFonts w:ascii="Arial" w:hAnsi="Arial" w:cs="Arial"/>
        </w:rPr>
      </w:pPr>
      <w:r w:rsidRPr="003A0272">
        <w:rPr>
          <w:rFonts w:ascii="Arial" w:hAnsi="Arial" w:cs="Arial"/>
        </w:rPr>
        <w:t xml:space="preserve">WHO (2024), Diabetes. </w:t>
      </w:r>
      <w:hyperlink r:id="rId46" w:history="1">
        <w:r w:rsidRPr="003A0272">
          <w:rPr>
            <w:rStyle w:val="Hyperlink"/>
            <w:rFonts w:ascii="Arial" w:hAnsi="Arial" w:cs="Arial"/>
          </w:rPr>
          <w:t>https://www.who.int/news-room/fact-sheets/detail/diabetes</w:t>
        </w:r>
      </w:hyperlink>
    </w:p>
    <w:p w14:paraId="6285232B" w14:textId="77777777" w:rsidR="00383A92" w:rsidRPr="003A0272" w:rsidRDefault="00383A92" w:rsidP="003A0272">
      <w:pPr>
        <w:spacing w:before="240" w:line="360" w:lineRule="auto"/>
        <w:jc w:val="both"/>
        <w:rPr>
          <w:rFonts w:ascii="Arial" w:hAnsi="Arial" w:cs="Arial"/>
        </w:rPr>
      </w:pPr>
    </w:p>
    <w:p w14:paraId="50978CC2" w14:textId="77777777" w:rsidR="00D1712F" w:rsidRPr="003A0272" w:rsidRDefault="00D1712F" w:rsidP="003A0272">
      <w:pPr>
        <w:spacing w:before="240" w:line="360" w:lineRule="auto"/>
        <w:jc w:val="both"/>
        <w:rPr>
          <w:rFonts w:ascii="Arial" w:hAnsi="Arial" w:cs="Arial"/>
        </w:rPr>
      </w:pPr>
    </w:p>
    <w:p w14:paraId="2E02C5F2" w14:textId="77777777" w:rsidR="00F8115C" w:rsidRPr="003A0272" w:rsidRDefault="00F8115C" w:rsidP="003A0272">
      <w:pPr>
        <w:spacing w:before="240" w:line="360" w:lineRule="auto"/>
        <w:jc w:val="both"/>
        <w:rPr>
          <w:rFonts w:ascii="Arial" w:hAnsi="Arial" w:cs="Arial"/>
          <w:vanish/>
        </w:rPr>
      </w:pPr>
    </w:p>
    <w:p w14:paraId="0E0C78CC" w14:textId="77777777" w:rsidR="00F55A4D" w:rsidRPr="003A0272" w:rsidRDefault="00F55A4D" w:rsidP="003A0272">
      <w:pPr>
        <w:spacing w:before="240" w:line="360" w:lineRule="auto"/>
        <w:jc w:val="both"/>
        <w:rPr>
          <w:rFonts w:ascii="Arial" w:hAnsi="Arial" w:cs="Arial"/>
        </w:rPr>
      </w:pPr>
    </w:p>
    <w:p w14:paraId="0F82E335" w14:textId="77777777" w:rsidR="00F55A4D" w:rsidRPr="003A0272" w:rsidRDefault="00F55A4D" w:rsidP="003A0272">
      <w:pPr>
        <w:spacing w:before="240" w:line="360" w:lineRule="auto"/>
        <w:jc w:val="both"/>
        <w:rPr>
          <w:rFonts w:ascii="Arial" w:hAnsi="Arial" w:cs="Arial"/>
          <w:vanish/>
        </w:rPr>
      </w:pPr>
      <w:r w:rsidRPr="003A0272">
        <w:rPr>
          <w:rFonts w:ascii="Arial" w:hAnsi="Arial" w:cs="Arial"/>
          <w:vanish/>
        </w:rPr>
        <w:t>Bottom of Form</w:t>
      </w:r>
    </w:p>
    <w:p w14:paraId="789AA30A" w14:textId="77777777" w:rsidR="00F55A4D" w:rsidRPr="003A0272" w:rsidRDefault="00F55A4D" w:rsidP="003A0272">
      <w:pPr>
        <w:spacing w:before="240" w:line="360" w:lineRule="auto"/>
        <w:jc w:val="both"/>
        <w:rPr>
          <w:rFonts w:ascii="Arial" w:hAnsi="Arial" w:cs="Arial"/>
        </w:rPr>
      </w:pPr>
    </w:p>
    <w:sectPr w:rsidR="00F55A4D" w:rsidRPr="003A0272" w:rsidSect="00586F9F">
      <w:footerReference w:type="default" r:id="rId4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346A4" w14:textId="77777777" w:rsidR="00DC6443" w:rsidRDefault="00DC6443" w:rsidP="00E00CF1">
      <w:pPr>
        <w:spacing w:after="0" w:line="240" w:lineRule="auto"/>
      </w:pPr>
      <w:r>
        <w:separator/>
      </w:r>
    </w:p>
  </w:endnote>
  <w:endnote w:type="continuationSeparator" w:id="0">
    <w:p w14:paraId="03A2F792" w14:textId="77777777" w:rsidR="00DC6443" w:rsidRDefault="00DC6443" w:rsidP="00E00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3652997"/>
      <w:docPartObj>
        <w:docPartGallery w:val="Page Numbers (Bottom of Page)"/>
        <w:docPartUnique/>
      </w:docPartObj>
    </w:sdtPr>
    <w:sdtEndPr/>
    <w:sdtContent>
      <w:p w14:paraId="69144237" w14:textId="24317815" w:rsidR="001F6255" w:rsidRDefault="001F6255">
        <w:pPr>
          <w:pStyle w:val="Footer"/>
          <w:jc w:val="right"/>
        </w:pPr>
        <w:r>
          <w:fldChar w:fldCharType="begin"/>
        </w:r>
        <w:r>
          <w:instrText>PAGE   \* MERGEFORMAT</w:instrText>
        </w:r>
        <w:r>
          <w:fldChar w:fldCharType="separate"/>
        </w:r>
        <w:r>
          <w:t>2</w:t>
        </w:r>
        <w:r>
          <w:fldChar w:fldCharType="end"/>
        </w:r>
      </w:p>
    </w:sdtContent>
  </w:sdt>
  <w:p w14:paraId="7922EAC2" w14:textId="77777777" w:rsidR="001F6255" w:rsidRDefault="001F6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7CF82" w14:textId="77777777" w:rsidR="00DC6443" w:rsidRDefault="00DC6443" w:rsidP="00E00CF1">
      <w:pPr>
        <w:spacing w:after="0" w:line="240" w:lineRule="auto"/>
      </w:pPr>
      <w:r>
        <w:separator/>
      </w:r>
    </w:p>
  </w:footnote>
  <w:footnote w:type="continuationSeparator" w:id="0">
    <w:p w14:paraId="7182F36D" w14:textId="77777777" w:rsidR="00DC6443" w:rsidRDefault="00DC6443" w:rsidP="00E00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A5565"/>
    <w:multiLevelType w:val="multilevel"/>
    <w:tmpl w:val="A5E2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030E5"/>
    <w:multiLevelType w:val="multilevel"/>
    <w:tmpl w:val="DB4A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964B1"/>
    <w:multiLevelType w:val="hybridMultilevel"/>
    <w:tmpl w:val="44C23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C612D0"/>
    <w:multiLevelType w:val="multilevel"/>
    <w:tmpl w:val="AEF6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D4AE3"/>
    <w:multiLevelType w:val="multilevel"/>
    <w:tmpl w:val="6F0C7F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34415757"/>
    <w:multiLevelType w:val="multilevel"/>
    <w:tmpl w:val="B692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C9431F"/>
    <w:multiLevelType w:val="multilevel"/>
    <w:tmpl w:val="6D4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3A0B6E"/>
    <w:multiLevelType w:val="multilevel"/>
    <w:tmpl w:val="7688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A50F40"/>
    <w:multiLevelType w:val="multilevel"/>
    <w:tmpl w:val="763A29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774F5223"/>
    <w:multiLevelType w:val="multilevel"/>
    <w:tmpl w:val="9C0C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4"/>
  </w:num>
  <w:num w:numId="4">
    <w:abstractNumId w:val="6"/>
  </w:num>
  <w:num w:numId="5">
    <w:abstractNumId w:val="7"/>
  </w:num>
  <w:num w:numId="6">
    <w:abstractNumId w:val="5"/>
  </w:num>
  <w:num w:numId="7">
    <w:abstractNumId w:val="1"/>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B8A"/>
    <w:rsid w:val="000232B3"/>
    <w:rsid w:val="00025944"/>
    <w:rsid w:val="00073B2D"/>
    <w:rsid w:val="00092B65"/>
    <w:rsid w:val="000D3CC3"/>
    <w:rsid w:val="000E40E2"/>
    <w:rsid w:val="00153007"/>
    <w:rsid w:val="001626FF"/>
    <w:rsid w:val="00174035"/>
    <w:rsid w:val="0017609E"/>
    <w:rsid w:val="001C4772"/>
    <w:rsid w:val="001D2894"/>
    <w:rsid w:val="001E1705"/>
    <w:rsid w:val="001F6255"/>
    <w:rsid w:val="002053D1"/>
    <w:rsid w:val="00231CF2"/>
    <w:rsid w:val="002B29D6"/>
    <w:rsid w:val="002B5AA7"/>
    <w:rsid w:val="002D7BF0"/>
    <w:rsid w:val="002F2200"/>
    <w:rsid w:val="002F7AA1"/>
    <w:rsid w:val="00310E2A"/>
    <w:rsid w:val="0038021D"/>
    <w:rsid w:val="00383A92"/>
    <w:rsid w:val="003A0272"/>
    <w:rsid w:val="003C328A"/>
    <w:rsid w:val="003D0F5F"/>
    <w:rsid w:val="003D6913"/>
    <w:rsid w:val="003E5487"/>
    <w:rsid w:val="003F6965"/>
    <w:rsid w:val="0040603E"/>
    <w:rsid w:val="00442B21"/>
    <w:rsid w:val="00443E10"/>
    <w:rsid w:val="00447A82"/>
    <w:rsid w:val="00493595"/>
    <w:rsid w:val="004B0B8A"/>
    <w:rsid w:val="004B646D"/>
    <w:rsid w:val="004D1383"/>
    <w:rsid w:val="004E73CF"/>
    <w:rsid w:val="00513B6D"/>
    <w:rsid w:val="00517E1E"/>
    <w:rsid w:val="00521397"/>
    <w:rsid w:val="0055493B"/>
    <w:rsid w:val="00566959"/>
    <w:rsid w:val="00567570"/>
    <w:rsid w:val="00580EE6"/>
    <w:rsid w:val="00586F9F"/>
    <w:rsid w:val="005A02F3"/>
    <w:rsid w:val="005A155E"/>
    <w:rsid w:val="005A1B4B"/>
    <w:rsid w:val="005B41D9"/>
    <w:rsid w:val="005E3F36"/>
    <w:rsid w:val="006605D3"/>
    <w:rsid w:val="00666DA7"/>
    <w:rsid w:val="006709A3"/>
    <w:rsid w:val="0067735C"/>
    <w:rsid w:val="00680901"/>
    <w:rsid w:val="00696752"/>
    <w:rsid w:val="006C0732"/>
    <w:rsid w:val="006E5923"/>
    <w:rsid w:val="006F0DD5"/>
    <w:rsid w:val="0071668C"/>
    <w:rsid w:val="007355AB"/>
    <w:rsid w:val="00747859"/>
    <w:rsid w:val="007509A3"/>
    <w:rsid w:val="00764C52"/>
    <w:rsid w:val="007860A0"/>
    <w:rsid w:val="007A6D4D"/>
    <w:rsid w:val="007F079B"/>
    <w:rsid w:val="008027C8"/>
    <w:rsid w:val="00803CE1"/>
    <w:rsid w:val="008042B4"/>
    <w:rsid w:val="00806EE1"/>
    <w:rsid w:val="00817FDA"/>
    <w:rsid w:val="00842BF7"/>
    <w:rsid w:val="0088335D"/>
    <w:rsid w:val="008B066D"/>
    <w:rsid w:val="008B093B"/>
    <w:rsid w:val="008D47EB"/>
    <w:rsid w:val="00901861"/>
    <w:rsid w:val="00902C8F"/>
    <w:rsid w:val="00903671"/>
    <w:rsid w:val="009358B6"/>
    <w:rsid w:val="0093658E"/>
    <w:rsid w:val="009B0917"/>
    <w:rsid w:val="009C2C1D"/>
    <w:rsid w:val="009F6933"/>
    <w:rsid w:val="00A04E42"/>
    <w:rsid w:val="00A67A20"/>
    <w:rsid w:val="00A80C41"/>
    <w:rsid w:val="00A81681"/>
    <w:rsid w:val="00A83D49"/>
    <w:rsid w:val="00A85B59"/>
    <w:rsid w:val="00A87E3D"/>
    <w:rsid w:val="00A9169C"/>
    <w:rsid w:val="00AA30B9"/>
    <w:rsid w:val="00AD3238"/>
    <w:rsid w:val="00B1211C"/>
    <w:rsid w:val="00B152CD"/>
    <w:rsid w:val="00B35A9D"/>
    <w:rsid w:val="00B4589F"/>
    <w:rsid w:val="00B5770F"/>
    <w:rsid w:val="00B6197C"/>
    <w:rsid w:val="00B664E6"/>
    <w:rsid w:val="00BB754D"/>
    <w:rsid w:val="00BB7FD4"/>
    <w:rsid w:val="00C57A99"/>
    <w:rsid w:val="00C82724"/>
    <w:rsid w:val="00C82B26"/>
    <w:rsid w:val="00C96866"/>
    <w:rsid w:val="00CB5D80"/>
    <w:rsid w:val="00D15F0D"/>
    <w:rsid w:val="00D1712F"/>
    <w:rsid w:val="00D26DD9"/>
    <w:rsid w:val="00D433CD"/>
    <w:rsid w:val="00D46C92"/>
    <w:rsid w:val="00D835EB"/>
    <w:rsid w:val="00D971A7"/>
    <w:rsid w:val="00DC6443"/>
    <w:rsid w:val="00DF3C02"/>
    <w:rsid w:val="00E00CF1"/>
    <w:rsid w:val="00E34877"/>
    <w:rsid w:val="00E80AC4"/>
    <w:rsid w:val="00ED7BE7"/>
    <w:rsid w:val="00F237BC"/>
    <w:rsid w:val="00F23DC4"/>
    <w:rsid w:val="00F5065F"/>
    <w:rsid w:val="00F55A4D"/>
    <w:rsid w:val="00F56ED9"/>
    <w:rsid w:val="00F648BC"/>
    <w:rsid w:val="00F8115C"/>
    <w:rsid w:val="00F97039"/>
    <w:rsid w:val="00FB3FB4"/>
    <w:rsid w:val="00FF1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4726E"/>
  <w15:chartTrackingRefBased/>
  <w15:docId w15:val="{97551D63-4AA4-4958-866E-51F57029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959"/>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4B0B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B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B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B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B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B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B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4B0B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B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B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B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B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B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B8A"/>
    <w:rPr>
      <w:rFonts w:eastAsiaTheme="majorEastAsia" w:cstheme="majorBidi"/>
      <w:color w:val="272727" w:themeColor="text1" w:themeTint="D8"/>
    </w:rPr>
  </w:style>
  <w:style w:type="paragraph" w:styleId="Title">
    <w:name w:val="Title"/>
    <w:basedOn w:val="Normal"/>
    <w:next w:val="Normal"/>
    <w:link w:val="TitleChar"/>
    <w:uiPriority w:val="10"/>
    <w:qFormat/>
    <w:rsid w:val="004B0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B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B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B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B8A"/>
    <w:pPr>
      <w:spacing w:before="160"/>
      <w:jc w:val="center"/>
    </w:pPr>
    <w:rPr>
      <w:i/>
      <w:iCs/>
      <w:color w:val="404040" w:themeColor="text1" w:themeTint="BF"/>
    </w:rPr>
  </w:style>
  <w:style w:type="character" w:customStyle="1" w:styleId="QuoteChar">
    <w:name w:val="Quote Char"/>
    <w:basedOn w:val="DefaultParagraphFont"/>
    <w:link w:val="Quote"/>
    <w:uiPriority w:val="29"/>
    <w:rsid w:val="004B0B8A"/>
    <w:rPr>
      <w:i/>
      <w:iCs/>
      <w:color w:val="404040" w:themeColor="text1" w:themeTint="BF"/>
    </w:rPr>
  </w:style>
  <w:style w:type="paragraph" w:styleId="ListParagraph">
    <w:name w:val="List Paragraph"/>
    <w:basedOn w:val="Normal"/>
    <w:uiPriority w:val="34"/>
    <w:qFormat/>
    <w:rsid w:val="004B0B8A"/>
    <w:pPr>
      <w:ind w:left="720"/>
      <w:contextualSpacing/>
    </w:pPr>
  </w:style>
  <w:style w:type="character" w:styleId="IntenseEmphasis">
    <w:name w:val="Intense Emphasis"/>
    <w:basedOn w:val="DefaultParagraphFont"/>
    <w:uiPriority w:val="21"/>
    <w:qFormat/>
    <w:rsid w:val="004B0B8A"/>
    <w:rPr>
      <w:i/>
      <w:iCs/>
      <w:color w:val="0F4761" w:themeColor="accent1" w:themeShade="BF"/>
    </w:rPr>
  </w:style>
  <w:style w:type="paragraph" w:styleId="IntenseQuote">
    <w:name w:val="Intense Quote"/>
    <w:basedOn w:val="Normal"/>
    <w:next w:val="Normal"/>
    <w:link w:val="IntenseQuoteChar"/>
    <w:uiPriority w:val="30"/>
    <w:qFormat/>
    <w:rsid w:val="004B0B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B8A"/>
    <w:rPr>
      <w:i/>
      <w:iCs/>
      <w:color w:val="0F4761" w:themeColor="accent1" w:themeShade="BF"/>
    </w:rPr>
  </w:style>
  <w:style w:type="character" w:styleId="IntenseReference">
    <w:name w:val="Intense Reference"/>
    <w:basedOn w:val="DefaultParagraphFont"/>
    <w:uiPriority w:val="32"/>
    <w:qFormat/>
    <w:rsid w:val="004B0B8A"/>
    <w:rPr>
      <w:b/>
      <w:bCs/>
      <w:smallCaps/>
      <w:color w:val="0F4761" w:themeColor="accent1" w:themeShade="BF"/>
      <w:spacing w:val="5"/>
    </w:rPr>
  </w:style>
  <w:style w:type="character" w:styleId="Hyperlink">
    <w:name w:val="Hyperlink"/>
    <w:basedOn w:val="DefaultParagraphFont"/>
    <w:uiPriority w:val="99"/>
    <w:unhideWhenUsed/>
    <w:rsid w:val="00F8115C"/>
    <w:rPr>
      <w:color w:val="467886" w:themeColor="hyperlink"/>
      <w:u w:val="single"/>
    </w:rPr>
  </w:style>
  <w:style w:type="character" w:styleId="UnresolvedMention">
    <w:name w:val="Unresolved Mention"/>
    <w:basedOn w:val="DefaultParagraphFont"/>
    <w:uiPriority w:val="99"/>
    <w:semiHidden/>
    <w:unhideWhenUsed/>
    <w:rsid w:val="00F8115C"/>
    <w:rPr>
      <w:color w:val="605E5C"/>
      <w:shd w:val="clear" w:color="auto" w:fill="E1DFDD"/>
    </w:rPr>
  </w:style>
  <w:style w:type="paragraph" w:styleId="Header">
    <w:name w:val="header"/>
    <w:basedOn w:val="Normal"/>
    <w:link w:val="HeaderChar"/>
    <w:uiPriority w:val="99"/>
    <w:unhideWhenUsed/>
    <w:rsid w:val="00E00C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CF1"/>
  </w:style>
  <w:style w:type="paragraph" w:styleId="Footer">
    <w:name w:val="footer"/>
    <w:basedOn w:val="Normal"/>
    <w:link w:val="FooterChar"/>
    <w:uiPriority w:val="99"/>
    <w:unhideWhenUsed/>
    <w:rsid w:val="00E00C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CF1"/>
  </w:style>
  <w:style w:type="paragraph" w:styleId="TOCHeading">
    <w:name w:val="TOC Heading"/>
    <w:basedOn w:val="Heading1"/>
    <w:next w:val="Normal"/>
    <w:uiPriority w:val="39"/>
    <w:unhideWhenUsed/>
    <w:qFormat/>
    <w:rsid w:val="00D971A7"/>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D971A7"/>
    <w:pPr>
      <w:spacing w:after="100"/>
    </w:pPr>
  </w:style>
  <w:style w:type="paragraph" w:styleId="TOC2">
    <w:name w:val="toc 2"/>
    <w:basedOn w:val="Normal"/>
    <w:next w:val="Normal"/>
    <w:autoRedefine/>
    <w:uiPriority w:val="39"/>
    <w:unhideWhenUsed/>
    <w:rsid w:val="00D971A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journals.sagepub.com/doi/abs/10.1177/13558196251334571" TargetMode="External"/><Relationship Id="rId26" Type="http://schemas.openxmlformats.org/officeDocument/2006/relationships/hyperlink" Target="https://www.lambeth.gov.uk/sites/default/files/2022-10/health-profile-for-lambeth-2022-section-6.pdf?utm_source=chatgpt.com" TargetMode="External"/><Relationship Id="rId39" Type="http://schemas.openxmlformats.org/officeDocument/2006/relationships/hyperlink" Target="https://journals.plos.org/plosone/article?id=10.1371/journal.pone.0270476" TargetMode="External"/><Relationship Id="rId3" Type="http://schemas.openxmlformats.org/officeDocument/2006/relationships/settings" Target="settings.xml"/><Relationship Id="rId21" Type="http://schemas.openxmlformats.org/officeDocument/2006/relationships/hyperlink" Target="https://www.sciencedirect.com/science/article/pii/S2667032124000015" TargetMode="External"/><Relationship Id="rId34" Type="http://schemas.openxmlformats.org/officeDocument/2006/relationships/hyperlink" Target="https://www.thelancet.com/journals/lanepe/article/PIIS2666-7762(23)00138-2/fulltext" TargetMode="External"/><Relationship Id="rId42" Type="http://schemas.openxmlformats.org/officeDocument/2006/relationships/hyperlink" Target="https://link.springer.com/article/10.1007/s12115-024-00976-8" TargetMode="External"/><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bgs.org.uk/blog/the-price-of-poverty-the-dire-impact-of-the-cost-of-living-crisis-in-older-adults" TargetMode="External"/><Relationship Id="rId25" Type="http://schemas.openxmlformats.org/officeDocument/2006/relationships/hyperlink" Target="https://link.springer.com/chapter/10.1007/978-3-030-38647-4_5" TargetMode="External"/><Relationship Id="rId33" Type="http://schemas.openxmlformats.org/officeDocument/2006/relationships/hyperlink" Target="https://www.thelancet.com/journals/lanhl/article/PIIS2666-7568(21)00118-5/fulltext?ref=atmasvasth.com" TargetMode="External"/><Relationship Id="rId38" Type="http://schemas.openxmlformats.org/officeDocument/2006/relationships/hyperlink" Target="https://journals.sagepub.com/doi/abs/10.1177/1054137315608347" TargetMode="External"/><Relationship Id="rId46" Type="http://schemas.openxmlformats.org/officeDocument/2006/relationships/hyperlink" Target="https://www.who.int/news-room/fact-sheets/detail/diabetes" TargetMode="External"/><Relationship Id="rId2" Type="http://schemas.openxmlformats.org/officeDocument/2006/relationships/styles" Target="styles.xml"/><Relationship Id="rId16" Type="http://schemas.openxmlformats.org/officeDocument/2006/relationships/hyperlink" Target="https://www.tandfonline.com/doi/abs/10.1080/13691457.2021.1954886" TargetMode="External"/><Relationship Id="rId20" Type="http://schemas.openxmlformats.org/officeDocument/2006/relationships/hyperlink" Target="https://www.mdpi.com/2077-0383/11/5/1149" TargetMode="External"/><Relationship Id="rId29" Type="http://schemas.openxmlformats.org/officeDocument/2006/relationships/hyperlink" Target="https://www.cambridge.org/core/journals/ageing-and-society/article/inequalities-in-older-lgbt-peoples-health-and-care-needs-in-the-united-kingdom-a-systematic-scoping-review/FDF7D2BC9C59B50FFF13B5A796D48259" TargetMode="External"/><Relationship Id="rId41" Type="http://schemas.openxmlformats.org/officeDocument/2006/relationships/hyperlink" Target="https://books.google.com/books?hl=en&amp;lr=&amp;id=M7vyDwAAQBAJ&amp;oi=fnd&amp;pg=PA158&amp;dq=Type+2+diabetes+Public+Health+Measures+using+3P%27S+prevention,+promotion,+protection+in+UK+&amp;ots=hVEvRUXe74&amp;sig=733eozI1pudzGRRQxmSEMrqfj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academic.oup.com/ageing/article-abstract/52/6/afad082/7187125" TargetMode="External"/><Relationship Id="rId32" Type="http://schemas.openxmlformats.org/officeDocument/2006/relationships/hyperlink" Target="https://pmc.ncbi.nlm.nih.gov/articles/PMC8555479/" TargetMode="External"/><Relationship Id="rId37" Type="http://schemas.openxmlformats.org/officeDocument/2006/relationships/hyperlink" Target="https://www.cell.com/cell/fulltext/S0092-8674(21)00162-8?dgcid=raven_jbs_aip_email" TargetMode="External"/><Relationship Id="rId40" Type="http://schemas.openxmlformats.org/officeDocument/2006/relationships/hyperlink" Target="https://bmjopen.bmj.com/content/13/6/e072420.abstract" TargetMode="External"/><Relationship Id="rId45" Type="http://schemas.openxmlformats.org/officeDocument/2006/relationships/hyperlink" Target="https://link.springer.com/article/10.1186/s12889-024-19571-x" TargetMode="External"/><Relationship Id="rId5" Type="http://schemas.openxmlformats.org/officeDocument/2006/relationships/footnotes" Target="footnotes.xml"/><Relationship Id="rId15" Type="http://schemas.openxmlformats.org/officeDocument/2006/relationships/hyperlink" Target="https://www.alzheimers.org.uk/blog/how-many-people-have-dementia-uk" TargetMode="External"/><Relationship Id="rId23" Type="http://schemas.openxmlformats.org/officeDocument/2006/relationships/hyperlink" Target="https://www.mdpi.com/1422-0067/21/17/6275" TargetMode="External"/><Relationship Id="rId28" Type="http://schemas.openxmlformats.org/officeDocument/2006/relationships/hyperlink" Target="https://www.frontiersin.org/journals/endocrinology/articles/10.3389/fendo.2021.636959/full" TargetMode="External"/><Relationship Id="rId36" Type="http://schemas.openxmlformats.org/officeDocument/2006/relationships/hyperlink" Target="https://www.thelancet.com/journals/landia/article/PIIS2213-8587(20)30431-9/fulltext" TargetMode="External"/><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journalslibrary.nihr.ac.uk/pgfar/PGFAR05020" TargetMode="External"/><Relationship Id="rId31" Type="http://schemas.openxmlformats.org/officeDocument/2006/relationships/hyperlink" Target="https://www.thelancet.com/journals/lanpsy/article/PIIS2215-0366(20)30383-7/fulltext" TargetMode="External"/><Relationship Id="rId44" Type="http://schemas.openxmlformats.org/officeDocument/2006/relationships/hyperlink" Target="https://agsjournals.onlinelibrary.wiley.com/doi/abs/10.1111/jgs.1881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sciencedirect.com/science/article/pii/S1357303918302640" TargetMode="External"/><Relationship Id="rId27" Type="http://schemas.openxmlformats.org/officeDocument/2006/relationships/hyperlink" Target="http://eduvest.greenvest.co.id/index.php/edv/article/view/49974" TargetMode="External"/><Relationship Id="rId30" Type="http://schemas.openxmlformats.org/officeDocument/2006/relationships/hyperlink" Target="https://www.cambridge.org/core/journals/the-british-journal-of-psychiatry/article/estimating-demand-for-potential-diseasemodifying-therapies-for-alzheimers-disease-in-the-uk/1C260715A34048C3F10EB49B3D42AD86" TargetMode="External"/><Relationship Id="rId35" Type="http://schemas.openxmlformats.org/officeDocument/2006/relationships/hyperlink" Target="https://www.tandfonline.com/doi/abs/10.1080/08959420.2024.2384176" TargetMode="External"/><Relationship Id="rId43" Type="http://schemas.openxmlformats.org/officeDocument/2006/relationships/hyperlink" Target="https://search.proquest.com/openview/dbe35a159677d142e32d452c616a62ef/1?pq-origsite=gscholar&amp;cbl=18750&amp;diss=y" TargetMode="External"/><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5085</Words>
  <Characters>28990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Drashti Akshay Patel</cp:lastModifiedBy>
  <cp:revision>2</cp:revision>
  <dcterms:created xsi:type="dcterms:W3CDTF">2025-11-15T23:33:00Z</dcterms:created>
  <dcterms:modified xsi:type="dcterms:W3CDTF">2025-11-15T23:33:00Z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9a6bd4de-21b7-4546-be62-83a12fad0c8d</vt:lpwstr>
  </property>
</Properties>
</file>